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6B13D">
      <w:pPr>
        <w:autoSpaceDE w:val="0"/>
        <w:autoSpaceDN w:val="0"/>
        <w:adjustRightInd w:val="0"/>
        <w:spacing w:line="360" w:lineRule="auto"/>
        <w:ind w:firstLine="1440"/>
        <w:jc w:val="center"/>
        <w:rPr>
          <w:rFonts w:ascii="宋体" w:hAnsi="宋体" w:cs="宋体"/>
          <w:b/>
          <w:bCs/>
          <w:color w:val="auto"/>
          <w:sz w:val="72"/>
          <w:szCs w:val="72"/>
          <w:highlight w:val="none"/>
          <w:lang w:val="zh-CN"/>
        </w:rPr>
      </w:pPr>
      <w:bookmarkStart w:id="70" w:name="_GoBack"/>
      <w:bookmarkStart w:id="0" w:name="_Toc2583690"/>
    </w:p>
    <w:p w14:paraId="5D2073A2">
      <w:pPr>
        <w:autoSpaceDE w:val="0"/>
        <w:autoSpaceDN w:val="0"/>
        <w:adjustRightInd w:val="0"/>
        <w:spacing w:line="360" w:lineRule="auto"/>
        <w:ind w:firstLine="1440"/>
        <w:jc w:val="center"/>
        <w:rPr>
          <w:rFonts w:ascii="宋体" w:hAnsi="宋体" w:cs="宋体"/>
          <w:b/>
          <w:bCs/>
          <w:color w:val="auto"/>
          <w:sz w:val="72"/>
          <w:szCs w:val="72"/>
          <w:highlight w:val="none"/>
          <w:lang w:val="zh-CN"/>
        </w:rPr>
      </w:pPr>
    </w:p>
    <w:p w14:paraId="7D86A841">
      <w:pPr>
        <w:autoSpaceDE w:val="0"/>
        <w:autoSpaceDN w:val="0"/>
        <w:adjustRightInd w:val="0"/>
        <w:spacing w:line="360" w:lineRule="auto"/>
        <w:ind w:firstLine="1440"/>
        <w:jc w:val="center"/>
        <w:rPr>
          <w:rFonts w:ascii="宋体" w:hAnsi="宋体" w:cs="宋体"/>
          <w:b/>
          <w:bCs/>
          <w:color w:val="auto"/>
          <w:sz w:val="72"/>
          <w:szCs w:val="72"/>
          <w:highlight w:val="none"/>
          <w:lang w:val="zh-CN"/>
        </w:rPr>
      </w:pPr>
    </w:p>
    <w:p w14:paraId="3D06B06C">
      <w:pPr>
        <w:pStyle w:val="27"/>
        <w:widowControl/>
        <w:spacing w:before="75" w:beforeAutospacing="0" w:after="75" w:afterAutospacing="0"/>
        <w:ind w:firstLine="1440"/>
        <w:jc w:val="center"/>
        <w:rPr>
          <w:rStyle w:val="33"/>
          <w:rFonts w:ascii="宋体" w:hAnsi="宋体" w:cs="宋体"/>
          <w:color w:val="auto"/>
          <w:sz w:val="72"/>
          <w:szCs w:val="72"/>
          <w:highlight w:val="none"/>
          <w:lang w:val="zh-CN"/>
        </w:rPr>
      </w:pPr>
      <w:r>
        <w:rPr>
          <w:rStyle w:val="33"/>
          <w:rFonts w:hint="eastAsia" w:ascii="宋体" w:hAnsi="宋体" w:cs="宋体"/>
          <w:color w:val="auto"/>
          <w:sz w:val="72"/>
          <w:szCs w:val="72"/>
          <w:highlight w:val="none"/>
          <w:lang w:val="zh-CN"/>
        </w:rPr>
        <w:t>苏州市</w:t>
      </w:r>
      <w:r>
        <w:rPr>
          <w:rStyle w:val="33"/>
          <w:rFonts w:hint="eastAsia" w:ascii="宋体" w:hAnsi="宋体" w:cs="宋体"/>
          <w:color w:val="auto"/>
          <w:sz w:val="72"/>
          <w:szCs w:val="72"/>
          <w:highlight w:val="none"/>
        </w:rPr>
        <w:t>吴江区</w:t>
      </w:r>
      <w:r>
        <w:rPr>
          <w:rStyle w:val="33"/>
          <w:rFonts w:hint="eastAsia" w:ascii="宋体" w:hAnsi="宋体" w:cs="宋体"/>
          <w:color w:val="auto"/>
          <w:sz w:val="72"/>
          <w:szCs w:val="72"/>
          <w:highlight w:val="none"/>
          <w:lang w:val="zh-CN"/>
        </w:rPr>
        <w:t>政府采购</w:t>
      </w:r>
    </w:p>
    <w:p w14:paraId="5C7874C2">
      <w:pPr>
        <w:pStyle w:val="27"/>
        <w:widowControl/>
        <w:spacing w:before="75" w:beforeAutospacing="0" w:after="75" w:afterAutospacing="0"/>
        <w:ind w:firstLine="1440"/>
        <w:jc w:val="center"/>
        <w:rPr>
          <w:rStyle w:val="33"/>
          <w:rFonts w:ascii="宋体" w:hAnsi="宋体" w:cs="宋体"/>
          <w:color w:val="auto"/>
          <w:sz w:val="72"/>
          <w:szCs w:val="72"/>
          <w:highlight w:val="none"/>
          <w:lang w:val="zh-CN"/>
        </w:rPr>
      </w:pPr>
      <w:r>
        <w:rPr>
          <w:rStyle w:val="33"/>
          <w:rFonts w:hint="eastAsia" w:ascii="宋体" w:hAnsi="宋体" w:cs="宋体"/>
          <w:color w:val="auto"/>
          <w:sz w:val="72"/>
          <w:szCs w:val="72"/>
          <w:highlight w:val="none"/>
          <w:lang w:val="zh-CN"/>
        </w:rPr>
        <w:t>货物类公开招标项目</w:t>
      </w:r>
    </w:p>
    <w:p w14:paraId="50EF4654">
      <w:pPr>
        <w:pStyle w:val="27"/>
        <w:widowControl/>
        <w:spacing w:before="75" w:beforeAutospacing="0" w:after="75" w:afterAutospacing="0"/>
        <w:ind w:firstLine="1440"/>
        <w:jc w:val="center"/>
        <w:rPr>
          <w:rStyle w:val="33"/>
          <w:rFonts w:ascii="宋体" w:hAnsi="宋体" w:cs="宋体"/>
          <w:color w:val="auto"/>
          <w:sz w:val="72"/>
          <w:szCs w:val="72"/>
          <w:highlight w:val="none"/>
          <w:lang w:val="zh-CN"/>
        </w:rPr>
      </w:pPr>
      <w:r>
        <w:rPr>
          <w:rStyle w:val="33"/>
          <w:rFonts w:hint="eastAsia" w:ascii="宋体" w:hAnsi="宋体" w:cs="宋体"/>
          <w:color w:val="auto"/>
          <w:sz w:val="72"/>
          <w:szCs w:val="72"/>
          <w:highlight w:val="none"/>
          <w:lang w:val="zh-CN"/>
        </w:rPr>
        <w:t>招标文件</w:t>
      </w:r>
    </w:p>
    <w:p w14:paraId="1704F6BA">
      <w:pPr>
        <w:pStyle w:val="27"/>
        <w:widowControl/>
        <w:spacing w:beforeAutospacing="0" w:afterAutospacing="0" w:line="360" w:lineRule="auto"/>
        <w:ind w:left="2766" w:leftChars="600" w:hanging="1506" w:hangingChars="500"/>
        <w:rPr>
          <w:rStyle w:val="33"/>
          <w:rFonts w:ascii="宋体" w:hAnsi="宋体" w:cs="宋体"/>
          <w:color w:val="auto"/>
          <w:sz w:val="30"/>
          <w:szCs w:val="30"/>
          <w:highlight w:val="none"/>
        </w:rPr>
      </w:pPr>
    </w:p>
    <w:p w14:paraId="4F438E75">
      <w:pPr>
        <w:pStyle w:val="27"/>
        <w:widowControl/>
        <w:spacing w:beforeAutospacing="0" w:afterAutospacing="0" w:line="360" w:lineRule="auto"/>
        <w:ind w:left="2766" w:leftChars="600" w:hanging="1506" w:hangingChars="500"/>
        <w:rPr>
          <w:rStyle w:val="33"/>
          <w:rFonts w:ascii="宋体" w:hAnsi="宋体" w:cs="宋体"/>
          <w:color w:val="auto"/>
          <w:sz w:val="30"/>
          <w:szCs w:val="30"/>
          <w:highlight w:val="none"/>
        </w:rPr>
      </w:pPr>
    </w:p>
    <w:p w14:paraId="41FAE836">
      <w:pPr>
        <w:pStyle w:val="27"/>
        <w:widowControl/>
        <w:spacing w:beforeAutospacing="0" w:afterAutospacing="0" w:line="360" w:lineRule="auto"/>
        <w:ind w:left="2766" w:leftChars="600" w:hanging="1506" w:hangingChars="500"/>
        <w:rPr>
          <w:rStyle w:val="33"/>
          <w:rFonts w:ascii="宋体" w:hAnsi="宋体" w:cs="宋体"/>
          <w:color w:val="auto"/>
          <w:sz w:val="30"/>
          <w:szCs w:val="30"/>
          <w:highlight w:val="none"/>
        </w:rPr>
      </w:pPr>
    </w:p>
    <w:p w14:paraId="583761D7">
      <w:pPr>
        <w:pStyle w:val="27"/>
        <w:widowControl/>
        <w:spacing w:beforeAutospacing="0" w:afterAutospacing="0" w:line="360" w:lineRule="auto"/>
        <w:ind w:left="2766" w:leftChars="600" w:hanging="1506" w:hangingChars="500"/>
        <w:rPr>
          <w:rStyle w:val="33"/>
          <w:rFonts w:ascii="宋体" w:hAnsi="宋体" w:cs="宋体"/>
          <w:color w:val="auto"/>
          <w:sz w:val="30"/>
          <w:szCs w:val="30"/>
          <w:highlight w:val="none"/>
        </w:rPr>
      </w:pPr>
      <w:r>
        <w:rPr>
          <w:rStyle w:val="33"/>
          <w:rFonts w:hint="eastAsia" w:ascii="宋体" w:hAnsi="宋体" w:cs="宋体"/>
          <w:color w:val="auto"/>
          <w:sz w:val="30"/>
          <w:szCs w:val="30"/>
          <w:highlight w:val="none"/>
        </w:rPr>
        <w:t>采购编号：</w:t>
      </w:r>
      <w:r>
        <w:rPr>
          <w:rFonts w:hint="eastAsia" w:ascii="宋体" w:hAnsi="宋体" w:cs="宋体"/>
          <w:color w:val="auto"/>
          <w:sz w:val="30"/>
          <w:szCs w:val="30"/>
          <w:highlight w:val="none"/>
          <w:lang w:val="zh-CN"/>
        </w:rPr>
        <w:t>JSZC-320509-ZHHD-G2026-0003</w:t>
      </w:r>
    </w:p>
    <w:p w14:paraId="2FFB5118">
      <w:pPr>
        <w:pStyle w:val="27"/>
        <w:widowControl/>
        <w:spacing w:beforeAutospacing="0" w:afterAutospacing="0" w:line="360" w:lineRule="auto"/>
        <w:ind w:left="2766" w:leftChars="600" w:hanging="1506" w:hangingChars="500"/>
        <w:rPr>
          <w:rStyle w:val="33"/>
          <w:rFonts w:ascii="宋体" w:hAnsi="宋体" w:cs="宋体"/>
          <w:color w:val="auto"/>
          <w:sz w:val="30"/>
          <w:szCs w:val="30"/>
          <w:highlight w:val="none"/>
        </w:rPr>
      </w:pPr>
      <w:r>
        <w:rPr>
          <w:rStyle w:val="33"/>
          <w:rFonts w:hint="eastAsia" w:ascii="宋体" w:hAnsi="宋体" w:cs="宋体"/>
          <w:color w:val="auto"/>
          <w:sz w:val="30"/>
          <w:szCs w:val="30"/>
          <w:highlight w:val="none"/>
        </w:rPr>
        <w:t>项目名称：</w:t>
      </w:r>
      <w:r>
        <w:rPr>
          <w:rFonts w:hint="eastAsia" w:ascii="宋体" w:hAnsi="宋体" w:cs="宋体"/>
          <w:color w:val="auto"/>
          <w:sz w:val="30"/>
          <w:szCs w:val="30"/>
          <w:highlight w:val="none"/>
          <w:lang w:val="zh-CN"/>
        </w:rPr>
        <w:t>消防器材采购</w:t>
      </w:r>
    </w:p>
    <w:p w14:paraId="08A5F2B6">
      <w:pPr>
        <w:pStyle w:val="27"/>
        <w:widowControl/>
        <w:spacing w:beforeAutospacing="0" w:afterAutospacing="0" w:line="360" w:lineRule="auto"/>
        <w:ind w:left="2766" w:leftChars="600" w:hanging="1506" w:hangingChars="500"/>
        <w:rPr>
          <w:rFonts w:ascii="宋体" w:hAnsi="宋体" w:cs="宋体"/>
          <w:color w:val="auto"/>
          <w:highlight w:val="none"/>
        </w:rPr>
      </w:pPr>
      <w:r>
        <w:rPr>
          <w:rStyle w:val="33"/>
          <w:rFonts w:hint="eastAsia" w:ascii="宋体" w:hAnsi="宋体" w:cs="宋体"/>
          <w:color w:val="auto"/>
          <w:sz w:val="30"/>
          <w:szCs w:val="30"/>
          <w:highlight w:val="none"/>
        </w:rPr>
        <w:t>采 购 人：</w:t>
      </w:r>
      <w:r>
        <w:rPr>
          <w:rFonts w:hint="eastAsia" w:ascii="宋体" w:hAnsi="宋体" w:cs="宋体"/>
          <w:color w:val="auto"/>
          <w:sz w:val="30"/>
          <w:szCs w:val="30"/>
          <w:highlight w:val="none"/>
          <w:lang w:val="zh-CN"/>
        </w:rPr>
        <w:t>江苏省汾湖高新技术产业开发区管理委员会</w:t>
      </w:r>
    </w:p>
    <w:p w14:paraId="6CC95B7D">
      <w:pPr>
        <w:pStyle w:val="27"/>
        <w:widowControl/>
        <w:spacing w:beforeAutospacing="0" w:afterAutospacing="0" w:line="360" w:lineRule="auto"/>
        <w:ind w:left="2766" w:leftChars="600" w:hanging="1506" w:hangingChars="500"/>
        <w:rPr>
          <w:rFonts w:ascii="宋体" w:hAnsi="宋体" w:cs="宋体"/>
          <w:color w:val="auto"/>
          <w:highlight w:val="none"/>
        </w:rPr>
      </w:pPr>
      <w:r>
        <w:rPr>
          <w:rStyle w:val="33"/>
          <w:rFonts w:hint="eastAsia" w:ascii="宋体" w:hAnsi="宋体" w:cs="宋体"/>
          <w:color w:val="auto"/>
          <w:sz w:val="30"/>
          <w:szCs w:val="30"/>
          <w:highlight w:val="none"/>
        </w:rPr>
        <w:t>采购类别：</w:t>
      </w:r>
      <w:r>
        <w:rPr>
          <w:rFonts w:hint="eastAsia" w:ascii="宋体" w:hAnsi="宋体" w:cs="宋体"/>
          <w:color w:val="auto"/>
          <w:sz w:val="30"/>
          <w:szCs w:val="30"/>
          <w:highlight w:val="none"/>
        </w:rPr>
        <w:t>货物</w:t>
      </w:r>
      <w:r>
        <w:rPr>
          <w:rFonts w:hint="eastAsia" w:ascii="宋体" w:hAnsi="宋体" w:cs="宋体"/>
          <w:color w:val="auto"/>
          <w:sz w:val="30"/>
          <w:szCs w:val="30"/>
          <w:highlight w:val="none"/>
          <w:lang w:val="zh-CN"/>
        </w:rPr>
        <w:t>类</w:t>
      </w:r>
    </w:p>
    <w:p w14:paraId="3EACCD91">
      <w:pPr>
        <w:pStyle w:val="27"/>
        <w:widowControl/>
        <w:spacing w:beforeAutospacing="0" w:afterAutospacing="0" w:line="360" w:lineRule="auto"/>
        <w:ind w:firstLine="482"/>
        <w:jc w:val="center"/>
        <w:rPr>
          <w:rFonts w:ascii="宋体" w:hAnsi="宋体" w:cs="宋体"/>
          <w:color w:val="auto"/>
          <w:highlight w:val="none"/>
        </w:rPr>
      </w:pPr>
      <w:r>
        <w:rPr>
          <w:rFonts w:hint="eastAsia" w:ascii="宋体" w:hAnsi="宋体" w:cs="宋体"/>
          <w:color w:val="auto"/>
          <w:highlight w:val="none"/>
        </w:rPr>
        <w:t> </w:t>
      </w:r>
    </w:p>
    <w:p w14:paraId="39D91468">
      <w:pPr>
        <w:pStyle w:val="27"/>
        <w:widowControl/>
        <w:spacing w:beforeAutospacing="0" w:afterAutospacing="0" w:line="360" w:lineRule="auto"/>
        <w:ind w:firstLine="482"/>
        <w:jc w:val="center"/>
        <w:rPr>
          <w:rFonts w:ascii="宋体" w:hAnsi="宋体" w:cs="宋体"/>
          <w:color w:val="auto"/>
          <w:highlight w:val="none"/>
        </w:rPr>
      </w:pPr>
    </w:p>
    <w:p w14:paraId="76418573">
      <w:pPr>
        <w:pStyle w:val="27"/>
        <w:widowControl/>
        <w:spacing w:beforeAutospacing="0" w:afterAutospacing="0" w:line="360" w:lineRule="auto"/>
        <w:ind w:firstLine="482"/>
        <w:jc w:val="center"/>
        <w:rPr>
          <w:rFonts w:ascii="宋体" w:hAnsi="宋体" w:cs="宋体"/>
          <w:color w:val="auto"/>
          <w:highlight w:val="none"/>
        </w:rPr>
      </w:pPr>
    </w:p>
    <w:p w14:paraId="1A6CD997">
      <w:pPr>
        <w:pStyle w:val="27"/>
        <w:widowControl/>
        <w:spacing w:beforeAutospacing="0" w:afterAutospacing="0" w:line="360" w:lineRule="auto"/>
        <w:ind w:firstLine="482"/>
        <w:jc w:val="center"/>
        <w:rPr>
          <w:rFonts w:ascii="宋体" w:hAnsi="宋体" w:cs="宋体"/>
          <w:color w:val="auto"/>
          <w:highlight w:val="none"/>
        </w:rPr>
      </w:pPr>
    </w:p>
    <w:p w14:paraId="5A890E8E">
      <w:pPr>
        <w:pStyle w:val="27"/>
        <w:widowControl/>
        <w:spacing w:beforeAutospacing="0" w:afterAutospacing="0" w:line="360" w:lineRule="auto"/>
        <w:ind w:firstLine="602"/>
        <w:jc w:val="center"/>
        <w:rPr>
          <w:rStyle w:val="33"/>
          <w:rFonts w:ascii="宋体" w:hAnsi="宋体" w:cs="宋体"/>
          <w:color w:val="auto"/>
          <w:sz w:val="28"/>
          <w:szCs w:val="28"/>
          <w:highlight w:val="none"/>
        </w:rPr>
      </w:pPr>
      <w:r>
        <w:rPr>
          <w:rFonts w:hint="eastAsia" w:ascii="宋体" w:hAnsi="宋体" w:cs="宋体"/>
          <w:color w:val="auto"/>
          <w:sz w:val="30"/>
          <w:szCs w:val="30"/>
          <w:highlight w:val="none"/>
          <w:lang w:val="zh-CN"/>
        </w:rPr>
        <w:t>苏州中合惠德项目管理有限公司</w:t>
      </w:r>
    </w:p>
    <w:p w14:paraId="502F9BC4">
      <w:pPr>
        <w:autoSpaceDE w:val="0"/>
        <w:autoSpaceDN w:val="0"/>
        <w:adjustRightInd w:val="0"/>
        <w:spacing w:line="360" w:lineRule="auto"/>
        <w:ind w:firstLine="602"/>
        <w:jc w:val="center"/>
        <w:rPr>
          <w:rFonts w:ascii="宋体" w:hAnsi="宋体" w:cs="宋体"/>
          <w:color w:val="auto"/>
          <w:sz w:val="30"/>
          <w:szCs w:val="30"/>
          <w:highlight w:val="none"/>
        </w:rPr>
        <w:sectPr>
          <w:headerReference r:id="rId3" w:type="default"/>
          <w:footerReference r:id="rId4" w:type="default"/>
          <w:pgSz w:w="11906" w:h="16838"/>
          <w:pgMar w:top="1440" w:right="1417" w:bottom="1440" w:left="1417" w:header="964" w:footer="1077" w:gutter="0"/>
          <w:cols w:space="720" w:num="1"/>
          <w:docGrid w:type="lines" w:linePitch="312" w:charSpace="0"/>
        </w:sectPr>
      </w:pPr>
      <w:bookmarkStart w:id="1" w:name="XTSCRQ_1"/>
      <w:r>
        <w:rPr>
          <w:rFonts w:hint="eastAsia" w:ascii="宋体" w:hAnsi="宋体" w:cs="宋体"/>
          <w:color w:val="auto"/>
          <w:sz w:val="30"/>
          <w:szCs w:val="30"/>
          <w:highlight w:val="none"/>
        </w:rPr>
        <w:t>二○二</w:t>
      </w:r>
      <w:r>
        <w:rPr>
          <w:rFonts w:hint="eastAsia" w:ascii="宋体" w:hAnsi="宋体" w:cs="宋体"/>
          <w:color w:val="auto"/>
          <w:sz w:val="30"/>
          <w:szCs w:val="30"/>
          <w:highlight w:val="none"/>
          <w:lang w:val="en-US" w:eastAsia="zh-CN"/>
        </w:rPr>
        <w:t>六</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六</w:t>
      </w:r>
      <w:r>
        <w:rPr>
          <w:rFonts w:hint="eastAsia" w:ascii="宋体" w:hAnsi="宋体" w:cs="宋体"/>
          <w:color w:val="auto"/>
          <w:sz w:val="30"/>
          <w:szCs w:val="30"/>
          <w:highlight w:val="none"/>
        </w:rPr>
        <w:t>月</w:t>
      </w:r>
      <w:bookmarkEnd w:id="1"/>
    </w:p>
    <w:p w14:paraId="348A1804">
      <w:pPr>
        <w:pStyle w:val="22"/>
        <w:pageBreakBefore/>
        <w:tabs>
          <w:tab w:val="right" w:leader="dot" w:pos="8302"/>
        </w:tabs>
        <w:spacing w:line="360" w:lineRule="auto"/>
        <w:ind w:firstLine="640"/>
        <w:jc w:val="center"/>
        <w:rPr>
          <w:rStyle w:val="33"/>
          <w:rFonts w:ascii="宋体" w:hAnsi="宋体" w:cs="宋体"/>
          <w:bCs/>
          <w:color w:val="auto"/>
          <w:sz w:val="32"/>
          <w:szCs w:val="32"/>
          <w:highlight w:val="none"/>
        </w:rPr>
      </w:pPr>
      <w:r>
        <w:rPr>
          <w:rStyle w:val="33"/>
          <w:rFonts w:hint="eastAsia" w:ascii="宋体" w:hAnsi="宋体" w:cs="宋体"/>
          <w:bCs/>
          <w:color w:val="auto"/>
          <w:sz w:val="32"/>
          <w:szCs w:val="32"/>
          <w:highlight w:val="none"/>
        </w:rPr>
        <w:t>前附表</w:t>
      </w:r>
      <w:bookmarkEnd w:id="0"/>
    </w:p>
    <w:p w14:paraId="56C521CB">
      <w:pPr>
        <w:overflowPunct w:val="0"/>
        <w:adjustRightInd w:val="0"/>
        <w:snapToGrid w:val="0"/>
        <w:spacing w:line="360" w:lineRule="auto"/>
        <w:ind w:firstLine="420" w:firstLineChars="200"/>
        <w:rPr>
          <w:rFonts w:ascii="宋体" w:hAnsi="宋体" w:cs="宋体"/>
          <w:b/>
          <w:color w:val="auto"/>
          <w:sz w:val="44"/>
          <w:highlight w:val="none"/>
        </w:rPr>
      </w:pPr>
      <w:r>
        <w:rPr>
          <w:rFonts w:hint="eastAsia" w:ascii="宋体" w:hAnsi="宋体" w:cs="宋体"/>
          <w:color w:val="auto"/>
          <w:szCs w:val="21"/>
          <w:highlight w:val="none"/>
        </w:rPr>
        <w:t>尊敬的投标单位：欢迎参加本项目的投标。为了保证投标顺利进行，请在制作投标文件之前，仔细阅读本招标文件的各项条款，并严格按要求制作和递交投标文件。谢谢合作！</w:t>
      </w:r>
    </w:p>
    <w:tbl>
      <w:tblPr>
        <w:tblStyle w:val="30"/>
        <w:tblW w:w="5000" w:type="pct"/>
        <w:jc w:val="center"/>
        <w:tblLayout w:type="fixed"/>
        <w:tblCellMar>
          <w:top w:w="0" w:type="dxa"/>
          <w:left w:w="108" w:type="dxa"/>
          <w:bottom w:w="0" w:type="dxa"/>
          <w:right w:w="108" w:type="dxa"/>
        </w:tblCellMar>
      </w:tblPr>
      <w:tblGrid>
        <w:gridCol w:w="652"/>
        <w:gridCol w:w="1533"/>
        <w:gridCol w:w="7103"/>
      </w:tblGrid>
      <w:tr w14:paraId="27440B9E">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19673967">
            <w:pPr>
              <w:autoSpaceDE w:val="0"/>
              <w:autoSpaceDN w:val="0"/>
              <w:adjustRightIn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项号</w:t>
            </w:r>
          </w:p>
        </w:tc>
        <w:tc>
          <w:tcPr>
            <w:tcW w:w="1533" w:type="dxa"/>
            <w:tcBorders>
              <w:top w:val="single" w:color="auto" w:sz="6" w:space="0"/>
              <w:left w:val="single" w:color="auto" w:sz="6" w:space="0"/>
              <w:bottom w:val="single" w:color="auto" w:sz="6" w:space="0"/>
              <w:right w:val="single" w:color="auto" w:sz="6" w:space="0"/>
            </w:tcBorders>
            <w:vAlign w:val="center"/>
          </w:tcPr>
          <w:p w14:paraId="65EF580D">
            <w:pPr>
              <w:autoSpaceDE w:val="0"/>
              <w:autoSpaceDN w:val="0"/>
              <w:adjustRightIn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名称</w:t>
            </w:r>
          </w:p>
        </w:tc>
        <w:tc>
          <w:tcPr>
            <w:tcW w:w="7103" w:type="dxa"/>
            <w:tcBorders>
              <w:top w:val="single" w:color="auto" w:sz="6" w:space="0"/>
              <w:left w:val="single" w:color="auto" w:sz="6" w:space="0"/>
              <w:bottom w:val="single" w:color="auto" w:sz="6" w:space="0"/>
              <w:right w:val="single" w:color="auto" w:sz="6" w:space="0"/>
            </w:tcBorders>
            <w:vAlign w:val="center"/>
          </w:tcPr>
          <w:p w14:paraId="3F11A9E3">
            <w:pPr>
              <w:autoSpaceDE w:val="0"/>
              <w:autoSpaceDN w:val="0"/>
              <w:adjustRightIn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内      容</w:t>
            </w:r>
          </w:p>
        </w:tc>
      </w:tr>
      <w:tr w14:paraId="44BEBB47">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59F905F7">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1</w:t>
            </w:r>
          </w:p>
        </w:tc>
        <w:tc>
          <w:tcPr>
            <w:tcW w:w="1533" w:type="dxa"/>
            <w:tcBorders>
              <w:top w:val="single" w:color="auto" w:sz="6" w:space="0"/>
              <w:left w:val="single" w:color="auto" w:sz="6" w:space="0"/>
              <w:bottom w:val="single" w:color="auto" w:sz="6" w:space="0"/>
              <w:right w:val="single" w:color="auto" w:sz="6" w:space="0"/>
            </w:tcBorders>
            <w:vAlign w:val="center"/>
          </w:tcPr>
          <w:p w14:paraId="7017EECB">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招标编号</w:t>
            </w:r>
          </w:p>
        </w:tc>
        <w:tc>
          <w:tcPr>
            <w:tcW w:w="7103" w:type="dxa"/>
            <w:tcBorders>
              <w:top w:val="single" w:color="auto" w:sz="6" w:space="0"/>
              <w:left w:val="single" w:color="auto" w:sz="6" w:space="0"/>
              <w:bottom w:val="single" w:color="auto" w:sz="6" w:space="0"/>
              <w:right w:val="single" w:color="auto" w:sz="6" w:space="0"/>
            </w:tcBorders>
            <w:vAlign w:val="center"/>
          </w:tcPr>
          <w:p w14:paraId="54F93653">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JSZC-320509-ZHHD-G2026-0003号</w:t>
            </w:r>
          </w:p>
        </w:tc>
      </w:tr>
      <w:tr w14:paraId="6B0EEDB0">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357DFA2A">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2</w:t>
            </w:r>
          </w:p>
        </w:tc>
        <w:tc>
          <w:tcPr>
            <w:tcW w:w="1533" w:type="dxa"/>
            <w:tcBorders>
              <w:top w:val="single" w:color="auto" w:sz="6" w:space="0"/>
              <w:left w:val="single" w:color="auto" w:sz="6" w:space="0"/>
              <w:bottom w:val="single" w:color="auto" w:sz="6" w:space="0"/>
              <w:right w:val="single" w:color="auto" w:sz="6" w:space="0"/>
            </w:tcBorders>
            <w:vAlign w:val="center"/>
          </w:tcPr>
          <w:p w14:paraId="259E793D">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招标内容</w:t>
            </w:r>
          </w:p>
        </w:tc>
        <w:tc>
          <w:tcPr>
            <w:tcW w:w="7103" w:type="dxa"/>
            <w:tcBorders>
              <w:top w:val="single" w:color="auto" w:sz="6" w:space="0"/>
              <w:left w:val="single" w:color="auto" w:sz="6" w:space="0"/>
              <w:bottom w:val="single" w:color="auto" w:sz="6" w:space="0"/>
              <w:right w:val="single" w:color="auto" w:sz="6" w:space="0"/>
            </w:tcBorders>
            <w:vAlign w:val="center"/>
          </w:tcPr>
          <w:p w14:paraId="5A7F8697">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szCs w:val="21"/>
                <w:highlight w:val="none"/>
                <w:lang w:val="zh-CN"/>
              </w:rPr>
              <w:t>消防器材采购</w:t>
            </w:r>
          </w:p>
        </w:tc>
      </w:tr>
      <w:tr w14:paraId="41489804">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1779F5B">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3</w:t>
            </w:r>
          </w:p>
        </w:tc>
        <w:tc>
          <w:tcPr>
            <w:tcW w:w="1533" w:type="dxa"/>
            <w:tcBorders>
              <w:top w:val="single" w:color="auto" w:sz="6" w:space="0"/>
              <w:left w:val="single" w:color="auto" w:sz="6" w:space="0"/>
              <w:bottom w:val="single" w:color="auto" w:sz="6" w:space="0"/>
              <w:right w:val="single" w:color="auto" w:sz="6" w:space="0"/>
            </w:tcBorders>
            <w:vAlign w:val="center"/>
          </w:tcPr>
          <w:p w14:paraId="0ACFC2AB">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投标有效期</w:t>
            </w:r>
          </w:p>
        </w:tc>
        <w:tc>
          <w:tcPr>
            <w:tcW w:w="7103" w:type="dxa"/>
            <w:tcBorders>
              <w:top w:val="single" w:color="auto" w:sz="6" w:space="0"/>
              <w:left w:val="single" w:color="auto" w:sz="6" w:space="0"/>
              <w:bottom w:val="single" w:color="auto" w:sz="6" w:space="0"/>
              <w:right w:val="single" w:color="auto" w:sz="6" w:space="0"/>
            </w:tcBorders>
            <w:vAlign w:val="center"/>
          </w:tcPr>
          <w:p w14:paraId="4B5CCB4D">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highlight w:val="none"/>
              </w:rPr>
              <w:t>六十天（日历日）</w:t>
            </w:r>
          </w:p>
        </w:tc>
      </w:tr>
      <w:tr w14:paraId="5307B433">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5EBC390A">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4</w:t>
            </w:r>
          </w:p>
        </w:tc>
        <w:tc>
          <w:tcPr>
            <w:tcW w:w="1533" w:type="dxa"/>
            <w:tcBorders>
              <w:top w:val="single" w:color="auto" w:sz="6" w:space="0"/>
              <w:left w:val="single" w:color="auto" w:sz="6" w:space="0"/>
              <w:bottom w:val="single" w:color="auto" w:sz="6" w:space="0"/>
              <w:right w:val="single" w:color="auto" w:sz="6" w:space="0"/>
            </w:tcBorders>
            <w:vAlign w:val="center"/>
          </w:tcPr>
          <w:p w14:paraId="50868F19">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投标保证金</w:t>
            </w:r>
          </w:p>
        </w:tc>
        <w:tc>
          <w:tcPr>
            <w:tcW w:w="7103" w:type="dxa"/>
            <w:tcBorders>
              <w:top w:val="single" w:color="auto" w:sz="6" w:space="0"/>
              <w:left w:val="single" w:color="auto" w:sz="6" w:space="0"/>
              <w:bottom w:val="single" w:color="auto" w:sz="6" w:space="0"/>
              <w:right w:val="single" w:color="auto" w:sz="6" w:space="0"/>
            </w:tcBorders>
            <w:vAlign w:val="center"/>
          </w:tcPr>
          <w:p w14:paraId="7F58E7D3">
            <w:pPr>
              <w:pStyle w:val="17"/>
              <w:spacing w:line="360" w:lineRule="auto"/>
              <w:rPr>
                <w:rStyle w:val="77"/>
                <w:rFonts w:ascii="宋体" w:hAnsi="宋体" w:cs="宋体"/>
                <w:bCs w:val="0"/>
                <w:color w:val="auto"/>
                <w:spacing w:val="0"/>
                <w:kern w:val="2"/>
                <w:sz w:val="21"/>
                <w:szCs w:val="21"/>
                <w:highlight w:val="none"/>
              </w:rPr>
            </w:pPr>
            <w:r>
              <w:rPr>
                <w:rStyle w:val="77"/>
                <w:rFonts w:hint="eastAsia" w:ascii="宋体" w:hAnsi="宋体" w:cs="宋体"/>
                <w:bCs w:val="0"/>
                <w:color w:val="auto"/>
                <w:spacing w:val="0"/>
                <w:kern w:val="2"/>
                <w:sz w:val="21"/>
                <w:szCs w:val="21"/>
                <w:highlight w:val="none"/>
              </w:rPr>
              <w:sym w:font="Wingdings" w:char="F0FE"/>
            </w:r>
            <w:r>
              <w:rPr>
                <w:rStyle w:val="77"/>
                <w:rFonts w:hint="eastAsia" w:ascii="宋体" w:hAnsi="宋体" w:cs="宋体"/>
                <w:bCs w:val="0"/>
                <w:color w:val="auto"/>
                <w:spacing w:val="0"/>
                <w:kern w:val="2"/>
                <w:sz w:val="21"/>
                <w:szCs w:val="21"/>
                <w:highlight w:val="none"/>
              </w:rPr>
              <w:t>不需提交，招标文件中有关投标保证金的规定均不适用。</w:t>
            </w:r>
          </w:p>
          <w:p w14:paraId="772F3213">
            <w:pPr>
              <w:pStyle w:val="17"/>
              <w:spacing w:line="360" w:lineRule="auto"/>
              <w:rPr>
                <w:rFonts w:ascii="宋体" w:hAnsi="宋体" w:cs="宋体"/>
                <w:color w:val="auto"/>
                <w:sz w:val="18"/>
                <w:szCs w:val="18"/>
                <w:highlight w:val="none"/>
              </w:rPr>
            </w:pPr>
            <w:r>
              <w:rPr>
                <w:rStyle w:val="77"/>
                <w:rFonts w:hint="eastAsia" w:ascii="宋体" w:hAnsi="宋体" w:cs="宋体"/>
                <w:bCs w:val="0"/>
                <w:color w:val="auto"/>
                <w:spacing w:val="0"/>
                <w:kern w:val="2"/>
                <w:sz w:val="21"/>
                <w:szCs w:val="21"/>
                <w:highlight w:val="none"/>
              </w:rPr>
              <w:t>投标（响应）人应在投标（响应）文件中提交《投标（响应）保证承诺书》（详见附件），否则为无效投标。</w:t>
            </w:r>
          </w:p>
        </w:tc>
      </w:tr>
      <w:tr w14:paraId="1E497F00">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2EA932C0">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5</w:t>
            </w:r>
          </w:p>
        </w:tc>
        <w:tc>
          <w:tcPr>
            <w:tcW w:w="1533" w:type="dxa"/>
            <w:tcBorders>
              <w:top w:val="single" w:color="auto" w:sz="6" w:space="0"/>
              <w:left w:val="single" w:color="auto" w:sz="6" w:space="0"/>
              <w:bottom w:val="single" w:color="auto" w:sz="6" w:space="0"/>
              <w:right w:val="single" w:color="auto" w:sz="6" w:space="0"/>
            </w:tcBorders>
            <w:vAlign w:val="center"/>
          </w:tcPr>
          <w:p w14:paraId="65893EF5">
            <w:pPr>
              <w:pStyle w:val="13"/>
              <w:spacing w:after="0" w:line="360" w:lineRule="auto"/>
              <w:jc w:val="center"/>
              <w:rPr>
                <w:rFonts w:ascii="宋体" w:hAnsi="宋体" w:cs="宋体"/>
                <w:color w:val="auto"/>
                <w:kern w:val="2"/>
                <w:sz w:val="21"/>
                <w:highlight w:val="none"/>
              </w:rPr>
            </w:pPr>
            <w:r>
              <w:rPr>
                <w:rFonts w:hint="eastAsia" w:ascii="宋体" w:hAnsi="宋体" w:cs="宋体"/>
                <w:color w:val="auto"/>
                <w:kern w:val="2"/>
                <w:sz w:val="21"/>
                <w:highlight w:val="none"/>
              </w:rPr>
              <w:t>招标代理机构</w:t>
            </w:r>
          </w:p>
        </w:tc>
        <w:tc>
          <w:tcPr>
            <w:tcW w:w="7103" w:type="dxa"/>
            <w:tcBorders>
              <w:top w:val="single" w:color="auto" w:sz="6" w:space="0"/>
              <w:left w:val="single" w:color="auto" w:sz="6" w:space="0"/>
              <w:bottom w:val="single" w:color="auto" w:sz="6" w:space="0"/>
              <w:right w:val="single" w:color="auto" w:sz="6" w:space="0"/>
            </w:tcBorders>
            <w:vAlign w:val="center"/>
          </w:tcPr>
          <w:p w14:paraId="2E0BDB1C">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苏州中合惠德项目管理有限公司</w:t>
            </w:r>
          </w:p>
          <w:p w14:paraId="75604B4E">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 xml:space="preserve">地  址：苏州市高新区滨河路337号F9-905-009   </w:t>
            </w:r>
          </w:p>
          <w:p w14:paraId="501AFC40">
            <w:pPr>
              <w:autoSpaceDE w:val="0"/>
              <w:autoSpaceDN w:val="0"/>
              <w:adjustRightInd w:val="0"/>
              <w:spacing w:line="360" w:lineRule="auto"/>
              <w:jc w:val="left"/>
              <w:rPr>
                <w:rFonts w:hint="eastAsia" w:ascii="宋体" w:hAnsi="宋体" w:cs="宋体"/>
                <w:color w:val="auto"/>
                <w:highlight w:val="none"/>
              </w:rPr>
            </w:pPr>
            <w:r>
              <w:rPr>
                <w:rFonts w:hint="eastAsia" w:ascii="宋体" w:hAnsi="宋体" w:cs="宋体"/>
                <w:color w:val="auto"/>
                <w:highlight w:val="none"/>
              </w:rPr>
              <w:t>联系人：李湘怡</w:t>
            </w:r>
          </w:p>
          <w:p w14:paraId="171E5220">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联系电话：15370779133</w:t>
            </w:r>
          </w:p>
        </w:tc>
      </w:tr>
      <w:tr w14:paraId="286F0CFC">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4F0A2E23">
            <w:pPr>
              <w:overflowPunct w:val="0"/>
              <w:spacing w:line="360" w:lineRule="auto"/>
              <w:jc w:val="center"/>
              <w:rPr>
                <w:rFonts w:ascii="宋体" w:hAnsi="宋体" w:cs="宋体"/>
                <w:color w:val="auto"/>
                <w:highlight w:val="none"/>
              </w:rPr>
            </w:pPr>
            <w:r>
              <w:rPr>
                <w:rFonts w:hint="eastAsia" w:ascii="宋体" w:hAnsi="宋体" w:cs="宋体"/>
                <w:color w:val="auto"/>
                <w:highlight w:val="none"/>
              </w:rPr>
              <w:t>6</w:t>
            </w:r>
          </w:p>
        </w:tc>
        <w:tc>
          <w:tcPr>
            <w:tcW w:w="1533" w:type="dxa"/>
            <w:tcBorders>
              <w:top w:val="single" w:color="auto" w:sz="6" w:space="0"/>
              <w:left w:val="single" w:color="auto" w:sz="6" w:space="0"/>
              <w:bottom w:val="single" w:color="auto" w:sz="6" w:space="0"/>
              <w:right w:val="single" w:color="auto" w:sz="6" w:space="0"/>
            </w:tcBorders>
            <w:vAlign w:val="center"/>
          </w:tcPr>
          <w:p w14:paraId="160B9F0B">
            <w:pPr>
              <w:tabs>
                <w:tab w:val="left" w:pos="3600"/>
              </w:tabs>
              <w:spacing w:line="360" w:lineRule="auto"/>
              <w:jc w:val="center"/>
              <w:rPr>
                <w:rFonts w:ascii="宋体" w:hAnsi="宋体" w:cs="宋体"/>
                <w:color w:val="auto"/>
                <w:highlight w:val="none"/>
                <w:lang w:val="zh-CN"/>
              </w:rPr>
            </w:pPr>
            <w:r>
              <w:rPr>
                <w:rFonts w:hint="eastAsia" w:ascii="宋体" w:hAnsi="宋体" w:cs="宋体"/>
                <w:color w:val="auto"/>
                <w:highlight w:val="none"/>
              </w:rPr>
              <w:t>采购单位</w:t>
            </w:r>
          </w:p>
        </w:tc>
        <w:tc>
          <w:tcPr>
            <w:tcW w:w="7103" w:type="dxa"/>
            <w:tcBorders>
              <w:top w:val="single" w:color="auto" w:sz="6" w:space="0"/>
              <w:left w:val="single" w:color="auto" w:sz="6" w:space="0"/>
              <w:bottom w:val="single" w:color="auto" w:sz="6" w:space="0"/>
              <w:right w:val="single" w:color="auto" w:sz="6" w:space="0"/>
            </w:tcBorders>
            <w:vAlign w:val="center"/>
          </w:tcPr>
          <w:p w14:paraId="7CB0243F">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lang w:eastAsia="zh-CN"/>
              </w:rPr>
              <w:t>江苏省汾湖高新技术产业开发区管理委员会</w:t>
            </w:r>
            <w:r>
              <w:rPr>
                <w:rFonts w:hint="eastAsia" w:ascii="宋体" w:hAnsi="宋体" w:cs="宋体"/>
                <w:bCs/>
                <w:color w:val="auto"/>
                <w:szCs w:val="21"/>
                <w:highlight w:val="none"/>
              </w:rPr>
              <w:t xml:space="preserve">   </w:t>
            </w:r>
          </w:p>
          <w:p w14:paraId="401CBE8C">
            <w:pPr>
              <w:adjustRightInd w:val="0"/>
              <w:snapToGrid w:val="0"/>
              <w:spacing w:line="360" w:lineRule="auto"/>
              <w:rPr>
                <w:rFonts w:hint="eastAsia" w:eastAsia="宋体"/>
                <w:color w:val="auto"/>
                <w:highlight w:val="none"/>
                <w:lang w:eastAsia="zh-CN"/>
              </w:rPr>
            </w:pPr>
            <w:r>
              <w:rPr>
                <w:rFonts w:hint="eastAsia" w:ascii="宋体" w:hAnsi="宋体" w:cs="宋体"/>
                <w:bCs/>
                <w:color w:val="auto"/>
                <w:szCs w:val="21"/>
                <w:highlight w:val="none"/>
              </w:rPr>
              <w:t>联系人</w:t>
            </w:r>
            <w:r>
              <w:rPr>
                <w:rFonts w:hint="eastAsia" w:ascii="宋体" w:hAnsi="宋体" w:cs="宋体"/>
                <w:bCs/>
                <w:color w:val="auto"/>
                <w:szCs w:val="21"/>
                <w:highlight w:val="none"/>
              </w:rPr>
              <w:t xml:space="preserve">：张翔宇          联系电话：0512-63479119 </w:t>
            </w:r>
            <w:r>
              <w:rPr>
                <w:rFonts w:hint="eastAsia" w:ascii="宋体" w:hAnsi="宋体" w:cs="宋体"/>
                <w:bCs/>
                <w:color w:val="auto"/>
                <w:szCs w:val="21"/>
                <w:highlight w:val="none"/>
                <w:lang w:val="en-US" w:eastAsia="zh-CN"/>
              </w:rPr>
              <w:t xml:space="preserve"> </w:t>
            </w:r>
          </w:p>
        </w:tc>
      </w:tr>
      <w:tr w14:paraId="09C150C6">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1C8BC16">
            <w:pPr>
              <w:overflowPunct w:val="0"/>
              <w:spacing w:line="360" w:lineRule="auto"/>
              <w:jc w:val="center"/>
              <w:rPr>
                <w:rFonts w:ascii="宋体" w:hAnsi="宋体" w:cs="宋体"/>
                <w:color w:val="auto"/>
                <w:highlight w:val="none"/>
              </w:rPr>
            </w:pPr>
            <w:r>
              <w:rPr>
                <w:rFonts w:hint="eastAsia" w:ascii="宋体" w:hAnsi="宋体" w:cs="宋体"/>
                <w:color w:val="auto"/>
                <w:highlight w:val="none"/>
              </w:rPr>
              <w:t>7</w:t>
            </w:r>
          </w:p>
        </w:tc>
        <w:tc>
          <w:tcPr>
            <w:tcW w:w="1533" w:type="dxa"/>
            <w:tcBorders>
              <w:top w:val="single" w:color="auto" w:sz="6" w:space="0"/>
              <w:left w:val="single" w:color="auto" w:sz="6" w:space="0"/>
              <w:bottom w:val="single" w:color="auto" w:sz="6" w:space="0"/>
              <w:right w:val="single" w:color="auto" w:sz="6" w:space="0"/>
            </w:tcBorders>
            <w:vAlign w:val="center"/>
          </w:tcPr>
          <w:p w14:paraId="77DAEE2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投标文件组成</w:t>
            </w:r>
          </w:p>
        </w:tc>
        <w:tc>
          <w:tcPr>
            <w:tcW w:w="7103" w:type="dxa"/>
            <w:tcBorders>
              <w:top w:val="single" w:color="auto" w:sz="6" w:space="0"/>
              <w:left w:val="single" w:color="auto" w:sz="6" w:space="0"/>
              <w:bottom w:val="single" w:color="auto" w:sz="6" w:space="0"/>
              <w:right w:val="single" w:color="auto" w:sz="6" w:space="0"/>
            </w:tcBorders>
            <w:vAlign w:val="center"/>
          </w:tcPr>
          <w:p w14:paraId="6072D4FB">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详见招标文件第二章</w:t>
            </w:r>
          </w:p>
        </w:tc>
      </w:tr>
      <w:tr w14:paraId="0E765D2F">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D66ECF8">
            <w:pPr>
              <w:overflowPunct w:val="0"/>
              <w:spacing w:line="360" w:lineRule="auto"/>
              <w:jc w:val="center"/>
              <w:rPr>
                <w:rFonts w:ascii="宋体" w:hAnsi="宋体" w:cs="宋体"/>
                <w:color w:val="auto"/>
                <w:highlight w:val="none"/>
              </w:rPr>
            </w:pPr>
            <w:r>
              <w:rPr>
                <w:rFonts w:hint="eastAsia" w:ascii="宋体" w:hAnsi="宋体" w:cs="宋体"/>
                <w:color w:val="auto"/>
                <w:highlight w:val="none"/>
              </w:rPr>
              <w:t>8</w:t>
            </w:r>
          </w:p>
        </w:tc>
        <w:tc>
          <w:tcPr>
            <w:tcW w:w="1533" w:type="dxa"/>
            <w:tcBorders>
              <w:top w:val="single" w:color="auto" w:sz="6" w:space="0"/>
              <w:left w:val="single" w:color="auto" w:sz="6" w:space="0"/>
              <w:bottom w:val="single" w:color="auto" w:sz="6" w:space="0"/>
              <w:right w:val="single" w:color="auto" w:sz="6" w:space="0"/>
            </w:tcBorders>
            <w:vAlign w:val="center"/>
          </w:tcPr>
          <w:p w14:paraId="6B88F77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获取招标文件</w:t>
            </w:r>
          </w:p>
          <w:p w14:paraId="5014550A">
            <w:pPr>
              <w:spacing w:line="440" w:lineRule="exact"/>
              <w:jc w:val="center"/>
              <w:rPr>
                <w:rFonts w:ascii="宋体" w:hAnsi="宋体" w:cs="宋体"/>
                <w:color w:val="auto"/>
                <w:highlight w:val="none"/>
              </w:rPr>
            </w:pPr>
            <w:r>
              <w:rPr>
                <w:rFonts w:hint="eastAsia" w:ascii="宋体" w:hAnsi="宋体" w:cs="宋体"/>
                <w:color w:val="auto"/>
                <w:szCs w:val="21"/>
                <w:highlight w:val="none"/>
              </w:rPr>
              <w:t>时间</w:t>
            </w:r>
          </w:p>
        </w:tc>
        <w:tc>
          <w:tcPr>
            <w:tcW w:w="7103" w:type="dxa"/>
            <w:tcBorders>
              <w:top w:val="single" w:color="auto" w:sz="6" w:space="0"/>
              <w:left w:val="single" w:color="auto" w:sz="6" w:space="0"/>
              <w:bottom w:val="single" w:color="auto" w:sz="6" w:space="0"/>
              <w:right w:val="single" w:color="auto" w:sz="6" w:space="0"/>
            </w:tcBorders>
            <w:vAlign w:val="center"/>
          </w:tcPr>
          <w:p w14:paraId="4E2BF39F">
            <w:pPr>
              <w:spacing w:line="440" w:lineRule="exact"/>
              <w:jc w:val="left"/>
              <w:rPr>
                <w:rFonts w:ascii="宋体" w:hAnsi="宋体" w:cs="宋体"/>
                <w:color w:val="auto"/>
                <w:highlight w:val="none"/>
              </w:rPr>
            </w:pPr>
            <w:r>
              <w:rPr>
                <w:rFonts w:hint="eastAsia" w:ascii="宋体" w:hAnsi="宋体" w:cs="宋体"/>
                <w:color w:val="auto"/>
                <w:szCs w:val="21"/>
                <w:highlight w:val="none"/>
              </w:rPr>
              <w:t>自公告发布之日起5个工作日</w:t>
            </w:r>
          </w:p>
        </w:tc>
      </w:tr>
      <w:tr w14:paraId="1D76472D">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31EC1F3F">
            <w:pPr>
              <w:overflowPunct w:val="0"/>
              <w:spacing w:line="360" w:lineRule="auto"/>
              <w:jc w:val="center"/>
              <w:rPr>
                <w:rFonts w:ascii="宋体" w:hAnsi="宋体" w:cs="宋体"/>
                <w:color w:val="auto"/>
                <w:highlight w:val="none"/>
              </w:rPr>
            </w:pPr>
            <w:r>
              <w:rPr>
                <w:rFonts w:hint="eastAsia" w:ascii="宋体" w:hAnsi="宋体" w:cs="宋体"/>
                <w:color w:val="auto"/>
                <w:highlight w:val="none"/>
              </w:rPr>
              <w:t>9</w:t>
            </w:r>
          </w:p>
        </w:tc>
        <w:tc>
          <w:tcPr>
            <w:tcW w:w="1533" w:type="dxa"/>
            <w:tcBorders>
              <w:top w:val="single" w:color="auto" w:sz="6" w:space="0"/>
              <w:left w:val="single" w:color="auto" w:sz="6" w:space="0"/>
              <w:bottom w:val="single" w:color="auto" w:sz="6" w:space="0"/>
              <w:right w:val="single" w:color="auto" w:sz="6" w:space="0"/>
            </w:tcBorders>
            <w:vAlign w:val="center"/>
          </w:tcPr>
          <w:p w14:paraId="048F856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投标文件网上</w:t>
            </w:r>
          </w:p>
          <w:p w14:paraId="68648236">
            <w:pPr>
              <w:overflowPunct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提交截止时间</w:t>
            </w:r>
          </w:p>
        </w:tc>
        <w:tc>
          <w:tcPr>
            <w:tcW w:w="7103" w:type="dxa"/>
            <w:tcBorders>
              <w:top w:val="single" w:color="auto" w:sz="6" w:space="0"/>
              <w:left w:val="single" w:color="auto" w:sz="6" w:space="0"/>
              <w:bottom w:val="single" w:color="auto" w:sz="6" w:space="0"/>
              <w:right w:val="single" w:color="auto" w:sz="6" w:space="0"/>
            </w:tcBorders>
            <w:vAlign w:val="center"/>
          </w:tcPr>
          <w:p w14:paraId="0FF3B66F">
            <w:pPr>
              <w:overflowPunct w:val="0"/>
              <w:spacing w:line="360" w:lineRule="auto"/>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日13：30（北京时间）</w:t>
            </w:r>
          </w:p>
          <w:p w14:paraId="232430A8">
            <w:pPr>
              <w:pStyle w:val="14"/>
              <w:ind w:firstLine="0"/>
              <w:rPr>
                <w:rFonts w:ascii="宋体" w:hAnsi="宋体" w:cs="宋体"/>
                <w:color w:val="auto"/>
                <w:sz w:val="21"/>
                <w:szCs w:val="21"/>
                <w:highlight w:val="none"/>
              </w:rPr>
            </w:pPr>
            <w:r>
              <w:rPr>
                <w:rFonts w:hint="eastAsia" w:ascii="宋体" w:hAnsi="宋体" w:cs="宋体"/>
                <w:color w:val="auto"/>
                <w:sz w:val="21"/>
                <w:szCs w:val="21"/>
                <w:highlight w:val="none"/>
              </w:rPr>
              <w:t>投标文件必须在截止时间前完成提交（上传），逾期提交（上传）的投标文件恕不接受。</w:t>
            </w:r>
          </w:p>
        </w:tc>
      </w:tr>
      <w:tr w14:paraId="1836C45C">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1D85E899">
            <w:pPr>
              <w:overflowPunct w:val="0"/>
              <w:spacing w:line="360" w:lineRule="auto"/>
              <w:jc w:val="center"/>
              <w:rPr>
                <w:rFonts w:ascii="宋体" w:hAnsi="宋体" w:cs="宋体"/>
                <w:color w:val="auto"/>
                <w:highlight w:val="none"/>
              </w:rPr>
            </w:pPr>
            <w:r>
              <w:rPr>
                <w:rFonts w:hint="eastAsia" w:ascii="宋体" w:hAnsi="宋体" w:cs="宋体"/>
                <w:color w:val="auto"/>
                <w:highlight w:val="none"/>
              </w:rPr>
              <w:t>10</w:t>
            </w:r>
          </w:p>
        </w:tc>
        <w:tc>
          <w:tcPr>
            <w:tcW w:w="1533" w:type="dxa"/>
            <w:tcBorders>
              <w:top w:val="single" w:color="auto" w:sz="6" w:space="0"/>
              <w:left w:val="single" w:color="auto" w:sz="6" w:space="0"/>
              <w:bottom w:val="single" w:color="auto" w:sz="6" w:space="0"/>
              <w:right w:val="single" w:color="auto" w:sz="6" w:space="0"/>
            </w:tcBorders>
            <w:vAlign w:val="center"/>
          </w:tcPr>
          <w:p w14:paraId="0074794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开标时间</w:t>
            </w:r>
          </w:p>
          <w:p w14:paraId="1F6F075F">
            <w:pPr>
              <w:spacing w:line="440" w:lineRule="exact"/>
              <w:jc w:val="center"/>
              <w:rPr>
                <w:rFonts w:ascii="宋体" w:hAnsi="宋体" w:cs="宋体"/>
                <w:color w:val="auto"/>
                <w:highlight w:val="none"/>
              </w:rPr>
            </w:pPr>
            <w:r>
              <w:rPr>
                <w:rFonts w:hint="eastAsia" w:ascii="宋体" w:hAnsi="宋体" w:cs="宋体"/>
                <w:color w:val="auto"/>
                <w:szCs w:val="21"/>
                <w:highlight w:val="none"/>
              </w:rPr>
              <w:t>开标地点</w:t>
            </w:r>
          </w:p>
        </w:tc>
        <w:tc>
          <w:tcPr>
            <w:tcW w:w="7103" w:type="dxa"/>
            <w:tcBorders>
              <w:top w:val="single" w:color="auto" w:sz="6" w:space="0"/>
              <w:left w:val="single" w:color="auto" w:sz="6" w:space="0"/>
              <w:bottom w:val="single" w:color="auto" w:sz="6" w:space="0"/>
              <w:right w:val="single" w:color="auto" w:sz="6" w:space="0"/>
            </w:tcBorders>
            <w:vAlign w:val="center"/>
          </w:tcPr>
          <w:p w14:paraId="462C2A58">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日13：30（北京时间）</w:t>
            </w:r>
          </w:p>
          <w:p w14:paraId="08B37073">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“苏采云”系统（网址：http://jszfcg.jsczt.cn/）</w:t>
            </w:r>
          </w:p>
          <w:p w14:paraId="15877218">
            <w:pPr>
              <w:spacing w:line="440" w:lineRule="exact"/>
              <w:jc w:val="left"/>
              <w:rPr>
                <w:rFonts w:ascii="宋体" w:hAnsi="宋体" w:cs="宋体"/>
                <w:color w:val="auto"/>
                <w:highlight w:val="none"/>
              </w:rPr>
            </w:pPr>
            <w:r>
              <w:rPr>
                <w:rFonts w:hint="eastAsia" w:ascii="宋体" w:hAnsi="宋体" w:cs="宋体"/>
                <w:b/>
                <w:color w:val="auto"/>
                <w:szCs w:val="21"/>
                <w:highlight w:val="none"/>
              </w:rPr>
              <w:t>本项目为不见面开标项目，开标阶段供应商在【供应商解密】环节必须使用 CA证书解密电子投标文件，如在系统规定的解密时间内未能完成解密的视为放弃投标。</w:t>
            </w:r>
          </w:p>
        </w:tc>
      </w:tr>
      <w:tr w14:paraId="7E5BA673">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2809BB00">
            <w:pPr>
              <w:overflowPunct w:val="0"/>
              <w:spacing w:line="360" w:lineRule="auto"/>
              <w:jc w:val="center"/>
              <w:rPr>
                <w:rFonts w:ascii="宋体" w:hAnsi="宋体" w:cs="宋体"/>
                <w:color w:val="auto"/>
                <w:highlight w:val="none"/>
              </w:rPr>
            </w:pPr>
            <w:r>
              <w:rPr>
                <w:rFonts w:hint="eastAsia" w:ascii="宋体" w:hAnsi="宋体" w:cs="宋体"/>
                <w:color w:val="auto"/>
                <w:highlight w:val="none"/>
              </w:rPr>
              <w:t>11</w:t>
            </w:r>
          </w:p>
        </w:tc>
        <w:tc>
          <w:tcPr>
            <w:tcW w:w="1533" w:type="dxa"/>
            <w:tcBorders>
              <w:top w:val="single" w:color="auto" w:sz="6" w:space="0"/>
              <w:left w:val="single" w:color="auto" w:sz="6" w:space="0"/>
              <w:bottom w:val="single" w:color="auto" w:sz="6" w:space="0"/>
              <w:right w:val="single" w:color="auto" w:sz="6" w:space="0"/>
            </w:tcBorders>
            <w:vAlign w:val="center"/>
          </w:tcPr>
          <w:p w14:paraId="502C5B07">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评标时间</w:t>
            </w:r>
          </w:p>
          <w:p w14:paraId="5240ABB6">
            <w:pPr>
              <w:spacing w:line="312" w:lineRule="auto"/>
              <w:jc w:val="center"/>
              <w:rPr>
                <w:rFonts w:ascii="宋体" w:hAnsi="宋体" w:cs="宋体"/>
                <w:color w:val="auto"/>
                <w:szCs w:val="20"/>
                <w:highlight w:val="none"/>
              </w:rPr>
            </w:pPr>
            <w:r>
              <w:rPr>
                <w:rFonts w:hint="eastAsia" w:ascii="宋体" w:hAnsi="宋体" w:cs="宋体"/>
                <w:color w:val="auto"/>
                <w:szCs w:val="21"/>
                <w:highlight w:val="none"/>
              </w:rPr>
              <w:t>评标地点</w:t>
            </w:r>
          </w:p>
        </w:tc>
        <w:tc>
          <w:tcPr>
            <w:tcW w:w="7103" w:type="dxa"/>
            <w:tcBorders>
              <w:top w:val="single" w:color="auto" w:sz="6" w:space="0"/>
              <w:left w:val="single" w:color="auto" w:sz="6" w:space="0"/>
              <w:bottom w:val="single" w:color="auto" w:sz="6" w:space="0"/>
              <w:right w:val="single" w:color="auto" w:sz="6" w:space="0"/>
            </w:tcBorders>
            <w:vAlign w:val="center"/>
          </w:tcPr>
          <w:p w14:paraId="75102643">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日13：30（北京时间）</w:t>
            </w:r>
          </w:p>
          <w:p w14:paraId="13BBC7EF">
            <w:pPr>
              <w:spacing w:line="312" w:lineRule="auto"/>
              <w:jc w:val="left"/>
              <w:rPr>
                <w:rFonts w:ascii="宋体" w:hAnsi="宋体" w:cs="宋体"/>
                <w:color w:val="auto"/>
                <w:highlight w:val="none"/>
              </w:rPr>
            </w:pPr>
            <w:r>
              <w:rPr>
                <w:rFonts w:hint="eastAsia" w:ascii="宋体" w:hAnsi="宋体" w:cs="宋体"/>
                <w:color w:val="auto"/>
                <w:szCs w:val="21"/>
                <w:highlight w:val="none"/>
              </w:rPr>
              <w:t xml:space="preserve">苏州市吴江区公共资源交易中心三楼评标室 </w:t>
            </w:r>
          </w:p>
        </w:tc>
      </w:tr>
      <w:tr w14:paraId="5200D7DB">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5CBD98DC">
            <w:pPr>
              <w:overflowPunct w:val="0"/>
              <w:spacing w:line="360" w:lineRule="auto"/>
              <w:jc w:val="center"/>
              <w:rPr>
                <w:rFonts w:ascii="宋体" w:hAnsi="宋体" w:cs="宋体"/>
                <w:color w:val="auto"/>
                <w:highlight w:val="none"/>
              </w:rPr>
            </w:pPr>
            <w:r>
              <w:rPr>
                <w:rFonts w:hint="eastAsia" w:ascii="宋体" w:hAnsi="宋体" w:cs="宋体"/>
                <w:color w:val="auto"/>
                <w:highlight w:val="none"/>
              </w:rPr>
              <w:t>12</w:t>
            </w:r>
          </w:p>
        </w:tc>
        <w:tc>
          <w:tcPr>
            <w:tcW w:w="1533" w:type="dxa"/>
            <w:tcBorders>
              <w:top w:val="single" w:color="auto" w:sz="6" w:space="0"/>
              <w:left w:val="single" w:color="auto" w:sz="6" w:space="0"/>
              <w:bottom w:val="single" w:color="auto" w:sz="6" w:space="0"/>
              <w:right w:val="single" w:color="auto" w:sz="6" w:space="0"/>
            </w:tcBorders>
            <w:vAlign w:val="center"/>
          </w:tcPr>
          <w:p w14:paraId="69AC643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103" w:type="dxa"/>
            <w:tcBorders>
              <w:top w:val="single" w:color="auto" w:sz="6" w:space="0"/>
              <w:left w:val="single" w:color="auto" w:sz="6" w:space="0"/>
              <w:bottom w:val="single" w:color="auto" w:sz="6" w:space="0"/>
              <w:right w:val="single" w:color="auto" w:sz="6" w:space="0"/>
            </w:tcBorders>
            <w:vAlign w:val="center"/>
          </w:tcPr>
          <w:p w14:paraId="4F647DC2">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本项目采用电子投标文件，投标人按照招标文件要求制作上传电子投标文件，投标人无需提供纸质投标文件。</w:t>
            </w:r>
          </w:p>
          <w:p w14:paraId="2AA60154">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中标后5个工作日内，中标单位向招标代理机构提供与电子投标文件内容一致的纸质投标文件两份。</w:t>
            </w:r>
          </w:p>
        </w:tc>
      </w:tr>
      <w:tr w14:paraId="1BB3314E">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9558C2C">
            <w:pPr>
              <w:spacing w:line="440" w:lineRule="exact"/>
              <w:jc w:val="center"/>
              <w:rPr>
                <w:rFonts w:ascii="宋体" w:hAnsi="宋体" w:cs="宋体"/>
                <w:color w:val="auto"/>
                <w:highlight w:val="none"/>
              </w:rPr>
            </w:pPr>
            <w:r>
              <w:rPr>
                <w:rFonts w:hint="eastAsia" w:ascii="宋体" w:hAnsi="宋体" w:cs="宋体"/>
                <w:color w:val="auto"/>
                <w:szCs w:val="21"/>
                <w:highlight w:val="none"/>
              </w:rPr>
              <w:t>13</w:t>
            </w:r>
          </w:p>
        </w:tc>
        <w:tc>
          <w:tcPr>
            <w:tcW w:w="1533" w:type="dxa"/>
            <w:tcBorders>
              <w:top w:val="single" w:color="auto" w:sz="6" w:space="0"/>
              <w:left w:val="single" w:color="auto" w:sz="6" w:space="0"/>
              <w:bottom w:val="single" w:color="auto" w:sz="6" w:space="0"/>
              <w:right w:val="single" w:color="auto" w:sz="6" w:space="0"/>
            </w:tcBorders>
            <w:vAlign w:val="center"/>
          </w:tcPr>
          <w:p w14:paraId="5C186BBF">
            <w:pPr>
              <w:spacing w:line="440" w:lineRule="exact"/>
              <w:jc w:val="center"/>
              <w:rPr>
                <w:rFonts w:ascii="宋体" w:hAnsi="宋体" w:cs="宋体"/>
                <w:color w:val="auto"/>
                <w:highlight w:val="none"/>
              </w:rPr>
            </w:pPr>
            <w:r>
              <w:rPr>
                <w:rFonts w:hint="eastAsia" w:ascii="宋体" w:hAnsi="宋体" w:cs="宋体"/>
                <w:color w:val="auto"/>
                <w:szCs w:val="21"/>
                <w:highlight w:val="none"/>
              </w:rPr>
              <w:t>投标报价本位币</w:t>
            </w:r>
          </w:p>
        </w:tc>
        <w:tc>
          <w:tcPr>
            <w:tcW w:w="7103" w:type="dxa"/>
            <w:tcBorders>
              <w:top w:val="single" w:color="auto" w:sz="6" w:space="0"/>
              <w:left w:val="single" w:color="auto" w:sz="6" w:space="0"/>
              <w:bottom w:val="single" w:color="auto" w:sz="6" w:space="0"/>
              <w:right w:val="single" w:color="auto" w:sz="6" w:space="0"/>
            </w:tcBorders>
            <w:vAlign w:val="center"/>
          </w:tcPr>
          <w:p w14:paraId="50F0E337">
            <w:pPr>
              <w:spacing w:line="440" w:lineRule="exact"/>
              <w:jc w:val="left"/>
              <w:rPr>
                <w:rFonts w:ascii="宋体" w:hAnsi="宋体" w:cs="宋体"/>
                <w:color w:val="auto"/>
                <w:highlight w:val="none"/>
              </w:rPr>
            </w:pPr>
            <w:r>
              <w:rPr>
                <w:rFonts w:hint="eastAsia" w:ascii="宋体" w:hAnsi="宋体" w:cs="宋体"/>
                <w:color w:val="auto"/>
                <w:szCs w:val="21"/>
                <w:highlight w:val="none"/>
              </w:rPr>
              <w:t>人民币</w:t>
            </w:r>
          </w:p>
        </w:tc>
      </w:tr>
      <w:tr w14:paraId="66E23E4C">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5E07AE6D">
            <w:pPr>
              <w:spacing w:line="440" w:lineRule="exact"/>
              <w:jc w:val="center"/>
              <w:rPr>
                <w:rFonts w:ascii="宋体" w:hAnsi="宋体" w:cs="宋体"/>
                <w:color w:val="auto"/>
                <w:highlight w:val="none"/>
              </w:rPr>
            </w:pPr>
            <w:r>
              <w:rPr>
                <w:rFonts w:hint="eastAsia" w:ascii="宋体" w:hAnsi="宋体" w:cs="宋体"/>
                <w:color w:val="auto"/>
                <w:szCs w:val="21"/>
                <w:highlight w:val="none"/>
              </w:rPr>
              <w:t>14</w:t>
            </w:r>
          </w:p>
        </w:tc>
        <w:tc>
          <w:tcPr>
            <w:tcW w:w="1533" w:type="dxa"/>
            <w:tcBorders>
              <w:top w:val="single" w:color="auto" w:sz="6" w:space="0"/>
              <w:left w:val="single" w:color="auto" w:sz="6" w:space="0"/>
              <w:bottom w:val="single" w:color="auto" w:sz="6" w:space="0"/>
              <w:right w:val="single" w:color="auto" w:sz="6" w:space="0"/>
            </w:tcBorders>
            <w:vAlign w:val="center"/>
          </w:tcPr>
          <w:p w14:paraId="037A4C2F">
            <w:pPr>
              <w:spacing w:line="440" w:lineRule="exact"/>
              <w:jc w:val="center"/>
              <w:rPr>
                <w:rFonts w:ascii="宋体" w:hAnsi="宋体" w:cs="宋体"/>
                <w:color w:val="auto"/>
                <w:highlight w:val="none"/>
              </w:rPr>
            </w:pPr>
            <w:r>
              <w:rPr>
                <w:rFonts w:hint="eastAsia" w:ascii="宋体" w:hAnsi="宋体" w:cs="宋体"/>
                <w:color w:val="auto"/>
                <w:szCs w:val="21"/>
                <w:highlight w:val="none"/>
              </w:rPr>
              <w:t>履约保证金</w:t>
            </w:r>
          </w:p>
        </w:tc>
        <w:tc>
          <w:tcPr>
            <w:tcW w:w="7103" w:type="dxa"/>
            <w:tcBorders>
              <w:top w:val="single" w:color="auto" w:sz="6" w:space="0"/>
              <w:left w:val="single" w:color="auto" w:sz="6" w:space="0"/>
              <w:bottom w:val="single" w:color="auto" w:sz="6" w:space="0"/>
              <w:right w:val="single" w:color="auto" w:sz="6" w:space="0"/>
            </w:tcBorders>
            <w:vAlign w:val="center"/>
          </w:tcPr>
          <w:p w14:paraId="2B2D2553">
            <w:pPr>
              <w:overflowPunct w:val="0"/>
              <w:adjustRightInd w:val="0"/>
              <w:snapToGrid w:val="0"/>
              <w:spacing w:line="360" w:lineRule="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本项目无需缴纳。</w:t>
            </w:r>
          </w:p>
          <w:p w14:paraId="6F8E7758">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按照《江苏省财政厅国家金融监管总局江苏监管局江苏省地方金融监督管理局关于在全省政府采购领域推行电子履约保函(保险)的通知》和相关法律法规规定，采购人如向中标(成交)供应商收取履约保证金的，供应商可以以履约保函(保险)的形式代替提供履约保证金</w:t>
            </w:r>
            <w:r>
              <w:rPr>
                <w:rFonts w:hint="eastAsia" w:ascii="宋体" w:hAnsi="宋体" w:cs="宋体"/>
                <w:color w:val="auto"/>
                <w:highlight w:val="none"/>
                <w:lang w:eastAsia="zh-CN"/>
              </w:rPr>
              <w:t>。</w:t>
            </w:r>
          </w:p>
        </w:tc>
      </w:tr>
      <w:tr w14:paraId="0289E758">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3E6C6590">
            <w:pPr>
              <w:spacing w:line="440" w:lineRule="exact"/>
              <w:jc w:val="center"/>
              <w:rPr>
                <w:rFonts w:ascii="宋体" w:hAnsi="宋体" w:cs="宋体"/>
                <w:color w:val="auto"/>
                <w:highlight w:val="none"/>
              </w:rPr>
            </w:pPr>
            <w:r>
              <w:rPr>
                <w:rFonts w:hint="eastAsia" w:ascii="宋体" w:hAnsi="宋体" w:cs="宋体"/>
                <w:color w:val="auto"/>
                <w:szCs w:val="21"/>
                <w:highlight w:val="none"/>
              </w:rPr>
              <w:t>15</w:t>
            </w:r>
          </w:p>
        </w:tc>
        <w:tc>
          <w:tcPr>
            <w:tcW w:w="1533" w:type="dxa"/>
            <w:tcBorders>
              <w:top w:val="single" w:color="auto" w:sz="6" w:space="0"/>
              <w:left w:val="single" w:color="auto" w:sz="6" w:space="0"/>
              <w:bottom w:val="single" w:color="auto" w:sz="6" w:space="0"/>
              <w:right w:val="single" w:color="auto" w:sz="6" w:space="0"/>
            </w:tcBorders>
            <w:vAlign w:val="center"/>
          </w:tcPr>
          <w:p w14:paraId="476DA22B">
            <w:pPr>
              <w:spacing w:line="440" w:lineRule="exact"/>
              <w:jc w:val="center"/>
              <w:rPr>
                <w:rFonts w:ascii="宋体" w:hAnsi="宋体" w:cs="宋体"/>
                <w:color w:val="auto"/>
                <w:highlight w:val="none"/>
              </w:rPr>
            </w:pPr>
            <w:r>
              <w:rPr>
                <w:rFonts w:hint="eastAsia" w:ascii="宋体" w:hAnsi="宋体" w:cs="宋体"/>
                <w:color w:val="auto"/>
                <w:szCs w:val="21"/>
                <w:highlight w:val="none"/>
              </w:rPr>
              <w:t>中标通知书</w:t>
            </w:r>
          </w:p>
        </w:tc>
        <w:tc>
          <w:tcPr>
            <w:tcW w:w="7103" w:type="dxa"/>
            <w:tcBorders>
              <w:top w:val="single" w:color="auto" w:sz="6" w:space="0"/>
              <w:left w:val="single" w:color="auto" w:sz="6" w:space="0"/>
              <w:bottom w:val="single" w:color="auto" w:sz="6" w:space="0"/>
              <w:right w:val="single" w:color="auto" w:sz="6" w:space="0"/>
            </w:tcBorders>
            <w:vAlign w:val="center"/>
          </w:tcPr>
          <w:p w14:paraId="6BA4D931">
            <w:pPr>
              <w:pStyle w:val="43"/>
              <w:adjustRightInd w:val="0"/>
              <w:snapToGrid w:val="0"/>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确定出中标人后，采购代理机构在法定时间内向中标人发出中标通知书。中标通知书将成为合同的组成部分。</w:t>
            </w:r>
          </w:p>
          <w:p w14:paraId="233A11B1">
            <w:pPr>
              <w:pStyle w:val="43"/>
              <w:adjustRightInd w:val="0"/>
              <w:snapToGrid w:val="0"/>
              <w:spacing w:line="440" w:lineRule="exact"/>
              <w:ind w:firstLine="0" w:firstLineChars="0"/>
              <w:rPr>
                <w:rFonts w:ascii="宋体" w:hAnsi="宋体" w:cs="宋体"/>
                <w:color w:val="auto"/>
                <w:highlight w:val="none"/>
              </w:rPr>
            </w:pPr>
            <w:r>
              <w:rPr>
                <w:rFonts w:hint="eastAsia" w:ascii="宋体" w:hAnsi="宋体" w:cs="宋体"/>
                <w:b/>
                <w:color w:val="auto"/>
                <w:szCs w:val="21"/>
                <w:highlight w:val="none"/>
              </w:rPr>
              <w:t>请中标人在中标结果公告届满之日起30日内,使用CA证书登录“苏采云”系统及时下载中标通知书。</w:t>
            </w:r>
          </w:p>
        </w:tc>
      </w:tr>
      <w:tr w14:paraId="6D353D63">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7A2740BB">
            <w:pPr>
              <w:overflowPunct w:val="0"/>
              <w:spacing w:line="360" w:lineRule="auto"/>
              <w:jc w:val="center"/>
              <w:rPr>
                <w:rFonts w:ascii="宋体" w:hAnsi="宋体" w:cs="宋体"/>
                <w:color w:val="auto"/>
                <w:highlight w:val="none"/>
              </w:rPr>
            </w:pPr>
            <w:r>
              <w:rPr>
                <w:rFonts w:hint="eastAsia" w:ascii="宋体" w:hAnsi="宋体" w:cs="宋体"/>
                <w:color w:val="auto"/>
                <w:highlight w:val="none"/>
              </w:rPr>
              <w:t>16</w:t>
            </w:r>
          </w:p>
        </w:tc>
        <w:tc>
          <w:tcPr>
            <w:tcW w:w="1533" w:type="dxa"/>
            <w:tcBorders>
              <w:top w:val="single" w:color="auto" w:sz="6" w:space="0"/>
              <w:left w:val="single" w:color="auto" w:sz="6" w:space="0"/>
              <w:bottom w:val="single" w:color="auto" w:sz="6" w:space="0"/>
              <w:right w:val="single" w:color="auto" w:sz="6" w:space="0"/>
            </w:tcBorders>
            <w:vAlign w:val="center"/>
          </w:tcPr>
          <w:p w14:paraId="2F53EC72">
            <w:pPr>
              <w:overflowPunct w:val="0"/>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代理</w:t>
            </w:r>
            <w:r>
              <w:rPr>
                <w:rFonts w:hint="eastAsia" w:ascii="宋体" w:hAnsi="宋体" w:cs="宋体"/>
                <w:color w:val="auto"/>
                <w:highlight w:val="none"/>
              </w:rPr>
              <w:t>服务费</w:t>
            </w:r>
          </w:p>
        </w:tc>
        <w:tc>
          <w:tcPr>
            <w:tcW w:w="7103" w:type="dxa"/>
            <w:tcBorders>
              <w:top w:val="single" w:color="auto" w:sz="6" w:space="0"/>
              <w:left w:val="single" w:color="auto" w:sz="6" w:space="0"/>
              <w:bottom w:val="single" w:color="auto" w:sz="6" w:space="0"/>
              <w:right w:val="single" w:color="auto" w:sz="6" w:space="0"/>
            </w:tcBorders>
            <w:vAlign w:val="center"/>
          </w:tcPr>
          <w:p w14:paraId="663D375C">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由</w:t>
            </w:r>
            <w:r>
              <w:rPr>
                <w:rFonts w:hint="eastAsia" w:ascii="宋体" w:hAnsi="宋体" w:cs="宋体"/>
                <w:color w:val="auto"/>
                <w:highlight w:val="none"/>
                <w:lang w:val="en-US" w:eastAsia="zh-CN"/>
              </w:rPr>
              <w:t>采购人支付</w:t>
            </w:r>
            <w:r>
              <w:rPr>
                <w:rFonts w:hint="eastAsia" w:ascii="宋体" w:hAnsi="宋体" w:cs="宋体"/>
                <w:color w:val="auto"/>
                <w:highlight w:val="none"/>
              </w:rPr>
              <w:t>。</w:t>
            </w:r>
          </w:p>
          <w:p w14:paraId="6B91C4B3">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预算金额100万元以下部分，费率为该部分预算金额的1.5%；预算金额100万元（含）－500万元部分，费率为该部分预算金额的1.1%；预算金额500万元（含）-1000万元部分，费率为该部分预算金额的0.8%；预算金额1000万元（含）-5000万元部分，费率为该部分预算金额的0.5%；预算金额5000万元以上部分，费率为该部分预算金额的0.25%。</w:t>
            </w:r>
          </w:p>
          <w:p w14:paraId="113A4201">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说明：代理服务费以预算金额为基数依据，参照以上规定的标准和差额定率累进法进行计算收取。例：如预算金额为150万元，则代理服务费＝100万元以下部分×1.5%＋（150万元－100万元以下部分）×1.1%。如按上述方法计算的金额低于人民币3000元整的，则按人民币3000元整计收。</w:t>
            </w:r>
            <w:r>
              <w:rPr>
                <w:rFonts w:hint="eastAsia" w:ascii="宋体" w:hAnsi="宋体" w:cs="宋体"/>
                <w:color w:val="auto"/>
                <w:highlight w:val="none"/>
                <w:lang w:val="en-US" w:eastAsia="zh-CN"/>
              </w:rPr>
              <w:t>本项目</w:t>
            </w:r>
            <w:r>
              <w:rPr>
                <w:rFonts w:hint="eastAsia" w:ascii="宋体" w:hAnsi="宋体" w:cs="宋体"/>
                <w:color w:val="auto"/>
                <w:highlight w:val="none"/>
                <w:lang w:val="en-US" w:eastAsia="zh-CN"/>
              </w:rPr>
              <w:t>根据中介超市中选金额，</w:t>
            </w:r>
            <w:r>
              <w:rPr>
                <w:rFonts w:hint="eastAsia" w:ascii="宋体" w:hAnsi="宋体" w:cs="宋体"/>
                <w:color w:val="auto"/>
                <w:highlight w:val="none"/>
              </w:rPr>
              <w:t>代理服务费</w:t>
            </w:r>
            <w:r>
              <w:rPr>
                <w:rFonts w:hint="eastAsia" w:ascii="宋体" w:hAnsi="宋体" w:cs="宋体"/>
                <w:color w:val="auto"/>
                <w:highlight w:val="none"/>
                <w:lang w:val="en-US" w:eastAsia="zh-CN"/>
              </w:rPr>
              <w:t>为人民币壹万叁仟叁佰</w:t>
            </w:r>
            <w:r>
              <w:rPr>
                <w:rFonts w:hint="eastAsia" w:ascii="宋体" w:hAnsi="宋体" w:cs="宋体"/>
                <w:color w:val="auto"/>
                <w:highlight w:val="none"/>
              </w:rPr>
              <w:t>元整</w:t>
            </w:r>
            <w:r>
              <w:rPr>
                <w:rFonts w:hint="eastAsia" w:ascii="宋体" w:hAnsi="宋体" w:cs="宋体"/>
                <w:color w:val="auto"/>
                <w:highlight w:val="none"/>
              </w:rPr>
              <w:t>。</w:t>
            </w:r>
          </w:p>
        </w:tc>
      </w:tr>
      <w:tr w14:paraId="13943F94">
        <w:tblPrEx>
          <w:tblCellMar>
            <w:top w:w="0" w:type="dxa"/>
            <w:left w:w="108" w:type="dxa"/>
            <w:bottom w:w="0" w:type="dxa"/>
            <w:right w:w="108" w:type="dxa"/>
          </w:tblCellMar>
        </w:tblPrEx>
        <w:trPr>
          <w:trHeight w:val="453"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67124B2C">
            <w:pPr>
              <w:overflowPunct w:val="0"/>
              <w:spacing w:line="360" w:lineRule="auto"/>
              <w:jc w:val="center"/>
              <w:rPr>
                <w:rFonts w:ascii="宋体" w:hAnsi="宋体" w:cs="宋体"/>
                <w:color w:val="auto"/>
                <w:highlight w:val="none"/>
              </w:rPr>
            </w:pPr>
            <w:r>
              <w:rPr>
                <w:rFonts w:hint="eastAsia" w:ascii="宋体" w:hAnsi="宋体" w:cs="宋体"/>
                <w:color w:val="auto"/>
                <w:highlight w:val="none"/>
              </w:rPr>
              <w:t>17</w:t>
            </w:r>
          </w:p>
        </w:tc>
        <w:tc>
          <w:tcPr>
            <w:tcW w:w="1533" w:type="dxa"/>
            <w:tcBorders>
              <w:top w:val="single" w:color="auto" w:sz="6" w:space="0"/>
              <w:left w:val="single" w:color="auto" w:sz="6" w:space="0"/>
              <w:bottom w:val="single" w:color="auto" w:sz="6" w:space="0"/>
              <w:right w:val="single" w:color="auto" w:sz="6" w:space="0"/>
            </w:tcBorders>
            <w:vAlign w:val="center"/>
          </w:tcPr>
          <w:p w14:paraId="5DBEB169">
            <w:pPr>
              <w:overflowPunct w:val="0"/>
              <w:spacing w:line="360" w:lineRule="auto"/>
              <w:jc w:val="center"/>
              <w:rPr>
                <w:rFonts w:ascii="宋体" w:hAnsi="宋体" w:cs="宋体"/>
                <w:color w:val="auto"/>
                <w:highlight w:val="none"/>
              </w:rPr>
            </w:pPr>
            <w:r>
              <w:rPr>
                <w:rFonts w:hint="eastAsia" w:ascii="宋体" w:hAnsi="宋体" w:cs="宋体"/>
                <w:color w:val="auto"/>
                <w:highlight w:val="none"/>
              </w:rPr>
              <w:t>评分标准</w:t>
            </w:r>
          </w:p>
        </w:tc>
        <w:tc>
          <w:tcPr>
            <w:tcW w:w="7103" w:type="dxa"/>
            <w:tcBorders>
              <w:top w:val="single" w:color="auto" w:sz="6" w:space="0"/>
              <w:left w:val="single" w:color="auto" w:sz="6" w:space="0"/>
              <w:bottom w:val="single" w:color="auto" w:sz="6" w:space="0"/>
              <w:right w:val="single" w:color="auto" w:sz="6" w:space="0"/>
            </w:tcBorders>
            <w:vAlign w:val="center"/>
          </w:tcPr>
          <w:p w14:paraId="53F03E1D">
            <w:pPr>
              <w:overflowPunct w:val="0"/>
              <w:spacing w:line="360" w:lineRule="auto"/>
              <w:rPr>
                <w:rFonts w:ascii="宋体" w:hAnsi="宋体" w:cs="宋体"/>
                <w:color w:val="auto"/>
                <w:highlight w:val="none"/>
              </w:rPr>
            </w:pPr>
            <w:r>
              <w:rPr>
                <w:rFonts w:hint="eastAsia" w:ascii="宋体" w:hAnsi="宋体" w:cs="宋体"/>
                <w:color w:val="auto"/>
                <w:highlight w:val="none"/>
              </w:rPr>
              <w:t>按招标文件。</w:t>
            </w:r>
          </w:p>
        </w:tc>
      </w:tr>
      <w:tr w14:paraId="1CC595A2">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D81AA19">
            <w:pPr>
              <w:overflowPunct w:val="0"/>
              <w:spacing w:line="360" w:lineRule="auto"/>
              <w:jc w:val="center"/>
              <w:rPr>
                <w:rFonts w:ascii="宋体" w:hAnsi="宋体" w:cs="宋体"/>
                <w:color w:val="auto"/>
                <w:highlight w:val="none"/>
              </w:rPr>
            </w:pPr>
            <w:r>
              <w:rPr>
                <w:rFonts w:hint="eastAsia" w:ascii="宋体" w:hAnsi="宋体" w:cs="宋体"/>
                <w:color w:val="auto"/>
                <w:highlight w:val="none"/>
              </w:rPr>
              <w:t>18</w:t>
            </w:r>
          </w:p>
        </w:tc>
        <w:tc>
          <w:tcPr>
            <w:tcW w:w="1533" w:type="dxa"/>
            <w:tcBorders>
              <w:top w:val="single" w:color="auto" w:sz="6" w:space="0"/>
              <w:left w:val="single" w:color="auto" w:sz="6" w:space="0"/>
              <w:bottom w:val="single" w:color="auto" w:sz="6" w:space="0"/>
              <w:right w:val="single" w:color="auto" w:sz="6" w:space="0"/>
            </w:tcBorders>
            <w:vAlign w:val="center"/>
          </w:tcPr>
          <w:p w14:paraId="492E3B7A">
            <w:pPr>
              <w:overflowPunct w:val="0"/>
              <w:spacing w:line="360" w:lineRule="auto"/>
              <w:jc w:val="center"/>
              <w:rPr>
                <w:rFonts w:ascii="宋体" w:hAnsi="宋体" w:cs="宋体"/>
                <w:color w:val="auto"/>
                <w:highlight w:val="none"/>
              </w:rPr>
            </w:pPr>
            <w:r>
              <w:rPr>
                <w:rFonts w:hint="eastAsia" w:ascii="宋体" w:hAnsi="宋体" w:cs="宋体"/>
                <w:color w:val="auto"/>
                <w:highlight w:val="none"/>
              </w:rPr>
              <w:t>评标方法</w:t>
            </w:r>
          </w:p>
        </w:tc>
        <w:tc>
          <w:tcPr>
            <w:tcW w:w="7103" w:type="dxa"/>
            <w:tcBorders>
              <w:top w:val="single" w:color="auto" w:sz="6" w:space="0"/>
              <w:left w:val="single" w:color="auto" w:sz="6" w:space="0"/>
              <w:bottom w:val="single" w:color="auto" w:sz="6" w:space="0"/>
              <w:right w:val="single" w:color="auto" w:sz="6" w:space="0"/>
            </w:tcBorders>
            <w:vAlign w:val="center"/>
          </w:tcPr>
          <w:p w14:paraId="4CBCEC54">
            <w:pPr>
              <w:overflowPunct w:val="0"/>
              <w:spacing w:line="360" w:lineRule="auto"/>
              <w:rPr>
                <w:rFonts w:ascii="宋体" w:hAnsi="宋体" w:cs="宋体"/>
                <w:color w:val="auto"/>
                <w:highlight w:val="none"/>
              </w:rPr>
            </w:pPr>
            <w:r>
              <w:rPr>
                <w:rFonts w:hint="eastAsia" w:ascii="宋体" w:hAnsi="宋体" w:cs="宋体"/>
                <w:color w:val="auto"/>
                <w:highlight w:val="none"/>
              </w:rPr>
              <w:t>综合评分法。</w:t>
            </w:r>
          </w:p>
        </w:tc>
      </w:tr>
      <w:tr w14:paraId="59B2833A">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20212556">
            <w:pPr>
              <w:overflowPunct w:val="0"/>
              <w:spacing w:line="360" w:lineRule="auto"/>
              <w:jc w:val="center"/>
              <w:rPr>
                <w:rFonts w:ascii="宋体" w:hAnsi="宋体" w:cs="宋体"/>
                <w:color w:val="auto"/>
                <w:highlight w:val="none"/>
              </w:rPr>
            </w:pPr>
            <w:r>
              <w:rPr>
                <w:rFonts w:hint="eastAsia" w:ascii="宋体" w:hAnsi="宋体" w:cs="宋体"/>
                <w:color w:val="auto"/>
                <w:highlight w:val="none"/>
              </w:rPr>
              <w:t>19</w:t>
            </w:r>
          </w:p>
        </w:tc>
        <w:tc>
          <w:tcPr>
            <w:tcW w:w="1533" w:type="dxa"/>
            <w:tcBorders>
              <w:top w:val="single" w:color="auto" w:sz="6" w:space="0"/>
              <w:left w:val="single" w:color="auto" w:sz="6" w:space="0"/>
              <w:bottom w:val="single" w:color="auto" w:sz="6" w:space="0"/>
              <w:right w:val="single" w:color="auto" w:sz="6" w:space="0"/>
            </w:tcBorders>
            <w:vAlign w:val="center"/>
          </w:tcPr>
          <w:p w14:paraId="0A5457E0">
            <w:pPr>
              <w:overflowPunct w:val="0"/>
              <w:spacing w:line="360" w:lineRule="auto"/>
              <w:jc w:val="center"/>
              <w:rPr>
                <w:rFonts w:ascii="宋体" w:hAnsi="宋体" w:cs="宋体"/>
                <w:color w:val="auto"/>
                <w:highlight w:val="none"/>
              </w:rPr>
            </w:pPr>
            <w:r>
              <w:rPr>
                <w:rFonts w:hint="eastAsia" w:ascii="宋体" w:hAnsi="宋体" w:cs="宋体"/>
                <w:color w:val="auto"/>
                <w:highlight w:val="none"/>
              </w:rPr>
              <w:t>相关账号</w:t>
            </w:r>
          </w:p>
        </w:tc>
        <w:tc>
          <w:tcPr>
            <w:tcW w:w="7103" w:type="dxa"/>
            <w:tcBorders>
              <w:top w:val="single" w:color="auto" w:sz="6" w:space="0"/>
              <w:left w:val="single" w:color="auto" w:sz="6" w:space="0"/>
              <w:bottom w:val="single" w:color="auto" w:sz="6" w:space="0"/>
              <w:right w:val="single" w:color="auto" w:sz="6" w:space="0"/>
            </w:tcBorders>
            <w:vAlign w:val="center"/>
          </w:tcPr>
          <w:p w14:paraId="0E1230D0">
            <w:pPr>
              <w:overflowPunct w:val="0"/>
              <w:spacing w:line="360" w:lineRule="auto"/>
              <w:rPr>
                <w:rFonts w:ascii="宋体" w:hAnsi="宋体" w:cs="宋体"/>
                <w:color w:val="auto"/>
                <w:highlight w:val="none"/>
              </w:rPr>
            </w:pPr>
            <w:r>
              <w:rPr>
                <w:rFonts w:hint="eastAsia" w:ascii="宋体" w:hAnsi="宋体" w:cs="宋体"/>
                <w:color w:val="auto"/>
                <w:highlight w:val="none"/>
                <w:lang w:val="en-US" w:eastAsia="zh-CN"/>
              </w:rPr>
              <w:t>代理</w:t>
            </w:r>
            <w:r>
              <w:rPr>
                <w:rFonts w:hint="eastAsia" w:ascii="宋体" w:hAnsi="宋体" w:cs="宋体"/>
                <w:color w:val="auto"/>
                <w:highlight w:val="none"/>
              </w:rPr>
              <w:t xml:space="preserve">服务费交纳账号： </w:t>
            </w:r>
          </w:p>
          <w:p w14:paraId="175D07C7">
            <w:pPr>
              <w:overflowPunct w:val="0"/>
              <w:spacing w:line="360" w:lineRule="auto"/>
              <w:rPr>
                <w:rFonts w:hint="eastAsia" w:ascii="宋体" w:hAnsi="宋体" w:eastAsia="宋体" w:cs="宋体"/>
                <w:bCs/>
                <w:color w:val="auto"/>
                <w:highlight w:val="none"/>
                <w:lang w:eastAsia="zh-CN"/>
              </w:rPr>
            </w:pPr>
            <w:r>
              <w:rPr>
                <w:rFonts w:hint="eastAsia" w:ascii="宋体" w:hAnsi="宋体" w:cs="宋体"/>
                <w:color w:val="auto"/>
                <w:highlight w:val="none"/>
              </w:rPr>
              <w:t>账户名：</w:t>
            </w:r>
            <w:r>
              <w:rPr>
                <w:rFonts w:hint="eastAsia" w:ascii="宋体" w:hAnsi="宋体" w:cs="宋体"/>
                <w:bCs/>
                <w:color w:val="auto"/>
                <w:highlight w:val="none"/>
                <w:lang w:eastAsia="zh-CN"/>
              </w:rPr>
              <w:t>苏州中合惠德项目管理有限公司</w:t>
            </w:r>
          </w:p>
          <w:p w14:paraId="0E9B8D1F">
            <w:pPr>
              <w:autoSpaceDE w:val="0"/>
              <w:autoSpaceDN w:val="0"/>
              <w:adjustRightInd w:val="0"/>
              <w:spacing w:line="360" w:lineRule="auto"/>
              <w:jc w:val="left"/>
              <w:rPr>
                <w:rFonts w:hint="eastAsia" w:ascii="宋体" w:hAnsi="宋体" w:cs="宋体"/>
                <w:color w:val="auto"/>
                <w:highlight w:val="none"/>
              </w:rPr>
            </w:pPr>
            <w:r>
              <w:rPr>
                <w:rFonts w:hint="eastAsia" w:ascii="宋体" w:hAnsi="宋体" w:cs="宋体"/>
                <w:color w:val="auto"/>
                <w:highlight w:val="none"/>
              </w:rPr>
              <w:t>开户行：江苏银行苏州虹桥支行</w:t>
            </w:r>
          </w:p>
          <w:p w14:paraId="0FDC17B4">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highlight w:val="none"/>
              </w:rPr>
              <w:t>账    号：30190188000052626</w:t>
            </w:r>
          </w:p>
        </w:tc>
      </w:tr>
      <w:tr w14:paraId="0A6CA008">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643B4FB7">
            <w:pPr>
              <w:overflowPunct w:val="0"/>
              <w:spacing w:line="360" w:lineRule="auto"/>
              <w:jc w:val="center"/>
              <w:rPr>
                <w:rFonts w:ascii="宋体" w:hAnsi="宋体" w:cs="宋体"/>
                <w:color w:val="auto"/>
                <w:highlight w:val="none"/>
              </w:rPr>
            </w:pPr>
            <w:r>
              <w:rPr>
                <w:rFonts w:hint="eastAsia" w:ascii="宋体" w:hAnsi="宋体" w:cs="宋体"/>
                <w:color w:val="auto"/>
                <w:highlight w:val="none"/>
              </w:rPr>
              <w:t>20</w:t>
            </w:r>
          </w:p>
        </w:tc>
        <w:tc>
          <w:tcPr>
            <w:tcW w:w="1533" w:type="dxa"/>
            <w:tcBorders>
              <w:top w:val="single" w:color="auto" w:sz="6" w:space="0"/>
              <w:left w:val="single" w:color="auto" w:sz="6" w:space="0"/>
              <w:bottom w:val="single" w:color="auto" w:sz="6" w:space="0"/>
              <w:right w:val="single" w:color="auto" w:sz="6" w:space="0"/>
            </w:tcBorders>
            <w:vAlign w:val="center"/>
          </w:tcPr>
          <w:p w14:paraId="0B0CED78">
            <w:pPr>
              <w:pStyle w:val="26"/>
              <w:spacing w:line="360" w:lineRule="auto"/>
              <w:ind w:firstLine="0" w:firstLineChars="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导致无效</w:t>
            </w:r>
          </w:p>
          <w:p w14:paraId="6F166CF5">
            <w:pPr>
              <w:overflowPunct w:val="0"/>
              <w:spacing w:line="360" w:lineRule="auto"/>
              <w:jc w:val="center"/>
              <w:rPr>
                <w:rFonts w:ascii="宋体" w:hAnsi="宋体" w:cs="宋体"/>
                <w:color w:val="auto"/>
                <w:highlight w:val="none"/>
              </w:rPr>
            </w:pPr>
            <w:r>
              <w:rPr>
                <w:rFonts w:hint="eastAsia" w:ascii="宋体" w:hAnsi="宋体" w:cs="宋体"/>
                <w:color w:val="auto"/>
                <w:szCs w:val="21"/>
                <w:highlight w:val="none"/>
              </w:rPr>
              <w:t>投标因素</w:t>
            </w:r>
          </w:p>
        </w:tc>
        <w:tc>
          <w:tcPr>
            <w:tcW w:w="7103" w:type="dxa"/>
            <w:tcBorders>
              <w:top w:val="single" w:color="auto" w:sz="6" w:space="0"/>
              <w:left w:val="single" w:color="auto" w:sz="6" w:space="0"/>
              <w:bottom w:val="single" w:color="auto" w:sz="6" w:space="0"/>
              <w:right w:val="single" w:color="auto" w:sz="6" w:space="0"/>
            </w:tcBorders>
            <w:vAlign w:val="center"/>
          </w:tcPr>
          <w:p w14:paraId="201DB975">
            <w:pPr>
              <w:spacing w:line="360" w:lineRule="auto"/>
              <w:rPr>
                <w:rFonts w:ascii="宋体" w:hAnsi="宋体" w:cs="宋体"/>
                <w:b/>
                <w:color w:val="auto"/>
                <w:szCs w:val="21"/>
                <w:highlight w:val="none"/>
              </w:rPr>
            </w:pPr>
            <w:r>
              <w:rPr>
                <w:rFonts w:hint="eastAsia" w:ascii="宋体" w:hAnsi="宋体" w:cs="宋体"/>
                <w:b/>
                <w:color w:val="auto"/>
                <w:szCs w:val="21"/>
                <w:highlight w:val="none"/>
              </w:rPr>
              <w:t>投标人存在下列情况之一的，投标无效：</w:t>
            </w:r>
          </w:p>
          <w:p w14:paraId="645EEE20">
            <w:pPr>
              <w:autoSpaceDE w:val="0"/>
              <w:autoSpaceDN w:val="0"/>
              <w:adjustRightInd w:val="0"/>
              <w:spacing w:line="360" w:lineRule="auto"/>
              <w:jc w:val="left"/>
              <w:rPr>
                <w:rFonts w:ascii="宋体" w:hAnsi="宋体" w:cs="宋体"/>
                <w:color w:val="auto"/>
                <w:highlight w:val="none"/>
                <w:lang w:val="zh-CN"/>
              </w:rPr>
            </w:pPr>
            <w:r>
              <w:rPr>
                <w:rFonts w:hint="eastAsia" w:ascii="宋体" w:hAnsi="宋体" w:cs="宋体"/>
                <w:color w:val="auto"/>
                <w:highlight w:val="none"/>
              </w:rPr>
              <w:t>1.</w:t>
            </w:r>
            <w:r>
              <w:rPr>
                <w:rFonts w:hint="eastAsia" w:ascii="宋体" w:hAnsi="宋体" w:cs="宋体"/>
                <w:color w:val="auto"/>
                <w:highlight w:val="none"/>
                <w:lang w:val="zh-CN"/>
              </w:rPr>
              <w:t>投标文件未按招标文件要求签署、盖章的；</w:t>
            </w:r>
          </w:p>
          <w:p w14:paraId="551CC538">
            <w:pPr>
              <w:autoSpaceDE w:val="0"/>
              <w:autoSpaceDN w:val="0"/>
              <w:adjustRightInd w:val="0"/>
              <w:spacing w:line="360" w:lineRule="auto"/>
              <w:jc w:val="left"/>
              <w:rPr>
                <w:rFonts w:ascii="宋体" w:hAnsi="宋体" w:cs="宋体"/>
                <w:color w:val="auto"/>
                <w:highlight w:val="none"/>
                <w:lang w:val="zh-CN"/>
              </w:rPr>
            </w:pPr>
            <w:r>
              <w:rPr>
                <w:rFonts w:hint="eastAsia" w:ascii="宋体" w:hAnsi="宋体" w:cs="宋体"/>
                <w:color w:val="auto"/>
                <w:highlight w:val="none"/>
              </w:rPr>
              <w:t>2.</w:t>
            </w:r>
            <w:r>
              <w:rPr>
                <w:rFonts w:hint="eastAsia" w:ascii="宋体" w:hAnsi="宋体" w:cs="宋体"/>
                <w:color w:val="auto"/>
                <w:highlight w:val="none"/>
                <w:lang w:val="zh-CN"/>
              </w:rPr>
              <w:t>不具备招标文件中规定的资格要求的；</w:t>
            </w:r>
          </w:p>
          <w:p w14:paraId="7F1244F8">
            <w:pPr>
              <w:autoSpaceDE w:val="0"/>
              <w:autoSpaceDN w:val="0"/>
              <w:adjustRightInd w:val="0"/>
              <w:spacing w:line="360" w:lineRule="auto"/>
              <w:jc w:val="left"/>
              <w:rPr>
                <w:rFonts w:ascii="宋体" w:hAnsi="宋体" w:cs="宋体"/>
                <w:color w:val="auto"/>
                <w:highlight w:val="none"/>
                <w:lang w:val="zh-CN"/>
              </w:rPr>
            </w:pPr>
            <w:r>
              <w:rPr>
                <w:rFonts w:hint="eastAsia" w:ascii="宋体" w:hAnsi="宋体" w:cs="宋体"/>
                <w:color w:val="auto"/>
                <w:highlight w:val="none"/>
              </w:rPr>
              <w:t>3.</w:t>
            </w:r>
            <w:r>
              <w:rPr>
                <w:rFonts w:hint="eastAsia" w:ascii="宋体" w:hAnsi="宋体" w:cs="宋体"/>
                <w:color w:val="auto"/>
                <w:highlight w:val="none"/>
                <w:lang w:val="zh-CN"/>
              </w:rPr>
              <w:t>报价超过招标文件中规定的预算金额或者最高限价的；</w:t>
            </w:r>
          </w:p>
          <w:p w14:paraId="272BDAD5">
            <w:pPr>
              <w:autoSpaceDE w:val="0"/>
              <w:autoSpaceDN w:val="0"/>
              <w:adjustRightInd w:val="0"/>
              <w:spacing w:line="360" w:lineRule="auto"/>
              <w:jc w:val="left"/>
              <w:rPr>
                <w:rFonts w:ascii="宋体" w:hAnsi="宋体" w:cs="宋体"/>
                <w:color w:val="auto"/>
                <w:highlight w:val="none"/>
                <w:lang w:val="zh-CN"/>
              </w:rPr>
            </w:pPr>
            <w:r>
              <w:rPr>
                <w:rFonts w:hint="eastAsia" w:ascii="宋体" w:hAnsi="宋体" w:cs="宋体"/>
                <w:color w:val="auto"/>
                <w:highlight w:val="none"/>
              </w:rPr>
              <w:t>4.</w:t>
            </w:r>
            <w:r>
              <w:rPr>
                <w:rFonts w:hint="eastAsia" w:ascii="宋体" w:hAnsi="宋体" w:cs="宋体"/>
                <w:color w:val="auto"/>
                <w:highlight w:val="none"/>
                <w:lang w:val="zh-CN"/>
              </w:rPr>
              <w:t>投标文件含有采购单位不能接受的附加条件的；</w:t>
            </w:r>
          </w:p>
          <w:p w14:paraId="59BADF72">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5.不同投标（响应）文件制作机器码一致的；</w:t>
            </w:r>
          </w:p>
          <w:p w14:paraId="67ED9B9E">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val="zh-CN"/>
              </w:rPr>
              <w:t>法律、法规和招标文件规定的其他无效情形。</w:t>
            </w:r>
          </w:p>
        </w:tc>
      </w:tr>
      <w:tr w14:paraId="1BB9DB0D">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4FF80C3B">
            <w:pPr>
              <w:overflowPunct w:val="0"/>
              <w:spacing w:line="360" w:lineRule="auto"/>
              <w:jc w:val="center"/>
              <w:rPr>
                <w:rFonts w:ascii="宋体" w:hAnsi="宋体" w:cs="宋体"/>
                <w:color w:val="auto"/>
                <w:highlight w:val="none"/>
              </w:rPr>
            </w:pPr>
            <w:r>
              <w:rPr>
                <w:rFonts w:hint="eastAsia" w:ascii="宋体" w:hAnsi="宋体" w:cs="宋体"/>
                <w:color w:val="auto"/>
                <w:highlight w:val="none"/>
              </w:rPr>
              <w:t>21</w:t>
            </w:r>
          </w:p>
        </w:tc>
        <w:tc>
          <w:tcPr>
            <w:tcW w:w="1533" w:type="dxa"/>
            <w:tcBorders>
              <w:top w:val="single" w:color="auto" w:sz="6" w:space="0"/>
              <w:left w:val="single" w:color="auto" w:sz="6" w:space="0"/>
              <w:bottom w:val="single" w:color="auto" w:sz="6" w:space="0"/>
              <w:right w:val="single" w:color="auto" w:sz="6" w:space="0"/>
            </w:tcBorders>
            <w:vAlign w:val="center"/>
          </w:tcPr>
          <w:p w14:paraId="31B2BF2F">
            <w:pPr>
              <w:overflowPunct w:val="0"/>
              <w:spacing w:line="360" w:lineRule="auto"/>
              <w:jc w:val="center"/>
              <w:rPr>
                <w:rFonts w:ascii="宋体" w:hAnsi="宋体" w:cs="宋体"/>
                <w:color w:val="auto"/>
                <w:highlight w:val="none"/>
              </w:rPr>
            </w:pPr>
            <w:r>
              <w:rPr>
                <w:rFonts w:hint="eastAsia" w:ascii="宋体" w:hAnsi="宋体" w:cs="宋体"/>
                <w:color w:val="auto"/>
                <w:szCs w:val="21"/>
                <w:highlight w:val="none"/>
                <w:lang w:val="zh-CN"/>
              </w:rPr>
              <w:t>导致废标因素</w:t>
            </w:r>
          </w:p>
        </w:tc>
        <w:tc>
          <w:tcPr>
            <w:tcW w:w="7103" w:type="dxa"/>
            <w:tcBorders>
              <w:top w:val="single" w:color="auto" w:sz="6" w:space="0"/>
              <w:left w:val="single" w:color="auto" w:sz="6" w:space="0"/>
              <w:bottom w:val="single" w:color="auto" w:sz="6" w:space="0"/>
              <w:right w:val="single" w:color="auto" w:sz="6" w:space="0"/>
            </w:tcBorders>
            <w:vAlign w:val="center"/>
          </w:tcPr>
          <w:p w14:paraId="6C984474">
            <w:pPr>
              <w:autoSpaceDE w:val="0"/>
              <w:autoSpaceDN w:val="0"/>
              <w:adjustRightInd w:val="0"/>
              <w:spacing w:line="360" w:lineRule="auto"/>
              <w:jc w:val="left"/>
              <w:rPr>
                <w:rFonts w:ascii="宋体" w:hAnsi="宋体" w:cs="宋体"/>
                <w:b/>
                <w:bCs/>
                <w:color w:val="auto"/>
                <w:szCs w:val="21"/>
                <w:highlight w:val="none"/>
                <w:lang w:val="zh-CN"/>
              </w:rPr>
            </w:pPr>
            <w:r>
              <w:rPr>
                <w:rFonts w:hint="eastAsia" w:ascii="宋体" w:hAnsi="宋体" w:cs="宋体"/>
                <w:b/>
                <w:bCs/>
                <w:color w:val="auto"/>
                <w:szCs w:val="21"/>
                <w:highlight w:val="none"/>
                <w:lang w:val="zh-CN"/>
              </w:rPr>
              <w:t>出现下列情形之一的，为废标：</w:t>
            </w:r>
          </w:p>
          <w:p w14:paraId="30C69B4F">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符合专业条件的供应商或者对招标文件作实质响应的供应商不足三家的；</w:t>
            </w:r>
          </w:p>
          <w:p w14:paraId="18181CA0">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出现影响采购公正的违法、违规行为的；</w:t>
            </w:r>
          </w:p>
          <w:p w14:paraId="392B01FF">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投标人的报价均超过了采购预算</w:t>
            </w:r>
            <w:r>
              <w:rPr>
                <w:rFonts w:hint="eastAsia" w:ascii="宋体" w:hAnsi="宋体" w:cs="宋体"/>
                <w:color w:val="auto"/>
                <w:highlight w:val="none"/>
                <w:lang w:val="zh-CN"/>
              </w:rPr>
              <w:t>或者最高限价的</w:t>
            </w:r>
            <w:r>
              <w:rPr>
                <w:rFonts w:hint="eastAsia" w:ascii="宋体" w:hAnsi="宋体" w:cs="宋体"/>
                <w:color w:val="auto"/>
                <w:szCs w:val="21"/>
                <w:highlight w:val="none"/>
                <w:lang w:val="zh-CN"/>
              </w:rPr>
              <w:t xml:space="preserve">，采购单位不能支付的； </w:t>
            </w:r>
          </w:p>
          <w:p w14:paraId="25ABE037">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因重大变故，采购任务取消的。</w:t>
            </w:r>
          </w:p>
        </w:tc>
      </w:tr>
    </w:tbl>
    <w:p w14:paraId="5570DDE2">
      <w:pPr>
        <w:pStyle w:val="27"/>
        <w:widowControl/>
        <w:spacing w:beforeAutospacing="0" w:afterAutospacing="0" w:line="360" w:lineRule="auto"/>
        <w:ind w:firstLine="482"/>
        <w:rPr>
          <w:rFonts w:ascii="宋体" w:hAnsi="宋体" w:cs="宋体"/>
          <w:color w:val="auto"/>
          <w:highlight w:val="none"/>
        </w:rPr>
      </w:pPr>
    </w:p>
    <w:p w14:paraId="6CB9750E">
      <w:pPr>
        <w:pStyle w:val="27"/>
        <w:widowControl/>
        <w:spacing w:beforeAutospacing="0" w:afterAutospacing="0" w:line="360" w:lineRule="auto"/>
        <w:ind w:firstLine="482"/>
        <w:rPr>
          <w:rFonts w:ascii="宋体" w:hAnsi="宋体" w:cs="宋体"/>
          <w:color w:val="auto"/>
          <w:highlight w:val="none"/>
        </w:rPr>
      </w:pPr>
    </w:p>
    <w:p w14:paraId="098E6704">
      <w:pPr>
        <w:pStyle w:val="27"/>
        <w:widowControl/>
        <w:spacing w:beforeAutospacing="0" w:afterAutospacing="0" w:line="360" w:lineRule="auto"/>
        <w:ind w:firstLine="482"/>
        <w:rPr>
          <w:rFonts w:ascii="宋体" w:hAnsi="宋体" w:cs="宋体"/>
          <w:color w:val="auto"/>
          <w:highlight w:val="none"/>
        </w:rPr>
      </w:pPr>
    </w:p>
    <w:p w14:paraId="65E846BB">
      <w:pPr>
        <w:pStyle w:val="27"/>
        <w:widowControl/>
        <w:spacing w:beforeAutospacing="0" w:afterAutospacing="0" w:line="360" w:lineRule="auto"/>
        <w:ind w:firstLine="482"/>
        <w:rPr>
          <w:rFonts w:ascii="宋体" w:hAnsi="宋体" w:cs="宋体"/>
          <w:color w:val="auto"/>
          <w:highlight w:val="none"/>
        </w:rPr>
      </w:pPr>
    </w:p>
    <w:p w14:paraId="329EE99F">
      <w:pPr>
        <w:pStyle w:val="27"/>
        <w:widowControl/>
        <w:spacing w:beforeAutospacing="0" w:afterAutospacing="0" w:line="360" w:lineRule="auto"/>
        <w:ind w:firstLine="482"/>
        <w:rPr>
          <w:rFonts w:ascii="宋体" w:hAnsi="宋体" w:cs="宋体"/>
          <w:color w:val="auto"/>
          <w:highlight w:val="none"/>
        </w:rPr>
      </w:pPr>
    </w:p>
    <w:p w14:paraId="3C823DD2">
      <w:pPr>
        <w:pStyle w:val="27"/>
        <w:widowControl/>
        <w:spacing w:beforeAutospacing="0" w:afterAutospacing="0" w:line="360" w:lineRule="auto"/>
        <w:ind w:firstLine="482"/>
        <w:rPr>
          <w:rFonts w:ascii="宋体" w:hAnsi="宋体" w:cs="宋体"/>
          <w:color w:val="auto"/>
          <w:highlight w:val="none"/>
        </w:rPr>
      </w:pPr>
    </w:p>
    <w:p w14:paraId="3D0F2C30">
      <w:pPr>
        <w:pageBreakBefore/>
        <w:tabs>
          <w:tab w:val="left" w:pos="315"/>
          <w:tab w:val="center" w:pos="4153"/>
        </w:tabs>
        <w:spacing w:line="360" w:lineRule="auto"/>
        <w:ind w:firstLine="1044"/>
        <w:jc w:val="center"/>
        <w:rPr>
          <w:rFonts w:ascii="宋体" w:hAnsi="宋体" w:cs="宋体"/>
          <w:b/>
          <w:color w:val="auto"/>
          <w:sz w:val="52"/>
          <w:szCs w:val="52"/>
          <w:highlight w:val="none"/>
        </w:rPr>
      </w:pPr>
      <w:r>
        <w:rPr>
          <w:rFonts w:hint="eastAsia" w:ascii="宋体" w:hAnsi="宋体" w:cs="宋体"/>
          <w:b/>
          <w:color w:val="auto"/>
          <w:sz w:val="52"/>
          <w:szCs w:val="52"/>
          <w:highlight w:val="none"/>
        </w:rPr>
        <w:t>目    录</w:t>
      </w:r>
    </w:p>
    <w:p w14:paraId="4820C7E7">
      <w:pPr>
        <w:tabs>
          <w:tab w:val="left" w:pos="315"/>
          <w:tab w:val="center" w:pos="4153"/>
        </w:tabs>
        <w:spacing w:line="360" w:lineRule="auto"/>
        <w:ind w:firstLine="720"/>
        <w:jc w:val="center"/>
        <w:rPr>
          <w:rFonts w:ascii="宋体" w:hAnsi="宋体" w:cs="宋体"/>
          <w:b/>
          <w:color w:val="auto"/>
          <w:sz w:val="36"/>
          <w:szCs w:val="36"/>
          <w:highlight w:val="none"/>
        </w:rPr>
      </w:pPr>
    </w:p>
    <w:p w14:paraId="3F051304">
      <w:pPr>
        <w:pStyle w:val="22"/>
        <w:tabs>
          <w:tab w:val="right" w:leader="dot" w:pos="8302"/>
        </w:tabs>
        <w:spacing w:line="360" w:lineRule="auto"/>
        <w:ind w:firstLine="723"/>
        <w:rPr>
          <w:rFonts w:ascii="宋体" w:hAnsi="宋体" w:eastAsia="宋体" w:cs="宋体"/>
          <w:color w:val="auto"/>
          <w:kern w:val="0"/>
          <w:sz w:val="36"/>
          <w:szCs w:val="24"/>
          <w:highlight w:val="none"/>
        </w:rPr>
      </w:pPr>
      <w:r>
        <w:rPr>
          <w:rFonts w:hint="eastAsia" w:ascii="宋体" w:hAnsi="宋体" w:eastAsia="宋体" w:cs="宋体"/>
          <w:color w:val="auto"/>
          <w:kern w:val="0"/>
          <w:sz w:val="36"/>
          <w:szCs w:val="24"/>
          <w:highlight w:val="none"/>
        </w:rPr>
        <w:t>第一章  投标邀请函</w:t>
      </w:r>
    </w:p>
    <w:p w14:paraId="18285AA9">
      <w:pPr>
        <w:pStyle w:val="22"/>
        <w:tabs>
          <w:tab w:val="right" w:leader="dot" w:pos="8302"/>
        </w:tabs>
        <w:spacing w:line="360" w:lineRule="auto"/>
        <w:ind w:firstLine="723"/>
        <w:rPr>
          <w:rFonts w:ascii="宋体" w:hAnsi="宋体" w:eastAsia="宋体" w:cs="宋体"/>
          <w:color w:val="auto"/>
          <w:kern w:val="0"/>
          <w:sz w:val="36"/>
          <w:szCs w:val="24"/>
          <w:highlight w:val="none"/>
        </w:rPr>
      </w:pPr>
      <w:r>
        <w:rPr>
          <w:rFonts w:hint="eastAsia" w:ascii="宋体" w:hAnsi="宋体" w:eastAsia="宋体" w:cs="宋体"/>
          <w:color w:val="auto"/>
          <w:kern w:val="0"/>
          <w:sz w:val="36"/>
          <w:szCs w:val="24"/>
          <w:highlight w:val="none"/>
        </w:rPr>
        <w:t>第二章  投标人须知</w:t>
      </w:r>
    </w:p>
    <w:p w14:paraId="3D7A4674">
      <w:pPr>
        <w:pStyle w:val="22"/>
        <w:tabs>
          <w:tab w:val="right" w:leader="dot" w:pos="8302"/>
        </w:tabs>
        <w:spacing w:line="360" w:lineRule="auto"/>
        <w:ind w:firstLine="723"/>
        <w:rPr>
          <w:rFonts w:ascii="宋体" w:hAnsi="宋体" w:eastAsia="宋体" w:cs="宋体"/>
          <w:color w:val="auto"/>
          <w:kern w:val="0"/>
          <w:sz w:val="36"/>
          <w:szCs w:val="24"/>
          <w:highlight w:val="none"/>
        </w:rPr>
      </w:pPr>
      <w:r>
        <w:rPr>
          <w:rFonts w:hint="eastAsia" w:ascii="宋体" w:hAnsi="宋体" w:eastAsia="宋体" w:cs="宋体"/>
          <w:color w:val="auto"/>
          <w:kern w:val="0"/>
          <w:sz w:val="36"/>
          <w:szCs w:val="24"/>
          <w:highlight w:val="none"/>
        </w:rPr>
        <w:t>第三章  投标文件格式</w:t>
      </w:r>
    </w:p>
    <w:p w14:paraId="35B79222">
      <w:pPr>
        <w:pStyle w:val="22"/>
        <w:tabs>
          <w:tab w:val="right" w:leader="dot" w:pos="8302"/>
        </w:tabs>
        <w:spacing w:line="360" w:lineRule="auto"/>
        <w:ind w:firstLine="723"/>
        <w:rPr>
          <w:rFonts w:ascii="宋体" w:hAnsi="宋体" w:eastAsia="宋体" w:cs="宋体"/>
          <w:color w:val="auto"/>
          <w:kern w:val="0"/>
          <w:sz w:val="36"/>
          <w:szCs w:val="24"/>
          <w:highlight w:val="none"/>
        </w:rPr>
      </w:pPr>
      <w:r>
        <w:rPr>
          <w:rFonts w:hint="eastAsia" w:ascii="宋体" w:hAnsi="宋体" w:eastAsia="宋体" w:cs="宋体"/>
          <w:color w:val="auto"/>
          <w:kern w:val="0"/>
          <w:sz w:val="36"/>
          <w:szCs w:val="24"/>
          <w:highlight w:val="none"/>
        </w:rPr>
        <w:t>第四章  招标书</w:t>
      </w:r>
    </w:p>
    <w:p w14:paraId="74A1C519">
      <w:pPr>
        <w:pStyle w:val="22"/>
        <w:tabs>
          <w:tab w:val="right" w:leader="dot" w:pos="8302"/>
        </w:tabs>
        <w:spacing w:line="360" w:lineRule="auto"/>
        <w:ind w:firstLine="723"/>
        <w:rPr>
          <w:rFonts w:ascii="宋体" w:hAnsi="宋体" w:eastAsia="宋体" w:cs="宋体"/>
          <w:color w:val="auto"/>
          <w:kern w:val="0"/>
          <w:sz w:val="36"/>
          <w:szCs w:val="24"/>
          <w:highlight w:val="none"/>
        </w:rPr>
      </w:pPr>
      <w:r>
        <w:rPr>
          <w:rFonts w:hint="eastAsia" w:ascii="宋体" w:hAnsi="宋体" w:eastAsia="宋体" w:cs="宋体"/>
          <w:color w:val="auto"/>
          <w:kern w:val="0"/>
          <w:sz w:val="36"/>
          <w:szCs w:val="24"/>
          <w:highlight w:val="none"/>
        </w:rPr>
        <w:t>第五章  合同一般条款</w:t>
      </w:r>
    </w:p>
    <w:p w14:paraId="253D379A">
      <w:pPr>
        <w:ind w:firstLine="723"/>
        <w:rPr>
          <w:color w:val="auto"/>
          <w:highlight w:val="none"/>
        </w:rPr>
      </w:pPr>
      <w:r>
        <w:rPr>
          <w:rFonts w:hint="eastAsia" w:ascii="宋体" w:hAnsi="宋体" w:cs="宋体"/>
          <w:color w:val="auto"/>
          <w:kern w:val="0"/>
          <w:sz w:val="36"/>
          <w:highlight w:val="none"/>
        </w:rPr>
        <w:t>第六章  合同主要条款</w:t>
      </w:r>
    </w:p>
    <w:p w14:paraId="00CB21C3">
      <w:pPr>
        <w:pStyle w:val="22"/>
        <w:tabs>
          <w:tab w:val="right" w:leader="dot" w:pos="8302"/>
        </w:tabs>
        <w:spacing w:line="360" w:lineRule="auto"/>
        <w:ind w:firstLine="723"/>
        <w:rPr>
          <w:rFonts w:ascii="宋体" w:hAnsi="宋体" w:eastAsia="宋体" w:cs="宋体"/>
          <w:color w:val="auto"/>
          <w:kern w:val="0"/>
          <w:sz w:val="36"/>
          <w:szCs w:val="24"/>
          <w:highlight w:val="none"/>
        </w:rPr>
        <w:sectPr>
          <w:pgSz w:w="11906" w:h="16838"/>
          <w:pgMar w:top="1440" w:right="1417" w:bottom="1440" w:left="1417" w:header="964" w:footer="1077" w:gutter="0"/>
          <w:cols w:space="720" w:num="1"/>
          <w:docGrid w:type="lines" w:linePitch="312" w:charSpace="0"/>
        </w:sectPr>
      </w:pPr>
      <w:r>
        <w:rPr>
          <w:rFonts w:hint="eastAsia" w:ascii="宋体" w:hAnsi="宋体" w:eastAsia="宋体" w:cs="宋体"/>
          <w:color w:val="auto"/>
          <w:kern w:val="0"/>
          <w:sz w:val="36"/>
          <w:szCs w:val="24"/>
          <w:highlight w:val="none"/>
        </w:rPr>
        <w:t>第七章  评标办法及评分标准</w:t>
      </w:r>
    </w:p>
    <w:p w14:paraId="37F34C93">
      <w:pPr>
        <w:pStyle w:val="22"/>
        <w:pageBreakBefore/>
        <w:tabs>
          <w:tab w:val="right" w:leader="dot" w:pos="8302"/>
        </w:tabs>
        <w:spacing w:line="360" w:lineRule="auto"/>
        <w:ind w:firstLine="640"/>
        <w:jc w:val="center"/>
        <w:rPr>
          <w:rStyle w:val="33"/>
          <w:rFonts w:ascii="宋体" w:hAnsi="宋体" w:cs="宋体"/>
          <w:color w:val="auto"/>
          <w:sz w:val="32"/>
          <w:szCs w:val="32"/>
          <w:highlight w:val="none"/>
        </w:rPr>
      </w:pPr>
      <w:r>
        <w:rPr>
          <w:rStyle w:val="33"/>
          <w:rFonts w:hint="eastAsia" w:ascii="宋体" w:hAnsi="宋体" w:cs="宋体"/>
          <w:color w:val="auto"/>
          <w:sz w:val="32"/>
          <w:szCs w:val="32"/>
          <w:highlight w:val="none"/>
        </w:rPr>
        <w:t>第一章  投标邀请函</w:t>
      </w:r>
    </w:p>
    <w:p w14:paraId="4A1885B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bookmarkStart w:id="2" w:name="WTDW_1"/>
      <w:r>
        <w:rPr>
          <w:rFonts w:hint="eastAsia" w:ascii="宋体" w:hAnsi="宋体" w:cs="宋体"/>
          <w:color w:val="auto"/>
          <w:szCs w:val="21"/>
          <w:highlight w:val="none"/>
        </w:rPr>
        <w:t>项目概况</w:t>
      </w:r>
    </w:p>
    <w:p w14:paraId="3386FD8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消防器材采购</w:t>
      </w:r>
      <w:r>
        <w:rPr>
          <w:rFonts w:hint="eastAsia" w:ascii="宋体" w:hAnsi="宋体" w:cs="宋体"/>
          <w:color w:val="auto"/>
          <w:szCs w:val="21"/>
          <w:highlight w:val="none"/>
        </w:rPr>
        <w:t>招标项目的潜在投标人应在</w:t>
      </w:r>
      <w:r>
        <w:rPr>
          <w:rFonts w:hint="eastAsia" w:ascii="宋体" w:hAnsi="宋体"/>
          <w:bCs/>
          <w:color w:val="auto"/>
          <w:szCs w:val="21"/>
          <w:highlight w:val="none"/>
          <w:u w:val="single"/>
        </w:rPr>
        <w:t>苏采云系统</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日13点30分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33EDA72C">
      <w:pPr>
        <w:spacing w:line="360" w:lineRule="auto"/>
        <w:ind w:firstLine="422" w:firstLineChars="200"/>
        <w:rPr>
          <w:rFonts w:ascii="宋体" w:hAnsi="宋体" w:cs="宋体"/>
          <w:b/>
          <w:color w:val="auto"/>
          <w:szCs w:val="21"/>
          <w:highlight w:val="none"/>
        </w:rPr>
      </w:pPr>
      <w:bookmarkStart w:id="3" w:name="_Toc28359002"/>
      <w:bookmarkStart w:id="4" w:name="_Toc28359079"/>
      <w:bookmarkStart w:id="5" w:name="_Toc35393621"/>
      <w:bookmarkStart w:id="6" w:name="_Toc35393790"/>
      <w:bookmarkStart w:id="7" w:name="_Hlk24379207"/>
      <w:r>
        <w:rPr>
          <w:rFonts w:hint="eastAsia" w:ascii="宋体" w:hAnsi="宋体" w:cs="宋体"/>
          <w:b/>
          <w:color w:val="auto"/>
          <w:szCs w:val="21"/>
          <w:highlight w:val="none"/>
        </w:rPr>
        <w:t>一、项目基本情况</w:t>
      </w:r>
      <w:bookmarkEnd w:id="3"/>
      <w:bookmarkEnd w:id="4"/>
      <w:bookmarkEnd w:id="5"/>
      <w:bookmarkEnd w:id="6"/>
    </w:p>
    <w:p w14:paraId="747D6A3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JSZC-320509-ZHHD-G2026-0003</w:t>
      </w:r>
    </w:p>
    <w:p w14:paraId="0495F8F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消防器材采购</w:t>
      </w:r>
      <w:bookmarkEnd w:id="7"/>
    </w:p>
    <w:p w14:paraId="21049A7E">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3.预算金额：人民币</w:t>
      </w:r>
      <w:r>
        <w:rPr>
          <w:rFonts w:hint="eastAsia" w:ascii="宋体" w:hAnsi="宋体" w:cs="宋体"/>
          <w:color w:val="auto"/>
          <w:szCs w:val="21"/>
          <w:highlight w:val="none"/>
          <w:lang w:val="en-US" w:eastAsia="zh-CN"/>
        </w:rPr>
        <w:t>壹佰壹拾壹万肆仟叁佰</w:t>
      </w:r>
      <w:r>
        <w:rPr>
          <w:rFonts w:hint="eastAsia" w:ascii="宋体" w:hAnsi="宋体" w:cs="宋体"/>
          <w:color w:val="auto"/>
          <w:szCs w:val="21"/>
          <w:highlight w:val="none"/>
        </w:rPr>
        <w:t>整（¥：</w:t>
      </w:r>
      <w:r>
        <w:rPr>
          <w:rFonts w:hint="eastAsia" w:ascii="宋体" w:hAnsi="宋体" w:cs="宋体"/>
          <w:color w:val="auto"/>
          <w:szCs w:val="21"/>
          <w:highlight w:val="none"/>
          <w:lang w:val="en-US" w:eastAsia="zh-CN"/>
        </w:rPr>
        <w:t>1114300</w:t>
      </w:r>
      <w:r>
        <w:rPr>
          <w:rFonts w:hint="eastAsia" w:ascii="宋体" w:hAnsi="宋体" w:cs="宋体"/>
          <w:color w:val="auto"/>
          <w:szCs w:val="21"/>
          <w:highlight w:val="none"/>
        </w:rPr>
        <w:t>.00）</w:t>
      </w:r>
      <w:r>
        <w:rPr>
          <w:rFonts w:hint="eastAsia" w:ascii="宋体" w:hAnsi="宋体" w:cs="宋体"/>
          <w:color w:val="auto"/>
          <w:szCs w:val="21"/>
          <w:highlight w:val="none"/>
          <w:lang w:eastAsia="zh-CN"/>
        </w:rPr>
        <w:t>；</w:t>
      </w:r>
    </w:p>
    <w:p w14:paraId="023D976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最高限价：人民币壹佰壹拾壹万肆仟叁佰整（¥：1114300.00</w:t>
      </w:r>
      <w:r>
        <w:rPr>
          <w:rFonts w:hint="eastAsia" w:ascii="宋体" w:hAnsi="宋体" w:cs="宋体"/>
          <w:color w:val="auto"/>
          <w:szCs w:val="21"/>
          <w:highlight w:val="none"/>
        </w:rPr>
        <w:t>）</w:t>
      </w:r>
    </w:p>
    <w:p w14:paraId="5B4899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4.采购需求：</w:t>
      </w:r>
    </w:p>
    <w:p w14:paraId="41E014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4.1采购清单（具体详见招标文件要求）</w:t>
      </w:r>
    </w:p>
    <w:tbl>
      <w:tblPr>
        <w:tblStyle w:val="31"/>
        <w:tblW w:w="0" w:type="auto"/>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527"/>
        <w:gridCol w:w="1334"/>
        <w:gridCol w:w="1437"/>
        <w:gridCol w:w="1686"/>
      </w:tblGrid>
      <w:tr w14:paraId="3C84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0DC1FB77">
            <w:pPr>
              <w:widowControl/>
              <w:jc w:val="center"/>
              <w:textAlignment w:val="center"/>
              <w:rPr>
                <w:rFonts w:hint="eastAsia" w:ascii="宋体" w:hAnsi="宋体" w:eastAsia="宋体" w:cs="宋体"/>
                <w:b/>
                <w:bCs/>
                <w:color w:val="auto"/>
                <w:sz w:val="21"/>
                <w:szCs w:val="21"/>
                <w:highlight w:val="none"/>
              </w:rPr>
            </w:pPr>
            <w:bookmarkStart w:id="8" w:name="_Toc35393622"/>
            <w:bookmarkStart w:id="9" w:name="_Toc35393791"/>
            <w:bookmarkStart w:id="10" w:name="_Toc28359003"/>
            <w:bookmarkStart w:id="11" w:name="_Toc28359080"/>
            <w:r>
              <w:rPr>
                <w:rFonts w:hint="eastAsia" w:ascii="宋体" w:hAnsi="宋体" w:eastAsia="宋体" w:cs="宋体"/>
                <w:b/>
                <w:bCs/>
                <w:color w:val="auto"/>
                <w:kern w:val="0"/>
                <w:sz w:val="21"/>
                <w:szCs w:val="21"/>
                <w:highlight w:val="none"/>
              </w:rPr>
              <w:t>序号</w:t>
            </w:r>
          </w:p>
        </w:tc>
        <w:tc>
          <w:tcPr>
            <w:tcW w:w="2527" w:type="dxa"/>
            <w:vAlign w:val="center"/>
          </w:tcPr>
          <w:p w14:paraId="516CAD5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器材名称</w:t>
            </w:r>
          </w:p>
        </w:tc>
        <w:tc>
          <w:tcPr>
            <w:tcW w:w="1334" w:type="dxa"/>
            <w:vAlign w:val="center"/>
          </w:tcPr>
          <w:p w14:paraId="706E5710">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单位</w:t>
            </w:r>
          </w:p>
        </w:tc>
        <w:tc>
          <w:tcPr>
            <w:tcW w:w="1437" w:type="dxa"/>
            <w:vAlign w:val="center"/>
          </w:tcPr>
          <w:p w14:paraId="3C68815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数量</w:t>
            </w:r>
          </w:p>
        </w:tc>
        <w:tc>
          <w:tcPr>
            <w:tcW w:w="1686" w:type="dxa"/>
            <w:vAlign w:val="center"/>
          </w:tcPr>
          <w:p w14:paraId="75DA882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备注</w:t>
            </w:r>
          </w:p>
        </w:tc>
      </w:tr>
      <w:tr w14:paraId="4AB4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354C0C3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7" w:type="dxa"/>
            <w:vAlign w:val="center"/>
          </w:tcPr>
          <w:p w14:paraId="0BC521D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消防头盔</w:t>
            </w:r>
          </w:p>
        </w:tc>
        <w:tc>
          <w:tcPr>
            <w:tcW w:w="1334" w:type="dxa"/>
            <w:vAlign w:val="center"/>
          </w:tcPr>
          <w:p w14:paraId="152E5C4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顶</w:t>
            </w:r>
          </w:p>
        </w:tc>
        <w:tc>
          <w:tcPr>
            <w:tcW w:w="1437" w:type="dxa"/>
            <w:vAlign w:val="center"/>
          </w:tcPr>
          <w:p w14:paraId="534559D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686" w:type="dxa"/>
            <w:vAlign w:val="center"/>
          </w:tcPr>
          <w:p w14:paraId="111A6F8E">
            <w:pPr>
              <w:widowControl/>
              <w:jc w:val="left"/>
              <w:textAlignment w:val="center"/>
              <w:rPr>
                <w:rFonts w:hint="eastAsia" w:ascii="宋体" w:hAnsi="宋体" w:eastAsia="宋体" w:cs="宋体"/>
                <w:b/>
                <w:bCs/>
                <w:color w:val="auto"/>
                <w:sz w:val="21"/>
                <w:szCs w:val="21"/>
                <w:highlight w:val="none"/>
              </w:rPr>
            </w:pPr>
          </w:p>
        </w:tc>
      </w:tr>
      <w:tr w14:paraId="7400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4206051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7" w:type="dxa"/>
            <w:vAlign w:val="center"/>
          </w:tcPr>
          <w:p w14:paraId="454AC96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消防员灭火防护头套</w:t>
            </w:r>
          </w:p>
        </w:tc>
        <w:tc>
          <w:tcPr>
            <w:tcW w:w="1334" w:type="dxa"/>
            <w:vAlign w:val="center"/>
          </w:tcPr>
          <w:p w14:paraId="4F8422A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437" w:type="dxa"/>
            <w:vAlign w:val="center"/>
          </w:tcPr>
          <w:p w14:paraId="23315C5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686" w:type="dxa"/>
            <w:vAlign w:val="center"/>
          </w:tcPr>
          <w:p w14:paraId="546C09B9">
            <w:pPr>
              <w:widowControl/>
              <w:jc w:val="left"/>
              <w:textAlignment w:val="center"/>
              <w:rPr>
                <w:rFonts w:hint="eastAsia" w:ascii="宋体" w:hAnsi="宋体" w:eastAsia="宋体" w:cs="宋体"/>
                <w:b/>
                <w:bCs/>
                <w:color w:val="auto"/>
                <w:sz w:val="21"/>
                <w:szCs w:val="21"/>
                <w:highlight w:val="none"/>
              </w:rPr>
            </w:pPr>
          </w:p>
        </w:tc>
      </w:tr>
      <w:tr w14:paraId="1732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5B73B33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2527" w:type="dxa"/>
            <w:vAlign w:val="center"/>
          </w:tcPr>
          <w:p w14:paraId="74E6632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消防手套</w:t>
            </w:r>
          </w:p>
        </w:tc>
        <w:tc>
          <w:tcPr>
            <w:tcW w:w="1334" w:type="dxa"/>
            <w:vAlign w:val="center"/>
          </w:tcPr>
          <w:p w14:paraId="1CE5AC2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1437" w:type="dxa"/>
            <w:vAlign w:val="center"/>
          </w:tcPr>
          <w:p w14:paraId="5AEE870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86" w:type="dxa"/>
            <w:vAlign w:val="center"/>
          </w:tcPr>
          <w:p w14:paraId="46BE7031">
            <w:pPr>
              <w:widowControl/>
              <w:jc w:val="left"/>
              <w:textAlignment w:val="center"/>
              <w:rPr>
                <w:rFonts w:hint="eastAsia" w:ascii="宋体" w:hAnsi="宋体" w:eastAsia="宋体" w:cs="宋体"/>
                <w:b/>
                <w:bCs/>
                <w:color w:val="auto"/>
                <w:sz w:val="21"/>
                <w:szCs w:val="21"/>
                <w:highlight w:val="none"/>
              </w:rPr>
            </w:pPr>
          </w:p>
        </w:tc>
      </w:tr>
      <w:tr w14:paraId="7FF4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7F1D721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2527" w:type="dxa"/>
            <w:vAlign w:val="center"/>
          </w:tcPr>
          <w:p w14:paraId="2D332F5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消防员灭火防护靴</w:t>
            </w:r>
          </w:p>
        </w:tc>
        <w:tc>
          <w:tcPr>
            <w:tcW w:w="1334" w:type="dxa"/>
            <w:vAlign w:val="center"/>
          </w:tcPr>
          <w:p w14:paraId="02E2388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1437" w:type="dxa"/>
            <w:vAlign w:val="center"/>
          </w:tcPr>
          <w:p w14:paraId="0F76361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686" w:type="dxa"/>
            <w:vAlign w:val="center"/>
          </w:tcPr>
          <w:p w14:paraId="2F40C8C0">
            <w:pPr>
              <w:widowControl/>
              <w:jc w:val="left"/>
              <w:textAlignment w:val="center"/>
              <w:rPr>
                <w:rFonts w:hint="eastAsia" w:ascii="宋体" w:hAnsi="宋体" w:eastAsia="宋体" w:cs="宋体"/>
                <w:b/>
                <w:bCs/>
                <w:color w:val="auto"/>
                <w:sz w:val="21"/>
                <w:szCs w:val="21"/>
                <w:highlight w:val="none"/>
              </w:rPr>
            </w:pPr>
          </w:p>
        </w:tc>
      </w:tr>
      <w:tr w14:paraId="7C40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1FAFF15D">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6984" w:type="dxa"/>
            <w:gridSpan w:val="4"/>
            <w:vAlign w:val="center"/>
          </w:tcPr>
          <w:p w14:paraId="32A9C808">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p>
        </w:tc>
      </w:tr>
    </w:tbl>
    <w:p w14:paraId="13DC19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4.2.交货地点：具体按采购人指定地点。</w:t>
      </w:r>
    </w:p>
    <w:p w14:paraId="01178A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5.合同履行期限</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自</w:t>
      </w:r>
      <w:r>
        <w:rPr>
          <w:rFonts w:hint="eastAsia" w:ascii="宋体" w:hAnsi="宋体" w:cs="宋体"/>
          <w:color w:val="auto"/>
          <w:szCs w:val="21"/>
          <w:highlight w:val="none"/>
        </w:rPr>
        <w:t>合同签订生效后</w:t>
      </w:r>
      <w:r>
        <w:rPr>
          <w:rFonts w:hint="eastAsia" w:ascii="宋体" w:hAnsi="宋体" w:cs="宋体"/>
          <w:color w:val="auto"/>
          <w:szCs w:val="21"/>
          <w:highlight w:val="none"/>
          <w:lang w:val="en-US" w:eastAsia="zh-CN"/>
        </w:rPr>
        <w:t>45天</w:t>
      </w:r>
      <w:r>
        <w:rPr>
          <w:rFonts w:hint="eastAsia" w:ascii="宋体" w:hAnsi="宋体" w:cs="宋体"/>
          <w:color w:val="auto"/>
          <w:szCs w:val="21"/>
          <w:highlight w:val="none"/>
        </w:rPr>
        <w:t>内完成全部采购内容的供货安装调试并交付正常使用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所有产品</w:t>
      </w:r>
      <w:r>
        <w:rPr>
          <w:rFonts w:hint="eastAsia" w:ascii="宋体" w:hAnsi="宋体" w:cs="宋体"/>
          <w:color w:val="auto"/>
          <w:szCs w:val="21"/>
          <w:highlight w:val="none"/>
          <w:lang w:eastAsia="zh-CN"/>
        </w:rPr>
        <w:t>质保</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年，免费保修期为自货物</w:t>
      </w:r>
      <w:r>
        <w:rPr>
          <w:rFonts w:hint="eastAsia" w:ascii="宋体" w:hAnsi="宋体" w:cs="宋体"/>
          <w:color w:val="auto"/>
          <w:szCs w:val="21"/>
          <w:highlight w:val="none"/>
          <w:lang w:val="en-US" w:eastAsia="zh-CN"/>
        </w:rPr>
        <w:t>验收合格之日起</w:t>
      </w:r>
      <w:r>
        <w:rPr>
          <w:rFonts w:hint="eastAsia" w:ascii="宋体" w:hAnsi="宋体" w:cs="宋体"/>
          <w:color w:val="auto"/>
          <w:szCs w:val="21"/>
          <w:highlight w:val="none"/>
          <w:lang w:eastAsia="zh-CN"/>
        </w:rPr>
        <w:t>计算</w:t>
      </w:r>
      <w:r>
        <w:rPr>
          <w:rFonts w:hint="eastAsia" w:ascii="宋体" w:hAnsi="宋体" w:cs="宋体"/>
          <w:color w:val="auto"/>
          <w:szCs w:val="21"/>
          <w:highlight w:val="none"/>
        </w:rPr>
        <w:t>。</w:t>
      </w:r>
    </w:p>
    <w:p w14:paraId="4A69D4FC">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6.本项目不接受联合体投标</w:t>
      </w:r>
      <w:r>
        <w:rPr>
          <w:rFonts w:hint="eastAsia" w:ascii="宋体" w:hAnsi="宋体" w:cs="宋体"/>
          <w:color w:val="auto"/>
          <w:szCs w:val="21"/>
          <w:highlight w:val="none"/>
        </w:rPr>
        <w:t>。</w:t>
      </w:r>
    </w:p>
    <w:p w14:paraId="7728557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二、申请人的资格要求：</w:t>
      </w:r>
      <w:bookmarkEnd w:id="8"/>
      <w:bookmarkEnd w:id="9"/>
      <w:bookmarkEnd w:id="10"/>
      <w:bookmarkEnd w:id="11"/>
    </w:p>
    <w:p w14:paraId="5E8972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651A1E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3E86B9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AF6EA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0F3ACC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1A1A70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FE02D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2FE558A6">
      <w:pPr>
        <w:spacing w:line="360" w:lineRule="auto"/>
        <w:ind w:firstLine="420" w:firstLineChars="200"/>
        <w:rPr>
          <w:rFonts w:ascii="宋体" w:hAnsi="宋体" w:cs="宋体"/>
          <w:color w:val="auto"/>
          <w:szCs w:val="21"/>
          <w:highlight w:val="none"/>
        </w:rPr>
      </w:pPr>
      <w:bookmarkStart w:id="12" w:name="_Toc28359081"/>
      <w:bookmarkStart w:id="13" w:name="_Toc28359004"/>
      <w:r>
        <w:rPr>
          <w:rFonts w:hint="eastAsia" w:ascii="宋体" w:hAnsi="宋体" w:cs="宋体"/>
          <w:color w:val="auto"/>
          <w:szCs w:val="21"/>
          <w:highlight w:val="none"/>
        </w:rPr>
        <w:t>2.落实政府采购政策需满足的资格要求：</w:t>
      </w:r>
      <w:r>
        <w:rPr>
          <w:rFonts w:hint="eastAsia" w:ascii="宋体" w:hAnsi="宋体"/>
          <w:color w:val="auto"/>
          <w:highlight w:val="none"/>
        </w:rPr>
        <w:t>根据《政府采购促进中小企业发展管理办法》的相关规定，</w:t>
      </w:r>
      <w:r>
        <w:rPr>
          <w:rFonts w:hint="eastAsia" w:ascii="宋体" w:hAnsi="宋体"/>
          <w:b/>
          <w:bCs/>
          <w:color w:val="auto"/>
          <w:highlight w:val="none"/>
        </w:rPr>
        <w:t>本项目专门面向中小企业采购。</w:t>
      </w:r>
      <w:r>
        <w:rPr>
          <w:rFonts w:hint="eastAsia" w:ascii="宋体" w:hAnsi="宋体" w:cs="宋体"/>
          <w:b/>
          <w:bCs/>
          <w:color w:val="auto"/>
          <w:szCs w:val="21"/>
          <w:highlight w:val="none"/>
        </w:rPr>
        <w:t>本项目所属行业为工业</w:t>
      </w:r>
      <w:r>
        <w:rPr>
          <w:rFonts w:hint="eastAsia" w:ascii="宋体" w:hAnsi="宋体" w:cs="宋体"/>
          <w:color w:val="auto"/>
          <w:szCs w:val="21"/>
          <w:highlight w:val="none"/>
        </w:rPr>
        <w:t>。</w:t>
      </w:r>
    </w:p>
    <w:p w14:paraId="45BDBB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3.未被列入失信被执行人、重大税收违法案件当事人名单、政府采购严重失信行为记录名单。</w:t>
      </w:r>
    </w:p>
    <w:p w14:paraId="13260F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4.单位负责人为同一人或者存在直接控股、管理关系的不同供应商（包含法定代表人为同一个人的两个及两个以上法人，母公司、全资子公司及其控股公司），不得参加同一合同项下的政府采购活动。</w:t>
      </w:r>
    </w:p>
    <w:p w14:paraId="7ED3FE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5.为采购项目提供整体设计、规范编制或者项目管理、监理、检测等服务的供应商，不得再参加该采购项目的其他采购活动。</w:t>
      </w:r>
    </w:p>
    <w:p w14:paraId="75F750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6.本项目的特定资格要求：无。</w:t>
      </w:r>
    </w:p>
    <w:p w14:paraId="0559BCB4">
      <w:pPr>
        <w:spacing w:line="360" w:lineRule="auto"/>
        <w:ind w:firstLine="422" w:firstLineChars="200"/>
        <w:rPr>
          <w:rFonts w:ascii="宋体" w:hAnsi="宋体" w:cs="宋体"/>
          <w:b/>
          <w:color w:val="auto"/>
          <w:szCs w:val="21"/>
          <w:highlight w:val="none"/>
        </w:rPr>
      </w:pPr>
      <w:bookmarkStart w:id="14" w:name="_Toc35393792"/>
      <w:bookmarkStart w:id="15" w:name="_Toc35393623"/>
      <w:r>
        <w:rPr>
          <w:rFonts w:hint="eastAsia" w:ascii="宋体" w:hAnsi="宋体" w:cs="宋体"/>
          <w:b/>
          <w:color w:val="auto"/>
          <w:szCs w:val="21"/>
          <w:highlight w:val="none"/>
        </w:rPr>
        <w:t>三、</w:t>
      </w:r>
      <w:bookmarkEnd w:id="12"/>
      <w:bookmarkEnd w:id="13"/>
      <w:bookmarkEnd w:id="14"/>
      <w:bookmarkEnd w:id="15"/>
      <w:r>
        <w:rPr>
          <w:rFonts w:hint="eastAsia" w:ascii="宋体" w:hAnsi="宋体" w:cs="宋体"/>
          <w:b/>
          <w:color w:val="auto"/>
          <w:szCs w:val="21"/>
          <w:highlight w:val="none"/>
        </w:rPr>
        <w:t>招标文件的获取</w:t>
      </w:r>
    </w:p>
    <w:p w14:paraId="5EF8DAE0">
      <w:pPr>
        <w:spacing w:line="360" w:lineRule="auto"/>
        <w:ind w:firstLine="420" w:firstLineChars="200"/>
        <w:textAlignment w:val="baseline"/>
        <w:rPr>
          <w:rFonts w:ascii="宋体" w:hAnsi="宋体" w:cs="宋体"/>
          <w:color w:val="auto"/>
          <w:kern w:val="0"/>
          <w:szCs w:val="21"/>
          <w:highlight w:val="none"/>
          <w:shd w:val="clear" w:color="auto" w:fill="FFFFFF"/>
        </w:rPr>
      </w:pPr>
      <w:bookmarkStart w:id="16" w:name="_Toc28359082"/>
      <w:bookmarkStart w:id="17" w:name="_Toc28359005"/>
      <w:bookmarkStart w:id="18" w:name="_Toc35393624"/>
      <w:bookmarkStart w:id="19" w:name="_Toc35393793"/>
      <w:r>
        <w:rPr>
          <w:rFonts w:hint="eastAsia" w:ascii="宋体" w:hAnsi="宋体" w:cs="宋体"/>
          <w:color w:val="auto"/>
          <w:kern w:val="0"/>
          <w:szCs w:val="21"/>
          <w:highlight w:val="none"/>
          <w:shd w:val="clear" w:color="auto" w:fill="FFFFFF"/>
        </w:rPr>
        <w:t>1.时间：自公告发布之日起5个工作日</w:t>
      </w:r>
    </w:p>
    <w:p w14:paraId="5308D26F">
      <w:pPr>
        <w:spacing w:line="360" w:lineRule="auto"/>
        <w:ind w:firstLine="420" w:firstLineChars="200"/>
        <w:textAlignment w:val="baseline"/>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2.地点：</w:t>
      </w:r>
      <w:r>
        <w:rPr>
          <w:rFonts w:hint="eastAsia" w:ascii="宋体" w:hAnsi="宋体"/>
          <w:color w:val="auto"/>
          <w:szCs w:val="21"/>
          <w:highlight w:val="none"/>
        </w:rPr>
        <w:t>苏采云系统自行下载</w:t>
      </w:r>
    </w:p>
    <w:p w14:paraId="00F29DD2">
      <w:pPr>
        <w:spacing w:line="360" w:lineRule="auto"/>
        <w:ind w:firstLine="420" w:firstLineChars="200"/>
        <w:textAlignment w:val="baseline"/>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3.方式：</w:t>
      </w:r>
    </w:p>
    <w:p w14:paraId="0528E14E">
      <w:pPr>
        <w:pStyle w:val="5"/>
        <w:overflowPunct w:val="0"/>
        <w:spacing w:line="360" w:lineRule="auto"/>
        <w:ind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（1）CA证书办理</w:t>
      </w:r>
    </w:p>
    <w:p w14:paraId="74C58BD2">
      <w:pPr>
        <w:spacing w:line="360" w:lineRule="auto"/>
        <w:ind w:firstLine="420" w:firstLineChars="200"/>
        <w:textAlignment w:val="baseline"/>
        <w:rPr>
          <w:rFonts w:ascii="宋体" w:hAnsi="宋体" w:cs="宋体"/>
          <w:color w:val="auto"/>
          <w:kern w:val="0"/>
          <w:szCs w:val="21"/>
          <w:highlight w:val="none"/>
          <w:shd w:val="clear" w:color="auto" w:fill="FFFFFF"/>
        </w:rPr>
      </w:pPr>
      <w:r>
        <w:rPr>
          <w:rFonts w:hint="eastAsia" w:ascii="宋体" w:hAnsi="宋体"/>
          <w:color w:val="auto"/>
          <w:szCs w:val="21"/>
          <w:highlight w:val="none"/>
        </w:rPr>
        <w:t>供应商参与政府采购活动需办理江苏省电子政务证书认证中心CA证书和方正国际软件（北京）有限公司电子签章。CA证书及电子签章的办理方法详见苏州市政府采购网</w:t>
      </w:r>
      <w:r>
        <w:rPr>
          <w:rFonts w:ascii="宋体" w:hAnsi="宋体"/>
          <w:color w:val="auto"/>
          <w:szCs w:val="21"/>
          <w:highlight w:val="none"/>
        </w:rPr>
        <w:t>—</w:t>
      </w:r>
      <w:r>
        <w:rPr>
          <w:rFonts w:hint="eastAsia" w:ascii="宋体" w:hAnsi="宋体"/>
          <w:color w:val="auto"/>
          <w:szCs w:val="21"/>
          <w:highlight w:val="none"/>
        </w:rPr>
        <w:t>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w:t>
      </w:r>
      <w:r>
        <w:rPr>
          <w:rFonts w:hint="eastAsia" w:ascii="宋体" w:hAnsi="宋体"/>
          <w:b/>
          <w:color w:val="auto"/>
          <w:szCs w:val="21"/>
          <w:highlight w:val="none"/>
        </w:rPr>
        <w:t>苏州现场办理地址：苏州市高新区邓尉路105号狮山科技馆一楼服务大厅，咨询电话：0512-65737699</w:t>
      </w:r>
      <w:r>
        <w:rPr>
          <w:rFonts w:hint="eastAsia" w:ascii="宋体" w:hAnsi="宋体" w:cs="宋体"/>
          <w:color w:val="auto"/>
          <w:kern w:val="0"/>
          <w:szCs w:val="21"/>
          <w:highlight w:val="none"/>
          <w:shd w:val="clear" w:color="auto" w:fill="FFFFFF"/>
        </w:rPr>
        <w:t>。</w:t>
      </w:r>
    </w:p>
    <w:p w14:paraId="033B8F2A">
      <w:pPr>
        <w:spacing w:line="360" w:lineRule="auto"/>
        <w:ind w:firstLine="420" w:firstLineChars="200"/>
        <w:textAlignment w:val="baseline"/>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（2）参与采购活动</w:t>
      </w:r>
    </w:p>
    <w:p w14:paraId="7031AF0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供应商插入CA证书登</w:t>
      </w:r>
      <w:r>
        <w:rPr>
          <w:rFonts w:hint="eastAsia" w:ascii="宋体" w:hAnsi="宋体"/>
          <w:color w:val="auto"/>
          <w:szCs w:val="21"/>
          <w:highlight w:val="none"/>
        </w:rPr>
        <w:t>录</w:t>
      </w:r>
      <w:r>
        <w:rPr>
          <w:rFonts w:hint="eastAsia" w:ascii="宋体" w:hAnsi="宋体" w:cs="宋体"/>
          <w:color w:val="auto"/>
          <w:kern w:val="0"/>
          <w:szCs w:val="21"/>
          <w:highlight w:val="none"/>
        </w:rPr>
        <w:t>“苏采云”系统后选择具体项目，点击“我要参与”并签章提交《投标供应商确认函》，提交《投标供应商确认函》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14:paraId="6571F08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（3）电子投标准备</w:t>
      </w:r>
    </w:p>
    <w:p w14:paraId="0DE81411">
      <w:pPr>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kern w:val="0"/>
          <w:szCs w:val="21"/>
          <w:highlight w:val="none"/>
        </w:rPr>
        <w:t>供应商在“苏采云”系统中操作成功参与项目后，必须在“已参与项目”界面中下载电子招标文件（后缀名为“.kedt”）并导入政府采购客户端工具后方可进行投标文件制作和提交</w:t>
      </w:r>
      <w:r>
        <w:rPr>
          <w:rFonts w:hint="eastAsia" w:ascii="宋体" w:hAnsi="宋体" w:cs="宋体"/>
          <w:b/>
          <w:bCs/>
          <w:color w:val="auto"/>
          <w:kern w:val="0"/>
          <w:szCs w:val="21"/>
          <w:highlight w:val="none"/>
        </w:rPr>
        <w:t>（具体详见《苏采云系统供应商操作手册》，网址链接https://czju.suzhou.gov.cn/zfcg/html/content/20231220161910031.shtml）。</w:t>
      </w:r>
    </w:p>
    <w:p w14:paraId="16965B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在系统操作过程中如有疑问，请按以下方式联系：</w:t>
      </w:r>
    </w:p>
    <w:p w14:paraId="61A4A86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注册咨询：18261002950；</w:t>
      </w:r>
    </w:p>
    <w:p w14:paraId="7E4C643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CA技术咨询电话：400-608-6099；</w:t>
      </w:r>
    </w:p>
    <w:p w14:paraId="3BC720D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签章使用问题：025-83633811、025-83633812、15380932027、15371015030；</w:t>
      </w:r>
    </w:p>
    <w:p w14:paraId="69F815C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系统使用指导与咨询：联系电话：18261002950；QQ：3048755361、1315179389、895706745。</w:t>
      </w:r>
    </w:p>
    <w:p w14:paraId="3D3F032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4.售价：免费。</w:t>
      </w:r>
    </w:p>
    <w:p w14:paraId="1A4187F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四、提交电子投标文件</w:t>
      </w:r>
      <w:bookmarkEnd w:id="16"/>
      <w:bookmarkEnd w:id="17"/>
      <w:r>
        <w:rPr>
          <w:rFonts w:hint="eastAsia" w:ascii="宋体" w:hAnsi="宋体" w:cs="宋体"/>
          <w:b/>
          <w:color w:val="auto"/>
          <w:szCs w:val="21"/>
          <w:highlight w:val="none"/>
        </w:rPr>
        <w:t>截止时间、开标时间和地点</w:t>
      </w:r>
      <w:bookmarkEnd w:id="18"/>
      <w:bookmarkEnd w:id="19"/>
    </w:p>
    <w:p w14:paraId="7D91172C">
      <w:pPr>
        <w:pStyle w:val="5"/>
        <w:overflowPunct w:val="0"/>
        <w:spacing w:line="360" w:lineRule="auto"/>
        <w:ind w:firstLineChars="200"/>
        <w:rPr>
          <w:rFonts w:ascii="宋体" w:hAnsi="宋体" w:eastAsia="宋体" w:cs="宋体"/>
          <w:color w:val="auto"/>
          <w:sz w:val="21"/>
          <w:szCs w:val="21"/>
          <w:highlight w:val="none"/>
        </w:rPr>
      </w:pPr>
      <w:bookmarkStart w:id="20" w:name="_Toc35393625"/>
      <w:bookmarkStart w:id="21" w:name="_Toc28359084"/>
      <w:bookmarkStart w:id="22" w:name="_Toc35393794"/>
      <w:bookmarkStart w:id="23" w:name="_Toc28359007"/>
      <w:r>
        <w:rPr>
          <w:rFonts w:hint="eastAsia" w:ascii="宋体" w:hAnsi="宋体" w:eastAsia="宋体" w:cs="宋体"/>
          <w:color w:val="auto"/>
          <w:sz w:val="21"/>
          <w:szCs w:val="21"/>
          <w:highlight w:val="none"/>
        </w:rPr>
        <w:t>1.提交投标文件截止时间：202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日13：30（北京时间）； </w:t>
      </w:r>
    </w:p>
    <w:p w14:paraId="3B2569C9">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2.开标时间：202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日13：30（北京时间）；</w:t>
      </w:r>
    </w:p>
    <w:p w14:paraId="75792FE0">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3.开标地点：“苏采云”系统（网址：http://jszfcg.jsczt.cn/）</w:t>
      </w:r>
    </w:p>
    <w:p w14:paraId="075394DD">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采用电子招投标形式，请供应商按照《苏采云系统供应商操作手册》进行制作、上传电子投标文件。电子投标文件制作完成后请于投标文件递交截止时间前成功上传至“苏采云”系统，否则视为放弃参加该采购项目。供应商应充分考虑到网络环境、网络带宽等风险因素，如因供应商自身原因造成的电子投标文件上传不成功由供应商自行承担全部责任。</w:t>
      </w:r>
    </w:p>
    <w:p w14:paraId="7826DDAC">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线上参加开标（开启）会方式：供应商登录“苏采云”系统在平台首页点击“开标大厅”，进入江苏省政府采购一体化不见面开标（采购）大厅，在今日项目列表，点击项目，进入不见面开标系统。本项目为不见面开标项目，开标阶段供应商在【供应商解密】环节必须使用 CA证书解密电子投标文件，如在系统规定的解密时间内未能完成解密的视为放弃投标。</w:t>
      </w:r>
    </w:p>
    <w:p w14:paraId="1FC9BE5D">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请供应商确保电脑、系统及其他设备（视频输入输出设备等）无误，且开标直至项目结束始终保持系统在线状态。</w:t>
      </w:r>
    </w:p>
    <w:p w14:paraId="4AB5689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五、公告期限</w:t>
      </w:r>
      <w:bookmarkEnd w:id="20"/>
      <w:bookmarkEnd w:id="21"/>
      <w:bookmarkEnd w:id="22"/>
      <w:bookmarkEnd w:id="23"/>
    </w:p>
    <w:p w14:paraId="326FB2E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75D61E0">
      <w:pPr>
        <w:numPr>
          <w:ilvl w:val="0"/>
          <w:numId w:val="3"/>
        </w:numPr>
        <w:spacing w:line="360" w:lineRule="auto"/>
        <w:ind w:firstLine="422" w:firstLineChars="200"/>
        <w:rPr>
          <w:rFonts w:ascii="宋体" w:hAnsi="宋体" w:cs="宋体"/>
          <w:b/>
          <w:color w:val="auto"/>
          <w:szCs w:val="21"/>
          <w:highlight w:val="none"/>
        </w:rPr>
      </w:pPr>
      <w:bookmarkStart w:id="24" w:name="_Toc35393626"/>
      <w:bookmarkStart w:id="25" w:name="_Toc35393795"/>
      <w:r>
        <w:rPr>
          <w:rFonts w:hint="eastAsia" w:ascii="宋体" w:hAnsi="宋体" w:cs="宋体"/>
          <w:b/>
          <w:color w:val="auto"/>
          <w:szCs w:val="21"/>
          <w:highlight w:val="none"/>
        </w:rPr>
        <w:t>其他补充事宜</w:t>
      </w:r>
      <w:bookmarkEnd w:id="24"/>
      <w:bookmarkEnd w:id="25"/>
    </w:p>
    <w:p w14:paraId="00938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1.根据苏州市财政局《关于深入开展苏州市政府采购合同信用融资业务的通知》相关要求，本项目支持政府采购合同信用融资。</w:t>
      </w:r>
    </w:p>
    <w:p w14:paraId="2180D0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2.本公告有关信息将同时在苏州市政府采购网、江苏省政府采购网上发布，敬请留意。</w:t>
      </w:r>
    </w:p>
    <w:p w14:paraId="60DB92B6">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en-US" w:eastAsia="zh-CN"/>
        </w:rPr>
        <w:t>苏州吴江区政府采购办公室监督电话：0512-63982393。</w:t>
      </w:r>
    </w:p>
    <w:p w14:paraId="528DC1DB">
      <w:pPr>
        <w:spacing w:line="360" w:lineRule="auto"/>
        <w:ind w:firstLine="422" w:firstLineChars="200"/>
        <w:rPr>
          <w:rFonts w:ascii="宋体" w:hAnsi="宋体" w:cs="宋体"/>
          <w:b/>
          <w:color w:val="auto"/>
          <w:szCs w:val="21"/>
          <w:highlight w:val="none"/>
        </w:rPr>
      </w:pPr>
      <w:bookmarkStart w:id="26" w:name="_Toc35393627"/>
      <w:bookmarkStart w:id="27" w:name="_Toc28359008"/>
      <w:bookmarkStart w:id="28" w:name="_Toc28359085"/>
      <w:bookmarkStart w:id="29" w:name="_Toc35393796"/>
      <w:r>
        <w:rPr>
          <w:rFonts w:hint="eastAsia" w:ascii="宋体" w:hAnsi="宋体" w:cs="宋体"/>
          <w:b/>
          <w:color w:val="auto"/>
          <w:szCs w:val="21"/>
          <w:highlight w:val="none"/>
        </w:rPr>
        <w:t>七、对本次招标提出询问，请按以下方式联系。</w:t>
      </w:r>
      <w:bookmarkEnd w:id="26"/>
      <w:bookmarkEnd w:id="27"/>
      <w:bookmarkEnd w:id="28"/>
      <w:bookmarkEnd w:id="29"/>
    </w:p>
    <w:p w14:paraId="5F81D5C8">
      <w:pPr>
        <w:widowControl/>
        <w:spacing w:line="360" w:lineRule="auto"/>
        <w:ind w:firstLine="420" w:firstLineChars="200"/>
        <w:jc w:val="left"/>
        <w:rPr>
          <w:rFonts w:ascii="宋体" w:hAnsi="宋体" w:cs="宋体"/>
          <w:color w:val="auto"/>
          <w:szCs w:val="21"/>
          <w:highlight w:val="none"/>
        </w:rPr>
      </w:pPr>
      <w:bookmarkStart w:id="30" w:name="_Toc35393786"/>
      <w:bookmarkStart w:id="31" w:name="_Toc28358998"/>
      <w:bookmarkStart w:id="32" w:name="_Toc35393617"/>
      <w:bookmarkStart w:id="33" w:name="_Toc28359075"/>
      <w:r>
        <w:rPr>
          <w:rFonts w:hint="eastAsia" w:ascii="宋体" w:hAnsi="宋体" w:cs="宋体"/>
          <w:color w:val="auto"/>
          <w:szCs w:val="21"/>
          <w:highlight w:val="none"/>
        </w:rPr>
        <w:t>1.采购单位信息</w:t>
      </w:r>
      <w:bookmarkEnd w:id="30"/>
      <w:bookmarkEnd w:id="31"/>
      <w:bookmarkEnd w:id="32"/>
      <w:bookmarkEnd w:id="33"/>
    </w:p>
    <w:p w14:paraId="7386F2F4">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江苏省汾湖高新技术产业开发区管理委员会</w:t>
      </w:r>
    </w:p>
    <w:p w14:paraId="5A92E41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地    址：江苏省苏州市吴江区黎里镇芦莘大道 </w:t>
      </w:r>
    </w:p>
    <w:p w14:paraId="39994241">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联系电话：0512-63479119</w:t>
      </w:r>
      <w:r>
        <w:rPr>
          <w:rFonts w:hint="eastAsia" w:ascii="宋体" w:hAnsi="宋体" w:cs="宋体"/>
          <w:bCs/>
          <w:color w:val="auto"/>
          <w:szCs w:val="21"/>
          <w:highlight w:val="none"/>
          <w:lang w:val="en-US" w:eastAsia="zh-CN"/>
        </w:rPr>
        <w:t xml:space="preserve"> </w:t>
      </w:r>
    </w:p>
    <w:p w14:paraId="2A12FE18">
      <w:pPr>
        <w:widowControl/>
        <w:spacing w:line="360" w:lineRule="auto"/>
        <w:ind w:firstLine="420" w:firstLineChars="200"/>
        <w:jc w:val="left"/>
        <w:rPr>
          <w:rFonts w:ascii="宋体" w:hAnsi="宋体" w:cs="宋体"/>
          <w:color w:val="auto"/>
          <w:szCs w:val="21"/>
          <w:highlight w:val="none"/>
        </w:rPr>
      </w:pPr>
      <w:bookmarkStart w:id="34" w:name="_Toc28359000"/>
      <w:bookmarkStart w:id="35" w:name="_Toc28359077"/>
      <w:bookmarkStart w:id="36" w:name="_Toc35393619"/>
      <w:bookmarkStart w:id="37" w:name="_Toc35393788"/>
      <w:r>
        <w:rPr>
          <w:rFonts w:hint="eastAsia" w:ascii="宋体" w:hAnsi="宋体" w:cs="宋体"/>
          <w:color w:val="auto"/>
          <w:szCs w:val="21"/>
          <w:highlight w:val="none"/>
        </w:rPr>
        <w:t>2.代理机构联系方式</w:t>
      </w:r>
      <w:bookmarkEnd w:id="34"/>
      <w:bookmarkEnd w:id="35"/>
      <w:bookmarkEnd w:id="36"/>
      <w:bookmarkEnd w:id="37"/>
    </w:p>
    <w:p w14:paraId="7135D803">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bookmarkStart w:id="38" w:name="XTDLJG_2"/>
      <w:r>
        <w:rPr>
          <w:rFonts w:hint="eastAsia" w:ascii="宋体" w:hAnsi="宋体" w:cs="宋体"/>
          <w:color w:val="auto"/>
          <w:szCs w:val="21"/>
          <w:highlight w:val="none"/>
        </w:rPr>
        <w:t>：</w:t>
      </w:r>
      <w:bookmarkEnd w:id="38"/>
      <w:r>
        <w:rPr>
          <w:rFonts w:hint="eastAsia" w:ascii="宋体" w:hAnsi="宋体" w:cs="宋体"/>
          <w:color w:val="auto"/>
          <w:szCs w:val="21"/>
          <w:highlight w:val="none"/>
          <w:lang w:eastAsia="zh-CN"/>
        </w:rPr>
        <w:t>苏州中合惠德项目管理有限公司</w:t>
      </w:r>
    </w:p>
    <w:p w14:paraId="37F5782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地  址：地  址：苏州市高新区滨河路337号F9-905-009   </w:t>
      </w:r>
    </w:p>
    <w:p w14:paraId="710783F1">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联系人：李湘怡</w:t>
      </w:r>
    </w:p>
    <w:p w14:paraId="1777B120">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联系电话：15370779133</w:t>
      </w:r>
    </w:p>
    <w:p w14:paraId="5196AB6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18EC92D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项目联系人：李湘怡</w:t>
      </w:r>
    </w:p>
    <w:p w14:paraId="25BBF7F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话：15370779133</w:t>
      </w:r>
    </w:p>
    <w:bookmarkEnd w:id="2"/>
    <w:p w14:paraId="55C4B666">
      <w:pPr>
        <w:pStyle w:val="22"/>
        <w:pageBreakBefore/>
        <w:tabs>
          <w:tab w:val="right" w:leader="dot" w:pos="8302"/>
        </w:tabs>
        <w:spacing w:line="360" w:lineRule="auto"/>
        <w:ind w:firstLine="640"/>
        <w:jc w:val="center"/>
        <w:rPr>
          <w:rStyle w:val="33"/>
          <w:rFonts w:ascii="宋体" w:hAnsi="宋体" w:cs="宋体"/>
          <w:color w:val="auto"/>
          <w:sz w:val="32"/>
          <w:szCs w:val="32"/>
          <w:highlight w:val="none"/>
        </w:rPr>
      </w:pPr>
      <w:r>
        <w:rPr>
          <w:rStyle w:val="33"/>
          <w:rFonts w:hint="eastAsia" w:ascii="宋体" w:hAnsi="宋体" w:cs="宋体"/>
          <w:color w:val="auto"/>
          <w:sz w:val="32"/>
          <w:szCs w:val="32"/>
          <w:highlight w:val="none"/>
        </w:rPr>
        <w:t>第二章  投标人须知</w:t>
      </w:r>
    </w:p>
    <w:p w14:paraId="2AEC074A">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一、说明和释义</w:t>
      </w:r>
    </w:p>
    <w:p w14:paraId="143FC42A">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1.1本招标文件仅适用于苏州中合惠德项目管理有限公司组织的招标活动。</w:t>
      </w:r>
    </w:p>
    <w:p w14:paraId="3318CA72">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1.2本次招标活动及因本次招标产生的合同受中国法律制约和保护。</w:t>
      </w:r>
    </w:p>
    <w:p w14:paraId="6DE4A596">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1.3本招标文件的解释权属于苏州中合惠德项目管理有限公司。</w:t>
      </w:r>
    </w:p>
    <w:p w14:paraId="2E65A558">
      <w:pPr>
        <w:autoSpaceDE w:val="0"/>
        <w:autoSpaceDN w:val="0"/>
        <w:spacing w:line="360" w:lineRule="auto"/>
        <w:ind w:firstLine="420" w:firstLineChars="200"/>
        <w:rPr>
          <w:rFonts w:ascii="宋体" w:hAnsi="宋体" w:cs="宋体"/>
          <w:bCs/>
          <w:color w:val="auto"/>
          <w:szCs w:val="21"/>
          <w:highlight w:val="none"/>
          <w:lang w:val="zh-CN"/>
        </w:rPr>
      </w:pPr>
      <w:r>
        <w:rPr>
          <w:rFonts w:hint="eastAsia" w:ascii="宋体" w:hAnsi="宋体" w:cs="宋体"/>
          <w:bCs/>
          <w:color w:val="auto"/>
          <w:szCs w:val="21"/>
          <w:highlight w:val="none"/>
          <w:lang w:val="zh-CN"/>
        </w:rPr>
        <w:t>1.4 词语释义</w:t>
      </w:r>
    </w:p>
    <w:p w14:paraId="1DC2046C">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1.4.1招标代理机构：具体组织实施招标活动的法人。</w:t>
      </w:r>
    </w:p>
    <w:p w14:paraId="3675161E">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1.4.2投标人（投标单位）：经认定有资格响应招标，参加投标竞争的法人或其他组织和自然人。</w:t>
      </w:r>
    </w:p>
    <w:p w14:paraId="5C0D5E3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1.4.3响应：投标人根据招标代理机构或招标代理机构发布的招标文件，编制投标文件并按规定投标的行为。</w:t>
      </w:r>
    </w:p>
    <w:p w14:paraId="0145D758">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1.4.4合同：采供双方根据招标文件和中标的投标文件及中标通知书规定的内容签署的以书面形式所达成的协议，包括所有的附件、附录和构成协议的所有文件。</w:t>
      </w:r>
    </w:p>
    <w:p w14:paraId="52BC256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1.4.5甲方（委托方）：合同中明确规定的实际购买货物和服务的法人或其他组织和自然人 。</w:t>
      </w:r>
    </w:p>
    <w:p w14:paraId="2D88C98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1.4.6乙方（服务方）：合同中规定的向采购单位提供货物和服务的法人或其他组织和自然人。</w:t>
      </w:r>
    </w:p>
    <w:p w14:paraId="573A96B2">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lang w:val="zh-CN"/>
        </w:rPr>
        <w:t>1.4.7</w:t>
      </w:r>
      <w:r>
        <w:rPr>
          <w:rFonts w:hint="eastAsia" w:ascii="宋体" w:hAnsi="宋体" w:cs="宋体"/>
          <w:color w:val="auto"/>
          <w:highlight w:val="none"/>
        </w:rPr>
        <w:t>货物：系指乙方按招标文件规定，应向甲方提供的一切设备、备品、备件、工具、手册及其它有关技术资料和材料。</w:t>
      </w:r>
    </w:p>
    <w:p w14:paraId="6B760EAE">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highlight w:val="none"/>
        </w:rPr>
        <w:t>1.4.8</w:t>
      </w:r>
      <w:r>
        <w:rPr>
          <w:rFonts w:hint="eastAsia" w:ascii="宋体" w:hAnsi="宋体" w:cs="宋体"/>
          <w:color w:val="auto"/>
          <w:szCs w:val="21"/>
          <w:highlight w:val="none"/>
          <w:lang w:val="zh-CN"/>
        </w:rPr>
        <w:t>服务：系指本次招标文件规定乙方应承担的与提供货物和服务有关的辅助服务，比如运输、保险、安装、调试、提供技术援助、培训、配合措施、维修响应及合同中规定乙方应承担的其它义务</w:t>
      </w:r>
      <w:r>
        <w:rPr>
          <w:rFonts w:hint="eastAsia" w:ascii="宋体" w:hAnsi="宋体" w:cs="宋体"/>
          <w:color w:val="auto"/>
          <w:szCs w:val="21"/>
          <w:highlight w:val="none"/>
        </w:rPr>
        <w:t>。</w:t>
      </w:r>
    </w:p>
    <w:p w14:paraId="7C04468A">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1.4.9知识产权：指专利权、商标权、著作权等无形财产专有权的统称。</w:t>
      </w:r>
    </w:p>
    <w:p w14:paraId="607911E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1.4.10天：日历日。</w:t>
      </w:r>
    </w:p>
    <w:p w14:paraId="29AEFE3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1.4.11交货地点：合同中明确约定的乙方提交的货物和服务最终交付地点。</w:t>
      </w:r>
    </w:p>
    <w:p w14:paraId="4AF0562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1.4.12合同价款：根据合同规定，乙方在正确地履行合同义务后甲方应支付乙方的价款。</w:t>
      </w:r>
    </w:p>
    <w:p w14:paraId="1FD264D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1.4.13产地：货物开采、生长、生产、最终制造、加工或提供服务的来源地。</w:t>
      </w:r>
    </w:p>
    <w:p w14:paraId="16B960C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1.4.14 不可抗力：不能预见、不能避免并且不能克服的客观情况。</w:t>
      </w:r>
    </w:p>
    <w:p w14:paraId="2FB5362A">
      <w:pPr>
        <w:pStyle w:val="5"/>
        <w:overflowPunct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1.4.15损失：本合同所指损失是指合同任何一方因对方不履行合同义务或履行不当而遭致的各种损害，包括直接和间接的一切损害，还包括守约一方为减轻损害或维护权利而需要支付的各种调查费用，车旅费用、律师费用等。</w:t>
      </w:r>
    </w:p>
    <w:p w14:paraId="46A62984">
      <w:pPr>
        <w:pStyle w:val="5"/>
        <w:overflowPunct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1.4.16进口产品：指通过中国海关报关验收进入中国境内且产自境外的产品，具体按照苏财购〔2008〕14号江苏省财政厅转发财政部办公厅关于政府采购进口产品管理有关问题的通知的规定。</w:t>
      </w:r>
    </w:p>
    <w:p w14:paraId="12E31309">
      <w:pPr>
        <w:pStyle w:val="5"/>
        <w:overflowPunct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1.4.17书面形式：指书面文字、合同书、信件和数据电文（包括电报、电传、传真、电子数据交换和电子邮件）等可以有形地表现所载内容的形式。</w:t>
      </w:r>
    </w:p>
    <w:p w14:paraId="105DEAD5">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二、 投标人</w:t>
      </w:r>
    </w:p>
    <w:p w14:paraId="270F78F2">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 合格投标人的条件：</w:t>
      </w:r>
    </w:p>
    <w:p w14:paraId="122FDB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2.1具有独立承担民事责任的能力；</w:t>
      </w:r>
    </w:p>
    <w:p w14:paraId="4E1A51DA">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2.2具有良好的商业信誉和健全的财务会计制度；</w:t>
      </w:r>
    </w:p>
    <w:p w14:paraId="6072A06A">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2.3具有履行合同所必需的设备和专业技术</w:t>
      </w:r>
      <w:r>
        <w:rPr>
          <w:rFonts w:hint="eastAsia" w:ascii="宋体" w:hAnsi="宋体" w:cs="宋体"/>
          <w:color w:val="auto"/>
          <w:szCs w:val="21"/>
          <w:highlight w:val="none"/>
        </w:rPr>
        <w:t>能力</w:t>
      </w:r>
      <w:r>
        <w:rPr>
          <w:rFonts w:hint="eastAsia" w:ascii="宋体" w:hAnsi="宋体" w:cs="宋体"/>
          <w:color w:val="auto"/>
          <w:szCs w:val="21"/>
          <w:highlight w:val="none"/>
          <w:lang w:val="zh-CN"/>
        </w:rPr>
        <w:t>；</w:t>
      </w:r>
    </w:p>
    <w:p w14:paraId="75E1C5FA">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2.4有依法缴纳税收和社会保障资金的良好记录；</w:t>
      </w:r>
    </w:p>
    <w:p w14:paraId="06DD2823">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lang w:val="zh-CN"/>
        </w:rPr>
        <w:t>2.5</w:t>
      </w:r>
      <w:r>
        <w:rPr>
          <w:rFonts w:hint="eastAsia" w:ascii="宋体" w:hAnsi="宋体" w:cs="宋体"/>
          <w:color w:val="auto"/>
          <w:highlight w:val="none"/>
        </w:rPr>
        <w:t>参加政府采购活动前三年内，在经营活动中没有重大违法记录；</w:t>
      </w:r>
    </w:p>
    <w:p w14:paraId="56813058">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2.6</w:t>
      </w:r>
      <w:r>
        <w:rPr>
          <w:rFonts w:hint="eastAsia" w:ascii="宋体" w:hAnsi="宋体" w:cs="宋体"/>
          <w:color w:val="auto"/>
          <w:szCs w:val="21"/>
          <w:highlight w:val="none"/>
        </w:rPr>
        <w:t>法律、行政法规规定的其他条件。</w:t>
      </w:r>
    </w:p>
    <w:p w14:paraId="2073852A">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2.7</w:t>
      </w:r>
      <w:r>
        <w:rPr>
          <w:rFonts w:hint="eastAsia" w:ascii="宋体" w:hAnsi="宋体" w:cs="宋体"/>
          <w:color w:val="auto"/>
          <w:highlight w:val="none"/>
        </w:rPr>
        <w:t>合格投标单位其他资格条件见第一章投标邀请函；</w:t>
      </w:r>
    </w:p>
    <w:p w14:paraId="1B75C7FB">
      <w:pPr>
        <w:autoSpaceDE w:val="0"/>
        <w:autoSpaceDN w:val="0"/>
        <w:spacing w:line="360" w:lineRule="auto"/>
        <w:rPr>
          <w:rFonts w:ascii="宋体" w:hAnsi="宋体" w:cs="宋体"/>
          <w:color w:val="auto"/>
          <w:szCs w:val="21"/>
          <w:highlight w:val="none"/>
          <w:lang w:val="zh-CN"/>
        </w:rPr>
      </w:pPr>
      <w:r>
        <w:rPr>
          <w:rFonts w:hint="eastAsia" w:ascii="宋体" w:hAnsi="宋体" w:cs="宋体"/>
          <w:b/>
          <w:bCs/>
          <w:color w:val="auto"/>
          <w:szCs w:val="21"/>
          <w:highlight w:val="none"/>
          <w:lang w:val="zh-CN"/>
        </w:rPr>
        <w:t>3. 投标人代表：</w:t>
      </w:r>
      <w:r>
        <w:rPr>
          <w:rFonts w:hint="eastAsia" w:ascii="宋体" w:hAnsi="宋体" w:cs="宋体"/>
          <w:color w:val="auto"/>
          <w:szCs w:val="21"/>
          <w:highlight w:val="none"/>
          <w:lang w:val="zh-CN"/>
        </w:rPr>
        <w:t>指全权代表投标方参加投标活动并签署投标文件的人。如果投标方代表不是法定代表人，须持有《法人授权委托书》（详见统一格式）。</w:t>
      </w:r>
    </w:p>
    <w:p w14:paraId="4ED1F6A4">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4. 投标费用 </w:t>
      </w:r>
    </w:p>
    <w:p w14:paraId="1BF2097F">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4.1无论投标过程中的做法和结果如何，投标人自行承担所有与参加投标有关的全部费用。</w:t>
      </w:r>
    </w:p>
    <w:p w14:paraId="36C8CAB3">
      <w:pP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val="zh-CN"/>
        </w:rPr>
        <w:t>5.</w:t>
      </w:r>
      <w:r>
        <w:rPr>
          <w:rFonts w:hint="eastAsia" w:ascii="宋体" w:hAnsi="宋体" w:cs="宋体"/>
          <w:b/>
          <w:bCs/>
          <w:color w:val="auto"/>
          <w:szCs w:val="21"/>
          <w:highlight w:val="none"/>
        </w:rPr>
        <w:t xml:space="preserve"> 联合投标及分包转包</w:t>
      </w:r>
    </w:p>
    <w:p w14:paraId="63A4A2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5.1本次招标不接受联合投标的方式；</w:t>
      </w:r>
    </w:p>
    <w:p w14:paraId="23736A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5.2本次招标不接受转包、分包。</w:t>
      </w:r>
    </w:p>
    <w:p w14:paraId="59BDE355">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三、 招标文件的说明</w:t>
      </w:r>
    </w:p>
    <w:p w14:paraId="1E867148">
      <w:pPr>
        <w:spacing w:line="360" w:lineRule="auto"/>
        <w:rPr>
          <w:rFonts w:ascii="宋体" w:hAnsi="宋体" w:cs="宋体"/>
          <w:b/>
          <w:color w:val="auto"/>
          <w:highlight w:val="none"/>
        </w:rPr>
      </w:pPr>
      <w:r>
        <w:rPr>
          <w:rFonts w:hint="eastAsia" w:ascii="宋体" w:hAnsi="宋体" w:cs="宋体"/>
          <w:b/>
          <w:color w:val="auto"/>
          <w:highlight w:val="none"/>
        </w:rPr>
        <w:t>6. 招标文件</w:t>
      </w:r>
    </w:p>
    <w:p w14:paraId="3A211826">
      <w:pPr>
        <w:spacing w:line="360" w:lineRule="auto"/>
        <w:ind w:firstLine="422"/>
        <w:rPr>
          <w:rFonts w:ascii="宋体" w:hAnsi="宋体" w:cs="宋体"/>
          <w:color w:val="auto"/>
          <w:highlight w:val="none"/>
        </w:rPr>
      </w:pPr>
      <w:r>
        <w:rPr>
          <w:rFonts w:hint="eastAsia" w:ascii="宋体" w:hAnsi="宋体" w:cs="宋体"/>
          <w:color w:val="auto"/>
          <w:highlight w:val="none"/>
        </w:rPr>
        <w:t>6.1招标文件由招标文件总目录所列内容组成。投标单位应详细阅读招标文件的全部内容。不按招标文件的要求提供的投标文件和资料，可能导致投标被拒绝。</w:t>
      </w:r>
    </w:p>
    <w:p w14:paraId="21EA586C">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6.2 招标文件及其更正公告不是直接从苏采云系统中获得的，招标采购单位对招标文件及其补遗的真实性、完整性不承担任何责任。</w:t>
      </w:r>
    </w:p>
    <w:p w14:paraId="08740ED8">
      <w:pPr>
        <w:spacing w:line="360" w:lineRule="auto"/>
        <w:rPr>
          <w:rFonts w:ascii="宋体" w:hAnsi="宋体" w:cs="宋体"/>
          <w:b/>
          <w:color w:val="auto"/>
          <w:highlight w:val="none"/>
        </w:rPr>
      </w:pPr>
      <w:r>
        <w:rPr>
          <w:rFonts w:hint="eastAsia" w:ascii="宋体" w:hAnsi="宋体" w:cs="宋体"/>
          <w:b/>
          <w:color w:val="auto"/>
          <w:highlight w:val="none"/>
        </w:rPr>
        <w:t>7. 招标文件的澄清</w:t>
      </w:r>
    </w:p>
    <w:p w14:paraId="4D1E63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招标采购单位无论出于自己的考虑，还是出于对投标人提问的澄清，均可对招标文件用更正公告的方式进行澄清或者修改，并通过苏州市政府采购网对外进行发布。</w:t>
      </w:r>
    </w:p>
    <w:p w14:paraId="0D2BE0AE">
      <w:pPr>
        <w:spacing w:line="360" w:lineRule="auto"/>
        <w:rPr>
          <w:rFonts w:ascii="宋体" w:hAnsi="宋体" w:cs="宋体"/>
          <w:b/>
          <w:color w:val="auto"/>
          <w:highlight w:val="none"/>
        </w:rPr>
      </w:pPr>
      <w:r>
        <w:rPr>
          <w:rFonts w:hint="eastAsia" w:ascii="宋体" w:hAnsi="宋体" w:cs="宋体"/>
          <w:b/>
          <w:color w:val="auto"/>
          <w:highlight w:val="none"/>
        </w:rPr>
        <w:t>8. 招标文件的修改</w:t>
      </w:r>
    </w:p>
    <w:p w14:paraId="4A5CE7D3">
      <w:pPr>
        <w:spacing w:line="360" w:lineRule="auto"/>
        <w:ind w:firstLine="422"/>
        <w:rPr>
          <w:rFonts w:ascii="宋体" w:hAnsi="宋体" w:cs="宋体"/>
          <w:color w:val="auto"/>
          <w:highlight w:val="none"/>
        </w:rPr>
      </w:pPr>
      <w:r>
        <w:rPr>
          <w:rFonts w:hint="eastAsia" w:ascii="宋体" w:hAnsi="宋体" w:cs="宋体"/>
          <w:color w:val="auto"/>
          <w:highlight w:val="none"/>
        </w:rPr>
        <w:t>8.1对于补充通知（包括更正公告），报名成功的供应商通过“苏州市政府采购网”的“采购公告”自行查看所报项目的补充通知（包括更正公告）。补充通知（包括更正公告）将作为招标文件的组成部分，对所有投标人有约束力。</w:t>
      </w:r>
    </w:p>
    <w:p w14:paraId="4CD18A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8.2为使投标人有足够的时间按招标文件的修改要求考虑修正投标文件，或出于其他原因，招标采购单位有权推迟投标截止日期和开标日期，并将此变更通知以更正公告的形式对外发布。</w:t>
      </w:r>
    </w:p>
    <w:p w14:paraId="7C72F3A4">
      <w:pPr>
        <w:spacing w:line="360" w:lineRule="auto"/>
        <w:rPr>
          <w:rFonts w:ascii="宋体" w:hAnsi="宋体" w:cs="宋体"/>
          <w:b/>
          <w:color w:val="auto"/>
          <w:highlight w:val="none"/>
        </w:rPr>
      </w:pPr>
      <w:r>
        <w:rPr>
          <w:rFonts w:hint="eastAsia" w:ascii="宋体" w:hAnsi="宋体" w:cs="宋体"/>
          <w:b/>
          <w:color w:val="auto"/>
          <w:highlight w:val="none"/>
        </w:rPr>
        <w:t>9. 投标答疑</w:t>
      </w:r>
    </w:p>
    <w:p w14:paraId="5C6D78C1">
      <w:pPr>
        <w:spacing w:line="360" w:lineRule="auto"/>
        <w:ind w:firstLine="422"/>
        <w:rPr>
          <w:rFonts w:ascii="宋体" w:hAnsi="宋体" w:cs="宋体"/>
          <w:color w:val="auto"/>
          <w:highlight w:val="none"/>
        </w:rPr>
      </w:pPr>
      <w:r>
        <w:rPr>
          <w:rFonts w:hint="eastAsia" w:ascii="宋体" w:hAnsi="宋体" w:cs="宋体"/>
          <w:color w:val="auto"/>
          <w:highlight w:val="none"/>
        </w:rPr>
        <w:t xml:space="preserve"> 9.1</w:t>
      </w:r>
      <w:r>
        <w:rPr>
          <w:rFonts w:hint="eastAsia" w:ascii="宋体" w:hAnsi="宋体" w:cs="宋体"/>
          <w:color w:val="auto"/>
          <w:szCs w:val="21"/>
          <w:highlight w:val="none"/>
        </w:rPr>
        <w:t>投标人在收到招标文件后，若有问题需要澄清，应在项目采购交易系统中提出，招标代理机构将以网上答复的方式予以解答（包括对询问的解释，但不说明来源）</w:t>
      </w:r>
      <w:r>
        <w:rPr>
          <w:rFonts w:hint="eastAsia" w:ascii="宋体" w:hAnsi="宋体" w:cs="宋体"/>
          <w:color w:val="auto"/>
          <w:highlight w:val="none"/>
        </w:rPr>
        <w:t>。</w:t>
      </w:r>
    </w:p>
    <w:p w14:paraId="76826D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9.2勘察现场：</w:t>
      </w:r>
    </w:p>
    <w:p w14:paraId="0531D40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9.2.1本项目因运行环境和安装设备的要求，投标单位根据自身投标需要，可对有关现场和周围环境进行勘察，以获取编制投标文件和签署合同所需的信息。勘察现场所发生的费用由投标人自己承担。</w:t>
      </w:r>
    </w:p>
    <w:p w14:paraId="066DC89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9.2.2招标采购单位向投标人提供的有关现场的资料和数据，是招标采购单位现有的并认为能使投标人可利用的资料。招标采购单位对投标人由此而做出的推论、理解和结论概不负责。</w:t>
      </w:r>
    </w:p>
    <w:p w14:paraId="392CB7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9.2.3 经招标采购单位允许，投标人可为勘察目的进入招标采购单位的项目现场，但投标人不得因此使招标采购单位承担有关的责任和蒙受损失。投标人应承担勘察现场的责任和风险。</w:t>
      </w:r>
    </w:p>
    <w:p w14:paraId="77FC38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9.3投标答疑包括招标采购单位认为可以回答且不会引起投标人误解的相关问题和答复。由于投标答疑而产生的对招标文件内容的澄清或者修改，由招标采购单位按照本须知有关规定，以更正公告的方式发出。</w:t>
      </w:r>
      <w:r>
        <w:rPr>
          <w:rFonts w:hint="eastAsia" w:ascii="宋体" w:hAnsi="宋体" w:cs="宋体"/>
          <w:color w:val="auto"/>
          <w:szCs w:val="21"/>
          <w:highlight w:val="none"/>
        </w:rPr>
        <w:t>招标文件的澄清、修改、补充等内容均以苏州政府采购网上等媒体发布的内容为准。</w:t>
      </w:r>
    </w:p>
    <w:p w14:paraId="75F18250">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四、投标文件说明</w:t>
      </w:r>
    </w:p>
    <w:p w14:paraId="4DE99ABA">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10． 提示与要求</w:t>
      </w:r>
    </w:p>
    <w:p w14:paraId="66F6C6B6">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10.1投标人应仔细阅读招标文件的所有内容，按招标文件的要求提供投标文件，并保证所提供的全部资料的真实性，以使其投标对招标文件做出实质性响应，否则，其投标可能被拒绝。</w:t>
      </w:r>
    </w:p>
    <w:p w14:paraId="0CE1E059">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10.2无论是否递交投标文件，投标人都应将招标文件及以后的所有通知、文件等视为保密文件。</w:t>
      </w:r>
    </w:p>
    <w:p w14:paraId="202557F7">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11. 投标文件计量单位和使用文字</w:t>
      </w:r>
    </w:p>
    <w:p w14:paraId="56D38D8F">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11.1投标文件中所使用的计量单位，除招标文件中有特殊要求外，均应使用中华人民共和国法定计量单位。</w:t>
      </w:r>
    </w:p>
    <w:p w14:paraId="735ADEBF">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11.2投标文件应使用中文编制，投标文件中必须使用其他文字的，必须附有中文译本。对于未附有中文译本和中文译本不准确的投标文件可能引起的对投标人不利的后果，招标代理机构概不负责。</w:t>
      </w:r>
    </w:p>
    <w:p w14:paraId="77B4D81A">
      <w:pPr>
        <w:autoSpaceDE w:val="0"/>
        <w:autoSpaceDN w:val="0"/>
        <w:spacing w:line="360" w:lineRule="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zh-CN"/>
        </w:rPr>
        <w:t>12. 投标文件的组成</w:t>
      </w:r>
    </w:p>
    <w:p w14:paraId="031D708D">
      <w:pPr>
        <w:pStyle w:val="5"/>
        <w:overflowPunct w:val="0"/>
        <w:spacing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12.1</w:t>
      </w:r>
      <w:r>
        <w:rPr>
          <w:rFonts w:hint="eastAsia" w:ascii="宋体" w:hAnsi="宋体" w:eastAsia="宋体" w:cs="宋体"/>
          <w:b/>
          <w:bCs/>
          <w:color w:val="auto"/>
          <w:sz w:val="21"/>
          <w:szCs w:val="21"/>
          <w:highlight w:val="none"/>
        </w:rPr>
        <w:t>封面</w:t>
      </w:r>
    </w:p>
    <w:p w14:paraId="0F93B81F">
      <w:pPr>
        <w:pStyle w:val="5"/>
        <w:overflowPunct w:val="0"/>
        <w:spacing w:line="360" w:lineRule="auto"/>
        <w:ind w:firstLine="422" w:firstLineChars="200"/>
        <w:rPr>
          <w:rFonts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12.2</w:t>
      </w:r>
      <w:r>
        <w:rPr>
          <w:rFonts w:hint="eastAsia" w:ascii="宋体" w:hAnsi="宋体" w:eastAsia="宋体" w:cs="宋体"/>
          <w:b/>
          <w:bCs/>
          <w:color w:val="auto"/>
          <w:sz w:val="21"/>
          <w:szCs w:val="21"/>
          <w:highlight w:val="none"/>
          <w:lang w:val="zh-CN"/>
        </w:rPr>
        <w:t>开标一览表</w:t>
      </w:r>
    </w:p>
    <w:p w14:paraId="2393BCFC">
      <w:pPr>
        <w:pStyle w:val="5"/>
        <w:overflowPunct w:val="0"/>
        <w:spacing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12.3投标报价分析表</w:t>
      </w:r>
    </w:p>
    <w:p w14:paraId="23CD6D41">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12.4</w:t>
      </w:r>
      <w:r>
        <w:rPr>
          <w:rFonts w:hint="eastAsia" w:ascii="宋体" w:hAnsi="宋体" w:cs="宋体"/>
          <w:b/>
          <w:bCs/>
          <w:color w:val="auto"/>
          <w:szCs w:val="21"/>
          <w:highlight w:val="none"/>
          <w:lang w:val="zh-CN"/>
        </w:rPr>
        <w:t>资格</w:t>
      </w:r>
      <w:r>
        <w:rPr>
          <w:rFonts w:hint="eastAsia" w:ascii="宋体" w:hAnsi="宋体" w:cs="宋体"/>
          <w:b/>
          <w:bCs/>
          <w:color w:val="auto"/>
          <w:szCs w:val="21"/>
          <w:highlight w:val="none"/>
        </w:rPr>
        <w:t>审查</w:t>
      </w:r>
      <w:r>
        <w:rPr>
          <w:rFonts w:hint="eastAsia" w:ascii="宋体" w:hAnsi="宋体" w:cs="宋体"/>
          <w:b/>
          <w:bCs/>
          <w:color w:val="auto"/>
          <w:szCs w:val="21"/>
          <w:highlight w:val="none"/>
          <w:lang w:val="zh-CN"/>
        </w:rPr>
        <w:t>文件</w:t>
      </w:r>
    </w:p>
    <w:p w14:paraId="2348D648">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12.</w:t>
      </w:r>
      <w:r>
        <w:rPr>
          <w:rFonts w:hint="eastAsia" w:ascii="宋体" w:hAnsi="宋体" w:cs="宋体"/>
          <w:color w:val="auto"/>
          <w:szCs w:val="21"/>
          <w:highlight w:val="none"/>
        </w:rPr>
        <w:t>4</w:t>
      </w:r>
      <w:r>
        <w:rPr>
          <w:rFonts w:hint="eastAsia" w:ascii="宋体" w:hAnsi="宋体" w:cs="宋体"/>
          <w:color w:val="auto"/>
          <w:szCs w:val="21"/>
          <w:highlight w:val="none"/>
          <w:lang w:val="zh-CN"/>
        </w:rPr>
        <w:t>.1满足《中华人民共和国政府采购法》第二十二条规定：</w:t>
      </w:r>
    </w:p>
    <w:p w14:paraId="66A342B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1）具有独立承担民事责任的能力。</w:t>
      </w:r>
      <w:r>
        <w:rPr>
          <w:rFonts w:hint="eastAsia" w:ascii="宋体" w:hAnsi="宋体" w:cs="宋体"/>
          <w:color w:val="auto"/>
          <w:szCs w:val="21"/>
          <w:highlight w:val="none"/>
        </w:rPr>
        <w:t>提供</w:t>
      </w:r>
      <w:r>
        <w:rPr>
          <w:rFonts w:hint="eastAsia" w:ascii="宋体" w:hAnsi="宋体" w:cs="宋体"/>
          <w:color w:val="auto"/>
          <w:szCs w:val="21"/>
          <w:highlight w:val="none"/>
          <w:lang w:val="zh-CN"/>
        </w:rPr>
        <w:t>包括法人或者其他组织的营业执照等证明文件，自然人的身份证明；</w:t>
      </w:r>
    </w:p>
    <w:p w14:paraId="64FD39D2">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2）具有良好的商业信誉和健全的财务会计制度。提供包括但不限于最近一期（202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CN"/>
        </w:rPr>
        <w:t>年度</w:t>
      </w:r>
      <w:r>
        <w:rPr>
          <w:rFonts w:hint="eastAsia" w:ascii="宋体" w:hAnsi="宋体" w:cs="宋体"/>
          <w:color w:val="auto"/>
          <w:szCs w:val="21"/>
          <w:highlight w:val="none"/>
          <w:lang w:val="en-US" w:eastAsia="zh-CN"/>
        </w:rPr>
        <w:t>或2025年度</w:t>
      </w:r>
      <w:r>
        <w:rPr>
          <w:rFonts w:hint="eastAsia" w:ascii="宋体" w:hAnsi="宋体" w:cs="宋体"/>
          <w:color w:val="auto"/>
          <w:szCs w:val="21"/>
          <w:highlight w:val="none"/>
          <w:lang w:val="zh-CN"/>
        </w:rPr>
        <w:t>）财务审计报告或最近一期（</w:t>
      </w:r>
      <w:r>
        <w:rPr>
          <w:rFonts w:hint="eastAsia" w:ascii="宋体" w:hAnsi="宋体" w:cs="宋体"/>
          <w:color w:val="auto"/>
          <w:szCs w:val="21"/>
          <w:highlight w:val="none"/>
          <w:lang w:val="en-US" w:eastAsia="zh-CN"/>
        </w:rPr>
        <w:t>2026年3月至今任一期）</w:t>
      </w:r>
      <w:r>
        <w:rPr>
          <w:rFonts w:hint="eastAsia" w:ascii="宋体" w:hAnsi="宋体" w:cs="宋体"/>
          <w:color w:val="auto"/>
          <w:szCs w:val="21"/>
          <w:highlight w:val="none"/>
          <w:lang w:val="zh-CN"/>
        </w:rPr>
        <w:t>财务报表，其他组织、自然人及成立未满一年的法人应提供银行出具的资信证明）；</w:t>
      </w:r>
    </w:p>
    <w:p w14:paraId="355BEE5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w:t>
      </w:r>
      <w:r>
        <w:rPr>
          <w:rFonts w:hint="eastAsia" w:ascii="宋体" w:hAnsi="宋体" w:cs="宋体"/>
          <w:color w:val="auto"/>
          <w:szCs w:val="21"/>
          <w:highlight w:val="none"/>
        </w:rPr>
        <w:t>具有</w:t>
      </w:r>
      <w:r>
        <w:rPr>
          <w:rFonts w:hint="eastAsia" w:ascii="宋体" w:hAnsi="宋体" w:cs="宋体"/>
          <w:color w:val="auto"/>
          <w:szCs w:val="21"/>
          <w:highlight w:val="none"/>
          <w:lang w:val="zh-CN"/>
        </w:rPr>
        <w:t>履行合同所必</w:t>
      </w:r>
      <w:r>
        <w:rPr>
          <w:rFonts w:hint="eastAsia" w:ascii="宋体" w:hAnsi="宋体" w:cs="宋体"/>
          <w:color w:val="auto"/>
          <w:szCs w:val="21"/>
          <w:highlight w:val="none"/>
        </w:rPr>
        <w:t>需</w:t>
      </w:r>
      <w:r>
        <w:rPr>
          <w:rFonts w:hint="eastAsia" w:ascii="宋体" w:hAnsi="宋体" w:cs="宋体"/>
          <w:color w:val="auto"/>
          <w:szCs w:val="21"/>
          <w:highlight w:val="none"/>
          <w:lang w:val="zh-CN"/>
        </w:rPr>
        <w:t>的设备和专业技术能力。</w:t>
      </w:r>
      <w:r>
        <w:rPr>
          <w:rFonts w:hint="eastAsia" w:ascii="宋体" w:hAnsi="宋体" w:cs="宋体"/>
          <w:color w:val="auto"/>
          <w:szCs w:val="21"/>
          <w:highlight w:val="none"/>
        </w:rPr>
        <w:t>提供证明材料或承诺</w:t>
      </w:r>
      <w:r>
        <w:rPr>
          <w:rFonts w:hint="eastAsia" w:ascii="宋体" w:hAnsi="宋体" w:cs="宋体"/>
          <w:color w:val="auto"/>
          <w:szCs w:val="21"/>
          <w:highlight w:val="none"/>
          <w:lang w:val="zh-CN"/>
        </w:rPr>
        <w:t>；</w:t>
      </w:r>
    </w:p>
    <w:p w14:paraId="2B6B664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4）有依法缴纳税收和社会保障资金的良好记录。提供供应商参加本次政府采购活动前半年（至少一个月）依法缴纳税收和社会保险的凭据；依法免税或不需要缴纳社会保障资金的供应商，应提供相应证明资料证明其依法免税或不需要缴纳社会保障资金，否则不予认可；</w:t>
      </w:r>
    </w:p>
    <w:p w14:paraId="41C26DCC">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5）参加政府采购活动前三年内，在经营活动中没有重大违法记录。</w:t>
      </w:r>
      <w:r>
        <w:rPr>
          <w:rFonts w:hint="eastAsia" w:ascii="宋体" w:hAnsi="宋体" w:cs="宋体"/>
          <w:color w:val="auto"/>
          <w:szCs w:val="21"/>
          <w:highlight w:val="none"/>
        </w:rPr>
        <w:t>提供书面声明函</w:t>
      </w:r>
      <w:r>
        <w:rPr>
          <w:rFonts w:hint="eastAsia" w:ascii="宋体" w:hAnsi="宋体" w:cs="宋体"/>
          <w:color w:val="auto"/>
          <w:szCs w:val="21"/>
          <w:highlight w:val="none"/>
          <w:lang w:val="zh-CN"/>
        </w:rPr>
        <w:t>；</w:t>
      </w:r>
    </w:p>
    <w:p w14:paraId="68526BFA">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6）法律、行政法规规定的其他条件。提供书面声明函；</w:t>
      </w:r>
    </w:p>
    <w:p w14:paraId="17A39FD7">
      <w:pPr>
        <w:autoSpaceDE w:val="0"/>
        <w:autoSpaceDN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12.4.2</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《中小企业声明函》、《残疾人福利性单位声明函》、省级以上监狱管理局、戒毒管理局（含新疆生产建设兵团）出具的属于监狱企业的证明文件</w:t>
      </w:r>
      <w:r>
        <w:rPr>
          <w:rFonts w:hint="eastAsia" w:ascii="宋体" w:hAnsi="宋体" w:cs="宋体"/>
          <w:color w:val="auto"/>
          <w:szCs w:val="21"/>
          <w:highlight w:val="none"/>
          <w:lang w:eastAsia="zh-CN"/>
        </w:rPr>
        <w:t>。</w:t>
      </w:r>
    </w:p>
    <w:p w14:paraId="6DF5830B">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12.4.3</w:t>
      </w:r>
      <w:r>
        <w:rPr>
          <w:rFonts w:hint="eastAsia" w:ascii="宋体" w:hAnsi="宋体" w:cs="宋体"/>
          <w:color w:val="auto"/>
          <w:szCs w:val="21"/>
          <w:highlight w:val="none"/>
        </w:rPr>
        <w:t>其他有关资格性证明的文件（如有）；</w:t>
      </w:r>
    </w:p>
    <w:p w14:paraId="569D68C1">
      <w:pPr>
        <w:pStyle w:val="5"/>
        <w:overflowPunct w:val="0"/>
        <w:spacing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12.5符合性审查文件</w:t>
      </w:r>
    </w:p>
    <w:p w14:paraId="110F0CA1">
      <w:pPr>
        <w:pStyle w:val="5"/>
        <w:overflowPunct w:val="0"/>
        <w:spacing w:line="360" w:lineRule="auto"/>
        <w:ind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12.5.1</w:t>
      </w:r>
      <w:r>
        <w:rPr>
          <w:rFonts w:hint="eastAsia" w:ascii="宋体" w:hAnsi="宋体" w:eastAsia="宋体" w:cs="宋体"/>
          <w:color w:val="auto"/>
          <w:sz w:val="21"/>
          <w:szCs w:val="21"/>
          <w:highlight w:val="none"/>
          <w:lang w:val="zh-CN"/>
        </w:rPr>
        <w:t>投标函；</w:t>
      </w:r>
    </w:p>
    <w:p w14:paraId="47F82B62">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12.5.2</w:t>
      </w:r>
      <w:r>
        <w:rPr>
          <w:rFonts w:hint="eastAsia" w:ascii="宋体" w:hAnsi="宋体" w:cs="宋体"/>
          <w:color w:val="auto"/>
          <w:highlight w:val="none"/>
        </w:rPr>
        <w:t>商务条款偏离表；</w:t>
      </w:r>
    </w:p>
    <w:p w14:paraId="20CED701">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highlight w:val="none"/>
        </w:rPr>
        <w:t>12.5.3</w:t>
      </w:r>
      <w:r>
        <w:rPr>
          <w:rFonts w:hint="eastAsia" w:ascii="宋体" w:hAnsi="宋体" w:cs="宋体"/>
          <w:color w:val="auto"/>
          <w:szCs w:val="21"/>
          <w:highlight w:val="none"/>
          <w:lang w:val="zh-CN"/>
        </w:rPr>
        <w:t>关于资格文件的声明函；</w:t>
      </w:r>
    </w:p>
    <w:p w14:paraId="31A81467">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12.5.4</w:t>
      </w:r>
      <w:r>
        <w:rPr>
          <w:rFonts w:hint="eastAsia" w:ascii="宋体" w:hAnsi="宋体" w:cs="宋体"/>
          <w:color w:val="auto"/>
          <w:szCs w:val="21"/>
          <w:highlight w:val="none"/>
          <w:lang w:val="zh-CN"/>
        </w:rPr>
        <w:t>投标单位情况表；</w:t>
      </w:r>
    </w:p>
    <w:p w14:paraId="0032B7DA">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12.5.5</w:t>
      </w:r>
      <w:r>
        <w:rPr>
          <w:rFonts w:hint="eastAsia" w:ascii="宋体" w:hAnsi="宋体" w:cs="宋体"/>
          <w:color w:val="auto"/>
          <w:szCs w:val="21"/>
          <w:highlight w:val="none"/>
          <w:lang w:val="zh-CN"/>
        </w:rPr>
        <w:t>法定代表人身份证复印件，法人授权委托书（如有授权）及委托代理人身份证复印件（如有授权）；</w:t>
      </w:r>
    </w:p>
    <w:p w14:paraId="460D5C05">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12.5.6</w:t>
      </w:r>
      <w:r>
        <w:rPr>
          <w:rFonts w:hint="eastAsia" w:ascii="宋体" w:hAnsi="宋体" w:cs="宋体"/>
          <w:color w:val="auto"/>
          <w:szCs w:val="21"/>
          <w:highlight w:val="none"/>
          <w:lang w:val="zh-CN"/>
        </w:rPr>
        <w:t>投标（响应）保证承诺书；</w:t>
      </w:r>
    </w:p>
    <w:p w14:paraId="0966F5DE">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12.5.7其他</w:t>
      </w:r>
      <w:r>
        <w:rPr>
          <w:rFonts w:hint="eastAsia" w:ascii="宋体" w:hAnsi="宋体" w:eastAsia="宋体" w:cs="宋体"/>
          <w:color w:val="auto"/>
          <w:kern w:val="2"/>
          <w:sz w:val="21"/>
          <w:szCs w:val="24"/>
          <w:highlight w:val="none"/>
        </w:rPr>
        <w:t>有关符合性证明的文件（</w:t>
      </w:r>
      <w:r>
        <w:rPr>
          <w:rFonts w:hint="eastAsia" w:ascii="宋体" w:hAnsi="宋体" w:eastAsia="宋体" w:cs="宋体"/>
          <w:color w:val="auto"/>
          <w:kern w:val="2"/>
          <w:sz w:val="21"/>
          <w:szCs w:val="24"/>
          <w:highlight w:val="none"/>
          <w:lang w:val="en-US" w:eastAsia="zh-CN"/>
        </w:rPr>
        <w:t>招标文件要求的其他符合性资料</w:t>
      </w:r>
      <w:r>
        <w:rPr>
          <w:rFonts w:hint="eastAsia" w:ascii="宋体" w:hAnsi="宋体" w:eastAsia="宋体" w:cs="宋体"/>
          <w:color w:val="auto"/>
          <w:kern w:val="2"/>
          <w:sz w:val="21"/>
          <w:szCs w:val="24"/>
          <w:highlight w:val="none"/>
        </w:rPr>
        <w:t>）；</w:t>
      </w:r>
    </w:p>
    <w:p w14:paraId="54BC9FED">
      <w:pPr>
        <w:spacing w:line="360" w:lineRule="auto"/>
        <w:ind w:firstLine="422" w:firstLineChars="200"/>
        <w:rPr>
          <w:rFonts w:ascii="宋体" w:hAnsi="宋体" w:cs="宋体"/>
          <w:b/>
          <w:color w:val="auto"/>
          <w:highlight w:val="none"/>
        </w:rPr>
      </w:pPr>
      <w:r>
        <w:rPr>
          <w:rFonts w:hint="eastAsia" w:ascii="宋体" w:hAnsi="宋体" w:cs="宋体"/>
          <w:b/>
          <w:bCs/>
          <w:color w:val="auto"/>
          <w:szCs w:val="21"/>
          <w:highlight w:val="none"/>
          <w:lang w:val="zh-CN"/>
        </w:rPr>
        <w:t>12.</w:t>
      </w:r>
      <w:r>
        <w:rPr>
          <w:rFonts w:hint="eastAsia" w:ascii="宋体" w:hAnsi="宋体" w:cs="宋体"/>
          <w:b/>
          <w:bCs/>
          <w:color w:val="auto"/>
          <w:szCs w:val="21"/>
          <w:highlight w:val="none"/>
        </w:rPr>
        <w:t>6综合评审文件（具体以系统模块为准）</w:t>
      </w:r>
    </w:p>
    <w:p w14:paraId="02BE45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12.6.1技术响应对照表；</w:t>
      </w:r>
    </w:p>
    <w:p w14:paraId="7A7587B2">
      <w:pPr>
        <w:spacing w:line="360" w:lineRule="auto"/>
        <w:ind w:firstLine="420" w:firstLineChars="200"/>
        <w:rPr>
          <w:rFonts w:ascii="宋体" w:hAnsi="宋体" w:cs="宋体"/>
          <w:color w:val="auto"/>
          <w:highlight w:val="none"/>
          <w:lang w:val="zh-CN"/>
        </w:rPr>
      </w:pPr>
      <w:r>
        <w:rPr>
          <w:rFonts w:hint="eastAsia" w:ascii="宋体" w:hAnsi="宋体"/>
          <w:color w:val="auto"/>
          <w:szCs w:val="21"/>
          <w:highlight w:val="none"/>
        </w:rPr>
        <w:t>12.6.2项目实施方案</w:t>
      </w:r>
      <w:r>
        <w:rPr>
          <w:rFonts w:hint="eastAsia" w:ascii="宋体" w:hAnsi="宋体" w:cs="宋体"/>
          <w:color w:val="auto"/>
          <w:highlight w:val="none"/>
        </w:rPr>
        <w:t>；</w:t>
      </w:r>
    </w:p>
    <w:p w14:paraId="7266C9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12.6.3《质保期满后三年内备品备件、易损件报价表》、《人员配备情况表》、《售后服务承诺书》等；</w:t>
      </w:r>
    </w:p>
    <w:p w14:paraId="773AAF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12.6.4类似业绩一览表；</w:t>
      </w:r>
    </w:p>
    <w:p w14:paraId="4C9AA8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12.6.5评分标准中要求的其他相关资料；</w:t>
      </w:r>
    </w:p>
    <w:p w14:paraId="5F1F74AA">
      <w:pPr>
        <w:spacing w:line="360" w:lineRule="auto"/>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zh-CN"/>
        </w:rPr>
        <w:t>12.7</w:t>
      </w:r>
      <w:r>
        <w:rPr>
          <w:rFonts w:hint="eastAsia" w:ascii="宋体" w:hAnsi="宋体" w:cs="宋体"/>
          <w:b/>
          <w:bCs/>
          <w:color w:val="auto"/>
          <w:szCs w:val="21"/>
          <w:highlight w:val="none"/>
        </w:rPr>
        <w:t>价格折扣文件格式</w:t>
      </w:r>
      <w:r>
        <w:rPr>
          <w:rFonts w:hint="eastAsia" w:ascii="宋体" w:hAnsi="宋体" w:cs="宋体"/>
          <w:b/>
          <w:bCs/>
          <w:color w:val="auto"/>
          <w:szCs w:val="21"/>
          <w:highlight w:val="none"/>
          <w:lang w:eastAsia="zh-CN"/>
        </w:rPr>
        <w:t>：</w:t>
      </w:r>
    </w:p>
    <w:p w14:paraId="2BF0CE82">
      <w:pPr>
        <w:pStyle w:val="43"/>
        <w:spacing w:line="360" w:lineRule="auto"/>
        <w:ind w:firstLine="428" w:firstLineChars="204"/>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lang w:val="en-US" w:eastAsia="zh-CN"/>
        </w:rPr>
        <w:t>12.7.1供应商对其提供的产品出具《关于符合本国产品标准的声明函》（以下简称《声明函》）或财政部会同有关部门规定的有关证明文件。如不提供将不享受本国产品价格评审优惠</w:t>
      </w:r>
      <w:r>
        <w:rPr>
          <w:rFonts w:hint="eastAsia" w:ascii="宋体" w:hAnsi="宋体" w:cs="宋体"/>
          <w:color w:val="auto"/>
          <w:szCs w:val="21"/>
          <w:highlight w:val="none"/>
          <w:lang w:eastAsia="zh-CN"/>
        </w:rPr>
        <w:t>；</w:t>
      </w:r>
    </w:p>
    <w:p w14:paraId="2576D25F">
      <w:pPr>
        <w:pStyle w:val="43"/>
        <w:spacing w:line="360" w:lineRule="auto"/>
        <w:ind w:firstLine="430" w:firstLineChars="204"/>
        <w:rPr>
          <w:rFonts w:ascii="宋体" w:hAnsi="宋体" w:cs="宋体"/>
          <w:b/>
          <w:bCs/>
          <w:color w:val="auto"/>
          <w:szCs w:val="21"/>
          <w:highlight w:val="none"/>
        </w:rPr>
      </w:pPr>
      <w:r>
        <w:rPr>
          <w:rFonts w:hint="eastAsia" w:ascii="宋体" w:hAnsi="宋体" w:cs="宋体"/>
          <w:b/>
          <w:bCs/>
          <w:color w:val="auto"/>
          <w:szCs w:val="21"/>
          <w:highlight w:val="none"/>
        </w:rPr>
        <w:t>注：（1）以上12.</w:t>
      </w:r>
      <w:r>
        <w:rPr>
          <w:rFonts w:hint="eastAsia" w:ascii="宋体" w:hAnsi="宋体" w:cs="宋体"/>
          <w:b/>
          <w:bCs/>
          <w:color w:val="auto"/>
          <w:szCs w:val="21"/>
          <w:highlight w:val="none"/>
          <w:lang w:val="en-US"/>
        </w:rPr>
        <w:t>4</w:t>
      </w:r>
      <w:r>
        <w:rPr>
          <w:rFonts w:hint="eastAsia" w:ascii="宋体" w:hAnsi="宋体" w:cs="宋体"/>
          <w:b/>
          <w:bCs/>
          <w:color w:val="auto"/>
          <w:szCs w:val="21"/>
          <w:highlight w:val="none"/>
        </w:rPr>
        <w:t>为资格审查要求提供的材料，是作为对供应商资格审查、质疑身份认定的依据，投标人必须提供并加盖电子公章。否则，投标文件将被认定为不符合资格审查要求。</w:t>
      </w:r>
    </w:p>
    <w:p w14:paraId="5CB22DDB">
      <w:pPr>
        <w:pStyle w:val="43"/>
        <w:spacing w:line="360" w:lineRule="auto"/>
        <w:ind w:firstLine="430" w:firstLineChars="204"/>
        <w:rPr>
          <w:rFonts w:ascii="宋体" w:hAnsi="宋体" w:cs="宋体"/>
          <w:b/>
          <w:bCs/>
          <w:color w:val="auto"/>
          <w:szCs w:val="21"/>
          <w:highlight w:val="none"/>
        </w:rPr>
      </w:pPr>
      <w:r>
        <w:rPr>
          <w:rFonts w:hint="eastAsia" w:ascii="宋体" w:hAnsi="宋体" w:cs="宋体"/>
          <w:b/>
          <w:bCs/>
          <w:color w:val="auto"/>
          <w:szCs w:val="21"/>
          <w:highlight w:val="none"/>
        </w:rPr>
        <w:t>（2）以上</w:t>
      </w:r>
      <w:r>
        <w:rPr>
          <w:rFonts w:ascii="宋体" w:hAnsi="宋体" w:cs="宋体"/>
          <w:b/>
          <w:bCs/>
          <w:color w:val="auto"/>
          <w:szCs w:val="21"/>
          <w:highlight w:val="none"/>
        </w:rPr>
        <w:t>1</w:t>
      </w:r>
      <w:r>
        <w:rPr>
          <w:rFonts w:hint="eastAsia" w:ascii="宋体" w:hAnsi="宋体" w:cs="宋体"/>
          <w:b/>
          <w:bCs/>
          <w:color w:val="auto"/>
          <w:szCs w:val="21"/>
          <w:highlight w:val="none"/>
          <w:lang w:val="en-US"/>
        </w:rPr>
        <w:t>2</w:t>
      </w:r>
      <w:r>
        <w:rPr>
          <w:rFonts w:ascii="宋体" w:hAnsi="宋体" w:cs="宋体"/>
          <w:b/>
          <w:bCs/>
          <w:color w:val="auto"/>
          <w:szCs w:val="21"/>
          <w:highlight w:val="none"/>
        </w:rPr>
        <w:t>.5</w:t>
      </w:r>
      <w:r>
        <w:rPr>
          <w:rFonts w:hint="eastAsia" w:ascii="宋体" w:hAnsi="宋体" w:cs="宋体"/>
          <w:b/>
          <w:bCs/>
          <w:color w:val="auto"/>
          <w:szCs w:val="21"/>
          <w:highlight w:val="none"/>
        </w:rPr>
        <w:t>为符合性审查须提供的资料，投标人必须提供并加盖电子公章。否则，投标文件将被认定为未实质性响应。</w:t>
      </w:r>
    </w:p>
    <w:p w14:paraId="74F41912">
      <w:pPr>
        <w:pStyle w:val="43"/>
        <w:spacing w:line="360" w:lineRule="auto"/>
        <w:ind w:firstLine="430" w:firstLineChars="204"/>
        <w:rPr>
          <w:rFonts w:ascii="宋体" w:hAnsi="宋体"/>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rPr>
        <w:t>12.4</w:t>
      </w:r>
      <w:r>
        <w:rPr>
          <w:rFonts w:ascii="宋体" w:hAnsi="宋体"/>
          <w:b/>
          <w:color w:val="auto"/>
          <w:szCs w:val="21"/>
          <w:highlight w:val="none"/>
        </w:rPr>
        <w:t>-1</w:t>
      </w:r>
      <w:r>
        <w:rPr>
          <w:rFonts w:hint="eastAsia" w:ascii="宋体" w:hAnsi="宋体"/>
          <w:b/>
          <w:color w:val="auto"/>
          <w:szCs w:val="21"/>
          <w:highlight w:val="none"/>
          <w:lang w:val="en-US"/>
        </w:rPr>
        <w:t>2.7</w:t>
      </w:r>
      <w:r>
        <w:rPr>
          <w:rFonts w:hint="eastAsia" w:ascii="宋体" w:hAnsi="宋体"/>
          <w:b/>
          <w:color w:val="auto"/>
          <w:szCs w:val="21"/>
          <w:highlight w:val="none"/>
        </w:rPr>
        <w:t>”中不得出现投标总报价。</w:t>
      </w:r>
      <w:r>
        <w:rPr>
          <w:rFonts w:hint="eastAsia" w:ascii="宋体" w:hAnsi="宋体"/>
          <w:color w:val="auto"/>
          <w:szCs w:val="21"/>
          <w:highlight w:val="none"/>
        </w:rPr>
        <w:t>投标人所提交的</w:t>
      </w:r>
      <w:r>
        <w:rPr>
          <w:rFonts w:hint="eastAsia" w:ascii="宋体" w:hAnsi="宋体"/>
          <w:color w:val="auto"/>
          <w:szCs w:val="21"/>
          <w:highlight w:val="none"/>
          <w:lang w:val="en-US"/>
        </w:rPr>
        <w:t>技术</w:t>
      </w:r>
      <w:r>
        <w:rPr>
          <w:rFonts w:hint="eastAsia" w:ascii="宋体" w:hAnsi="宋体"/>
          <w:color w:val="auto"/>
          <w:szCs w:val="21"/>
          <w:highlight w:val="none"/>
        </w:rPr>
        <w:t>资料的完整与否，将直接影响投标人的评分。</w:t>
      </w:r>
    </w:p>
    <w:p w14:paraId="0C987B45">
      <w:pPr>
        <w:pStyle w:val="43"/>
        <w:spacing w:line="360" w:lineRule="auto"/>
        <w:ind w:firstLine="430" w:firstLineChars="204"/>
        <w:rPr>
          <w:rFonts w:ascii="宋体" w:hAnsi="宋体" w:cs="宋体"/>
          <w:b/>
          <w:bCs/>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rPr>
        <w:t>）制作电子投标文件时必须与投标文件制作软件目录一一对应，将相关资料上传至相应模块。</w:t>
      </w:r>
    </w:p>
    <w:p w14:paraId="1EEA29FE">
      <w:pPr>
        <w:pStyle w:val="43"/>
        <w:spacing w:line="360" w:lineRule="auto"/>
        <w:ind w:firstLine="430" w:firstLineChars="204"/>
        <w:rPr>
          <w:rFonts w:ascii="宋体" w:hAnsi="宋体"/>
          <w:b/>
          <w:color w:val="auto"/>
          <w:szCs w:val="21"/>
          <w:highlight w:val="none"/>
        </w:rPr>
      </w:pPr>
      <w:r>
        <w:rPr>
          <w:rFonts w:hint="eastAsia" w:ascii="宋体" w:hAnsi="宋体"/>
          <w:b/>
          <w:color w:val="auto"/>
          <w:szCs w:val="21"/>
          <w:highlight w:val="none"/>
        </w:rPr>
        <w:t>（5）开评标过程中如有问题采购代理机构工作人员会及时通过报名时在投标确认函模块留存的手机号与供应商联系。此号码在开标截止之前可修改，以投标确认函保存的最新号码为准，请供应商确保该手机号开评标当日通讯畅通，否则导致的对供应商不利的后果由供应商自行承担。</w:t>
      </w:r>
    </w:p>
    <w:p w14:paraId="2B422787">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13. 投标文件编制要求</w:t>
      </w:r>
    </w:p>
    <w:p w14:paraId="345CE928">
      <w:pPr>
        <w:tabs>
          <w:tab w:val="left" w:pos="502"/>
        </w:tabs>
        <w:spacing w:line="360" w:lineRule="auto"/>
        <w:ind w:firstLine="420" w:firstLineChars="200"/>
        <w:rPr>
          <w:rFonts w:ascii="宋体" w:hAnsi="宋体" w:cs="宋体"/>
          <w:bCs/>
          <w:color w:val="auto"/>
          <w:highlight w:val="none"/>
          <w:lang w:val="zh-CN"/>
        </w:rPr>
      </w:pPr>
      <w:r>
        <w:rPr>
          <w:rFonts w:hint="eastAsia" w:ascii="宋体" w:hAnsi="宋体" w:cs="宋体"/>
          <w:bCs/>
          <w:color w:val="auto"/>
          <w:highlight w:val="none"/>
          <w:lang w:val="zh-CN"/>
        </w:rPr>
        <w:t>13.1</w:t>
      </w:r>
      <w:r>
        <w:rPr>
          <w:rFonts w:hint="eastAsia" w:ascii="宋体" w:hAnsi="宋体"/>
          <w:b/>
          <w:color w:val="auto"/>
          <w:szCs w:val="21"/>
          <w:highlight w:val="none"/>
        </w:rPr>
        <w:t>投标文件按统一格式、顺序编写</w:t>
      </w:r>
      <w:r>
        <w:rPr>
          <w:rFonts w:hint="eastAsia" w:ascii="宋体" w:hAnsi="宋体" w:cs="宋体"/>
          <w:bCs/>
          <w:color w:val="auto"/>
          <w:highlight w:val="none"/>
          <w:lang w:val="zh-CN"/>
        </w:rPr>
        <w:t>。</w:t>
      </w:r>
    </w:p>
    <w:p w14:paraId="3261D33E">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13.2《开标一览表》为在开标仪式上唱标的内容，要求按格式填写，统一规范，不得自行增减内容。</w:t>
      </w:r>
    </w:p>
    <w:p w14:paraId="54861183">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14. 投标报价（编制）要求的说明</w:t>
      </w:r>
    </w:p>
    <w:p w14:paraId="30CAFC85">
      <w:pPr>
        <w:tabs>
          <w:tab w:val="left" w:pos="502"/>
        </w:tabs>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w:t>
      </w:r>
      <w:r>
        <w:rPr>
          <w:rFonts w:hint="eastAsia" w:ascii="宋体" w:hAnsi="宋体" w:cs="宋体"/>
          <w:color w:val="auto"/>
          <w:szCs w:val="21"/>
          <w:highlight w:val="none"/>
        </w:rPr>
        <w:t>投标</w:t>
      </w:r>
      <w:r>
        <w:rPr>
          <w:rFonts w:hint="eastAsia" w:ascii="宋体" w:hAnsi="宋体" w:cs="宋体"/>
          <w:color w:val="auto"/>
          <w:szCs w:val="21"/>
          <w:highlight w:val="none"/>
          <w:lang w:val="zh-CN"/>
        </w:rPr>
        <w:t>报价应</w:t>
      </w:r>
      <w:r>
        <w:rPr>
          <w:rFonts w:hint="eastAsia" w:ascii="宋体" w:hAnsi="宋体" w:cs="宋体"/>
          <w:color w:val="auto"/>
          <w:szCs w:val="21"/>
          <w:highlight w:val="none"/>
        </w:rPr>
        <w:t>包括完成该标的物全部内容的一切费用。</w:t>
      </w:r>
      <w:r>
        <w:rPr>
          <w:rFonts w:hint="eastAsia" w:ascii="宋体" w:hAnsi="宋体" w:cs="宋体"/>
          <w:color w:val="auto"/>
          <w:szCs w:val="21"/>
          <w:highlight w:val="none"/>
          <w:lang w:val="zh-CN"/>
        </w:rPr>
        <w:t>投标报价为最终报价，投标人所报价格在合同实施期间不因市场变化因素而变动。</w:t>
      </w:r>
    </w:p>
    <w:p w14:paraId="65FD739D">
      <w:pPr>
        <w:tabs>
          <w:tab w:val="left" w:pos="502"/>
        </w:tabs>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14.2 投标人应按《投标报价分析表》中的全部服务内容的每一单项计算并填写单价和总价，并由企业法定代表人或委托代理人签署。</w:t>
      </w:r>
    </w:p>
    <w:p w14:paraId="360DF0F2">
      <w:pPr>
        <w:tabs>
          <w:tab w:val="left" w:pos="502"/>
        </w:tabs>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14.3 一项投标内容只允许一个报价，采购单位不接受任何有选择性的投标报价。投标人应对招标文件内所要采购的全部内容进行报价，只投其中部分内容者，其标书将被拒绝。但如果招标文件要求分标段投标的，则投标人可以有选择地只投其中一个或几个标段，也可以投全部标段，但各标段应分别计算填写单价和总价。</w:t>
      </w:r>
    </w:p>
    <w:p w14:paraId="45856A8B">
      <w:pPr>
        <w:tabs>
          <w:tab w:val="left" w:pos="502"/>
        </w:tabs>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14.4 投标文件报价采用人民币表示，除非合同的特殊条款另有规定。</w:t>
      </w:r>
    </w:p>
    <w:p w14:paraId="12991BB9">
      <w:pPr>
        <w:tabs>
          <w:tab w:val="left" w:pos="502"/>
        </w:tabs>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14.5 最低的投标报价是中标的重要条件但不是唯一条件。</w:t>
      </w:r>
    </w:p>
    <w:p w14:paraId="50D618FF">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15. 投标保证金（</w:t>
      </w:r>
      <w:r>
        <w:rPr>
          <w:rFonts w:hint="eastAsia" w:ascii="宋体" w:hAnsi="宋体" w:cs="宋体"/>
          <w:b/>
          <w:bCs/>
          <w:color w:val="auto"/>
          <w:szCs w:val="21"/>
          <w:highlight w:val="none"/>
        </w:rPr>
        <w:t>本项目无需缴纳</w:t>
      </w:r>
      <w:r>
        <w:rPr>
          <w:rFonts w:hint="eastAsia" w:ascii="宋体" w:hAnsi="宋体" w:cs="宋体"/>
          <w:b/>
          <w:bCs/>
          <w:color w:val="auto"/>
          <w:szCs w:val="21"/>
          <w:highlight w:val="none"/>
          <w:lang w:val="zh-CN"/>
        </w:rPr>
        <w:t>）</w:t>
      </w:r>
    </w:p>
    <w:p w14:paraId="3BAE44C9">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16. 投标文件的有效期</w:t>
      </w:r>
    </w:p>
    <w:p w14:paraId="41C01219">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16.1自开标日起60天内，投标书应保持有效。有效期短于这个规定期限的投标文件，将被拒绝。</w:t>
      </w:r>
    </w:p>
    <w:p w14:paraId="3DC1E876">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16.2在特殊情况下，招标代理机构可与投标人协商延长投标书的有效期。这种要求和答复都应以书面、传真、或电报的形式进行。同意延长有效期的投标人不能修改投标文件。拒绝接受延期要求的投标人的投标将被拒绝。</w:t>
      </w:r>
    </w:p>
    <w:p w14:paraId="4B10FA89">
      <w:pPr>
        <w:pStyle w:val="43"/>
        <w:spacing w:line="360" w:lineRule="auto"/>
        <w:ind w:firstLine="0" w:firstLineChars="0"/>
        <w:rPr>
          <w:rFonts w:ascii="宋体" w:hAnsi="宋体" w:cs="宋体"/>
          <w:b/>
          <w:color w:val="auto"/>
          <w:szCs w:val="21"/>
          <w:highlight w:val="none"/>
        </w:rPr>
      </w:pPr>
      <w:r>
        <w:rPr>
          <w:rFonts w:hint="eastAsia" w:ascii="宋体" w:hAnsi="宋体" w:cs="宋体"/>
          <w:b/>
          <w:bCs/>
          <w:color w:val="auto"/>
          <w:szCs w:val="21"/>
          <w:highlight w:val="none"/>
        </w:rPr>
        <w:t xml:space="preserve">17. </w:t>
      </w:r>
      <w:r>
        <w:rPr>
          <w:rFonts w:hint="eastAsia" w:ascii="宋体" w:hAnsi="宋体" w:cs="宋体"/>
          <w:b/>
          <w:color w:val="auto"/>
          <w:szCs w:val="21"/>
          <w:highlight w:val="none"/>
        </w:rPr>
        <w:t>投标文件的制作、签署、上传</w:t>
      </w:r>
    </w:p>
    <w:p w14:paraId="264BECD2">
      <w:pPr>
        <w:pStyle w:val="43"/>
        <w:spacing w:line="360" w:lineRule="auto"/>
        <w:ind w:firstLine="420"/>
        <w:rPr>
          <w:rFonts w:ascii="宋体" w:hAnsi="宋体" w:cs="宋体"/>
          <w:color w:val="auto"/>
          <w:szCs w:val="21"/>
          <w:highlight w:val="none"/>
          <w:lang w:val="en-US"/>
        </w:rPr>
      </w:pPr>
      <w:r>
        <w:rPr>
          <w:rFonts w:hint="eastAsia" w:ascii="宋体" w:hAnsi="宋体" w:cs="宋体"/>
          <w:color w:val="auto"/>
          <w:szCs w:val="21"/>
          <w:highlight w:val="none"/>
          <w:lang w:val="en-US"/>
        </w:rPr>
        <w:t>17.1本项目采用电子招投标形式，请供应商按照</w:t>
      </w:r>
      <w:r>
        <w:rPr>
          <w:rFonts w:hint="eastAsia" w:ascii="宋体" w:hAnsi="宋体" w:cs="宋体"/>
          <w:b/>
          <w:bCs/>
          <w:color w:val="auto"/>
          <w:szCs w:val="21"/>
          <w:highlight w:val="none"/>
          <w:lang w:val="en-US"/>
        </w:rPr>
        <w:t>《苏采云系统供应商操作手册》</w:t>
      </w:r>
      <w:r>
        <w:rPr>
          <w:rFonts w:hint="eastAsia" w:ascii="宋体" w:hAnsi="宋体" w:cs="宋体"/>
          <w:color w:val="auto"/>
          <w:szCs w:val="21"/>
          <w:highlight w:val="none"/>
          <w:lang w:val="en-US"/>
        </w:rPr>
        <w:t>进行制作、上传电子投标文件。</w:t>
      </w:r>
    </w:p>
    <w:p w14:paraId="26B1371F">
      <w:pPr>
        <w:pStyle w:val="43"/>
        <w:spacing w:line="360" w:lineRule="auto"/>
        <w:ind w:firstLine="420"/>
        <w:rPr>
          <w:rFonts w:ascii="宋体" w:hAnsi="宋体" w:cs="宋体"/>
          <w:color w:val="auto"/>
          <w:szCs w:val="21"/>
          <w:highlight w:val="none"/>
          <w:lang w:val="en-US"/>
        </w:rPr>
      </w:pPr>
      <w:r>
        <w:rPr>
          <w:rFonts w:hint="eastAsia" w:ascii="宋体" w:hAnsi="宋体" w:cs="宋体"/>
          <w:color w:val="auto"/>
          <w:szCs w:val="21"/>
          <w:highlight w:val="none"/>
          <w:lang w:val="en-US"/>
        </w:rPr>
        <w:t>17.2制作电子投标文件时，应按照招标文件要求加盖投标人电子公章。</w:t>
      </w:r>
    </w:p>
    <w:p w14:paraId="3953C1EB">
      <w:pPr>
        <w:pStyle w:val="43"/>
        <w:spacing w:line="360" w:lineRule="auto"/>
        <w:ind w:firstLine="420"/>
        <w:rPr>
          <w:rFonts w:ascii="宋体" w:hAnsi="宋体" w:cs="宋体"/>
          <w:color w:val="auto"/>
          <w:szCs w:val="21"/>
          <w:highlight w:val="none"/>
          <w:lang w:val="en-US"/>
        </w:rPr>
      </w:pPr>
      <w:r>
        <w:rPr>
          <w:rFonts w:hint="eastAsia" w:ascii="宋体" w:hAnsi="宋体" w:cs="宋体"/>
          <w:color w:val="auto"/>
          <w:szCs w:val="21"/>
          <w:highlight w:val="none"/>
          <w:lang w:val="en-US"/>
        </w:rPr>
        <w:t>17.3</w:t>
      </w:r>
      <w:r>
        <w:rPr>
          <w:rFonts w:hint="eastAsia" w:ascii="宋体" w:hAnsi="宋体" w:cs="宋体"/>
          <w:b/>
          <w:bCs/>
          <w:color w:val="auto"/>
          <w:szCs w:val="21"/>
          <w:highlight w:val="none"/>
          <w:lang w:val="en-US"/>
        </w:rPr>
        <w:t>电子投标文件制作完成后请于投标文件网上提交截止时间前成功上传至“苏采云”系统，否则视为放弃参加该采购项目。</w:t>
      </w:r>
      <w:bookmarkStart w:id="39" w:name="_Toc31150"/>
      <w:bookmarkStart w:id="40" w:name="_Toc25608"/>
      <w:r>
        <w:rPr>
          <w:rFonts w:hint="eastAsia" w:ascii="宋体" w:hAnsi="宋体" w:cs="宋体"/>
          <w:color w:val="auto"/>
          <w:szCs w:val="21"/>
          <w:highlight w:val="none"/>
          <w:lang w:val="en-US"/>
        </w:rPr>
        <w:t>投标人提交投标文件的时间以系统收到上传的电子投标文件时间为准，投标人应充分考虑到网络环境、网络带宽等风险因素，如因投标人自身原因造成的电子投标文件上传不成功由投标人自行承担全部责任。</w:t>
      </w:r>
    </w:p>
    <w:bookmarkEnd w:id="39"/>
    <w:bookmarkEnd w:id="40"/>
    <w:p w14:paraId="47B8C265">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五、投标文件的递交（上传）</w:t>
      </w:r>
    </w:p>
    <w:p w14:paraId="74134372">
      <w:pPr>
        <w:pStyle w:val="43"/>
        <w:spacing w:line="360" w:lineRule="auto"/>
        <w:ind w:firstLine="0" w:firstLineChars="0"/>
        <w:rPr>
          <w:rFonts w:ascii="宋体" w:hAnsi="宋体" w:cs="宋体"/>
          <w:b/>
          <w:color w:val="auto"/>
          <w:szCs w:val="21"/>
          <w:highlight w:val="none"/>
        </w:rPr>
      </w:pPr>
      <w:r>
        <w:rPr>
          <w:rFonts w:hint="eastAsia" w:ascii="宋体" w:hAnsi="宋体" w:cs="宋体"/>
          <w:b/>
          <w:bCs/>
          <w:color w:val="auto"/>
          <w:szCs w:val="21"/>
          <w:highlight w:val="none"/>
        </w:rPr>
        <w:t xml:space="preserve">18. </w:t>
      </w:r>
      <w:r>
        <w:rPr>
          <w:rFonts w:hint="eastAsia" w:ascii="宋体" w:hAnsi="宋体" w:cs="宋体"/>
          <w:b/>
          <w:color w:val="auto"/>
          <w:szCs w:val="21"/>
          <w:highlight w:val="none"/>
        </w:rPr>
        <w:t>投标文件的递交</w:t>
      </w:r>
    </w:p>
    <w:p w14:paraId="52F9F87E">
      <w:pPr>
        <w:pStyle w:val="43"/>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lang w:val="en-US"/>
        </w:rPr>
        <w:t>18</w:t>
      </w:r>
      <w:r>
        <w:rPr>
          <w:rFonts w:hint="eastAsia" w:ascii="宋体" w:hAnsi="宋体" w:cs="宋体"/>
          <w:color w:val="auto"/>
          <w:szCs w:val="21"/>
          <w:highlight w:val="none"/>
        </w:rPr>
        <w:t>.1投标人应当在投标截止时间前制作并上传电子投标文件。</w:t>
      </w:r>
    </w:p>
    <w:p w14:paraId="18599F6A">
      <w:pPr>
        <w:pStyle w:val="5"/>
        <w:overflowPunct w:val="0"/>
        <w:spacing w:line="360" w:lineRule="auto"/>
        <w:ind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18.2投标人通过</w:t>
      </w:r>
      <w:r>
        <w:rPr>
          <w:rFonts w:hint="eastAsia" w:ascii="宋体" w:hAnsi="宋体" w:eastAsia="宋体" w:cs="宋体"/>
          <w:b/>
          <w:color w:val="auto"/>
          <w:sz w:val="21"/>
          <w:szCs w:val="21"/>
          <w:highlight w:val="none"/>
        </w:rPr>
        <w:t>“苏采云”系统不见面开标大厅在线参与开标活动。（具体操作详见《苏采云系统供应商操作手册》，网址链接https://czju.suzhou.gov.cn/zfcg/html/content/20231220161910031.shtml）</w:t>
      </w:r>
    </w:p>
    <w:p w14:paraId="32387096">
      <w:pPr>
        <w:autoSpaceDE w:val="0"/>
        <w:autoSpaceDN w:val="0"/>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18.3</w:t>
      </w:r>
      <w:r>
        <w:rPr>
          <w:rFonts w:hint="eastAsia" w:ascii="宋体" w:hAnsi="宋体" w:cs="宋体"/>
          <w:b/>
          <w:bCs/>
          <w:color w:val="auto"/>
          <w:szCs w:val="21"/>
          <w:highlight w:val="none"/>
          <w:lang w:val="zh-CN"/>
        </w:rPr>
        <w:t>纸质</w:t>
      </w:r>
      <w:r>
        <w:rPr>
          <w:rFonts w:hint="eastAsia" w:ascii="宋体" w:hAnsi="宋体" w:cs="宋体"/>
          <w:b/>
          <w:bCs/>
          <w:color w:val="auto"/>
          <w:szCs w:val="21"/>
          <w:highlight w:val="none"/>
        </w:rPr>
        <w:t>投标</w:t>
      </w:r>
      <w:r>
        <w:rPr>
          <w:rFonts w:hint="eastAsia" w:ascii="宋体" w:hAnsi="宋体" w:cs="宋体"/>
          <w:b/>
          <w:bCs/>
          <w:color w:val="auto"/>
          <w:szCs w:val="21"/>
          <w:highlight w:val="none"/>
          <w:lang w:val="zh-CN"/>
        </w:rPr>
        <w:t>文件：</w:t>
      </w:r>
      <w:r>
        <w:rPr>
          <w:rFonts w:hint="eastAsia" w:ascii="宋体" w:hAnsi="宋体" w:cs="宋体"/>
          <w:color w:val="auto"/>
          <w:szCs w:val="21"/>
          <w:highlight w:val="none"/>
        </w:rPr>
        <w:t>中标后5个工作日内，中标单位向招标代理机构提供与电子投标文件内容一致的</w:t>
      </w:r>
      <w:r>
        <w:rPr>
          <w:rFonts w:hint="eastAsia" w:ascii="宋体" w:hAnsi="宋体" w:cs="宋体"/>
          <w:color w:val="auto"/>
          <w:highlight w:val="none"/>
        </w:rPr>
        <w:t>纸质投标文件两份。</w:t>
      </w:r>
    </w:p>
    <w:p w14:paraId="3C5EBCB2">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19. 投标截止时间</w:t>
      </w:r>
    </w:p>
    <w:p w14:paraId="2BBF9ADA">
      <w:pPr>
        <w:pStyle w:val="43"/>
        <w:spacing w:line="360" w:lineRule="auto"/>
        <w:ind w:firstLine="420"/>
        <w:rPr>
          <w:rFonts w:ascii="宋体" w:hAnsi="宋体" w:cs="宋体"/>
          <w:color w:val="auto"/>
          <w:szCs w:val="21"/>
          <w:highlight w:val="none"/>
          <w:lang w:val="en-US"/>
        </w:rPr>
      </w:pPr>
      <w:r>
        <w:rPr>
          <w:rFonts w:hint="eastAsia" w:ascii="宋体" w:hAnsi="宋体" w:cs="宋体"/>
          <w:color w:val="auto"/>
          <w:szCs w:val="21"/>
          <w:highlight w:val="none"/>
          <w:lang w:val="en-US"/>
        </w:rPr>
        <w:t>19.1投标人应当在招标文件要求投标文件网上提交截止时间前，将投标文件完成提交（上传）。逾期提交（上传）的投标文件，采购人和采购代理机构拒绝接收。</w:t>
      </w:r>
    </w:p>
    <w:p w14:paraId="3ABEAFE8">
      <w:pPr>
        <w:pStyle w:val="43"/>
        <w:spacing w:line="360" w:lineRule="auto"/>
        <w:ind w:firstLine="420"/>
        <w:rPr>
          <w:rFonts w:ascii="宋体" w:hAnsi="宋体" w:cs="宋体"/>
          <w:color w:val="auto"/>
          <w:szCs w:val="21"/>
          <w:highlight w:val="none"/>
          <w:lang w:val="en-US"/>
        </w:rPr>
      </w:pPr>
      <w:r>
        <w:rPr>
          <w:rFonts w:hint="eastAsia" w:ascii="宋体" w:hAnsi="宋体" w:cs="宋体"/>
          <w:color w:val="auto"/>
          <w:szCs w:val="21"/>
          <w:highlight w:val="none"/>
          <w:lang w:val="en-US"/>
        </w:rPr>
        <w:t>19.2采购人和采购代理机构推迟投标截止时间时，将按本须知规定的更正公告的方式对外发布。在这种情况下，采购人、采购代理机构和投标人的权利和义务将受到新的截止期的约束。</w:t>
      </w:r>
    </w:p>
    <w:p w14:paraId="71FE2DB5">
      <w:pPr>
        <w:pStyle w:val="43"/>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rPr>
        <w:t>19.3在投标截止时间止成功解密的投标文件少于三份，采购代理机构有权宣布本次招标失败</w:t>
      </w:r>
      <w:r>
        <w:rPr>
          <w:rFonts w:hint="eastAsia" w:ascii="宋体" w:hAnsi="宋体" w:cs="宋体"/>
          <w:color w:val="auto"/>
          <w:szCs w:val="21"/>
          <w:highlight w:val="none"/>
        </w:rPr>
        <w:t>。</w:t>
      </w:r>
    </w:p>
    <w:p w14:paraId="6A6CCF33">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20. </w:t>
      </w:r>
      <w:r>
        <w:rPr>
          <w:rFonts w:hint="eastAsia" w:ascii="宋体" w:hAnsi="宋体" w:cs="宋体"/>
          <w:b/>
          <w:color w:val="auto"/>
          <w:szCs w:val="21"/>
          <w:highlight w:val="none"/>
        </w:rPr>
        <w:t>投标文件的补充、修改和撤回</w:t>
      </w:r>
    </w:p>
    <w:p w14:paraId="3D813AA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20.1</w:t>
      </w:r>
      <w:r>
        <w:rPr>
          <w:rFonts w:hint="eastAsia" w:ascii="宋体" w:hAnsi="宋体" w:cs="宋体"/>
          <w:color w:val="auto"/>
          <w:szCs w:val="21"/>
          <w:highlight w:val="none"/>
        </w:rPr>
        <w:t>投标人在</w:t>
      </w:r>
      <w:r>
        <w:rPr>
          <w:rFonts w:hint="eastAsia" w:ascii="宋体" w:hAnsi="宋体"/>
          <w:color w:val="auto"/>
          <w:szCs w:val="21"/>
          <w:highlight w:val="none"/>
        </w:rPr>
        <w:t>投标文件网上提交截止时间</w:t>
      </w:r>
      <w:r>
        <w:rPr>
          <w:rFonts w:hint="eastAsia" w:ascii="宋体" w:hAnsi="宋体" w:cs="宋体"/>
          <w:color w:val="auto"/>
          <w:szCs w:val="21"/>
          <w:highlight w:val="none"/>
        </w:rPr>
        <w:t>前，可以对其电子投标文件进行补充、修改，具体操作方法见</w:t>
      </w:r>
      <w:r>
        <w:rPr>
          <w:rFonts w:hint="eastAsia" w:ascii="宋体" w:hAnsi="宋体" w:cs="宋体"/>
          <w:b/>
          <w:color w:val="auto"/>
          <w:szCs w:val="21"/>
          <w:highlight w:val="none"/>
        </w:rPr>
        <w:t>《苏采云系统供应商操作手册》</w:t>
      </w:r>
      <w:r>
        <w:rPr>
          <w:rFonts w:hint="eastAsia" w:ascii="宋体" w:hAnsi="宋体" w:cs="宋体"/>
          <w:color w:val="auto"/>
          <w:szCs w:val="21"/>
          <w:highlight w:val="none"/>
        </w:rPr>
        <w:t>。在</w:t>
      </w:r>
      <w:r>
        <w:rPr>
          <w:rFonts w:hint="eastAsia" w:ascii="宋体" w:hAnsi="宋体"/>
          <w:color w:val="auto"/>
          <w:szCs w:val="21"/>
          <w:highlight w:val="none"/>
        </w:rPr>
        <w:t>投标文件网上提交截止时间</w:t>
      </w:r>
      <w:r>
        <w:rPr>
          <w:rFonts w:hint="eastAsia" w:ascii="宋体" w:hAnsi="宋体" w:cs="宋体"/>
          <w:color w:val="auto"/>
          <w:szCs w:val="21"/>
          <w:highlight w:val="none"/>
        </w:rPr>
        <w:t>之后，投标人不得对其电子投标文件作任何修改</w:t>
      </w:r>
      <w:r>
        <w:rPr>
          <w:rFonts w:hint="eastAsia" w:ascii="宋体" w:hAnsi="宋体" w:cs="宋体"/>
          <w:color w:val="auto"/>
          <w:szCs w:val="21"/>
          <w:highlight w:val="none"/>
          <w:lang w:val="zh-CN"/>
        </w:rPr>
        <w:t>。</w:t>
      </w:r>
    </w:p>
    <w:p w14:paraId="160C89C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20.2</w:t>
      </w:r>
      <w:r>
        <w:rPr>
          <w:rFonts w:hint="eastAsia" w:ascii="宋体" w:hAnsi="宋体" w:cs="宋体"/>
          <w:color w:val="auto"/>
          <w:szCs w:val="21"/>
          <w:highlight w:val="none"/>
        </w:rPr>
        <w:t>投标人在</w:t>
      </w:r>
      <w:r>
        <w:rPr>
          <w:rFonts w:hint="eastAsia" w:ascii="宋体" w:hAnsi="宋体"/>
          <w:color w:val="auto"/>
          <w:szCs w:val="21"/>
          <w:highlight w:val="none"/>
        </w:rPr>
        <w:t>投标文件网上提交截止时间</w:t>
      </w:r>
      <w:r>
        <w:rPr>
          <w:rFonts w:hint="eastAsia" w:ascii="宋体" w:hAnsi="宋体" w:cs="宋体"/>
          <w:color w:val="auto"/>
          <w:szCs w:val="21"/>
          <w:highlight w:val="none"/>
        </w:rPr>
        <w:t>前，可以撤回其电子投标文件，具体操作方法见</w:t>
      </w:r>
      <w:r>
        <w:rPr>
          <w:rFonts w:hint="eastAsia" w:ascii="宋体" w:hAnsi="宋体" w:cs="宋体"/>
          <w:b/>
          <w:color w:val="auto"/>
          <w:szCs w:val="21"/>
          <w:highlight w:val="none"/>
        </w:rPr>
        <w:t>《苏采云系统供应商操作手册》</w:t>
      </w:r>
      <w:r>
        <w:rPr>
          <w:rFonts w:hint="eastAsia" w:ascii="宋体" w:hAnsi="宋体" w:cs="宋体"/>
          <w:color w:val="auto"/>
          <w:szCs w:val="21"/>
          <w:highlight w:val="none"/>
        </w:rPr>
        <w:t>。投标人撤回电子投标文件，则认为其不再参与本项目投标活动。在投标截止时间至招标文件中规定的投标有效期满之间的这段时间内，投标人不得撤回其投标</w:t>
      </w:r>
      <w:r>
        <w:rPr>
          <w:rFonts w:hint="eastAsia" w:ascii="宋体" w:hAnsi="宋体" w:cs="宋体"/>
          <w:color w:val="auto"/>
          <w:szCs w:val="21"/>
          <w:highlight w:val="none"/>
          <w:lang w:val="zh-CN"/>
        </w:rPr>
        <w:t>。</w:t>
      </w:r>
    </w:p>
    <w:p w14:paraId="5194490A">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六、 开标和评标</w:t>
      </w:r>
    </w:p>
    <w:p w14:paraId="268E649C">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21. 开标</w:t>
      </w:r>
    </w:p>
    <w:p w14:paraId="6DE5AD5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21.1开标由采购代理机构</w:t>
      </w:r>
      <w:r>
        <w:rPr>
          <w:rFonts w:hint="eastAsia" w:ascii="宋体" w:hAnsi="宋体" w:cs="宋体"/>
          <w:color w:val="auto"/>
          <w:szCs w:val="21"/>
          <w:highlight w:val="none"/>
        </w:rPr>
        <w:t>在线</w:t>
      </w:r>
      <w:r>
        <w:rPr>
          <w:rFonts w:hint="eastAsia" w:ascii="宋体" w:hAnsi="宋体" w:cs="宋体"/>
          <w:color w:val="auto"/>
          <w:szCs w:val="21"/>
          <w:highlight w:val="none"/>
          <w:lang w:val="zh-CN"/>
        </w:rPr>
        <w:t>主持，邀请投标人</w:t>
      </w:r>
      <w:r>
        <w:rPr>
          <w:rFonts w:hint="eastAsia" w:ascii="宋体" w:hAnsi="宋体" w:cs="宋体"/>
          <w:color w:val="auto"/>
          <w:szCs w:val="21"/>
          <w:highlight w:val="none"/>
        </w:rPr>
        <w:t>在线</w:t>
      </w:r>
      <w:r>
        <w:rPr>
          <w:rFonts w:hint="eastAsia" w:ascii="宋体" w:hAnsi="宋体" w:cs="宋体"/>
          <w:color w:val="auto"/>
          <w:szCs w:val="21"/>
          <w:highlight w:val="none"/>
          <w:lang w:val="zh-CN"/>
        </w:rPr>
        <w:t>参加。投标人应当按照《苏采云系统供应商操作手册》规定，</w:t>
      </w:r>
      <w:r>
        <w:rPr>
          <w:rFonts w:hint="eastAsia" w:ascii="宋体" w:hAnsi="宋体" w:cs="宋体"/>
          <w:b/>
          <w:bCs/>
          <w:color w:val="auto"/>
          <w:szCs w:val="21"/>
          <w:highlight w:val="none"/>
          <w:lang w:val="zh-CN"/>
        </w:rPr>
        <w:t>参加开标活动和在“苏采云”系统规定的时间内对投标文件进行解密。</w:t>
      </w:r>
      <w:r>
        <w:rPr>
          <w:rFonts w:hint="eastAsia" w:ascii="宋体" w:hAnsi="宋体" w:cs="宋体"/>
          <w:color w:val="auto"/>
          <w:szCs w:val="21"/>
          <w:highlight w:val="none"/>
          <w:lang w:val="zh-CN"/>
        </w:rPr>
        <w:t>评标委员会成员不得参加开标活动。</w:t>
      </w:r>
    </w:p>
    <w:p w14:paraId="6979AB9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21.2开标时，由采购代理机构</w:t>
      </w:r>
      <w:r>
        <w:rPr>
          <w:rFonts w:hint="eastAsia" w:ascii="宋体" w:hAnsi="宋体" w:cs="宋体"/>
          <w:color w:val="auto"/>
          <w:szCs w:val="21"/>
          <w:highlight w:val="none"/>
        </w:rPr>
        <w:t>通过“苏采云”系统在线</w:t>
      </w:r>
      <w:r>
        <w:rPr>
          <w:rFonts w:hint="eastAsia" w:ascii="宋体" w:hAnsi="宋体" w:cs="宋体"/>
          <w:color w:val="auto"/>
          <w:szCs w:val="21"/>
          <w:highlight w:val="none"/>
          <w:lang w:val="zh-CN"/>
        </w:rPr>
        <w:t>宣布投标人名称、投标价格和招标文件规定的需要宣布的其他内容。</w:t>
      </w:r>
      <w:r>
        <w:rPr>
          <w:rFonts w:hint="eastAsia" w:ascii="宋体" w:hAnsi="宋体" w:cs="宋体"/>
          <w:color w:val="auto"/>
          <w:szCs w:val="21"/>
          <w:highlight w:val="none"/>
        </w:rPr>
        <w:t>投标人在不见面开标系统中确认投标价格，如</w:t>
      </w:r>
      <w:r>
        <w:rPr>
          <w:rFonts w:hint="eastAsia" w:ascii="宋体" w:hAnsi="宋体" w:cs="宋体"/>
          <w:color w:val="auto"/>
          <w:szCs w:val="21"/>
          <w:highlight w:val="none"/>
          <w:lang w:val="zh-CN"/>
        </w:rPr>
        <w:t>投标人未</w:t>
      </w:r>
      <w:r>
        <w:rPr>
          <w:rFonts w:hint="eastAsia" w:ascii="宋体" w:hAnsi="宋体" w:cs="宋体"/>
          <w:color w:val="auto"/>
          <w:szCs w:val="21"/>
          <w:highlight w:val="none"/>
        </w:rPr>
        <w:t>在线</w:t>
      </w:r>
      <w:r>
        <w:rPr>
          <w:rFonts w:hint="eastAsia" w:ascii="宋体" w:hAnsi="宋体" w:cs="宋体"/>
          <w:color w:val="auto"/>
          <w:szCs w:val="21"/>
          <w:highlight w:val="none"/>
          <w:lang w:val="zh-CN"/>
        </w:rPr>
        <w:t>参加开标</w:t>
      </w:r>
      <w:r>
        <w:rPr>
          <w:rFonts w:hint="eastAsia" w:ascii="宋体" w:hAnsi="宋体" w:cs="宋体"/>
          <w:color w:val="auto"/>
          <w:szCs w:val="21"/>
          <w:highlight w:val="none"/>
        </w:rPr>
        <w:t>或未在规定时间内确认价格</w:t>
      </w:r>
      <w:r>
        <w:rPr>
          <w:rFonts w:hint="eastAsia" w:ascii="宋体" w:hAnsi="宋体" w:cs="宋体"/>
          <w:color w:val="auto"/>
          <w:szCs w:val="21"/>
          <w:highlight w:val="none"/>
          <w:lang w:val="zh-CN"/>
        </w:rPr>
        <w:t>的，视同认可开标结果。</w:t>
      </w:r>
    </w:p>
    <w:p w14:paraId="33579734">
      <w:pPr>
        <w:pStyle w:val="43"/>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21.3资格审查</w:t>
      </w:r>
    </w:p>
    <w:p w14:paraId="634028DD">
      <w:pPr>
        <w:pStyle w:val="43"/>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rPr>
        <w:t>1</w:t>
      </w:r>
      <w:r>
        <w:rPr>
          <w:rFonts w:hint="eastAsia" w:ascii="宋体" w:hAnsi="宋体" w:cs="宋体"/>
          <w:color w:val="auto"/>
          <w:szCs w:val="21"/>
          <w:highlight w:val="none"/>
        </w:rPr>
        <w:t>.3.1公开招标采购项目开标结束后，采购人</w:t>
      </w:r>
      <w:r>
        <w:rPr>
          <w:rFonts w:hint="eastAsia" w:ascii="宋体" w:hAnsi="宋体" w:cs="宋体"/>
          <w:color w:val="auto"/>
          <w:szCs w:val="21"/>
          <w:highlight w:val="none"/>
          <w:lang w:val="en-US"/>
        </w:rPr>
        <w:t>或采购代理机构</w:t>
      </w:r>
      <w:r>
        <w:rPr>
          <w:rFonts w:hint="eastAsia" w:ascii="宋体" w:hAnsi="宋体" w:cs="宋体"/>
          <w:color w:val="auto"/>
          <w:szCs w:val="21"/>
          <w:highlight w:val="none"/>
        </w:rPr>
        <w:t>应当依法对投标人的资格进行审查，未通过资格审查的视为无效投标。</w:t>
      </w:r>
    </w:p>
    <w:p w14:paraId="17B215C9">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22. 评标委员会或评标小组</w:t>
      </w:r>
    </w:p>
    <w:p w14:paraId="3F2BC4A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22.1评标委员会或评标小组（以下简称评标委员会）成员依法组建。</w:t>
      </w:r>
    </w:p>
    <w:p w14:paraId="0B27AC8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22.2评标委员会或评标小组负责具体的评标事务，并独立履行以下职责：</w:t>
      </w:r>
    </w:p>
    <w:p w14:paraId="44C51AC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22.2.1审查、评价投标文件是否符合招标文件的商务、技术等实质性要求；</w:t>
      </w:r>
    </w:p>
    <w:p w14:paraId="1BD85B68">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22.2.2要求投标人对投标文件有关事项作出澄清或者说明；</w:t>
      </w:r>
    </w:p>
    <w:p w14:paraId="3271677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22.2.3对投标文件进行比较和评价；</w:t>
      </w:r>
    </w:p>
    <w:p w14:paraId="639EC5F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22.2.4确定中标候选人名单，以及根据采购单位委托直接确定中标单位；</w:t>
      </w:r>
    </w:p>
    <w:p w14:paraId="0D18287C">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22.2.5向采购单位、采购代理机构或者有关部门报告评标中发现的违法行为。</w:t>
      </w:r>
    </w:p>
    <w:p w14:paraId="36252F0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22.3评标委员会成员应当履行下列义务：</w:t>
      </w:r>
    </w:p>
    <w:p w14:paraId="6D8A25C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22.3.1遵纪守法，客观、公正、廉洁地履行职责；</w:t>
      </w:r>
    </w:p>
    <w:p w14:paraId="3F4AB38F">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22.3.2按照招标文件规定的评标方法和评标标准进行评标，对评审意见承担个人责任；</w:t>
      </w:r>
    </w:p>
    <w:p w14:paraId="793FD828">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22.3.3对评标过程和结果，以及投标人的商业秘密保密；</w:t>
      </w:r>
    </w:p>
    <w:p w14:paraId="1B5D04A8">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22.3.4参与评标报告的起草；</w:t>
      </w:r>
    </w:p>
    <w:p w14:paraId="5801739C">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22.3.5配合财政部门的投诉处理工作；</w:t>
      </w:r>
    </w:p>
    <w:p w14:paraId="4C4D623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22.3.6配合招标采购单位答复投标供应商提出的质疑。</w:t>
      </w:r>
    </w:p>
    <w:p w14:paraId="5BB3B5B2">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23. 评标内容的保密</w:t>
      </w:r>
    </w:p>
    <w:p w14:paraId="74E545D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23.1公开开标后，直到宣布授予中标单位合同为止，凡属于审查、澄清、评价和比较投标的所有资料，有关授予合同的信息都不应向投标人或与评标无关的其他人泄露。</w:t>
      </w:r>
    </w:p>
    <w:p w14:paraId="665D13C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23.2在投标文件的审查、澄清、评价和比较以及授予合同的过程中，投标人对招标代理机构和评标委员会成员施加影响的任何行为，都将取消其中标资格。</w:t>
      </w:r>
    </w:p>
    <w:p w14:paraId="2B3063F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23.3在评标期间，招标代理机构将通过指定联络人与投标人进行联系。</w:t>
      </w:r>
    </w:p>
    <w:p w14:paraId="34656962">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24. 对投标文件初审</w:t>
      </w:r>
    </w:p>
    <w:p w14:paraId="1EF0BBD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24.1</w:t>
      </w:r>
      <w:r>
        <w:rPr>
          <w:rFonts w:hint="eastAsia" w:ascii="宋体" w:hAnsi="宋体" w:cs="宋体"/>
          <w:color w:val="auto"/>
          <w:szCs w:val="21"/>
          <w:highlight w:val="none"/>
        </w:rPr>
        <w:t>评标委员会应当对符合资格的投标人的投标文件进行符合性审查，以确定其是否满足招标文件的实质性要求</w:t>
      </w:r>
      <w:r>
        <w:rPr>
          <w:rFonts w:hint="eastAsia" w:ascii="宋体" w:hAnsi="宋体" w:cs="宋体"/>
          <w:color w:val="auto"/>
          <w:szCs w:val="21"/>
          <w:highlight w:val="none"/>
          <w:lang w:val="zh-CN"/>
        </w:rPr>
        <w:t>。</w:t>
      </w:r>
    </w:p>
    <w:p w14:paraId="345CE57F">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投标文件有下列情况之一者将被拒绝：</w:t>
      </w:r>
    </w:p>
    <w:p w14:paraId="573D05BA">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24.1.1投标人的投标文件未按照本须知规定制作的；</w:t>
      </w:r>
    </w:p>
    <w:p w14:paraId="39A77A6A">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24.1.2未按本须知规定提交资格文件或资质不合格；</w:t>
      </w:r>
    </w:p>
    <w:p w14:paraId="2BE1732E">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24.1.3与招标文件有重大偏离；</w:t>
      </w:r>
    </w:p>
    <w:p w14:paraId="7CA9D212">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24.1.4投标人拒绝修正错误；</w:t>
      </w:r>
    </w:p>
    <w:p w14:paraId="08234CCF">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24.1.5投标人的报价是选择性的；</w:t>
      </w:r>
    </w:p>
    <w:p w14:paraId="01608CE1">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24.1.6投标人的报价只投了部分内容；</w:t>
      </w:r>
    </w:p>
    <w:p w14:paraId="68EACA92">
      <w:pPr>
        <w:autoSpaceDE w:val="0"/>
        <w:autoSpaceDN w:val="0"/>
        <w:spacing w:line="360" w:lineRule="auto"/>
        <w:ind w:firstLine="422" w:firstLineChars="200"/>
        <w:rPr>
          <w:rFonts w:ascii="宋体" w:hAnsi="宋体" w:cs="宋体"/>
          <w:b/>
          <w:bCs/>
          <w:color w:val="auto"/>
          <w:highlight w:val="none"/>
        </w:rPr>
      </w:pPr>
      <w:r>
        <w:rPr>
          <w:rFonts w:hint="eastAsia" w:ascii="宋体" w:hAnsi="宋体" w:cs="宋体"/>
          <w:b/>
          <w:color w:val="auto"/>
          <w:szCs w:val="21"/>
          <w:highlight w:val="none"/>
          <w:lang w:val="zh-CN"/>
        </w:rPr>
        <w:t>24.1.7</w:t>
      </w:r>
      <w:r>
        <w:rPr>
          <w:rFonts w:hint="eastAsia" w:ascii="宋体" w:hAnsi="宋体" w:cs="宋体"/>
          <w:b/>
          <w:bCs/>
          <w:color w:val="auto"/>
          <w:highlight w:val="none"/>
        </w:rPr>
        <w:t>其他被评委会认定无效的情况。</w:t>
      </w:r>
    </w:p>
    <w:p w14:paraId="22B029D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24.2根据政府采购法及相关法规的规定，将对供应商进行信用查询，凡经确认不符合政府采购相关法律法规规定的，将拒绝其参与政府采购活动。</w:t>
      </w:r>
    </w:p>
    <w:p w14:paraId="1FAD8CB6">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24.2.1查询时间：投标文件递交截止时间后。</w:t>
      </w:r>
    </w:p>
    <w:p w14:paraId="7003FE32">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24.2.2查询渠道：</w:t>
      </w:r>
      <w:r>
        <w:rPr>
          <w:rFonts w:hint="eastAsia" w:ascii="宋体" w:hAnsi="宋体" w:cs="宋体"/>
          <w:color w:val="auto"/>
          <w:szCs w:val="21"/>
          <w:highlight w:val="none"/>
        </w:rPr>
        <w:t>采购代理机构会在接收投标文件截止时间后，登录</w:t>
      </w:r>
      <w:r>
        <w:rPr>
          <w:rFonts w:ascii="宋体" w:hAnsi="宋体" w:cs="宋体"/>
          <w:color w:val="auto"/>
          <w:szCs w:val="21"/>
          <w:highlight w:val="none"/>
        </w:rPr>
        <w:t>信用中国</w:t>
      </w:r>
      <w:r>
        <w:rPr>
          <w:rFonts w:hint="eastAsia" w:ascii="宋体" w:hAnsi="宋体" w:cs="宋体"/>
          <w:color w:val="auto"/>
          <w:szCs w:val="21"/>
          <w:highlight w:val="none"/>
        </w:rPr>
        <w:t>网站</w:t>
      </w:r>
      <w:r>
        <w:rPr>
          <w:rFonts w:ascii="宋体" w:hAnsi="宋体" w:cs="宋体"/>
          <w:color w:val="auto"/>
          <w:szCs w:val="21"/>
          <w:highlight w:val="none"/>
        </w:rPr>
        <w:t>（www.creditchina.gov.cn）查询供应商的信用记录，并将查询结果递交</w:t>
      </w:r>
      <w:r>
        <w:rPr>
          <w:rFonts w:hint="eastAsia" w:ascii="宋体" w:hAnsi="宋体" w:cs="宋体"/>
          <w:color w:val="auto"/>
          <w:szCs w:val="21"/>
          <w:highlight w:val="none"/>
        </w:rPr>
        <w:t>评标委员会。</w:t>
      </w:r>
    </w:p>
    <w:p w14:paraId="33E15C07">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24.2.3查询证据留存方式：</w:t>
      </w:r>
      <w:r>
        <w:rPr>
          <w:rFonts w:hint="eastAsia" w:ascii="宋体" w:hAnsi="宋体" w:cs="宋体"/>
          <w:color w:val="auto"/>
          <w:szCs w:val="21"/>
          <w:highlight w:val="none"/>
        </w:rPr>
        <w:t>采购人、采购代理机构工作人员等应按照相关管理办法查询相关主体的信用记录，并保存好相关证据材料，信用查询记录及相关证据应当归入采购档案妥善保管。采购代理机构工作人员应登</w:t>
      </w:r>
      <w:r>
        <w:rPr>
          <w:rFonts w:hint="eastAsia" w:ascii="宋体" w:hAnsi="宋体"/>
          <w:color w:val="auto"/>
          <w:szCs w:val="21"/>
          <w:highlight w:val="none"/>
        </w:rPr>
        <w:t>录</w:t>
      </w:r>
      <w:r>
        <w:rPr>
          <w:rFonts w:hint="eastAsia" w:ascii="宋体" w:hAnsi="宋体" w:cs="宋体"/>
          <w:color w:val="auto"/>
          <w:szCs w:val="21"/>
          <w:highlight w:val="none"/>
        </w:rPr>
        <w:t>到来源网站页面进行复核并打印，作为证据留存。</w:t>
      </w:r>
    </w:p>
    <w:p w14:paraId="7F9648E6">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olor w:val="auto"/>
          <w:highlight w:val="none"/>
        </w:rPr>
        <w:t>24.2.4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0DA6819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24.2.</w:t>
      </w:r>
      <w:r>
        <w:rPr>
          <w:rFonts w:hint="eastAsia" w:ascii="宋体" w:hAnsi="宋体" w:cs="宋体"/>
          <w:color w:val="auto"/>
          <w:szCs w:val="21"/>
          <w:highlight w:val="none"/>
        </w:rPr>
        <w:t>5</w:t>
      </w:r>
      <w:r>
        <w:rPr>
          <w:rFonts w:hint="eastAsia" w:ascii="宋体" w:hAnsi="宋体" w:cs="宋体"/>
          <w:color w:val="auto"/>
          <w:szCs w:val="21"/>
          <w:highlight w:val="none"/>
          <w:lang w:val="zh-CN"/>
        </w:rPr>
        <w:t>信用记录使用规则：对供应商进行资格性审查时，应根据查询结果对供应商的不良信用记录逐项甄别确认。按照《中华人民共和国政府采购法》第二十二条规定，下列信用记录属于应依法拒绝供应商参加政府采购的失信信息：</w:t>
      </w:r>
    </w:p>
    <w:p w14:paraId="717DF02C">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（一）政府采购严重违法记录，即供应商被全国各级财政部门列入“政府采购严重违法失信行为记录名单”，且在处罚有效期内的。</w:t>
      </w:r>
    </w:p>
    <w:p w14:paraId="431C9F9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（二）财政部门与法院、工商、税务等部门联合惩戒的失信信息，包括：</w:t>
      </w:r>
    </w:p>
    <w:p w14:paraId="133EC81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（1）被列入失信被执行人名单；</w:t>
      </w:r>
    </w:p>
    <w:p w14:paraId="64B441F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（2）被列入重大税收违法案件当事人名单；</w:t>
      </w:r>
    </w:p>
    <w:p w14:paraId="1F22CFB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（3）企业经营异常名录中被责令停产停业、暂扣或者吊销许可证或者执照，或者对经营活动中的</w:t>
      </w:r>
      <w:r>
        <w:rPr>
          <w:rFonts w:hint="eastAsia" w:ascii="宋体" w:hAnsi="宋体" w:cs="宋体"/>
          <w:color w:val="auto"/>
          <w:szCs w:val="21"/>
          <w:highlight w:val="none"/>
        </w:rPr>
        <w:t>违法行为处以</w:t>
      </w:r>
      <w:r>
        <w:rPr>
          <w:rFonts w:hint="eastAsia" w:ascii="宋体" w:hAnsi="宋体" w:cs="宋体"/>
          <w:color w:val="auto"/>
          <w:szCs w:val="21"/>
          <w:highlight w:val="none"/>
          <w:lang w:val="zh-CN"/>
        </w:rPr>
        <w:t>较大数额罚款（“较大数额罚款”认定为200万元以上的罚款，法律、行政法规以及国务院有关部门明确规定相关领域“较大数额罚款”标准高于200万元的，从其规定）的信用记录。处罚生效日至递交（响应）文件日未满三年的。</w:t>
      </w:r>
    </w:p>
    <w:p w14:paraId="2A87012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24.3在详细评标之前，评委会将首先审查每份投标书是否实质响应了招标文件的要求。实质上响应的投标应该是与招标文件的全部条款、条件和规格相符，没有重大偏离或保留。所谓重大偏离或保留是指影响合同的货物和服务范围、质量和性能等；或者在实质上与招标文件不一致〔如货物和服务的质量、范围及服务的期限和服务的内容明显不能满足招标文件的要求〕，而且限制了合同中需方的权利或投标人的义务。这些偏离或保留将会对其他实质上响应要求的投标人的竞争地位产生不公正的影响。</w:t>
      </w:r>
    </w:p>
    <w:p w14:paraId="6BE43D6E">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24.4招标代理机构将允许修改投标中不构成重大偏离的微小的、非正规、不一致或不规则的地方，但这些修改不能影响任何投标人的名次相应排列。投标人不得对招标文件进行实质性修改，否则投标文件将被拒绝。</w:t>
      </w:r>
    </w:p>
    <w:p w14:paraId="73BDA5A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24.5评委会将对确定为实质上响应的投标进行审核，看其是否有计算上或累加上的算术错误，修正错误的原则如下：</w:t>
      </w:r>
    </w:p>
    <w:p w14:paraId="32C79A6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24.5.1投标文件中开标一览表（报价表）内容与投标文件中相应内容不一致的，以开标一览表（报价表）为准；</w:t>
      </w:r>
    </w:p>
    <w:p w14:paraId="23A68F32">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24.5.2大写金额和小写金额不一致的，以大写金额为准；</w:t>
      </w:r>
    </w:p>
    <w:p w14:paraId="579E940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24.5.3单价金额小数点或者百分比有明显错位的，以开标一览表的总价为准，并修改单价；</w:t>
      </w:r>
    </w:p>
    <w:p w14:paraId="48C97DE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24.5.4总价金额与按单价汇总金额不一致的，以单价金额计算结果为准。</w:t>
      </w:r>
    </w:p>
    <w:p w14:paraId="3567E15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24.5.5同时出现两种以上不一致的，按照前款规定的顺序修正。修正后的报价按照《政府采购货物和服务招标投标管理办法（中华人民共和国财政部令第87号）》第五十一条第二款的规定经投标人确认后产生约束力，投标人不确认的，其投标无效。</w:t>
      </w:r>
    </w:p>
    <w:p w14:paraId="4A7FDBBC">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24.6招标代理机构对投标文件的判定，只依据投标内容本身，不依靠开标后的任何外来证明。</w:t>
      </w:r>
    </w:p>
    <w:p w14:paraId="593167C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24.7招标代理机构将拒绝被确定为非实质性响应的投标，投标人不能通过修正或撤销不符之处而使其投标成为实质性响应的投标。</w:t>
      </w:r>
    </w:p>
    <w:p w14:paraId="76FBFD16">
      <w:pPr>
        <w:autoSpaceDE w:val="0"/>
        <w:autoSpaceDN w:val="0"/>
        <w:spacing w:line="360" w:lineRule="auto"/>
        <w:ind w:firstLine="422"/>
        <w:rPr>
          <w:rFonts w:ascii="宋体" w:hAnsi="宋体" w:cs="宋体"/>
          <w:b/>
          <w:bCs/>
          <w:color w:val="auto"/>
          <w:szCs w:val="21"/>
          <w:highlight w:val="none"/>
          <w:lang w:val="zh-CN"/>
        </w:rPr>
      </w:pPr>
      <w:r>
        <w:rPr>
          <w:rFonts w:hint="eastAsia" w:ascii="宋体" w:hAnsi="宋体" w:cs="宋体"/>
          <w:b/>
          <w:bCs/>
          <w:color w:val="auto"/>
          <w:szCs w:val="21"/>
          <w:highlight w:val="none"/>
          <w:lang w:val="zh-CN"/>
        </w:rPr>
        <w:t>25. 投标的澄清</w:t>
      </w:r>
    </w:p>
    <w:p w14:paraId="0390995C">
      <w:pPr>
        <w:pStyle w:val="43"/>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rPr>
        <w:t>5</w:t>
      </w:r>
      <w:r>
        <w:rPr>
          <w:rFonts w:hint="eastAsia" w:ascii="宋体" w:hAnsi="宋体" w:cs="宋体"/>
          <w:color w:val="auto"/>
          <w:szCs w:val="21"/>
          <w:highlight w:val="none"/>
        </w:rPr>
        <w:t>.1对于投标文件中含义不明确、同类问题表述不一致或者有明显文字和计算错误的内容，评标委员会应当以书面形式要求投标人作出必要的澄清、说明或者补正。</w:t>
      </w:r>
    </w:p>
    <w:p w14:paraId="32AE5B6F">
      <w:pPr>
        <w:pStyle w:val="43"/>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rPr>
        <w:t>5</w:t>
      </w:r>
      <w:r>
        <w:rPr>
          <w:rFonts w:hint="eastAsia" w:ascii="宋体" w:hAnsi="宋体" w:cs="宋体"/>
          <w:color w:val="auto"/>
          <w:szCs w:val="21"/>
          <w:highlight w:val="none"/>
        </w:rPr>
        <w:t>.2投标人的澄清、说明或者补正应当采用书面形式，并加盖</w:t>
      </w:r>
      <w:r>
        <w:rPr>
          <w:rFonts w:hint="eastAsia" w:ascii="宋体" w:hAnsi="宋体" w:cs="宋体"/>
          <w:color w:val="auto"/>
          <w:szCs w:val="21"/>
          <w:highlight w:val="none"/>
          <w:lang w:val="en-US"/>
        </w:rPr>
        <w:t>其单位电子</w:t>
      </w:r>
      <w:r>
        <w:rPr>
          <w:rFonts w:hint="eastAsia" w:ascii="宋体" w:hAnsi="宋体" w:cs="宋体"/>
          <w:color w:val="auto"/>
          <w:szCs w:val="21"/>
          <w:highlight w:val="none"/>
        </w:rPr>
        <w:t>公章。投标人的澄清、说明或者补正不得超出投标文件的范围或者改变投标文件的实质性内容。</w:t>
      </w:r>
    </w:p>
    <w:p w14:paraId="48AEEAAB">
      <w:pPr>
        <w:autoSpaceDE w:val="0"/>
        <w:autoSpaceDN w:val="0"/>
        <w:spacing w:line="360" w:lineRule="auto"/>
        <w:ind w:firstLine="422" w:firstLineChars="200"/>
        <w:rPr>
          <w:rFonts w:ascii="宋体" w:hAnsi="宋体" w:cs="宋体"/>
          <w:color w:val="auto"/>
          <w:szCs w:val="21"/>
          <w:highlight w:val="none"/>
          <w:lang w:val="zh-CN"/>
        </w:rPr>
      </w:pPr>
      <w:r>
        <w:rPr>
          <w:rFonts w:hint="eastAsia" w:ascii="宋体" w:hAnsi="宋体" w:cs="宋体"/>
          <w:b/>
          <w:color w:val="auto"/>
          <w:szCs w:val="21"/>
          <w:highlight w:val="none"/>
        </w:rPr>
        <w:t>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w:t>
      </w:r>
      <w:r>
        <w:rPr>
          <w:rFonts w:hint="eastAsia" w:ascii="宋体" w:hAnsi="宋体" w:cs="宋体"/>
          <w:color w:val="auto"/>
          <w:szCs w:val="21"/>
          <w:highlight w:val="none"/>
        </w:rPr>
        <w:t>(</w:t>
      </w:r>
      <w:r>
        <w:rPr>
          <w:rFonts w:hint="eastAsia" w:ascii="宋体" w:hAnsi="宋体" w:cs="宋体"/>
          <w:b/>
          <w:color w:val="auto"/>
          <w:szCs w:val="21"/>
          <w:highlight w:val="none"/>
        </w:rPr>
        <w:t>此处规定时间的计算以系统中的倒计时间为准，</w:t>
      </w:r>
      <w:r>
        <w:rPr>
          <w:rFonts w:hint="eastAsia" w:ascii="宋体" w:hAnsi="宋体" w:cs="宋体"/>
          <w:color w:val="auto"/>
          <w:szCs w:val="21"/>
          <w:highlight w:val="none"/>
        </w:rPr>
        <w:t>供应商应随时保持系统在线，如因供应商自身原因未在规定时间内提交澄清确认资料的，导致的不利后果由供应商自行承担</w:t>
      </w:r>
      <w:r>
        <w:rPr>
          <w:rFonts w:hint="eastAsia" w:ascii="宋体" w:hAnsi="宋体" w:cs="宋体"/>
          <w:color w:val="auto"/>
          <w:szCs w:val="21"/>
          <w:highlight w:val="none"/>
          <w:lang w:val="zh-CN"/>
        </w:rPr>
        <w:t>。</w:t>
      </w:r>
    </w:p>
    <w:p w14:paraId="6DE7AA81">
      <w:pPr>
        <w:spacing w:line="360" w:lineRule="auto"/>
        <w:rPr>
          <w:rFonts w:ascii="宋体" w:hAnsi="宋体" w:cs="宋体"/>
          <w:b/>
          <w:color w:val="auto"/>
          <w:highlight w:val="none"/>
        </w:rPr>
      </w:pPr>
      <w:r>
        <w:rPr>
          <w:rFonts w:hint="eastAsia" w:ascii="宋体" w:hAnsi="宋体" w:cs="宋体"/>
          <w:b/>
          <w:bCs/>
          <w:color w:val="auto"/>
          <w:szCs w:val="21"/>
          <w:highlight w:val="none"/>
          <w:lang w:val="zh-CN"/>
        </w:rPr>
        <w:t>26．</w:t>
      </w:r>
      <w:r>
        <w:rPr>
          <w:rFonts w:hint="eastAsia" w:ascii="宋体" w:hAnsi="宋体" w:cs="宋体"/>
          <w:b/>
          <w:color w:val="auto"/>
          <w:highlight w:val="none"/>
        </w:rPr>
        <w:t>无效投标的具体情形有：</w:t>
      </w:r>
    </w:p>
    <w:p w14:paraId="1B877286">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26.1未按照招标文件的规定提交《投标（响应）保证承诺书》；</w:t>
      </w:r>
    </w:p>
    <w:p w14:paraId="1FCF21ED">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26.2投标文件未按招标文件要求签署、盖章的；</w:t>
      </w:r>
    </w:p>
    <w:p w14:paraId="4D48B7DE">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26.3不具备招标文件中规定的资格要求的；</w:t>
      </w:r>
    </w:p>
    <w:p w14:paraId="3ED06735">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26.4报价超过招标文件中规定的预算金额或者最高限价的；</w:t>
      </w:r>
    </w:p>
    <w:p w14:paraId="6028C3B9">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26.5投标文件含有采购单位不能接受的附加条件的；</w:t>
      </w:r>
    </w:p>
    <w:p w14:paraId="7BD72FB9">
      <w:pPr>
        <w:autoSpaceDE w:val="0"/>
        <w:autoSpaceDN w:val="0"/>
        <w:spacing w:line="360" w:lineRule="auto"/>
        <w:ind w:firstLine="422" w:firstLineChars="200"/>
        <w:rPr>
          <w:rFonts w:ascii="宋体" w:hAnsi="宋体" w:cs="宋体"/>
          <w:b/>
          <w:bCs/>
          <w:color w:val="auto"/>
          <w:highlight w:val="none"/>
        </w:rPr>
      </w:pPr>
      <w:r>
        <w:rPr>
          <w:rFonts w:hint="eastAsia" w:ascii="宋体" w:hAnsi="宋体" w:cs="宋体"/>
          <w:b/>
          <w:bCs/>
          <w:color w:val="auto"/>
          <w:szCs w:val="21"/>
          <w:highlight w:val="none"/>
          <w:lang w:val="zh-CN"/>
        </w:rPr>
        <w:t>26.6</w:t>
      </w:r>
      <w:r>
        <w:rPr>
          <w:rFonts w:hint="eastAsia" w:ascii="宋体" w:hAnsi="宋体" w:cs="宋体"/>
          <w:b/>
          <w:bCs/>
          <w:color w:val="auto"/>
          <w:highlight w:val="none"/>
        </w:rPr>
        <w:t>不同投标（响应）文件制作机器码一致的；</w:t>
      </w:r>
    </w:p>
    <w:p w14:paraId="61144846">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highlight w:val="none"/>
        </w:rPr>
        <w:t>26.7</w:t>
      </w:r>
      <w:r>
        <w:rPr>
          <w:rFonts w:hint="eastAsia" w:ascii="宋体" w:hAnsi="宋体" w:cs="宋体"/>
          <w:b/>
          <w:bCs/>
          <w:color w:val="auto"/>
          <w:szCs w:val="21"/>
          <w:highlight w:val="none"/>
          <w:lang w:val="zh-CN"/>
        </w:rPr>
        <w:t>法律、法规和招标文件规定的其他无效情形。</w:t>
      </w:r>
    </w:p>
    <w:p w14:paraId="5AF2B015">
      <w:pPr>
        <w:spacing w:line="360" w:lineRule="auto"/>
        <w:rPr>
          <w:rFonts w:ascii="宋体" w:hAnsi="宋体" w:cs="宋体"/>
          <w:b/>
          <w:color w:val="auto"/>
          <w:highlight w:val="none"/>
        </w:rPr>
      </w:pPr>
      <w:r>
        <w:rPr>
          <w:rFonts w:hint="eastAsia" w:ascii="宋体" w:hAnsi="宋体" w:cs="宋体"/>
          <w:b/>
          <w:color w:val="auto"/>
          <w:highlight w:val="none"/>
        </w:rPr>
        <w:t xml:space="preserve">27.废标的具体情形有： </w:t>
      </w:r>
    </w:p>
    <w:p w14:paraId="18FFB346">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27.1符合专业条件的供应商或者对招标文件作实质响应的供应商不足三家的；</w:t>
      </w:r>
    </w:p>
    <w:p w14:paraId="30DE2564">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27.2出现影响采购公正的违法、违规行为的；</w:t>
      </w:r>
    </w:p>
    <w:p w14:paraId="0EDFE465">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27.3投标人的报价均超过了采购预算或最高限价，采购单位不能支付的； </w:t>
      </w:r>
    </w:p>
    <w:p w14:paraId="4E59EF21">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27.4因重大变故，采购任务取消的。</w:t>
      </w:r>
    </w:p>
    <w:p w14:paraId="597EECB5">
      <w:pPr>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28. 投标文件的评价和比较</w:t>
      </w:r>
    </w:p>
    <w:p w14:paraId="3456395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28.1评标委员会将仅对按照本须知有关规定确定为实质上响应招标文件要求的投标文件进行评价和比较。</w:t>
      </w:r>
    </w:p>
    <w:p w14:paraId="3F5D8D3B">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28.2评价和比较采用综合评分法，即指在最大限度地满足招标文件实质性要求的前提下，按照本招标文件中规定的评标方法和评分标准及其他各项因素进行综合评审后，以评标总得分最高的投标人作为中标候选人或中标单位的评标方法。评标委员会严格按照招标文件的要求、条件、评分标准，对投标人所提供的综合服务计划的科学性、可行性、服务质量保证承诺等实质性响应内容进行比较评价。</w:t>
      </w:r>
    </w:p>
    <w:p w14:paraId="303CF252">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3</w:t>
      </w:r>
      <w:r>
        <w:rPr>
          <w:rFonts w:hint="eastAsia" w:ascii="宋体" w:hAnsi="宋体" w:cs="宋体"/>
          <w:color w:val="auto"/>
          <w:szCs w:val="21"/>
          <w:highlight w:val="none"/>
          <w:lang w:val="zh-CN"/>
        </w:rPr>
        <w:t xml:space="preserve"> 最低的投标报价是中标的重要条件但不是唯一条件。</w:t>
      </w:r>
    </w:p>
    <w:p w14:paraId="79E181B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评标原则及方法</w:t>
      </w:r>
    </w:p>
    <w:p w14:paraId="7956A0F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.1公正、公平、公开、科学、择优。</w:t>
      </w:r>
    </w:p>
    <w:p w14:paraId="7BA1FE8A">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.2对所有投标文件的评审，均采用相同的程序和标准。</w:t>
      </w:r>
    </w:p>
    <w:p w14:paraId="576E56DF">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.2.1评审方案的可行性、先进性、实用性以及风险等（含同类项目业绩，人员资质，实施本项目的资金能力、技术能力、履约能力和用户信誉等方面的从业表现等）。</w:t>
      </w:r>
    </w:p>
    <w:p w14:paraId="6700D84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.2.2评审技术服务的承诺文件是否满足采购单位的要求。</w:t>
      </w:r>
    </w:p>
    <w:p w14:paraId="3301390F">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.2.3评委会根据评分标准（除报价）进行独立打分，</w:t>
      </w:r>
      <w:r>
        <w:rPr>
          <w:rFonts w:hint="eastAsia" w:ascii="宋体" w:hAnsi="宋体" w:cs="宋体"/>
          <w:color w:val="auto"/>
          <w:szCs w:val="21"/>
          <w:highlight w:val="none"/>
        </w:rPr>
        <w:t>招标代理机构</w:t>
      </w:r>
      <w:r>
        <w:rPr>
          <w:rFonts w:hint="eastAsia" w:ascii="宋体" w:hAnsi="宋体" w:cs="宋体"/>
          <w:color w:val="auto"/>
          <w:szCs w:val="21"/>
          <w:highlight w:val="none"/>
          <w:lang w:val="zh-CN"/>
        </w:rPr>
        <w:t>进行汇总并按算术平均方法计算出各投标单位的得分，报价得分根据评分标准直接计算取得，评委得分与报价得分之和最高者为中标单位。</w:t>
      </w:r>
    </w:p>
    <w:p w14:paraId="17D21B34">
      <w:pPr>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七、授予合同</w:t>
      </w:r>
    </w:p>
    <w:p w14:paraId="308C215B">
      <w:pPr>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29. 中标单位的确认</w:t>
      </w:r>
    </w:p>
    <w:p w14:paraId="1EB5B25E">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29.1评标委员会根据投标单位专业性资格审查情况和符合性审查情况，对投标文件进行评价和比较，按照评标办法和标准进行评标，并按</w:t>
      </w:r>
      <w:r>
        <w:rPr>
          <w:rFonts w:hint="eastAsia" w:ascii="宋体" w:hAnsi="宋体" w:cs="宋体"/>
          <w:color w:val="auto"/>
          <w:szCs w:val="21"/>
          <w:highlight w:val="none"/>
        </w:rPr>
        <w:t>采购人书面授权</w:t>
      </w:r>
      <w:r>
        <w:rPr>
          <w:rFonts w:hint="eastAsia" w:ascii="宋体" w:hAnsi="宋体" w:cs="宋体"/>
          <w:color w:val="auto"/>
          <w:szCs w:val="21"/>
          <w:highlight w:val="none"/>
          <w:lang w:val="zh-CN"/>
        </w:rPr>
        <w:t>向招标代理机构推荐中标单位。</w:t>
      </w:r>
    </w:p>
    <w:p w14:paraId="32D2513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29.2经评标委员会评审并确定中标单位后，招标代理机构将在规定的时间内将中标结果在政府采购管理部门指定媒体上予以公示。</w:t>
      </w:r>
    </w:p>
    <w:p w14:paraId="509CECE8">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29.3政府采购合同履行中，采购单位需追加与合同标的相同的货物、工程或服务的，在不改变合同其他条款的前提下，可以与供应商协商签订补充合同，但所有补充合同的采购金额不得超过原合同采购金额的10%。 </w:t>
      </w:r>
    </w:p>
    <w:p w14:paraId="20F2722D">
      <w:pPr>
        <w:spacing w:line="360" w:lineRule="auto"/>
        <w:rPr>
          <w:rFonts w:ascii="宋体" w:hAnsi="宋体" w:cs="宋体"/>
          <w:b/>
          <w:color w:val="auto"/>
          <w:szCs w:val="21"/>
          <w:highlight w:val="none"/>
        </w:rPr>
      </w:pPr>
      <w:r>
        <w:rPr>
          <w:rFonts w:hint="eastAsia" w:ascii="宋体" w:hAnsi="宋体" w:cs="宋体"/>
          <w:b/>
          <w:color w:val="auto"/>
          <w:szCs w:val="21"/>
          <w:highlight w:val="none"/>
        </w:rPr>
        <w:t>30.质疑处理</w:t>
      </w:r>
    </w:p>
    <w:p w14:paraId="6CD9A114">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0.1供应商认为招标文件、采购过程或中标、成交结果使自己的权益受到损害的，可以在知道或者应知其权益受到损害之日起7个工作日内，以书面形式向采购人、采购代理机构提出质疑。采购代理机构应当在收到投标人书面质疑后7个工作日内作出答复。</w:t>
      </w:r>
    </w:p>
    <w:p w14:paraId="7670313C">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0.2本次招标文件要求供应商在法定质疑期内一次性提出针对同一采购程序环节的质疑，否则不予受理。</w:t>
      </w:r>
    </w:p>
    <w:p w14:paraId="39A4E121">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0.3供应商提出质疑应当提交质疑函和必要的证明材料，质疑函应当包括下列内容：</w:t>
      </w:r>
    </w:p>
    <w:p w14:paraId="232AD976">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（1）供应商的姓名或者名称（以提供的营业执照副本复印件为准）、地址、邮编、联系人及联系电话；</w:t>
      </w:r>
    </w:p>
    <w:p w14:paraId="62B53DE7">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（2）质疑项目的名称、编号；</w:t>
      </w:r>
    </w:p>
    <w:p w14:paraId="24117B15">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（3）具体、明确的质疑事项和与质疑事项相关的请求；</w:t>
      </w:r>
    </w:p>
    <w:p w14:paraId="3B7DD786">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（4）事实依据；</w:t>
      </w:r>
    </w:p>
    <w:p w14:paraId="1EAF3812">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（5）必要的法律依据；</w:t>
      </w:r>
    </w:p>
    <w:p w14:paraId="0E0A4A78">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（6）提出质疑的日期。</w:t>
      </w:r>
    </w:p>
    <w:p w14:paraId="477E4AEE">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供应商为自然人的，应当由本人签字；供应商为法人或者其他组织的，应当由法定代表人、主要负责人，或者其授权代表签字或者盖章，并加盖公章。供应商委托代理进行质疑的，其</w:t>
      </w:r>
      <w:r>
        <w:rPr>
          <w:rFonts w:hint="eastAsia" w:ascii="宋体" w:hAnsi="宋体" w:eastAsia="宋体" w:cs="宋体"/>
          <w:b/>
          <w:bCs/>
          <w:color w:val="auto"/>
          <w:kern w:val="2"/>
          <w:sz w:val="21"/>
          <w:szCs w:val="21"/>
          <w:highlight w:val="none"/>
          <w:lang w:val="zh-CN"/>
        </w:rPr>
        <w:t>授权委托书</w:t>
      </w:r>
      <w:r>
        <w:rPr>
          <w:rFonts w:hint="eastAsia" w:ascii="宋体" w:hAnsi="宋体" w:eastAsia="宋体" w:cs="宋体"/>
          <w:color w:val="auto"/>
          <w:kern w:val="2"/>
          <w:sz w:val="21"/>
          <w:szCs w:val="21"/>
          <w:highlight w:val="none"/>
          <w:lang w:val="zh-CN"/>
        </w:rPr>
        <w:t>上应当载明代理人的姓名或者名称、代理事项、具体权限、期限和相关事项。</w:t>
      </w:r>
    </w:p>
    <w:p w14:paraId="110E93D9">
      <w:pPr>
        <w:pStyle w:val="5"/>
        <w:overflowPunct w:val="0"/>
        <w:spacing w:line="360" w:lineRule="auto"/>
        <w:ind w:firstLine="422" w:firstLineChars="200"/>
        <w:jc w:val="left"/>
        <w:rPr>
          <w:rFonts w:ascii="宋体" w:hAnsi="宋体" w:eastAsia="宋体" w:cs="宋体"/>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供应商提交的质疑函必须按照《政府采购供应商质疑函范本》要求的格式和内容进行填写，质疑函范本下载网址详见链接：https://czju.suzhou.gov.cn/zfcg/html/content/20180305093615738.shtml</w:t>
      </w:r>
      <w:r>
        <w:rPr>
          <w:rFonts w:hint="eastAsia" w:ascii="宋体" w:hAnsi="宋体" w:eastAsia="宋体" w:cs="宋体"/>
          <w:color w:val="auto"/>
          <w:kern w:val="2"/>
          <w:sz w:val="21"/>
          <w:szCs w:val="21"/>
          <w:highlight w:val="none"/>
          <w:lang w:val="zh-CN"/>
        </w:rPr>
        <w:t>。</w:t>
      </w:r>
    </w:p>
    <w:p w14:paraId="014065E7">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0.4根据《政府采购质疑和投诉办法》（财政部第94号令）第十一条规定，提出质疑的供应商应当是参与所质疑项目采购活动的供应商。因此凡是对招标文件提出质疑的供应商，必须是依法获取招标文件，请将合法获取招标文件的证明材料（即</w:t>
      </w:r>
      <w:r>
        <w:rPr>
          <w:rFonts w:hint="eastAsia" w:ascii="宋体" w:hAnsi="宋体" w:eastAsia="宋体" w:cs="宋体"/>
          <w:b/>
          <w:bCs/>
          <w:color w:val="auto"/>
          <w:kern w:val="2"/>
          <w:sz w:val="21"/>
          <w:szCs w:val="21"/>
          <w:highlight w:val="none"/>
          <w:lang w:val="zh-CN"/>
        </w:rPr>
        <w:t>《投标供应商确认函》</w:t>
      </w:r>
      <w:r>
        <w:rPr>
          <w:rFonts w:hint="eastAsia" w:ascii="宋体" w:hAnsi="宋体" w:eastAsia="宋体" w:cs="宋体"/>
          <w:color w:val="auto"/>
          <w:kern w:val="2"/>
          <w:sz w:val="21"/>
          <w:szCs w:val="21"/>
          <w:highlight w:val="none"/>
          <w:lang w:val="zh-CN"/>
        </w:rPr>
        <w:t>）与质疑函一起递交，否则不予受理。</w:t>
      </w:r>
    </w:p>
    <w:p w14:paraId="4BA71B29">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0.5接收质疑函的方式：书面形式（当场送达或邮寄方式）。</w:t>
      </w:r>
    </w:p>
    <w:p w14:paraId="798D1F23">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采购代理机构：苏州中合惠德项目管理有限公司</w:t>
      </w:r>
    </w:p>
    <w:p w14:paraId="34E77BA5">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质疑联系人：李湘怡</w:t>
      </w:r>
    </w:p>
    <w:p w14:paraId="0CA95BF8">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邮编：215000</w:t>
      </w:r>
    </w:p>
    <w:p w14:paraId="2DAC6533">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联系电话：15370779133</w:t>
      </w:r>
    </w:p>
    <w:p w14:paraId="39436C92">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现场递交地址:苏州市干将西路399号四楼401室中合惠德项目管理公司</w:t>
      </w:r>
    </w:p>
    <w:p w14:paraId="79C858D3">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邮寄收取地址:苏州市干将西路399号四楼401室中合惠德项目管理公司</w:t>
      </w:r>
    </w:p>
    <w:p w14:paraId="4292B9FC">
      <w:pPr>
        <w:spacing w:line="360" w:lineRule="auto"/>
        <w:rPr>
          <w:rFonts w:ascii="宋体" w:hAnsi="宋体" w:cs="宋体"/>
          <w:b/>
          <w:color w:val="auto"/>
          <w:highlight w:val="none"/>
        </w:rPr>
      </w:pPr>
      <w:r>
        <w:rPr>
          <w:rFonts w:hint="eastAsia" w:ascii="宋体" w:hAnsi="宋体" w:cs="宋体"/>
          <w:b/>
          <w:color w:val="auto"/>
          <w:highlight w:val="none"/>
        </w:rPr>
        <w:t>31. 合同授予标准</w:t>
      </w:r>
    </w:p>
    <w:p w14:paraId="4950DB85">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31.1招标代理机构将把合同授予其投标文件在实质上响应招标文件要求和按本须知规定评选出的投标单位。确定为中标的投标单位必须具有实施本合同的能力和资源。</w:t>
      </w:r>
    </w:p>
    <w:p w14:paraId="7D91D3F2">
      <w:pPr>
        <w:spacing w:line="360" w:lineRule="auto"/>
        <w:rPr>
          <w:rFonts w:ascii="宋体" w:hAnsi="宋体" w:cs="宋体"/>
          <w:b/>
          <w:bCs/>
          <w:color w:val="auto"/>
          <w:highlight w:val="none"/>
        </w:rPr>
      </w:pPr>
      <w:r>
        <w:rPr>
          <w:rFonts w:hint="eastAsia" w:ascii="宋体" w:hAnsi="宋体" w:cs="宋体"/>
          <w:b/>
          <w:bCs/>
          <w:color w:val="auto"/>
          <w:highlight w:val="none"/>
        </w:rPr>
        <w:t>32. 中标通知书</w:t>
      </w:r>
    </w:p>
    <w:p w14:paraId="0592C0F1">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32.1</w:t>
      </w:r>
      <w:r>
        <w:rPr>
          <w:rFonts w:hint="eastAsia" w:ascii="宋体" w:hAnsi="宋体" w:cs="宋体"/>
          <w:color w:val="auto"/>
          <w:szCs w:val="21"/>
          <w:highlight w:val="none"/>
        </w:rPr>
        <w:t>确定出中标人后，采购代理机构在法定时间内向中标人发出中标通知书。</w:t>
      </w:r>
      <w:r>
        <w:rPr>
          <w:rFonts w:hint="eastAsia" w:ascii="宋体" w:hAnsi="宋体" w:cs="宋体"/>
          <w:b/>
          <w:color w:val="auto"/>
          <w:szCs w:val="21"/>
          <w:highlight w:val="none"/>
        </w:rPr>
        <w:t>请中标人在中标结果公告届满之日起30日内,使用CA证书登录“苏采云”系统及时下载中标通知书。</w:t>
      </w:r>
      <w:r>
        <w:rPr>
          <w:rFonts w:hint="eastAsia" w:ascii="宋体" w:hAnsi="宋体" w:cs="宋体"/>
          <w:color w:val="auto"/>
          <w:szCs w:val="21"/>
          <w:highlight w:val="none"/>
        </w:rPr>
        <w:t>因系统存储空间有限，自中标结果公告届满之日起30日后，“苏采云”系统不再保证提供下载中标通知书服务,因未及时下载而造成的不利后果由中标人自行承担</w:t>
      </w:r>
      <w:r>
        <w:rPr>
          <w:rFonts w:hint="eastAsia" w:ascii="宋体" w:hAnsi="宋体" w:cs="宋体"/>
          <w:color w:val="auto"/>
          <w:highlight w:val="none"/>
        </w:rPr>
        <w:t>。</w:t>
      </w:r>
    </w:p>
    <w:p w14:paraId="090DEF95">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32.2中标通知书将成为合同的组成部分，</w:t>
      </w:r>
      <w:r>
        <w:rPr>
          <w:rFonts w:hint="eastAsia" w:ascii="宋体" w:hAnsi="宋体" w:cs="宋体"/>
          <w:color w:val="auto"/>
          <w:szCs w:val="21"/>
          <w:highlight w:val="none"/>
        </w:rPr>
        <w:t>对采购人和中标人具有同等法律效力</w:t>
      </w:r>
      <w:r>
        <w:rPr>
          <w:rFonts w:hint="eastAsia" w:ascii="宋体" w:hAnsi="宋体" w:cs="宋体"/>
          <w:color w:val="auto"/>
          <w:highlight w:val="none"/>
        </w:rPr>
        <w:t>。</w:t>
      </w:r>
    </w:p>
    <w:p w14:paraId="124A058D">
      <w:pPr>
        <w:tabs>
          <w:tab w:val="left" w:pos="142"/>
          <w:tab w:val="left" w:pos="6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32.3对未通过资格审查的供应商，应当告知其未通过的原因；未中标供应商须在中标公告发出之日起2个工作日内向采购代理机构另行提供用以接收《未中标通知书》的电子邮件地址，未按时提供电子邮件地址或提供信息有误的，视为自动放弃并自行承担相应后果。</w:t>
      </w:r>
    </w:p>
    <w:p w14:paraId="78D69A0F">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32.4</w:t>
      </w:r>
      <w:r>
        <w:rPr>
          <w:rFonts w:hint="eastAsia" w:ascii="宋体" w:hAnsi="宋体" w:cs="宋体"/>
          <w:color w:val="auto"/>
          <w:szCs w:val="21"/>
          <w:highlight w:val="none"/>
        </w:rPr>
        <w:t>中标通知书发出后，采购人不得违法改变中标结果，中标人无正当理由不得放弃中标</w:t>
      </w:r>
      <w:r>
        <w:rPr>
          <w:rFonts w:hint="eastAsia" w:ascii="宋体" w:hAnsi="宋体" w:cs="宋体"/>
          <w:color w:val="auto"/>
          <w:highlight w:val="none"/>
        </w:rPr>
        <w:t>。</w:t>
      </w:r>
    </w:p>
    <w:p w14:paraId="6425B799">
      <w:pPr>
        <w:spacing w:line="360" w:lineRule="auto"/>
        <w:rPr>
          <w:rFonts w:ascii="宋体" w:hAnsi="宋体" w:cs="宋体"/>
          <w:b/>
          <w:color w:val="auto"/>
          <w:highlight w:val="none"/>
        </w:rPr>
      </w:pPr>
      <w:r>
        <w:rPr>
          <w:rFonts w:hint="eastAsia" w:ascii="宋体" w:hAnsi="宋体" w:cs="宋体"/>
          <w:b/>
          <w:color w:val="auto"/>
          <w:highlight w:val="none"/>
        </w:rPr>
        <w:t>33. 合同的签订</w:t>
      </w:r>
    </w:p>
    <w:p w14:paraId="74A852CC">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33.1中标单位应按中标通知书中规定的时间和地点，由法定代表人或委托代理人与甲方代表签订合同,否则按放弃中标权处理。</w:t>
      </w:r>
    </w:p>
    <w:p w14:paraId="4B0074F6">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33.2签订合同及合同条款应以招标文件和中标单位的投标文件及其澄清文件为依据。</w:t>
      </w:r>
    </w:p>
    <w:p w14:paraId="39D45262">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33.3中标单位无正当理由拒签合同的，或在签订合同时向采购单位提出附加条件或者更改合同实质性内容的，报请政府采购监管部门对该投标单位进行相应的行政处罚。</w:t>
      </w:r>
    </w:p>
    <w:p w14:paraId="1C6C9DA1">
      <w:pPr>
        <w:spacing w:line="360" w:lineRule="auto"/>
        <w:rPr>
          <w:rFonts w:ascii="宋体" w:hAnsi="宋体" w:cs="宋体"/>
          <w:b/>
          <w:color w:val="auto"/>
          <w:highlight w:val="none"/>
        </w:rPr>
      </w:pPr>
      <w:r>
        <w:rPr>
          <w:rFonts w:hint="eastAsia" w:ascii="宋体" w:hAnsi="宋体" w:cs="宋体"/>
          <w:b/>
          <w:color w:val="auto"/>
          <w:highlight w:val="none"/>
        </w:rPr>
        <w:t>八、其他事项</w:t>
      </w:r>
    </w:p>
    <w:p w14:paraId="5ABB3AB5">
      <w:pPr>
        <w:spacing w:line="360" w:lineRule="auto"/>
        <w:rPr>
          <w:rFonts w:ascii="宋体" w:hAnsi="宋体" w:cs="宋体"/>
          <w:b/>
          <w:color w:val="auto"/>
          <w:highlight w:val="none"/>
        </w:rPr>
      </w:pPr>
      <w:r>
        <w:rPr>
          <w:rFonts w:hint="eastAsia" w:ascii="宋体" w:hAnsi="宋体" w:cs="宋体"/>
          <w:b/>
          <w:color w:val="auto"/>
          <w:highlight w:val="none"/>
        </w:rPr>
        <w:t>34. 履约保证金：无。</w:t>
      </w:r>
    </w:p>
    <w:p w14:paraId="054CAE01">
      <w:pPr>
        <w:spacing w:line="360" w:lineRule="auto"/>
        <w:rPr>
          <w:rFonts w:ascii="宋体" w:hAnsi="宋体" w:cs="宋体"/>
          <w:b/>
          <w:color w:val="auto"/>
          <w:highlight w:val="none"/>
        </w:rPr>
      </w:pPr>
      <w:r>
        <w:rPr>
          <w:rFonts w:hint="eastAsia" w:ascii="宋体" w:hAnsi="宋体" w:cs="宋体"/>
          <w:b/>
          <w:color w:val="auto"/>
          <w:highlight w:val="none"/>
        </w:rPr>
        <w:t>35.中标服务费</w:t>
      </w:r>
    </w:p>
    <w:p w14:paraId="49C193FA">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35.1</w:t>
      </w:r>
      <w:r>
        <w:rPr>
          <w:rFonts w:hint="eastAsia" w:ascii="宋体" w:hAnsi="宋体" w:cs="宋体"/>
          <w:color w:val="auto"/>
          <w:highlight w:val="none"/>
          <w:lang w:val="en-US" w:eastAsia="zh-CN"/>
        </w:rPr>
        <w:t>由采购人支付</w:t>
      </w:r>
      <w:r>
        <w:rPr>
          <w:rFonts w:hint="eastAsia" w:ascii="宋体" w:hAnsi="宋体" w:cs="宋体"/>
          <w:color w:val="auto"/>
          <w:highlight w:val="none"/>
        </w:rPr>
        <w:t>。</w:t>
      </w:r>
    </w:p>
    <w:p w14:paraId="4B1BE654">
      <w:pPr>
        <w:spacing w:line="360" w:lineRule="auto"/>
        <w:rPr>
          <w:rFonts w:ascii="宋体" w:hAnsi="宋体" w:cs="宋体"/>
          <w:b/>
          <w:color w:val="auto"/>
          <w:highlight w:val="none"/>
        </w:rPr>
      </w:pPr>
      <w:r>
        <w:rPr>
          <w:rFonts w:hint="eastAsia" w:ascii="宋体" w:hAnsi="宋体" w:cs="宋体"/>
          <w:b/>
          <w:color w:val="auto"/>
          <w:highlight w:val="none"/>
        </w:rPr>
        <w:t>36. 监督</w:t>
      </w:r>
    </w:p>
    <w:p w14:paraId="3D3CA7A4">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36.1政府有关监督部门将对招投标全过程进行监督。</w:t>
      </w:r>
    </w:p>
    <w:p w14:paraId="590378B0">
      <w:pPr>
        <w:spacing w:line="360" w:lineRule="auto"/>
        <w:rPr>
          <w:rFonts w:ascii="宋体" w:hAnsi="宋体" w:cs="宋体"/>
          <w:b/>
          <w:color w:val="auto"/>
          <w:highlight w:val="none"/>
        </w:rPr>
      </w:pPr>
      <w:r>
        <w:rPr>
          <w:rFonts w:hint="eastAsia" w:ascii="宋体" w:hAnsi="宋体" w:cs="宋体"/>
          <w:b/>
          <w:color w:val="auto"/>
          <w:highlight w:val="none"/>
        </w:rPr>
        <w:t>37. 未尽事宜</w:t>
      </w:r>
    </w:p>
    <w:p w14:paraId="0704DC5C">
      <w:pPr>
        <w:pStyle w:val="5"/>
        <w:overflowPunct w:val="0"/>
        <w:spacing w:line="360" w:lineRule="auto"/>
        <w:rPr>
          <w:rFonts w:ascii="宋体" w:hAnsi="宋体" w:eastAsia="宋体" w:cs="宋体"/>
          <w:color w:val="auto"/>
          <w:sz w:val="21"/>
          <w:highlight w:val="none"/>
        </w:rPr>
      </w:pPr>
      <w:r>
        <w:rPr>
          <w:rFonts w:hint="eastAsia" w:ascii="宋体" w:hAnsi="宋体" w:eastAsia="宋体" w:cs="宋体"/>
          <w:color w:val="auto"/>
          <w:sz w:val="21"/>
          <w:highlight w:val="none"/>
        </w:rPr>
        <w:t>按《中华人民共和国政府采购法》及其他有关政府采购的法律法规的规定执行。</w:t>
      </w:r>
    </w:p>
    <w:p w14:paraId="0C59E81D">
      <w:pPr>
        <w:pStyle w:val="22"/>
        <w:pageBreakBefore/>
        <w:tabs>
          <w:tab w:val="right" w:leader="dot" w:pos="8302"/>
        </w:tabs>
        <w:spacing w:line="360" w:lineRule="auto"/>
        <w:ind w:firstLine="640"/>
        <w:jc w:val="center"/>
        <w:rPr>
          <w:rStyle w:val="33"/>
          <w:rFonts w:ascii="宋体" w:hAnsi="宋体" w:cs="宋体"/>
          <w:color w:val="auto"/>
          <w:sz w:val="32"/>
          <w:szCs w:val="32"/>
          <w:highlight w:val="none"/>
        </w:rPr>
      </w:pPr>
      <w:r>
        <w:rPr>
          <w:rStyle w:val="33"/>
          <w:rFonts w:hint="eastAsia" w:ascii="宋体" w:hAnsi="宋体" w:cs="宋体"/>
          <w:color w:val="auto"/>
          <w:sz w:val="32"/>
          <w:szCs w:val="32"/>
          <w:highlight w:val="none"/>
        </w:rPr>
        <w:t>第三章 投标文件格式</w:t>
      </w:r>
    </w:p>
    <w:p w14:paraId="65E35EFD">
      <w:pPr>
        <w:autoSpaceDE w:val="0"/>
        <w:autoSpaceDN w:val="0"/>
        <w:adjustRightInd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说明：对本章所有的投标书格式 ，投标方可根据自身情况进行补充和修改，但补充和修改不得造成与本格式内容有实质性的违背。</w:t>
      </w:r>
    </w:p>
    <w:p w14:paraId="700D98B1">
      <w:pPr>
        <w:pStyle w:val="3"/>
        <w:spacing w:before="0" w:after="0"/>
        <w:ind w:firstLine="643"/>
        <w:rPr>
          <w:rFonts w:ascii="宋体" w:hAnsi="宋体" w:cs="宋体"/>
          <w:color w:val="auto"/>
          <w:highlight w:val="none"/>
          <w:lang w:val="zh-CN"/>
        </w:rPr>
      </w:pPr>
    </w:p>
    <w:p w14:paraId="33E60CBD">
      <w:pPr>
        <w:autoSpaceDE w:val="0"/>
        <w:autoSpaceDN w:val="0"/>
        <w:adjustRightInd w:val="0"/>
        <w:spacing w:line="360" w:lineRule="auto"/>
        <w:ind w:left="-2" w:hanging="74"/>
        <w:jc w:val="left"/>
        <w:rPr>
          <w:rFonts w:ascii="宋体" w:hAnsi="宋体" w:cs="宋体"/>
          <w:b/>
          <w:bCs/>
          <w:color w:val="auto"/>
          <w:szCs w:val="21"/>
          <w:highlight w:val="none"/>
          <w:lang w:val="zh-CN"/>
        </w:rPr>
      </w:pPr>
      <w:r>
        <w:rPr>
          <w:rFonts w:hint="eastAsia" w:ascii="宋体" w:hAnsi="宋体" w:cs="宋体"/>
          <w:b/>
          <w:bCs/>
          <w:color w:val="auto"/>
          <w:szCs w:val="21"/>
          <w:highlight w:val="none"/>
          <w:lang w:val="zh-CN"/>
        </w:rPr>
        <w:t>附件1、（投标方）法人授权委托书</w:t>
      </w:r>
    </w:p>
    <w:p w14:paraId="1E3664AE">
      <w:pPr>
        <w:spacing w:line="360" w:lineRule="auto"/>
        <w:rPr>
          <w:rFonts w:ascii="宋体" w:hAnsi="宋体" w:cs="宋体"/>
          <w:color w:val="auto"/>
          <w:highlight w:val="none"/>
        </w:rPr>
      </w:pPr>
    </w:p>
    <w:p w14:paraId="1C2E8A9E">
      <w:pPr>
        <w:autoSpaceDE w:val="0"/>
        <w:autoSpaceDN w:val="0"/>
        <w:adjustRightInd w:val="0"/>
        <w:spacing w:line="360" w:lineRule="auto"/>
        <w:ind w:firstLine="562"/>
        <w:jc w:val="center"/>
        <w:rPr>
          <w:rFonts w:ascii="宋体" w:hAnsi="宋体" w:cs="宋体"/>
          <w:color w:val="auto"/>
          <w:sz w:val="28"/>
          <w:szCs w:val="28"/>
          <w:highlight w:val="none"/>
          <w:lang w:val="zh-CN"/>
        </w:rPr>
      </w:pPr>
      <w:r>
        <w:rPr>
          <w:rFonts w:hint="eastAsia" w:ascii="宋体" w:hAnsi="宋体" w:cs="宋体"/>
          <w:color w:val="auto"/>
          <w:sz w:val="28"/>
          <w:szCs w:val="28"/>
          <w:highlight w:val="none"/>
        </w:rPr>
        <w:t>法</w:t>
      </w:r>
      <w:r>
        <w:rPr>
          <w:rFonts w:hint="eastAsia" w:ascii="宋体" w:hAnsi="宋体" w:cs="宋体"/>
          <w:color w:val="auto"/>
          <w:sz w:val="28"/>
          <w:szCs w:val="28"/>
          <w:highlight w:val="none"/>
          <w:lang w:val="zh-CN"/>
        </w:rPr>
        <w:t>人授权委托书</w:t>
      </w:r>
    </w:p>
    <w:p w14:paraId="2125D347">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本授权书声明： </w:t>
      </w:r>
      <w:r>
        <w:rPr>
          <w:rFonts w:hint="eastAsia" w:ascii="宋体" w:hAnsi="宋体"/>
          <w:color w:val="auto"/>
          <w:szCs w:val="21"/>
          <w:highlight w:val="none"/>
          <w:u w:val="single"/>
        </w:rPr>
        <w:t xml:space="preserve">（供应商名称） </w:t>
      </w:r>
      <w:r>
        <w:rPr>
          <w:rFonts w:hint="eastAsia" w:ascii="宋体" w:hAnsi="宋体"/>
          <w:color w:val="auto"/>
          <w:szCs w:val="21"/>
          <w:highlight w:val="none"/>
        </w:rPr>
        <w:t xml:space="preserve">授权 </w:t>
      </w:r>
      <w:r>
        <w:rPr>
          <w:rFonts w:hint="eastAsia" w:ascii="宋体" w:hAnsi="宋体"/>
          <w:color w:val="auto"/>
          <w:szCs w:val="21"/>
          <w:highlight w:val="none"/>
          <w:u w:val="single"/>
        </w:rPr>
        <w:t>（被授权人的姓名）_</w:t>
      </w:r>
      <w:r>
        <w:rPr>
          <w:rFonts w:hint="eastAsia" w:ascii="宋体" w:hAnsi="宋体"/>
          <w:color w:val="auto"/>
          <w:szCs w:val="21"/>
          <w:highlight w:val="none"/>
        </w:rPr>
        <w:t>为我方授权代表（即代理人），参加</w:t>
      </w:r>
      <w:r>
        <w:rPr>
          <w:rFonts w:hint="eastAsia" w:ascii="宋体" w:hAnsi="宋体"/>
          <w:color w:val="auto"/>
          <w:szCs w:val="21"/>
          <w:highlight w:val="none"/>
          <w:u w:val="single"/>
          <w:lang w:eastAsia="zh-CN"/>
        </w:rPr>
        <w:t>苏州中合惠德项目管理有限公司</w:t>
      </w:r>
      <w:r>
        <w:rPr>
          <w:rFonts w:hint="eastAsia" w:ascii="宋体" w:hAnsi="宋体"/>
          <w:color w:val="auto"/>
          <w:szCs w:val="21"/>
          <w:highlight w:val="none"/>
        </w:rPr>
        <w:t>组织实施的编号为</w:t>
      </w:r>
      <w:r>
        <w:rPr>
          <w:rFonts w:hint="eastAsia" w:ascii="宋体" w:hAnsi="宋体"/>
          <w:color w:val="auto"/>
          <w:szCs w:val="21"/>
          <w:highlight w:val="none"/>
          <w:u w:val="single"/>
        </w:rPr>
        <w:t xml:space="preserve">   （招标编号）  </w:t>
      </w:r>
      <w:r>
        <w:rPr>
          <w:rFonts w:hint="eastAsia" w:ascii="宋体" w:hAnsi="宋体"/>
          <w:color w:val="auto"/>
          <w:szCs w:val="21"/>
          <w:highlight w:val="none"/>
        </w:rPr>
        <w:t>的公开招标项目。代理人在本次招标活动过程、合同签订及处理有关事宜所作出的全部意思表示（包括签署的全部文件），我司均予以承认并由我司承担相应法律后果。</w:t>
      </w:r>
    </w:p>
    <w:p w14:paraId="15625820">
      <w:pPr>
        <w:spacing w:line="360" w:lineRule="auto"/>
        <w:ind w:firstLine="420"/>
        <w:rPr>
          <w:rFonts w:ascii="宋体" w:hAnsi="宋体"/>
          <w:color w:val="auto"/>
          <w:szCs w:val="21"/>
          <w:highlight w:val="none"/>
        </w:rPr>
      </w:pPr>
      <w:r>
        <w:rPr>
          <w:rFonts w:hint="eastAsia" w:ascii="宋体" w:hAnsi="宋体"/>
          <w:color w:val="auto"/>
          <w:szCs w:val="21"/>
          <w:highlight w:val="none"/>
        </w:rPr>
        <w:t>如我司需撤销该代理人授权或更换代理人的，必须另行向贵方提交相应正式书面文件，并经贵方确认送达后方可实施。代理人撤销授权或更换完成之前所作的各项意思表示不受撤销或更换的影响，我司仍予以承认。</w:t>
      </w:r>
    </w:p>
    <w:p w14:paraId="2E7D8F78">
      <w:pPr>
        <w:spacing w:line="360" w:lineRule="auto"/>
        <w:ind w:firstLine="420"/>
        <w:rPr>
          <w:rFonts w:ascii="宋体" w:hAnsi="宋体"/>
          <w:color w:val="auto"/>
          <w:szCs w:val="21"/>
          <w:highlight w:val="none"/>
        </w:rPr>
      </w:pPr>
      <w:r>
        <w:rPr>
          <w:rFonts w:hint="eastAsia" w:ascii="宋体" w:hAnsi="宋体"/>
          <w:color w:val="auto"/>
          <w:szCs w:val="21"/>
          <w:highlight w:val="none"/>
        </w:rPr>
        <w:t>本授权委托书有效期自委托书作出之日起至本项目合同履行完毕之日止。</w:t>
      </w:r>
    </w:p>
    <w:p w14:paraId="52887EE4">
      <w:pPr>
        <w:spacing w:line="360" w:lineRule="auto"/>
        <w:ind w:firstLine="420"/>
        <w:rPr>
          <w:rFonts w:ascii="宋体" w:hAnsi="宋体"/>
          <w:color w:val="auto"/>
          <w:szCs w:val="21"/>
          <w:highlight w:val="none"/>
        </w:rPr>
      </w:pPr>
      <w:r>
        <w:rPr>
          <w:rFonts w:hint="eastAsia" w:ascii="宋体" w:hAnsi="宋体"/>
          <w:color w:val="auto"/>
          <w:szCs w:val="21"/>
          <w:highlight w:val="none"/>
        </w:rPr>
        <w:t>代理人无转委托权。</w:t>
      </w:r>
    </w:p>
    <w:p w14:paraId="316A60C4">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被授权人身份证号码：     </w:t>
      </w:r>
    </w:p>
    <w:p w14:paraId="5BCF3210">
      <w:pPr>
        <w:spacing w:line="360" w:lineRule="auto"/>
        <w:ind w:firstLine="420"/>
        <w:rPr>
          <w:rFonts w:ascii="宋体" w:hAnsi="宋体"/>
          <w:color w:val="auto"/>
          <w:szCs w:val="21"/>
          <w:highlight w:val="none"/>
        </w:rPr>
      </w:pPr>
      <w:r>
        <w:rPr>
          <w:rFonts w:hint="eastAsia" w:ascii="宋体" w:hAnsi="宋体"/>
          <w:color w:val="auto"/>
          <w:szCs w:val="21"/>
          <w:highlight w:val="none"/>
        </w:rPr>
        <w:t>被授权人联系电话：</w:t>
      </w:r>
      <w:r>
        <w:rPr>
          <w:rFonts w:hint="eastAsia" w:ascii="宋体" w:hAnsi="宋体"/>
          <w:color w:val="auto"/>
          <w:szCs w:val="21"/>
          <w:highlight w:val="none"/>
          <w:u w:val="single"/>
        </w:rPr>
        <w:t xml:space="preserve">（手机）                </w:t>
      </w:r>
      <w:r>
        <w:rPr>
          <w:rFonts w:hint="eastAsia" w:ascii="宋体" w:hAnsi="宋体"/>
          <w:color w:val="auto"/>
          <w:szCs w:val="21"/>
          <w:highlight w:val="none"/>
        </w:rPr>
        <w:t xml:space="preserve">。          </w:t>
      </w:r>
    </w:p>
    <w:p w14:paraId="37E0ADBF">
      <w:pPr>
        <w:spacing w:line="360" w:lineRule="auto"/>
        <w:ind w:firstLine="420"/>
        <w:rPr>
          <w:rFonts w:ascii="宋体" w:hAnsi="宋体"/>
          <w:color w:val="auto"/>
          <w:szCs w:val="21"/>
          <w:highlight w:val="none"/>
        </w:rPr>
      </w:pPr>
    </w:p>
    <w:p w14:paraId="6DDFEB76">
      <w:pPr>
        <w:spacing w:line="360" w:lineRule="auto"/>
        <w:rPr>
          <w:rFonts w:ascii="宋体" w:hAnsi="宋体"/>
          <w:color w:val="auto"/>
          <w:szCs w:val="21"/>
          <w:highlight w:val="none"/>
        </w:rPr>
      </w:pPr>
      <w:r>
        <w:rPr>
          <w:rFonts w:hint="eastAsia" w:ascii="宋体" w:hAnsi="宋体" w:cs="宋体"/>
          <w:color w:val="auto"/>
          <w:szCs w:val="21"/>
          <w:highlight w:val="none"/>
        </w:rPr>
        <w:t>单位名称</w:t>
      </w:r>
      <w:r>
        <w:rPr>
          <w:rFonts w:hint="eastAsia" w:ascii="宋体" w:hAnsi="宋体"/>
          <w:color w:val="auto"/>
          <w:szCs w:val="21"/>
          <w:highlight w:val="none"/>
        </w:rPr>
        <w:t xml:space="preserve">：（签章）                                    </w:t>
      </w:r>
    </w:p>
    <w:p w14:paraId="27EFA9BD">
      <w:pPr>
        <w:spacing w:line="360" w:lineRule="auto"/>
        <w:ind w:right="630"/>
        <w:rPr>
          <w:rFonts w:ascii="宋体" w:hAnsi="宋体" w:cs="宋体"/>
          <w:color w:val="auto"/>
          <w:szCs w:val="21"/>
          <w:highlight w:val="none"/>
        </w:rPr>
      </w:pPr>
      <w:r>
        <w:rPr>
          <w:rFonts w:hint="eastAsia" w:ascii="宋体" w:hAnsi="宋体" w:cs="宋体"/>
          <w:color w:val="auto"/>
          <w:szCs w:val="21"/>
          <w:highlight w:val="none"/>
        </w:rPr>
        <w:t>日期：　　　　年　　  月　　  日</w:t>
      </w:r>
    </w:p>
    <w:p w14:paraId="2BD284D3">
      <w:pPr>
        <w:pStyle w:val="5"/>
        <w:overflowPunct w:val="0"/>
        <w:spacing w:line="360" w:lineRule="auto"/>
        <w:ind w:firstLineChars="200"/>
        <w:rPr>
          <w:rFonts w:ascii="宋体" w:hAnsi="宋体" w:eastAsia="宋体" w:cs="宋体"/>
          <w:color w:val="auto"/>
          <w:sz w:val="21"/>
          <w:highlight w:val="none"/>
        </w:rPr>
      </w:pPr>
    </w:p>
    <w:p w14:paraId="4E057A22">
      <w:pPr>
        <w:pStyle w:val="5"/>
        <w:overflowPunct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附：法人代表、授权代表的身份证正反面复印件</w:t>
      </w:r>
    </w:p>
    <w:tbl>
      <w:tblPr>
        <w:tblStyle w:val="3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14:paraId="65FF69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6" w:hRule="atLeast"/>
          <w:jc w:val="center"/>
        </w:trPr>
        <w:tc>
          <w:tcPr>
            <w:tcW w:w="856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6C4D733">
            <w:pPr>
              <w:pStyle w:val="27"/>
              <w:widowControl/>
              <w:spacing w:beforeAutospacing="0" w:afterAutospacing="0" w:line="360" w:lineRule="auto"/>
              <w:ind w:firstLine="422"/>
              <w:jc w:val="center"/>
              <w:rPr>
                <w:rFonts w:ascii="宋体" w:hAnsi="宋体" w:cs="宋体"/>
                <w:color w:val="auto"/>
                <w:kern w:val="2"/>
                <w:sz w:val="21"/>
                <w:szCs w:val="20"/>
                <w:highlight w:val="none"/>
              </w:rPr>
            </w:pPr>
            <w:r>
              <w:rPr>
                <w:rFonts w:hint="eastAsia" w:ascii="宋体" w:hAnsi="宋体" w:cs="宋体"/>
                <w:color w:val="auto"/>
                <w:kern w:val="2"/>
                <w:sz w:val="21"/>
                <w:szCs w:val="20"/>
                <w:highlight w:val="none"/>
              </w:rPr>
              <w:t> </w:t>
            </w:r>
          </w:p>
          <w:p w14:paraId="36FE0A3F">
            <w:pPr>
              <w:pStyle w:val="27"/>
              <w:widowControl/>
              <w:spacing w:beforeAutospacing="0" w:afterAutospacing="0" w:line="360" w:lineRule="auto"/>
              <w:jc w:val="center"/>
              <w:rPr>
                <w:rFonts w:ascii="宋体" w:hAnsi="宋体" w:cs="宋体"/>
                <w:color w:val="auto"/>
                <w:kern w:val="2"/>
                <w:sz w:val="21"/>
                <w:szCs w:val="20"/>
                <w:highlight w:val="none"/>
              </w:rPr>
            </w:pPr>
            <w:r>
              <w:rPr>
                <w:rFonts w:hint="eastAsia" w:ascii="宋体" w:hAnsi="宋体" w:cs="宋体"/>
                <w:color w:val="auto"/>
                <w:kern w:val="2"/>
                <w:sz w:val="21"/>
                <w:szCs w:val="20"/>
                <w:highlight w:val="none"/>
              </w:rPr>
              <w:t>要求：真实、有效、清晰</w:t>
            </w:r>
          </w:p>
          <w:p w14:paraId="7481876E">
            <w:pPr>
              <w:pStyle w:val="27"/>
              <w:widowControl/>
              <w:spacing w:beforeAutospacing="0" w:afterAutospacing="0" w:line="360" w:lineRule="auto"/>
              <w:jc w:val="center"/>
              <w:rPr>
                <w:rFonts w:ascii="宋体" w:hAnsi="宋体" w:cs="宋体"/>
                <w:color w:val="auto"/>
                <w:kern w:val="2"/>
                <w:sz w:val="21"/>
                <w:szCs w:val="20"/>
                <w:highlight w:val="none"/>
              </w:rPr>
            </w:pPr>
            <w:r>
              <w:rPr>
                <w:rFonts w:hint="eastAsia" w:ascii="宋体" w:hAnsi="宋体" w:cs="宋体"/>
                <w:color w:val="auto"/>
                <w:kern w:val="2"/>
                <w:sz w:val="21"/>
                <w:szCs w:val="20"/>
                <w:highlight w:val="none"/>
              </w:rPr>
              <w:t> </w:t>
            </w:r>
          </w:p>
        </w:tc>
      </w:tr>
    </w:tbl>
    <w:p w14:paraId="2E793E7E">
      <w:pPr>
        <w:pStyle w:val="5"/>
        <w:overflowPunct w:val="0"/>
        <w:spacing w:line="360" w:lineRule="auto"/>
        <w:ind w:firstLineChars="200"/>
        <w:rPr>
          <w:rFonts w:ascii="宋体" w:hAnsi="宋体" w:eastAsia="宋体" w:cs="宋体"/>
          <w:color w:val="auto"/>
          <w:sz w:val="21"/>
          <w:highlight w:val="none"/>
        </w:rPr>
        <w:sectPr>
          <w:pgSz w:w="11906" w:h="16838"/>
          <w:pgMar w:top="1440" w:right="1417" w:bottom="1440" w:left="1417" w:header="964" w:footer="1077" w:gutter="0"/>
          <w:cols w:space="720" w:num="1"/>
          <w:docGrid w:type="lines" w:linePitch="312" w:charSpace="0"/>
        </w:sectPr>
      </w:pPr>
    </w:p>
    <w:p w14:paraId="0326833D">
      <w:pPr>
        <w:autoSpaceDE w:val="0"/>
        <w:autoSpaceDN w:val="0"/>
        <w:adjustRightInd w:val="0"/>
        <w:spacing w:line="360" w:lineRule="auto"/>
        <w:rPr>
          <w:rFonts w:ascii="宋体" w:hAnsi="宋体" w:cs="宋体"/>
          <w:color w:val="auto"/>
          <w:szCs w:val="21"/>
          <w:highlight w:val="none"/>
        </w:rPr>
      </w:pPr>
      <w:r>
        <w:rPr>
          <w:rFonts w:hint="eastAsia" w:ascii="宋体" w:hAnsi="宋体" w:cs="宋体"/>
          <w:b/>
          <w:bCs/>
          <w:color w:val="auto"/>
          <w:szCs w:val="21"/>
          <w:highlight w:val="none"/>
        </w:rPr>
        <w:t>附件2、投标函</w:t>
      </w:r>
    </w:p>
    <w:p w14:paraId="6B1ACFE7">
      <w:pPr>
        <w:autoSpaceDE w:val="0"/>
        <w:autoSpaceDN w:val="0"/>
        <w:adjustRightInd w:val="0"/>
        <w:snapToGrid w:val="0"/>
        <w:spacing w:line="360" w:lineRule="auto"/>
        <w:jc w:val="center"/>
        <w:rPr>
          <w:rFonts w:ascii="宋体" w:hAnsi="宋体" w:cs="宋体"/>
          <w:b/>
          <w:bCs/>
          <w:color w:val="auto"/>
          <w:sz w:val="28"/>
          <w:szCs w:val="28"/>
          <w:highlight w:val="none"/>
          <w:lang w:val="zh-CN"/>
        </w:rPr>
      </w:pPr>
      <w:r>
        <w:rPr>
          <w:rFonts w:hint="eastAsia" w:ascii="宋体" w:hAnsi="宋体" w:cs="宋体"/>
          <w:b/>
          <w:bCs/>
          <w:color w:val="auto"/>
          <w:szCs w:val="21"/>
          <w:highlight w:val="none"/>
          <w:lang w:val="zh-CN"/>
        </w:rPr>
        <w:t>投标函</w:t>
      </w:r>
    </w:p>
    <w:p w14:paraId="721BBD1B">
      <w:pPr>
        <w:autoSpaceDE w:val="0"/>
        <w:autoSpaceDN w:val="0"/>
        <w:adjustRightInd w:val="0"/>
        <w:snapToGrid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u w:val="single"/>
          <w:lang w:val="zh-CN"/>
        </w:rPr>
        <w:t>苏州中合惠德项目管理有限公司</w:t>
      </w:r>
      <w:r>
        <w:rPr>
          <w:rFonts w:hint="eastAsia" w:ascii="宋体" w:hAnsi="宋体" w:cs="宋体"/>
          <w:color w:val="auto"/>
          <w:szCs w:val="21"/>
          <w:highlight w:val="none"/>
          <w:lang w:val="zh-CN"/>
        </w:rPr>
        <w:t>：</w:t>
      </w:r>
    </w:p>
    <w:p w14:paraId="0FBDB2E7">
      <w:pPr>
        <w:pStyle w:val="87"/>
        <w:snapToGrid w:val="0"/>
        <w:spacing w:line="360" w:lineRule="auto"/>
        <w:ind w:firstLine="420" w:firstLineChars="200"/>
        <w:rPr>
          <w:rFonts w:hAnsi="宋体" w:eastAsia="宋体" w:cs="宋体"/>
          <w:color w:val="auto"/>
          <w:sz w:val="21"/>
          <w:szCs w:val="21"/>
          <w:highlight w:val="none"/>
          <w:lang w:val="zh-CN"/>
        </w:rPr>
      </w:pPr>
      <w:r>
        <w:rPr>
          <w:rFonts w:hint="eastAsia" w:hAnsi="宋体" w:eastAsia="宋体" w:cs="宋体"/>
          <w:color w:val="auto"/>
          <w:sz w:val="21"/>
          <w:szCs w:val="21"/>
          <w:highlight w:val="none"/>
          <w:lang w:val="zh-CN"/>
        </w:rPr>
        <w:t>我们收到贵公司</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val="zh-CN"/>
        </w:rPr>
        <w:t>号招标文件，经仔细阅读和研究，我们决定参加投标。</w:t>
      </w:r>
    </w:p>
    <w:p w14:paraId="348E0CB8">
      <w:pPr>
        <w:pStyle w:val="87"/>
        <w:snapToGrid w:val="0"/>
        <w:spacing w:line="360" w:lineRule="auto"/>
        <w:ind w:firstLine="420" w:firstLineChars="200"/>
        <w:rPr>
          <w:rFonts w:hAnsi="宋体" w:eastAsia="宋体" w:cs="宋体"/>
          <w:color w:val="auto"/>
          <w:sz w:val="21"/>
          <w:szCs w:val="21"/>
          <w:highlight w:val="none"/>
        </w:rPr>
      </w:pPr>
      <w:r>
        <w:rPr>
          <w:rFonts w:hint="eastAsia" w:hAnsi="宋体" w:eastAsia="宋体" w:cs="宋体"/>
          <w:color w:val="auto"/>
          <w:sz w:val="21"/>
          <w:szCs w:val="21"/>
          <w:highlight w:val="none"/>
          <w:lang w:val="zh-CN"/>
        </w:rPr>
        <w:t>1</w:t>
      </w:r>
      <w:r>
        <w:rPr>
          <w:rFonts w:hint="eastAsia" w:hAnsi="宋体" w:eastAsia="宋体" w:cs="宋体"/>
          <w:color w:val="auto"/>
          <w:sz w:val="21"/>
          <w:szCs w:val="21"/>
          <w:highlight w:val="none"/>
        </w:rPr>
        <w:t>.我们愿意按照招标文件的一切要求，提供本项目货物及服务工作，投标总报价包括产品供货、辅助材料、备品备件、运输、仓储、发货、送货、安装、调试、人工、机械、装卸、培训、保险、运费、各种税费、劳保、专利技术及质保等完成本次项目所需的一切费用。</w:t>
      </w:r>
    </w:p>
    <w:p w14:paraId="118325CA">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2.如果我们的投标书被接受，我们将严格履行招标文件中规定的每一项要求，按期、按质、按量履行合同的义务</w:t>
      </w:r>
      <w:r>
        <w:rPr>
          <w:rFonts w:hint="eastAsia" w:hAnsi="宋体" w:eastAsia="宋体" w:cs="宋体"/>
          <w:color w:val="auto"/>
          <w:sz w:val="21"/>
          <w:szCs w:val="21"/>
          <w:highlight w:val="none"/>
        </w:rPr>
        <w:t>。</w:t>
      </w:r>
    </w:p>
    <w:p w14:paraId="1827D7CC">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3.我们同意按招标文件中的规定，本投标书的有效期限为开标后</w:t>
      </w:r>
      <w:r>
        <w:rPr>
          <w:rFonts w:hint="eastAsia" w:hAnsi="宋体" w:eastAsia="宋体" w:cs="宋体"/>
          <w:color w:val="auto"/>
          <w:sz w:val="21"/>
          <w:highlight w:val="none"/>
          <w:u w:val="single"/>
        </w:rPr>
        <w:t xml:space="preserve"> 60</w:t>
      </w:r>
      <w:r>
        <w:rPr>
          <w:rFonts w:hint="eastAsia" w:hAnsi="宋体" w:eastAsia="宋体" w:cs="宋体"/>
          <w:color w:val="auto"/>
          <w:sz w:val="21"/>
          <w:highlight w:val="none"/>
        </w:rPr>
        <w:t>天。</w:t>
      </w:r>
    </w:p>
    <w:p w14:paraId="095B9004">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4.我们愿意提供招标代理机构在招标文件中要求的所有资料。</w:t>
      </w:r>
    </w:p>
    <w:p w14:paraId="445021F1">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5.我们愿意遵守招标文件中所列的收费标准。</w:t>
      </w:r>
    </w:p>
    <w:p w14:paraId="185325C2">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6.我们承诺该项投标在开标后的全过程中保持有效，不作任何更改和变动。</w:t>
      </w:r>
    </w:p>
    <w:p w14:paraId="35866042">
      <w:pPr>
        <w:pStyle w:val="87"/>
        <w:snapToGrid w:val="0"/>
        <w:spacing w:line="360" w:lineRule="auto"/>
        <w:ind w:firstLine="422" w:firstLineChars="200"/>
        <w:rPr>
          <w:rFonts w:hAnsi="宋体" w:eastAsia="宋体" w:cs="宋体"/>
          <w:color w:val="auto"/>
          <w:sz w:val="21"/>
          <w:szCs w:val="21"/>
          <w:highlight w:val="none"/>
        </w:rPr>
      </w:pPr>
      <w:r>
        <w:rPr>
          <w:rFonts w:hint="eastAsia" w:hAnsi="宋体" w:eastAsia="宋体" w:cs="宋体"/>
          <w:b/>
          <w:bCs/>
          <w:color w:val="auto"/>
          <w:sz w:val="21"/>
          <w:szCs w:val="21"/>
          <w:highlight w:val="none"/>
          <w:lang w:val="en-US" w:eastAsia="zh-CN"/>
        </w:rPr>
        <w:t>7</w:t>
      </w:r>
      <w:r>
        <w:rPr>
          <w:rFonts w:hint="eastAsia" w:hAnsi="宋体" w:eastAsia="宋体" w:cs="宋体"/>
          <w:b/>
          <w:bCs/>
          <w:color w:val="auto"/>
          <w:sz w:val="21"/>
          <w:szCs w:val="21"/>
          <w:highlight w:val="none"/>
        </w:rPr>
        <w:t>.我们愿意按照贵公司招标文件的要求提供电子投标文件，并保证全部投标文件内容真实有效，若有虚假，我公司愿意承担与此相关的一切责任；</w:t>
      </w:r>
    </w:p>
    <w:p w14:paraId="2D65000F">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szCs w:val="21"/>
          <w:highlight w:val="none"/>
          <w:lang w:val="en-US" w:eastAsia="zh-CN"/>
        </w:rPr>
        <w:t>8</w:t>
      </w:r>
      <w:r>
        <w:rPr>
          <w:rFonts w:hint="eastAsia" w:hAnsi="宋体" w:eastAsia="宋体" w:cs="宋体"/>
          <w:color w:val="auto"/>
          <w:sz w:val="21"/>
          <w:szCs w:val="21"/>
          <w:highlight w:val="none"/>
        </w:rPr>
        <w:t>.我们愿意按照《中华人民共和国民法典》履行自己应该承担的全部责任。</w:t>
      </w:r>
    </w:p>
    <w:p w14:paraId="06993A37">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lang w:val="en-US" w:eastAsia="zh-CN"/>
        </w:rPr>
        <w:t>9</w:t>
      </w:r>
      <w:r>
        <w:rPr>
          <w:rFonts w:hint="eastAsia" w:hAnsi="宋体" w:eastAsia="宋体" w:cs="宋体"/>
          <w:color w:val="auto"/>
          <w:sz w:val="21"/>
          <w:highlight w:val="none"/>
        </w:rPr>
        <w:t>.综合说明：</w:t>
      </w:r>
    </w:p>
    <w:p w14:paraId="5B734AB0">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（1）伴随服务及配合措施；</w:t>
      </w:r>
    </w:p>
    <w:p w14:paraId="01E5EB1C">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（2）要求甲方提供的配合；</w:t>
      </w:r>
    </w:p>
    <w:p w14:paraId="47868435">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（3）对招标文件有不同意见的偏离说明；</w:t>
      </w:r>
    </w:p>
    <w:p w14:paraId="52F851D5">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（4）其它说明。</w:t>
      </w:r>
    </w:p>
    <w:p w14:paraId="1592CF34">
      <w:pPr>
        <w:pStyle w:val="87"/>
        <w:snapToGrid w:val="0"/>
        <w:spacing w:line="360" w:lineRule="auto"/>
        <w:ind w:firstLine="422" w:firstLineChars="200"/>
        <w:rPr>
          <w:rFonts w:hAnsi="宋体" w:eastAsia="宋体" w:cs="宋体"/>
          <w:b/>
          <w:color w:val="auto"/>
          <w:sz w:val="21"/>
          <w:highlight w:val="none"/>
        </w:rPr>
      </w:pPr>
      <w:r>
        <w:rPr>
          <w:rFonts w:hint="eastAsia" w:hAnsi="宋体" w:eastAsia="宋体" w:cs="宋体"/>
          <w:b/>
          <w:color w:val="auto"/>
          <w:sz w:val="21"/>
          <w:highlight w:val="none"/>
        </w:rPr>
        <w:t>所有有关标书的函电，请按下列地址联系：</w:t>
      </w:r>
    </w:p>
    <w:p w14:paraId="4FFEEFA7">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单位：              联系人：</w:t>
      </w:r>
    </w:p>
    <w:p w14:paraId="69DE79B4">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地址：              邮政编码：</w:t>
      </w:r>
    </w:p>
    <w:p w14:paraId="789D2A45">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联系电话：          传真：</w:t>
      </w:r>
    </w:p>
    <w:p w14:paraId="5DBF68B4">
      <w:pPr>
        <w:pStyle w:val="87"/>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邮箱地址：</w:t>
      </w:r>
    </w:p>
    <w:p w14:paraId="0EFF25B9">
      <w:pPr>
        <w:pStyle w:val="87"/>
        <w:snapToGrid w:val="0"/>
        <w:spacing w:line="360" w:lineRule="auto"/>
        <w:ind w:left="3825" w:firstLine="422"/>
        <w:rPr>
          <w:rFonts w:hAnsi="宋体" w:eastAsia="宋体" w:cs="宋体"/>
          <w:color w:val="auto"/>
          <w:sz w:val="21"/>
          <w:highlight w:val="none"/>
        </w:rPr>
      </w:pPr>
      <w:r>
        <w:rPr>
          <w:rFonts w:hint="eastAsia" w:hAnsi="宋体" w:eastAsia="宋体" w:cs="宋体"/>
          <w:color w:val="auto"/>
          <w:sz w:val="21"/>
          <w:highlight w:val="none"/>
        </w:rPr>
        <w:t>投标单位：（签章）</w:t>
      </w:r>
    </w:p>
    <w:p w14:paraId="1BF66AF6">
      <w:pPr>
        <w:pStyle w:val="87"/>
        <w:snapToGrid w:val="0"/>
        <w:spacing w:line="360" w:lineRule="auto"/>
        <w:ind w:firstLine="3780" w:firstLineChars="1800"/>
        <w:rPr>
          <w:rFonts w:hAnsi="宋体" w:eastAsia="宋体" w:cs="宋体"/>
          <w:color w:val="auto"/>
          <w:sz w:val="21"/>
          <w:highlight w:val="none"/>
        </w:rPr>
        <w:sectPr>
          <w:pgSz w:w="11906" w:h="16838"/>
          <w:pgMar w:top="1440" w:right="1417" w:bottom="1440" w:left="1417" w:header="964" w:footer="1077" w:gutter="0"/>
          <w:cols w:space="720" w:num="1"/>
          <w:docGrid w:type="lines" w:linePitch="312" w:charSpace="0"/>
        </w:sectPr>
      </w:pPr>
      <w:r>
        <w:rPr>
          <w:rFonts w:hint="eastAsia" w:hAnsi="宋体" w:eastAsia="宋体" w:cs="宋体"/>
          <w:color w:val="auto"/>
          <w:sz w:val="21"/>
          <w:highlight w:val="none"/>
        </w:rPr>
        <w:t>日期：      年     月     日</w:t>
      </w:r>
    </w:p>
    <w:p w14:paraId="05B8099C">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附件3、开标一览表</w:t>
      </w:r>
    </w:p>
    <w:p w14:paraId="3DA54B78">
      <w:pPr>
        <w:autoSpaceDE w:val="0"/>
        <w:autoSpaceDN w:val="0"/>
        <w:adjustRightInd w:val="0"/>
        <w:spacing w:line="360" w:lineRule="auto"/>
        <w:ind w:firstLine="420"/>
        <w:jc w:val="center"/>
        <w:rPr>
          <w:rFonts w:ascii="宋体" w:hAnsi="宋体" w:cs="宋体"/>
          <w:b/>
          <w:bCs/>
          <w:color w:val="auto"/>
          <w:szCs w:val="21"/>
          <w:highlight w:val="none"/>
          <w:lang w:val="zh-CN"/>
        </w:rPr>
      </w:pPr>
    </w:p>
    <w:p w14:paraId="79523C55">
      <w:pPr>
        <w:autoSpaceDE w:val="0"/>
        <w:autoSpaceDN w:val="0"/>
        <w:adjustRightIn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开标一览表</w:t>
      </w:r>
    </w:p>
    <w:p w14:paraId="71DA066D">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招标编号：             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490"/>
        <w:gridCol w:w="2929"/>
        <w:gridCol w:w="1855"/>
      </w:tblGrid>
      <w:tr w14:paraId="7C9B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355" w:type="dxa"/>
            <w:vAlign w:val="center"/>
          </w:tcPr>
          <w:p w14:paraId="3207FB54">
            <w:pPr>
              <w:pStyle w:val="96"/>
              <w:ind w:firstLine="422"/>
              <w:jc w:val="center"/>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val="en-US" w:eastAsia="zh-CN"/>
              </w:rPr>
              <w:t>序号</w:t>
            </w:r>
          </w:p>
        </w:tc>
        <w:tc>
          <w:tcPr>
            <w:tcW w:w="2490" w:type="dxa"/>
            <w:vAlign w:val="center"/>
          </w:tcPr>
          <w:p w14:paraId="47C2A04E">
            <w:pPr>
              <w:pStyle w:val="96"/>
              <w:jc w:val="center"/>
              <w:rPr>
                <w:rFonts w:hAnsi="宋体" w:eastAsia="宋体" w:cs="宋体"/>
                <w:color w:val="auto"/>
                <w:sz w:val="21"/>
                <w:szCs w:val="21"/>
                <w:highlight w:val="none"/>
              </w:rPr>
            </w:pPr>
            <w:r>
              <w:rPr>
                <w:rFonts w:hint="eastAsia" w:hAnsi="宋体" w:eastAsia="宋体" w:cs="宋体"/>
                <w:color w:val="auto"/>
                <w:sz w:val="21"/>
                <w:szCs w:val="21"/>
                <w:highlight w:val="none"/>
              </w:rPr>
              <w:t>项目名称</w:t>
            </w:r>
          </w:p>
        </w:tc>
        <w:tc>
          <w:tcPr>
            <w:tcW w:w="2929" w:type="dxa"/>
            <w:vAlign w:val="center"/>
          </w:tcPr>
          <w:p w14:paraId="3658752F">
            <w:pPr>
              <w:pStyle w:val="96"/>
              <w:jc w:val="center"/>
              <w:rPr>
                <w:rFonts w:hAnsi="宋体" w:eastAsia="宋体" w:cs="宋体"/>
                <w:color w:val="auto"/>
                <w:sz w:val="21"/>
                <w:szCs w:val="21"/>
                <w:highlight w:val="none"/>
              </w:rPr>
            </w:pPr>
            <w:r>
              <w:rPr>
                <w:rFonts w:hint="eastAsia" w:hAnsi="宋体" w:eastAsia="宋体" w:cs="宋体"/>
                <w:color w:val="auto"/>
                <w:sz w:val="21"/>
                <w:szCs w:val="21"/>
                <w:highlight w:val="none"/>
              </w:rPr>
              <w:t>总价（元）</w:t>
            </w:r>
          </w:p>
        </w:tc>
        <w:tc>
          <w:tcPr>
            <w:tcW w:w="1855" w:type="dxa"/>
            <w:vAlign w:val="center"/>
          </w:tcPr>
          <w:p w14:paraId="4D29BCAC">
            <w:pPr>
              <w:pStyle w:val="96"/>
              <w:jc w:val="center"/>
              <w:rPr>
                <w:rFonts w:hAnsi="宋体" w:eastAsia="宋体" w:cs="宋体"/>
                <w:color w:val="auto"/>
                <w:sz w:val="21"/>
                <w:szCs w:val="21"/>
                <w:highlight w:val="none"/>
              </w:rPr>
            </w:pPr>
            <w:r>
              <w:rPr>
                <w:rFonts w:hint="eastAsia" w:hAnsi="宋体" w:eastAsia="宋体" w:cs="宋体"/>
                <w:color w:val="auto"/>
                <w:sz w:val="21"/>
                <w:szCs w:val="21"/>
                <w:highlight w:val="none"/>
              </w:rPr>
              <w:t>备注</w:t>
            </w:r>
          </w:p>
        </w:tc>
      </w:tr>
      <w:tr w14:paraId="19CC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55" w:type="dxa"/>
            <w:vAlign w:val="center"/>
          </w:tcPr>
          <w:p w14:paraId="46546BF7">
            <w:pPr>
              <w:pStyle w:val="96"/>
              <w:ind w:firstLine="422"/>
              <w:jc w:val="center"/>
              <w:rPr>
                <w:rFonts w:hAnsi="宋体" w:eastAsia="宋体" w:cs="宋体"/>
                <w:color w:val="auto"/>
                <w:sz w:val="21"/>
                <w:szCs w:val="21"/>
                <w:highlight w:val="none"/>
              </w:rPr>
            </w:pPr>
          </w:p>
        </w:tc>
        <w:tc>
          <w:tcPr>
            <w:tcW w:w="2490" w:type="dxa"/>
            <w:vAlign w:val="center"/>
          </w:tcPr>
          <w:p w14:paraId="493E71AE">
            <w:pPr>
              <w:pStyle w:val="96"/>
              <w:jc w:val="center"/>
              <w:rPr>
                <w:rFonts w:hAnsi="宋体" w:eastAsia="宋体" w:cs="宋体"/>
                <w:color w:val="auto"/>
                <w:sz w:val="21"/>
                <w:szCs w:val="21"/>
                <w:highlight w:val="none"/>
              </w:rPr>
            </w:pPr>
          </w:p>
        </w:tc>
        <w:tc>
          <w:tcPr>
            <w:tcW w:w="2929" w:type="dxa"/>
            <w:vAlign w:val="center"/>
          </w:tcPr>
          <w:p w14:paraId="499C38CB">
            <w:pPr>
              <w:pStyle w:val="96"/>
              <w:jc w:val="center"/>
              <w:rPr>
                <w:rFonts w:hAnsi="宋体" w:eastAsia="宋体" w:cs="宋体"/>
                <w:color w:val="auto"/>
                <w:sz w:val="21"/>
                <w:szCs w:val="21"/>
                <w:highlight w:val="none"/>
              </w:rPr>
            </w:pPr>
          </w:p>
        </w:tc>
        <w:tc>
          <w:tcPr>
            <w:tcW w:w="1855" w:type="dxa"/>
            <w:vAlign w:val="center"/>
          </w:tcPr>
          <w:p w14:paraId="673185E0">
            <w:pPr>
              <w:pStyle w:val="96"/>
              <w:jc w:val="center"/>
              <w:rPr>
                <w:rFonts w:hAnsi="宋体" w:eastAsia="宋体" w:cs="宋体"/>
                <w:color w:val="auto"/>
                <w:sz w:val="21"/>
                <w:szCs w:val="21"/>
                <w:highlight w:val="none"/>
              </w:rPr>
            </w:pPr>
          </w:p>
        </w:tc>
      </w:tr>
      <w:tr w14:paraId="336A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629" w:type="dxa"/>
            <w:gridSpan w:val="4"/>
            <w:vAlign w:val="center"/>
          </w:tcPr>
          <w:p w14:paraId="4F161E6C">
            <w:pPr>
              <w:pStyle w:val="96"/>
              <w:ind w:firstLine="422"/>
              <w:rPr>
                <w:rFonts w:hAnsi="宋体" w:eastAsia="宋体" w:cs="宋体"/>
                <w:color w:val="auto"/>
                <w:sz w:val="21"/>
                <w:szCs w:val="21"/>
                <w:highlight w:val="none"/>
              </w:rPr>
            </w:pPr>
            <w:r>
              <w:rPr>
                <w:rFonts w:hint="eastAsia" w:hAnsi="宋体" w:eastAsia="宋体" w:cs="宋体"/>
                <w:color w:val="auto"/>
                <w:sz w:val="21"/>
                <w:szCs w:val="21"/>
                <w:highlight w:val="none"/>
                <w:lang w:val="zh-CN"/>
              </w:rPr>
              <w:t>投标总报价（人民币大写）：                    ￥：</w:t>
            </w:r>
          </w:p>
        </w:tc>
      </w:tr>
    </w:tbl>
    <w:p w14:paraId="77C7633C">
      <w:pPr>
        <w:spacing w:line="360" w:lineRule="auto"/>
        <w:ind w:firstLine="422"/>
        <w:rPr>
          <w:rFonts w:ascii="宋体" w:hAnsi="宋体" w:cs="宋体"/>
          <w:color w:val="auto"/>
          <w:szCs w:val="21"/>
          <w:highlight w:val="none"/>
        </w:rPr>
      </w:pPr>
    </w:p>
    <w:p w14:paraId="0A03B370">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投标人：（签章）</w:t>
      </w:r>
    </w:p>
    <w:p w14:paraId="670A48D3">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日期：         年         月       日</w:t>
      </w:r>
    </w:p>
    <w:p w14:paraId="489A15FA">
      <w:pPr>
        <w:pageBreakBefore/>
        <w:spacing w:line="360" w:lineRule="auto"/>
        <w:rPr>
          <w:rFonts w:ascii="宋体" w:hAnsi="宋体" w:cs="宋体"/>
          <w:color w:val="auto"/>
          <w:highlight w:val="none"/>
        </w:rPr>
      </w:pPr>
      <w:bookmarkStart w:id="41" w:name="_Toc2583141"/>
      <w:r>
        <w:rPr>
          <w:rFonts w:hint="eastAsia" w:ascii="宋体" w:hAnsi="宋体" w:cs="宋体"/>
          <w:b/>
          <w:bCs/>
          <w:color w:val="auto"/>
          <w:highlight w:val="none"/>
        </w:rPr>
        <w:t>附件4、</w:t>
      </w:r>
      <w:r>
        <w:rPr>
          <w:rFonts w:hint="eastAsia" w:ascii="宋体" w:hAnsi="宋体" w:cs="宋体"/>
          <w:b/>
          <w:bCs/>
          <w:color w:val="auto"/>
          <w:highlight w:val="none"/>
          <w:lang w:val="zh-CN"/>
        </w:rPr>
        <w:t>投标报价分析表</w:t>
      </w:r>
    </w:p>
    <w:p w14:paraId="6D4E65DF">
      <w:pPr>
        <w:autoSpaceDE w:val="0"/>
        <w:autoSpaceDN w:val="0"/>
        <w:adjustRightInd w:val="0"/>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lang w:val="zh-CN"/>
        </w:rPr>
        <w:t>投标报价分析表</w:t>
      </w:r>
    </w:p>
    <w:p w14:paraId="100C02C6">
      <w:pPr>
        <w:autoSpaceDE w:val="0"/>
        <w:autoSpaceDN w:val="0"/>
        <w:adjustRightInd w:val="0"/>
        <w:snapToGrid w:val="0"/>
        <w:spacing w:line="360" w:lineRule="auto"/>
        <w:ind w:firstLine="422"/>
        <w:rPr>
          <w:rFonts w:ascii="宋体" w:hAnsi="宋体"/>
          <w:color w:val="auto"/>
          <w:szCs w:val="21"/>
          <w:highlight w:val="none"/>
          <w:lang w:val="zh-CN"/>
        </w:rPr>
      </w:pPr>
      <w:r>
        <w:rPr>
          <w:rFonts w:hint="eastAsia" w:ascii="宋体" w:hAnsi="宋体"/>
          <w:color w:val="auto"/>
          <w:szCs w:val="21"/>
          <w:highlight w:val="none"/>
          <w:lang w:val="zh-CN"/>
        </w:rPr>
        <w:t>招标编号：号                             项目名称：</w:t>
      </w:r>
    </w:p>
    <w:tbl>
      <w:tblPr>
        <w:tblStyle w:val="30"/>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316"/>
        <w:gridCol w:w="1298"/>
        <w:gridCol w:w="1359"/>
        <w:gridCol w:w="741"/>
        <w:gridCol w:w="778"/>
        <w:gridCol w:w="881"/>
        <w:gridCol w:w="1013"/>
        <w:gridCol w:w="1438"/>
      </w:tblGrid>
      <w:tr w14:paraId="56FB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67DE27E5">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zh-CN"/>
              </w:rPr>
              <w:t>序号</w:t>
            </w:r>
          </w:p>
        </w:tc>
        <w:tc>
          <w:tcPr>
            <w:tcW w:w="1316" w:type="dxa"/>
            <w:vAlign w:val="center"/>
          </w:tcPr>
          <w:p w14:paraId="60592E54">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zh-CN"/>
              </w:rPr>
              <w:t>标的物名称</w:t>
            </w:r>
          </w:p>
        </w:tc>
        <w:tc>
          <w:tcPr>
            <w:tcW w:w="1298" w:type="dxa"/>
            <w:vAlign w:val="center"/>
          </w:tcPr>
          <w:p w14:paraId="7971E59B">
            <w:pPr>
              <w:autoSpaceDE w:val="0"/>
              <w:autoSpaceDN w:val="0"/>
              <w:adjustRightInd w:val="0"/>
              <w:snapToGrid w:val="0"/>
              <w:rPr>
                <w:rFonts w:ascii="宋体" w:hAnsi="宋体"/>
                <w:color w:val="auto"/>
                <w:szCs w:val="21"/>
                <w:highlight w:val="none"/>
              </w:rPr>
            </w:pPr>
            <w:r>
              <w:rPr>
                <w:rFonts w:hint="eastAsia" w:ascii="宋体" w:hAnsi="宋体"/>
                <w:color w:val="auto"/>
                <w:szCs w:val="21"/>
                <w:highlight w:val="none"/>
                <w:lang w:val="zh-CN"/>
              </w:rPr>
              <w:t>品牌、</w:t>
            </w:r>
            <w:r>
              <w:rPr>
                <w:rFonts w:hint="eastAsia" w:ascii="宋体" w:hAnsi="宋体"/>
                <w:color w:val="auto"/>
                <w:szCs w:val="21"/>
                <w:highlight w:val="none"/>
                <w:lang w:val="en-US" w:eastAsia="zh-CN"/>
              </w:rPr>
              <w:t>规格、</w:t>
            </w:r>
            <w:r>
              <w:rPr>
                <w:rFonts w:hint="eastAsia" w:ascii="宋体" w:hAnsi="宋体"/>
                <w:color w:val="auto"/>
                <w:szCs w:val="21"/>
                <w:highlight w:val="none"/>
              </w:rPr>
              <w:t>型号</w:t>
            </w:r>
          </w:p>
        </w:tc>
        <w:tc>
          <w:tcPr>
            <w:tcW w:w="1359" w:type="dxa"/>
            <w:vAlign w:val="center"/>
          </w:tcPr>
          <w:p w14:paraId="10BAC7BB">
            <w:pPr>
              <w:autoSpaceDE w:val="0"/>
              <w:autoSpaceDN w:val="0"/>
              <w:adjustRightInd w:val="0"/>
              <w:snapToGrid w:val="0"/>
              <w:rPr>
                <w:rFonts w:ascii="宋体" w:hAnsi="宋体"/>
                <w:color w:val="auto"/>
                <w:szCs w:val="21"/>
                <w:highlight w:val="none"/>
              </w:rPr>
            </w:pPr>
            <w:r>
              <w:rPr>
                <w:rFonts w:hint="eastAsia" w:ascii="宋体" w:hAnsi="宋体"/>
                <w:color w:val="auto"/>
                <w:szCs w:val="21"/>
                <w:highlight w:val="none"/>
              </w:rPr>
              <w:t>生产厂家</w:t>
            </w:r>
          </w:p>
        </w:tc>
        <w:tc>
          <w:tcPr>
            <w:tcW w:w="741" w:type="dxa"/>
            <w:vAlign w:val="center"/>
          </w:tcPr>
          <w:p w14:paraId="4A26AFDD">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zh-CN"/>
              </w:rPr>
              <w:t>单位</w:t>
            </w:r>
          </w:p>
        </w:tc>
        <w:tc>
          <w:tcPr>
            <w:tcW w:w="778" w:type="dxa"/>
            <w:vAlign w:val="center"/>
          </w:tcPr>
          <w:p w14:paraId="524E1101">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zh-CN"/>
              </w:rPr>
              <w:t>数量</w:t>
            </w:r>
          </w:p>
        </w:tc>
        <w:tc>
          <w:tcPr>
            <w:tcW w:w="881" w:type="dxa"/>
            <w:vAlign w:val="center"/>
          </w:tcPr>
          <w:p w14:paraId="62ADE89A">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zh-CN"/>
              </w:rPr>
              <w:t>单价</w:t>
            </w:r>
          </w:p>
        </w:tc>
        <w:tc>
          <w:tcPr>
            <w:tcW w:w="1013" w:type="dxa"/>
            <w:vAlign w:val="center"/>
          </w:tcPr>
          <w:p w14:paraId="3BAEF1EA">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zh-CN"/>
              </w:rPr>
              <w:t>总价</w:t>
            </w:r>
          </w:p>
        </w:tc>
        <w:tc>
          <w:tcPr>
            <w:tcW w:w="1438" w:type="dxa"/>
            <w:vAlign w:val="center"/>
          </w:tcPr>
          <w:p w14:paraId="083CFE50">
            <w:pPr>
              <w:autoSpaceDE w:val="0"/>
              <w:autoSpaceDN w:val="0"/>
              <w:adjustRightInd w:val="0"/>
              <w:snapToGrid w:val="0"/>
              <w:rPr>
                <w:rFonts w:ascii="宋体" w:hAnsi="宋体"/>
                <w:color w:val="auto"/>
                <w:highlight w:val="none"/>
              </w:rPr>
            </w:pPr>
            <w:r>
              <w:rPr>
                <w:rFonts w:hint="eastAsia" w:ascii="宋体" w:hAnsi="宋体"/>
                <w:color w:val="auto"/>
                <w:highlight w:val="none"/>
              </w:rPr>
              <w:t>备注</w:t>
            </w:r>
          </w:p>
        </w:tc>
      </w:tr>
      <w:tr w14:paraId="164D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521A7C9D">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6C9E6224">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22174480">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39CA56B0">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3ED65F61">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4E25C3C3">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45EA6C96">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68EB30B4">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3946A4CD">
            <w:pPr>
              <w:autoSpaceDE w:val="0"/>
              <w:autoSpaceDN w:val="0"/>
              <w:adjustRightInd w:val="0"/>
              <w:snapToGrid w:val="0"/>
              <w:ind w:firstLine="422"/>
              <w:jc w:val="center"/>
              <w:rPr>
                <w:rFonts w:ascii="宋体" w:hAnsi="宋体"/>
                <w:color w:val="auto"/>
                <w:highlight w:val="none"/>
              </w:rPr>
            </w:pPr>
          </w:p>
        </w:tc>
      </w:tr>
      <w:tr w14:paraId="00EE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4EB02FB8">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062B30EC">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1A692AB5">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2C8F98DD">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1A89D89C">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76019873">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2547E904">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0C742EB5">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6C16DC21">
            <w:pPr>
              <w:autoSpaceDE w:val="0"/>
              <w:autoSpaceDN w:val="0"/>
              <w:adjustRightInd w:val="0"/>
              <w:snapToGrid w:val="0"/>
              <w:ind w:firstLine="422"/>
              <w:jc w:val="center"/>
              <w:rPr>
                <w:rFonts w:ascii="宋体" w:hAnsi="宋体"/>
                <w:color w:val="auto"/>
                <w:highlight w:val="none"/>
              </w:rPr>
            </w:pPr>
          </w:p>
        </w:tc>
      </w:tr>
      <w:tr w14:paraId="7970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0BCE7CF5">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5CD8EF56">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3FD6E13E">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4E7E9D3A">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5AC9E430">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55FC73C2">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63C2BE70">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21DB5FE6">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464535A0">
            <w:pPr>
              <w:autoSpaceDE w:val="0"/>
              <w:autoSpaceDN w:val="0"/>
              <w:adjustRightInd w:val="0"/>
              <w:snapToGrid w:val="0"/>
              <w:ind w:firstLine="422"/>
              <w:jc w:val="center"/>
              <w:rPr>
                <w:rFonts w:ascii="宋体" w:hAnsi="宋体"/>
                <w:color w:val="auto"/>
                <w:highlight w:val="none"/>
              </w:rPr>
            </w:pPr>
          </w:p>
        </w:tc>
      </w:tr>
      <w:tr w14:paraId="04B7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28FD9CC0">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6C1B8CD1">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3B1160AE">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780C3B8B">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7B7EA740">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0C713723">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3F5D74D7">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223B5A9D">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51029402">
            <w:pPr>
              <w:autoSpaceDE w:val="0"/>
              <w:autoSpaceDN w:val="0"/>
              <w:adjustRightInd w:val="0"/>
              <w:snapToGrid w:val="0"/>
              <w:ind w:firstLine="422"/>
              <w:jc w:val="center"/>
              <w:rPr>
                <w:rFonts w:ascii="宋体" w:hAnsi="宋体"/>
                <w:color w:val="auto"/>
                <w:highlight w:val="none"/>
              </w:rPr>
            </w:pPr>
          </w:p>
        </w:tc>
      </w:tr>
      <w:tr w14:paraId="1972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288BEFDC">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67253FD1">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634807A1">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30817F32">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5DE8CB5E">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656EED43">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6CB95E05">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1FC2DFFF">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60F01FC4">
            <w:pPr>
              <w:autoSpaceDE w:val="0"/>
              <w:autoSpaceDN w:val="0"/>
              <w:adjustRightInd w:val="0"/>
              <w:snapToGrid w:val="0"/>
              <w:ind w:firstLine="422"/>
              <w:jc w:val="center"/>
              <w:rPr>
                <w:rFonts w:ascii="宋体" w:hAnsi="宋体"/>
                <w:color w:val="auto"/>
                <w:highlight w:val="none"/>
              </w:rPr>
            </w:pPr>
          </w:p>
        </w:tc>
      </w:tr>
      <w:tr w14:paraId="06D1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2808A12A">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24ECC227">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25A3B582">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42C6C6F3">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5ACE78D7">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2B9D6824">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0FECE436">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236F419B">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3E5F6BF0">
            <w:pPr>
              <w:autoSpaceDE w:val="0"/>
              <w:autoSpaceDN w:val="0"/>
              <w:adjustRightInd w:val="0"/>
              <w:snapToGrid w:val="0"/>
              <w:ind w:firstLine="422"/>
              <w:jc w:val="center"/>
              <w:rPr>
                <w:rFonts w:ascii="宋体" w:hAnsi="宋体"/>
                <w:color w:val="auto"/>
                <w:highlight w:val="none"/>
              </w:rPr>
            </w:pPr>
          </w:p>
        </w:tc>
      </w:tr>
      <w:tr w14:paraId="325D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190984D7">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25074303">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14CBF927">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38AA8B51">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1B7CB951">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6E96D28B">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68BDA270">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45E6494B">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19B9E65F">
            <w:pPr>
              <w:autoSpaceDE w:val="0"/>
              <w:autoSpaceDN w:val="0"/>
              <w:adjustRightInd w:val="0"/>
              <w:snapToGrid w:val="0"/>
              <w:ind w:firstLine="422"/>
              <w:jc w:val="center"/>
              <w:rPr>
                <w:rFonts w:ascii="宋体" w:hAnsi="宋体"/>
                <w:color w:val="auto"/>
                <w:highlight w:val="none"/>
              </w:rPr>
            </w:pPr>
          </w:p>
        </w:tc>
      </w:tr>
      <w:tr w14:paraId="593E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1B98A1DB">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6C97E952">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6981520D">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2D048886">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1D40643F">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79DBD523">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0EC5E69A">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28E6D59E">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6689DECC">
            <w:pPr>
              <w:autoSpaceDE w:val="0"/>
              <w:autoSpaceDN w:val="0"/>
              <w:adjustRightInd w:val="0"/>
              <w:snapToGrid w:val="0"/>
              <w:ind w:firstLine="422"/>
              <w:jc w:val="center"/>
              <w:rPr>
                <w:rFonts w:ascii="宋体" w:hAnsi="宋体"/>
                <w:color w:val="auto"/>
                <w:highlight w:val="none"/>
              </w:rPr>
            </w:pPr>
          </w:p>
        </w:tc>
      </w:tr>
      <w:tr w14:paraId="021F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00824944">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3BDDAF93">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74E0CE84">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2485E447">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47EB1437">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39A97225">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4901B9D1">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3BF339F6">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5DFBECD5">
            <w:pPr>
              <w:autoSpaceDE w:val="0"/>
              <w:autoSpaceDN w:val="0"/>
              <w:adjustRightInd w:val="0"/>
              <w:snapToGrid w:val="0"/>
              <w:ind w:firstLine="422"/>
              <w:jc w:val="center"/>
              <w:rPr>
                <w:rFonts w:ascii="宋体" w:hAnsi="宋体"/>
                <w:color w:val="auto"/>
                <w:highlight w:val="none"/>
              </w:rPr>
            </w:pPr>
          </w:p>
        </w:tc>
      </w:tr>
      <w:tr w14:paraId="32D1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71E67739">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44AA7547">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4F71CF6E">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2438ABAE">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3D1A4D29">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4E508048">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15DC07ED">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43AA7B1A">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582F635F">
            <w:pPr>
              <w:autoSpaceDE w:val="0"/>
              <w:autoSpaceDN w:val="0"/>
              <w:adjustRightInd w:val="0"/>
              <w:snapToGrid w:val="0"/>
              <w:ind w:firstLine="422"/>
              <w:jc w:val="center"/>
              <w:rPr>
                <w:rFonts w:ascii="宋体" w:hAnsi="宋体"/>
                <w:color w:val="auto"/>
                <w:highlight w:val="none"/>
              </w:rPr>
            </w:pPr>
          </w:p>
        </w:tc>
      </w:tr>
      <w:tr w14:paraId="3FD3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6A7BB088">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3C3C1F94">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48CF1119">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0D18A440">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748D4C55">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54ACCFBD">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430B0DB4">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6B0123F4">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29E59BFC">
            <w:pPr>
              <w:autoSpaceDE w:val="0"/>
              <w:autoSpaceDN w:val="0"/>
              <w:adjustRightInd w:val="0"/>
              <w:snapToGrid w:val="0"/>
              <w:ind w:firstLine="422"/>
              <w:jc w:val="center"/>
              <w:rPr>
                <w:rFonts w:ascii="宋体" w:hAnsi="宋体"/>
                <w:color w:val="auto"/>
                <w:highlight w:val="none"/>
              </w:rPr>
            </w:pPr>
          </w:p>
        </w:tc>
      </w:tr>
      <w:tr w14:paraId="5D97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083793C8">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5C74F3B3">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31D95645">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2E732799">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06D7644E">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11ED97C6">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7E389F5E">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65211CB5">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64B6F0F8">
            <w:pPr>
              <w:autoSpaceDE w:val="0"/>
              <w:autoSpaceDN w:val="0"/>
              <w:adjustRightInd w:val="0"/>
              <w:snapToGrid w:val="0"/>
              <w:ind w:firstLine="422"/>
              <w:jc w:val="center"/>
              <w:rPr>
                <w:rFonts w:ascii="宋体" w:hAnsi="宋体"/>
                <w:color w:val="auto"/>
                <w:highlight w:val="none"/>
              </w:rPr>
            </w:pPr>
          </w:p>
        </w:tc>
      </w:tr>
      <w:tr w14:paraId="4EB7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42B9B5F3">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03341336">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0DFC560C">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19503ACC">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77BCAC0B">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64130FA1">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4BE9DB39">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44E577E3">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4F44AC8D">
            <w:pPr>
              <w:autoSpaceDE w:val="0"/>
              <w:autoSpaceDN w:val="0"/>
              <w:adjustRightInd w:val="0"/>
              <w:snapToGrid w:val="0"/>
              <w:ind w:firstLine="422"/>
              <w:jc w:val="center"/>
              <w:rPr>
                <w:rFonts w:ascii="宋体" w:hAnsi="宋体"/>
                <w:color w:val="auto"/>
                <w:highlight w:val="none"/>
              </w:rPr>
            </w:pPr>
          </w:p>
        </w:tc>
      </w:tr>
      <w:tr w14:paraId="58A3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46E8FDDD">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7AD8E17A">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49B296FC">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29A71524">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417D1CD7">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784A9866">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41DF2817">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5A8FABB0">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08ED78DA">
            <w:pPr>
              <w:autoSpaceDE w:val="0"/>
              <w:autoSpaceDN w:val="0"/>
              <w:adjustRightInd w:val="0"/>
              <w:snapToGrid w:val="0"/>
              <w:ind w:firstLine="422"/>
              <w:jc w:val="center"/>
              <w:rPr>
                <w:rFonts w:ascii="宋体" w:hAnsi="宋体"/>
                <w:color w:val="auto"/>
                <w:highlight w:val="none"/>
              </w:rPr>
            </w:pPr>
          </w:p>
        </w:tc>
      </w:tr>
      <w:tr w14:paraId="3A0D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13AA837E">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1EFF9E25">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35091122">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696C5B84">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55C3D9A1">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53EED33F">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72FBB781">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1C241B62">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5B63CEE2">
            <w:pPr>
              <w:autoSpaceDE w:val="0"/>
              <w:autoSpaceDN w:val="0"/>
              <w:adjustRightInd w:val="0"/>
              <w:snapToGrid w:val="0"/>
              <w:ind w:firstLine="422"/>
              <w:jc w:val="center"/>
              <w:rPr>
                <w:rFonts w:ascii="宋体" w:hAnsi="宋体"/>
                <w:color w:val="auto"/>
                <w:highlight w:val="none"/>
              </w:rPr>
            </w:pPr>
          </w:p>
        </w:tc>
      </w:tr>
      <w:tr w14:paraId="38D3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6042D8BC">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4BAED09E">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4A530086">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5B95B0E7">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7A28B945">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7C94044E">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3508F13D">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4FCA9F6B">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3B2FD024">
            <w:pPr>
              <w:autoSpaceDE w:val="0"/>
              <w:autoSpaceDN w:val="0"/>
              <w:adjustRightInd w:val="0"/>
              <w:snapToGrid w:val="0"/>
              <w:ind w:firstLine="422"/>
              <w:jc w:val="center"/>
              <w:rPr>
                <w:rFonts w:ascii="宋体" w:hAnsi="宋体"/>
                <w:color w:val="auto"/>
                <w:highlight w:val="none"/>
              </w:rPr>
            </w:pPr>
          </w:p>
        </w:tc>
      </w:tr>
      <w:tr w14:paraId="7DFA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8" w:type="dxa"/>
            <w:vAlign w:val="center"/>
          </w:tcPr>
          <w:p w14:paraId="0796869A">
            <w:pPr>
              <w:autoSpaceDE w:val="0"/>
              <w:autoSpaceDN w:val="0"/>
              <w:adjustRightInd w:val="0"/>
              <w:snapToGrid w:val="0"/>
              <w:ind w:firstLine="422"/>
              <w:jc w:val="center"/>
              <w:rPr>
                <w:rFonts w:ascii="宋体" w:hAnsi="宋体"/>
                <w:color w:val="auto"/>
                <w:szCs w:val="21"/>
                <w:highlight w:val="none"/>
                <w:lang w:val="zh-CN"/>
              </w:rPr>
            </w:pPr>
          </w:p>
        </w:tc>
        <w:tc>
          <w:tcPr>
            <w:tcW w:w="1316" w:type="dxa"/>
            <w:vAlign w:val="center"/>
          </w:tcPr>
          <w:p w14:paraId="2A5E70F8">
            <w:pPr>
              <w:autoSpaceDE w:val="0"/>
              <w:autoSpaceDN w:val="0"/>
              <w:adjustRightInd w:val="0"/>
              <w:snapToGrid w:val="0"/>
              <w:ind w:firstLine="422"/>
              <w:jc w:val="center"/>
              <w:rPr>
                <w:rFonts w:ascii="宋体" w:hAnsi="宋体"/>
                <w:color w:val="auto"/>
                <w:szCs w:val="21"/>
                <w:highlight w:val="none"/>
                <w:lang w:val="zh-CN"/>
              </w:rPr>
            </w:pPr>
          </w:p>
        </w:tc>
        <w:tc>
          <w:tcPr>
            <w:tcW w:w="1298" w:type="dxa"/>
            <w:vAlign w:val="center"/>
          </w:tcPr>
          <w:p w14:paraId="1AE5DF68">
            <w:pPr>
              <w:autoSpaceDE w:val="0"/>
              <w:autoSpaceDN w:val="0"/>
              <w:adjustRightInd w:val="0"/>
              <w:snapToGrid w:val="0"/>
              <w:ind w:firstLine="422"/>
              <w:jc w:val="center"/>
              <w:rPr>
                <w:rFonts w:ascii="宋体" w:hAnsi="宋体"/>
                <w:color w:val="auto"/>
                <w:szCs w:val="21"/>
                <w:highlight w:val="none"/>
                <w:lang w:val="zh-CN"/>
              </w:rPr>
            </w:pPr>
          </w:p>
        </w:tc>
        <w:tc>
          <w:tcPr>
            <w:tcW w:w="1359" w:type="dxa"/>
            <w:vAlign w:val="center"/>
          </w:tcPr>
          <w:p w14:paraId="7A822368">
            <w:pPr>
              <w:autoSpaceDE w:val="0"/>
              <w:autoSpaceDN w:val="0"/>
              <w:adjustRightInd w:val="0"/>
              <w:snapToGrid w:val="0"/>
              <w:ind w:firstLine="422"/>
              <w:jc w:val="center"/>
              <w:rPr>
                <w:rFonts w:ascii="宋体" w:hAnsi="宋体"/>
                <w:color w:val="auto"/>
                <w:szCs w:val="21"/>
                <w:highlight w:val="none"/>
              </w:rPr>
            </w:pPr>
          </w:p>
        </w:tc>
        <w:tc>
          <w:tcPr>
            <w:tcW w:w="741" w:type="dxa"/>
            <w:vAlign w:val="center"/>
          </w:tcPr>
          <w:p w14:paraId="6125B130">
            <w:pPr>
              <w:autoSpaceDE w:val="0"/>
              <w:autoSpaceDN w:val="0"/>
              <w:adjustRightInd w:val="0"/>
              <w:snapToGrid w:val="0"/>
              <w:ind w:firstLine="422"/>
              <w:jc w:val="center"/>
              <w:rPr>
                <w:rFonts w:ascii="宋体" w:hAnsi="宋体"/>
                <w:color w:val="auto"/>
                <w:szCs w:val="21"/>
                <w:highlight w:val="none"/>
                <w:lang w:val="zh-CN"/>
              </w:rPr>
            </w:pPr>
          </w:p>
        </w:tc>
        <w:tc>
          <w:tcPr>
            <w:tcW w:w="778" w:type="dxa"/>
            <w:vAlign w:val="center"/>
          </w:tcPr>
          <w:p w14:paraId="5798FA1C">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3D5F2FB2">
            <w:pPr>
              <w:autoSpaceDE w:val="0"/>
              <w:autoSpaceDN w:val="0"/>
              <w:adjustRightInd w:val="0"/>
              <w:snapToGrid w:val="0"/>
              <w:ind w:firstLine="422"/>
              <w:jc w:val="center"/>
              <w:rPr>
                <w:rFonts w:ascii="宋体" w:hAnsi="宋体"/>
                <w:color w:val="auto"/>
                <w:szCs w:val="21"/>
                <w:highlight w:val="none"/>
                <w:lang w:val="zh-CN"/>
              </w:rPr>
            </w:pPr>
          </w:p>
        </w:tc>
        <w:tc>
          <w:tcPr>
            <w:tcW w:w="1013" w:type="dxa"/>
            <w:vAlign w:val="center"/>
          </w:tcPr>
          <w:p w14:paraId="04B3368B">
            <w:pPr>
              <w:autoSpaceDE w:val="0"/>
              <w:autoSpaceDN w:val="0"/>
              <w:adjustRightInd w:val="0"/>
              <w:snapToGrid w:val="0"/>
              <w:ind w:firstLine="422"/>
              <w:jc w:val="center"/>
              <w:rPr>
                <w:rFonts w:ascii="宋体" w:hAnsi="宋体"/>
                <w:color w:val="auto"/>
                <w:szCs w:val="21"/>
                <w:highlight w:val="none"/>
                <w:lang w:val="zh-CN"/>
              </w:rPr>
            </w:pPr>
          </w:p>
        </w:tc>
        <w:tc>
          <w:tcPr>
            <w:tcW w:w="1438" w:type="dxa"/>
            <w:vAlign w:val="center"/>
          </w:tcPr>
          <w:p w14:paraId="6170A908">
            <w:pPr>
              <w:autoSpaceDE w:val="0"/>
              <w:autoSpaceDN w:val="0"/>
              <w:adjustRightInd w:val="0"/>
              <w:snapToGrid w:val="0"/>
              <w:ind w:firstLine="422"/>
              <w:jc w:val="center"/>
              <w:rPr>
                <w:rFonts w:ascii="宋体" w:hAnsi="宋体"/>
                <w:color w:val="auto"/>
                <w:highlight w:val="none"/>
              </w:rPr>
            </w:pPr>
          </w:p>
        </w:tc>
      </w:tr>
      <w:tr w14:paraId="1ED3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54" w:type="dxa"/>
            <w:gridSpan w:val="2"/>
            <w:vAlign w:val="center"/>
          </w:tcPr>
          <w:p w14:paraId="07F8BD7D">
            <w:pPr>
              <w:autoSpaceDE w:val="0"/>
              <w:autoSpaceDN w:val="0"/>
              <w:adjustRightInd w:val="0"/>
              <w:snapToGrid w:val="0"/>
              <w:ind w:firstLine="422"/>
              <w:jc w:val="center"/>
              <w:rPr>
                <w:rFonts w:ascii="宋体" w:hAnsi="宋体"/>
                <w:color w:val="auto"/>
                <w:szCs w:val="21"/>
                <w:highlight w:val="none"/>
                <w:lang w:val="zh-CN"/>
              </w:rPr>
            </w:pPr>
            <w:r>
              <w:rPr>
                <w:rFonts w:hint="eastAsia" w:ascii="宋体" w:hAnsi="宋体"/>
                <w:color w:val="auto"/>
                <w:highlight w:val="none"/>
                <w:lang w:val="zh-CN"/>
              </w:rPr>
              <w:t>投标总报价：</w:t>
            </w:r>
          </w:p>
        </w:tc>
        <w:tc>
          <w:tcPr>
            <w:tcW w:w="7508" w:type="dxa"/>
            <w:gridSpan w:val="7"/>
            <w:vAlign w:val="center"/>
          </w:tcPr>
          <w:p w14:paraId="145DDA55">
            <w:pPr>
              <w:autoSpaceDE w:val="0"/>
              <w:autoSpaceDN w:val="0"/>
              <w:adjustRightInd w:val="0"/>
              <w:snapToGrid w:val="0"/>
              <w:ind w:firstLine="422"/>
              <w:jc w:val="center"/>
              <w:rPr>
                <w:rFonts w:ascii="宋体" w:hAnsi="宋体"/>
                <w:color w:val="auto"/>
                <w:highlight w:val="none"/>
              </w:rPr>
            </w:pPr>
            <w:r>
              <w:rPr>
                <w:rFonts w:hint="eastAsia" w:ascii="宋体" w:hAnsi="宋体"/>
                <w:color w:val="auto"/>
                <w:highlight w:val="none"/>
                <w:lang w:val="zh-CN"/>
              </w:rPr>
              <w:t>大写：元</w:t>
            </w:r>
          </w:p>
        </w:tc>
      </w:tr>
      <w:tr w14:paraId="5383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2" w:type="dxa"/>
            <w:gridSpan w:val="9"/>
            <w:vAlign w:val="center"/>
          </w:tcPr>
          <w:p w14:paraId="0B312E13">
            <w:pPr>
              <w:autoSpaceDE w:val="0"/>
              <w:autoSpaceDN w:val="0"/>
              <w:adjustRightInd w:val="0"/>
              <w:snapToGrid w:val="0"/>
              <w:ind w:firstLine="422"/>
              <w:jc w:val="left"/>
              <w:rPr>
                <w:rFonts w:ascii="宋体" w:hAnsi="宋体"/>
                <w:color w:val="auto"/>
                <w:highlight w:val="none"/>
                <w:lang w:val="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本采购包中提供的符合本国产品标准的产品成本之和占该采购包提供的全部产品成本之和的比例为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r>
    </w:tbl>
    <w:p w14:paraId="23FD5D0C">
      <w:pPr>
        <w:pStyle w:val="84"/>
        <w:snapToGrid w:val="0"/>
        <w:spacing w:line="360" w:lineRule="auto"/>
        <w:ind w:firstLine="420" w:firstLineChars="200"/>
        <w:rPr>
          <w:rFonts w:hAnsi="宋体" w:eastAsia="宋体"/>
          <w:color w:val="auto"/>
          <w:sz w:val="21"/>
          <w:highlight w:val="none"/>
        </w:rPr>
      </w:pPr>
    </w:p>
    <w:p w14:paraId="08EF9822">
      <w:pPr>
        <w:pStyle w:val="84"/>
        <w:snapToGrid w:val="0"/>
        <w:spacing w:line="360" w:lineRule="auto"/>
        <w:ind w:firstLine="420" w:firstLineChars="200"/>
        <w:rPr>
          <w:rFonts w:hAnsi="宋体" w:eastAsia="宋体"/>
          <w:color w:val="auto"/>
          <w:sz w:val="21"/>
          <w:highlight w:val="none"/>
        </w:rPr>
      </w:pPr>
      <w:r>
        <w:rPr>
          <w:rFonts w:hint="eastAsia" w:hAnsi="宋体" w:eastAsia="宋体"/>
          <w:color w:val="auto"/>
          <w:sz w:val="21"/>
          <w:highlight w:val="none"/>
        </w:rPr>
        <w:t>投标单位（签章）：</w:t>
      </w:r>
    </w:p>
    <w:p w14:paraId="197C3F24">
      <w:pPr>
        <w:pStyle w:val="84"/>
        <w:snapToGrid w:val="0"/>
        <w:spacing w:line="360" w:lineRule="auto"/>
        <w:ind w:firstLine="420" w:firstLineChars="200"/>
        <w:rPr>
          <w:rFonts w:hAnsi="宋体" w:eastAsia="宋体"/>
          <w:color w:val="auto"/>
          <w:sz w:val="21"/>
          <w:highlight w:val="none"/>
        </w:rPr>
      </w:pPr>
      <w:r>
        <w:rPr>
          <w:rFonts w:hint="eastAsia" w:hAnsi="宋体" w:eastAsia="宋体"/>
          <w:color w:val="auto"/>
          <w:sz w:val="21"/>
          <w:highlight w:val="none"/>
        </w:rPr>
        <w:t>日期：年月日</w:t>
      </w:r>
    </w:p>
    <w:p w14:paraId="01693B17">
      <w:pPr>
        <w:autoSpaceDE w:val="0"/>
        <w:autoSpaceDN w:val="0"/>
        <w:adjustRightInd w:val="0"/>
        <w:snapToGrid w:val="0"/>
        <w:spacing w:line="360" w:lineRule="auto"/>
        <w:ind w:firstLine="420"/>
        <w:jc w:val="center"/>
        <w:rPr>
          <w:rFonts w:ascii="宋体" w:hAnsi="宋体"/>
          <w:b/>
          <w:bCs/>
          <w:color w:val="auto"/>
          <w:szCs w:val="21"/>
          <w:highlight w:val="none"/>
          <w:lang w:val="zh-CN"/>
        </w:rPr>
      </w:pPr>
    </w:p>
    <w:p w14:paraId="6C15E392">
      <w:pPr>
        <w:ind w:firstLine="420"/>
        <w:rPr>
          <w:rFonts w:hAnsi="宋体"/>
          <w:b/>
          <w:bCs/>
          <w:color w:val="auto"/>
          <w:szCs w:val="21"/>
          <w:highlight w:val="none"/>
          <w:lang w:val="zh-CN"/>
        </w:rPr>
      </w:pPr>
    </w:p>
    <w:p w14:paraId="5756EA07">
      <w:pPr>
        <w:pStyle w:val="42"/>
        <w:ind w:firstLine="402"/>
        <w:rPr>
          <w:rFonts w:hAnsi="宋体"/>
          <w:b/>
          <w:bCs/>
          <w:color w:val="auto"/>
          <w:szCs w:val="21"/>
          <w:highlight w:val="none"/>
          <w:lang w:val="zh-CN"/>
        </w:rPr>
      </w:pPr>
    </w:p>
    <w:p w14:paraId="0A8C6BC9">
      <w:pPr>
        <w:adjustRightInd w:val="0"/>
        <w:snapToGrid w:val="0"/>
        <w:spacing w:line="360" w:lineRule="auto"/>
        <w:rPr>
          <w:rFonts w:ascii="宋体" w:hAnsi="宋体"/>
          <w:b/>
          <w:bCs/>
          <w:color w:val="auto"/>
          <w:szCs w:val="21"/>
          <w:highlight w:val="none"/>
          <w:lang w:val="zh-CN"/>
        </w:rPr>
      </w:pPr>
      <w:r>
        <w:rPr>
          <w:rFonts w:hint="eastAsia" w:ascii="宋体" w:hAnsi="宋体"/>
          <w:b/>
          <w:bCs/>
          <w:color w:val="auto"/>
          <w:szCs w:val="21"/>
          <w:highlight w:val="none"/>
        </w:rPr>
        <w:t>备注：</w:t>
      </w:r>
      <w:r>
        <w:rPr>
          <w:rFonts w:hint="eastAsia" w:ascii="宋体" w:hAnsi="宋体"/>
          <w:b/>
          <w:bCs/>
          <w:color w:val="auto"/>
          <w:szCs w:val="21"/>
          <w:highlight w:val="none"/>
          <w:lang w:val="zh-CN"/>
        </w:rPr>
        <w:t>1、请投标单位按照上述格式分析投标总报价，本项投标总报价需与开标一览表投标总报价一致。</w:t>
      </w:r>
    </w:p>
    <w:p w14:paraId="27307CC3">
      <w:pPr>
        <w:numPr>
          <w:ilvl w:val="0"/>
          <w:numId w:val="4"/>
        </w:numPr>
        <w:adjustRightInd w:val="0"/>
        <w:snapToGrid w:val="0"/>
        <w:spacing w:line="360" w:lineRule="auto"/>
        <w:ind w:firstLine="422" w:firstLineChars="200"/>
        <w:rPr>
          <w:rFonts w:hint="eastAsia" w:ascii="宋体" w:hAnsi="宋体"/>
          <w:b/>
          <w:bCs/>
          <w:color w:val="auto"/>
          <w:szCs w:val="21"/>
          <w:highlight w:val="none"/>
          <w:lang w:val="zh-CN"/>
        </w:rPr>
      </w:pPr>
      <w:r>
        <w:rPr>
          <w:rFonts w:hint="eastAsia" w:ascii="宋体" w:hAnsi="宋体"/>
          <w:b/>
          <w:bCs/>
          <w:color w:val="auto"/>
          <w:szCs w:val="21"/>
          <w:highlight w:val="none"/>
          <w:lang w:val="zh-CN"/>
        </w:rPr>
        <w:t>投标总报价应包括产品供货、辅助材料、备品备件、运输、仓储、发货、送货、安装、调试、人工、机械、装卸、培训、保险、运费、各种税费、劳保、专利技术及质保等完成本次项目所需的一切费用。</w:t>
      </w:r>
    </w:p>
    <w:p w14:paraId="6712A279">
      <w:pPr>
        <w:numPr>
          <w:ilvl w:val="0"/>
          <w:numId w:val="0"/>
        </w:numPr>
        <w:adjustRightInd w:val="0"/>
        <w:snapToGrid w:val="0"/>
        <w:spacing w:line="360" w:lineRule="auto"/>
        <w:ind w:firstLine="422" w:firstLineChars="200"/>
        <w:rPr>
          <w:rFonts w:hint="eastAsia" w:ascii="宋体" w:hAnsi="宋体" w:eastAsia="方正魏碑_GBK"/>
          <w:b/>
          <w:bCs/>
          <w:color w:val="auto"/>
          <w:szCs w:val="21"/>
          <w:highlight w:val="none"/>
          <w:lang w:val="en-US" w:eastAsia="zh-CN"/>
        </w:rPr>
      </w:pPr>
      <w:r>
        <w:rPr>
          <w:rFonts w:hint="eastAsia" w:ascii="宋体" w:hAnsi="宋体"/>
          <w:b/>
          <w:bCs/>
          <w:color w:val="auto"/>
          <w:szCs w:val="21"/>
          <w:highlight w:val="none"/>
          <w:lang w:val="en-US" w:eastAsia="zh-CN"/>
        </w:rPr>
        <w:t>3、</w:t>
      </w:r>
      <w:r>
        <w:rPr>
          <w:rFonts w:hint="eastAsia" w:ascii="方正魏碑_GBK" w:hAnsi="方正魏碑_GBK" w:eastAsia="方正魏碑_GBK" w:cs="方正魏碑_GBK"/>
          <w:b/>
          <w:bCs/>
          <w:color w:val="auto"/>
          <w:sz w:val="21"/>
          <w:szCs w:val="21"/>
          <w:highlight w:val="none"/>
        </w:rPr>
        <w:t>本采购包中含有多种产品时，供应商未填写本采购包中提供的符合本国产品标准的产品成本之和占该采购包提供的全部产品成本之和的比例数值的，或比例数值未达到80%的，将不享受本国产品价格评审优惠</w:t>
      </w:r>
      <w:r>
        <w:rPr>
          <w:rFonts w:hint="eastAsia" w:ascii="方正魏碑_GBK" w:hAnsi="方正魏碑_GBK" w:eastAsia="方正魏碑_GBK" w:cs="方正魏碑_GBK"/>
          <w:b/>
          <w:bCs/>
          <w:color w:val="auto"/>
          <w:sz w:val="21"/>
          <w:szCs w:val="21"/>
          <w:highlight w:val="none"/>
          <w:lang w:eastAsia="zh-CN"/>
        </w:rPr>
        <w:t>。</w:t>
      </w:r>
    </w:p>
    <w:bookmarkEnd w:id="41"/>
    <w:p w14:paraId="50A26060">
      <w:pPr>
        <w:autoSpaceDE w:val="0"/>
        <w:autoSpaceDN w:val="0"/>
        <w:adjustRightInd w:val="0"/>
        <w:snapToGrid w:val="0"/>
        <w:spacing w:line="360" w:lineRule="auto"/>
        <w:rPr>
          <w:rFonts w:hint="eastAsia" w:ascii="宋体" w:hAnsi="宋体" w:cs="宋体"/>
          <w:b/>
          <w:bCs/>
          <w:color w:val="auto"/>
          <w:szCs w:val="21"/>
          <w:highlight w:val="none"/>
        </w:rPr>
      </w:pPr>
    </w:p>
    <w:p w14:paraId="69617683">
      <w:pPr>
        <w:autoSpaceDE w:val="0"/>
        <w:autoSpaceDN w:val="0"/>
        <w:adjustRightInd w:val="0"/>
        <w:snapToGrid w:val="0"/>
        <w:spacing w:line="360" w:lineRule="auto"/>
        <w:rPr>
          <w:rFonts w:hint="eastAsia" w:ascii="宋体" w:hAnsi="宋体" w:cs="宋体"/>
          <w:b/>
          <w:bCs/>
          <w:color w:val="auto"/>
          <w:szCs w:val="21"/>
          <w:highlight w:val="none"/>
        </w:rPr>
      </w:pPr>
    </w:p>
    <w:p w14:paraId="00501DA3">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w:t>
      </w:r>
      <w:bookmarkStart w:id="42" w:name="_Toc532452113"/>
      <w:bookmarkStart w:id="43" w:name="_Toc7888"/>
      <w:bookmarkStart w:id="44" w:name="_Toc532444506"/>
      <w:bookmarkStart w:id="45" w:name="_Toc532444344"/>
      <w:bookmarkStart w:id="46" w:name="_Toc2583142"/>
      <w:bookmarkStart w:id="47" w:name="_Toc518926909"/>
      <w:r>
        <w:rPr>
          <w:rFonts w:hint="eastAsia" w:ascii="宋体" w:hAnsi="宋体" w:cs="宋体"/>
          <w:b/>
          <w:bCs/>
          <w:color w:val="auto"/>
          <w:szCs w:val="21"/>
          <w:highlight w:val="none"/>
        </w:rPr>
        <w:t>技术响应对照表</w:t>
      </w:r>
    </w:p>
    <w:p w14:paraId="7C3E5ADF">
      <w:pPr>
        <w:autoSpaceDE w:val="0"/>
        <w:autoSpaceDN w:val="0"/>
        <w:adjustRightInd w:val="0"/>
        <w:spacing w:line="360" w:lineRule="auto"/>
        <w:ind w:firstLine="420"/>
        <w:jc w:val="center"/>
        <w:rPr>
          <w:rFonts w:ascii="宋体" w:hAnsi="宋体" w:cs="宋体"/>
          <w:b/>
          <w:color w:val="auto"/>
          <w:szCs w:val="21"/>
          <w:highlight w:val="none"/>
        </w:rPr>
      </w:pPr>
    </w:p>
    <w:p w14:paraId="481508A7">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b/>
          <w:color w:val="auto"/>
          <w:szCs w:val="21"/>
          <w:highlight w:val="none"/>
        </w:rPr>
        <w:t>技术响应对照表</w:t>
      </w:r>
    </w:p>
    <w:p w14:paraId="7B9FFCA6">
      <w:pPr>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招标编号：             号</w:t>
      </w:r>
      <w:r>
        <w:rPr>
          <w:rFonts w:hint="eastAsia" w:ascii="宋体" w:hAnsi="宋体" w:cs="宋体"/>
          <w:color w:val="auto"/>
          <w:szCs w:val="21"/>
          <w:highlight w:val="none"/>
          <w:lang w:val="en-US" w:eastAsia="zh-CN"/>
        </w:rPr>
        <w:t xml:space="preserve">                        </w:t>
      </w:r>
      <w:r>
        <w:rPr>
          <w:rFonts w:hint="eastAsia" w:ascii="宋体" w:hAnsi="宋体"/>
          <w:color w:val="auto"/>
          <w:szCs w:val="21"/>
          <w:highlight w:val="none"/>
          <w:lang w:val="zh-CN"/>
        </w:rPr>
        <w:t>项目名称：</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61"/>
        <w:gridCol w:w="1676"/>
        <w:gridCol w:w="1490"/>
        <w:gridCol w:w="1758"/>
        <w:gridCol w:w="1817"/>
      </w:tblGrid>
      <w:tr w14:paraId="6CA46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7124E17D">
            <w:pPr>
              <w:spacing w:before="240" w:after="240"/>
              <w:rPr>
                <w:rFonts w:ascii="宋体" w:hAnsi="宋体" w:cs="宋体"/>
                <w:color w:val="auto"/>
                <w:szCs w:val="21"/>
                <w:highlight w:val="none"/>
              </w:rPr>
            </w:pPr>
            <w:r>
              <w:rPr>
                <w:rFonts w:hint="eastAsia" w:ascii="宋体" w:hAnsi="宋体"/>
                <w:color w:val="auto"/>
                <w:szCs w:val="21"/>
                <w:highlight w:val="none"/>
              </w:rPr>
              <w:t>序号</w:t>
            </w:r>
          </w:p>
        </w:tc>
        <w:tc>
          <w:tcPr>
            <w:tcW w:w="1828" w:type="dxa"/>
            <w:vAlign w:val="center"/>
          </w:tcPr>
          <w:p w14:paraId="0E32A9A6">
            <w:pPr>
              <w:ind w:firstLine="422"/>
              <w:rPr>
                <w:rFonts w:ascii="宋体" w:hAnsi="宋体" w:cs="宋体"/>
                <w:color w:val="auto"/>
                <w:szCs w:val="21"/>
                <w:highlight w:val="none"/>
              </w:rPr>
            </w:pPr>
            <w:r>
              <w:rPr>
                <w:rFonts w:hint="eastAsia" w:ascii="宋体" w:hAnsi="宋体"/>
                <w:color w:val="auto"/>
                <w:szCs w:val="21"/>
                <w:highlight w:val="none"/>
              </w:rPr>
              <w:t>货物名称</w:t>
            </w:r>
          </w:p>
        </w:tc>
        <w:tc>
          <w:tcPr>
            <w:tcW w:w="1646" w:type="dxa"/>
            <w:vAlign w:val="center"/>
          </w:tcPr>
          <w:p w14:paraId="4760BD9B">
            <w:pPr>
              <w:ind w:firstLine="422"/>
              <w:rPr>
                <w:rFonts w:ascii="宋体" w:hAnsi="宋体" w:cs="宋体"/>
                <w:color w:val="auto"/>
                <w:szCs w:val="21"/>
                <w:highlight w:val="none"/>
              </w:rPr>
            </w:pPr>
            <w:r>
              <w:rPr>
                <w:rFonts w:hint="eastAsia" w:ascii="宋体" w:hAnsi="宋体"/>
                <w:color w:val="auto"/>
                <w:szCs w:val="21"/>
                <w:highlight w:val="none"/>
              </w:rPr>
              <w:t>招标要求</w:t>
            </w:r>
          </w:p>
        </w:tc>
        <w:tc>
          <w:tcPr>
            <w:tcW w:w="1463" w:type="dxa"/>
            <w:vAlign w:val="center"/>
          </w:tcPr>
          <w:p w14:paraId="58508C10">
            <w:pPr>
              <w:ind w:firstLine="422"/>
              <w:rPr>
                <w:rFonts w:ascii="宋体" w:hAnsi="宋体" w:cs="宋体"/>
                <w:color w:val="auto"/>
                <w:szCs w:val="21"/>
                <w:highlight w:val="none"/>
              </w:rPr>
            </w:pPr>
            <w:r>
              <w:rPr>
                <w:rFonts w:hint="eastAsia" w:ascii="宋体" w:hAnsi="宋体"/>
                <w:color w:val="auto"/>
                <w:szCs w:val="21"/>
                <w:highlight w:val="none"/>
              </w:rPr>
              <w:t>投标要求</w:t>
            </w:r>
          </w:p>
        </w:tc>
        <w:tc>
          <w:tcPr>
            <w:tcW w:w="1726" w:type="dxa"/>
            <w:vAlign w:val="center"/>
          </w:tcPr>
          <w:p w14:paraId="73FE975C">
            <w:pPr>
              <w:ind w:firstLine="422"/>
              <w:jc w:val="center"/>
              <w:rPr>
                <w:rFonts w:ascii="宋体" w:hAnsi="宋体" w:cs="宋体"/>
                <w:color w:val="auto"/>
                <w:szCs w:val="21"/>
                <w:highlight w:val="none"/>
              </w:rPr>
            </w:pPr>
            <w:r>
              <w:rPr>
                <w:rFonts w:hint="eastAsia" w:ascii="宋体" w:hAnsi="宋体"/>
                <w:color w:val="auto"/>
                <w:szCs w:val="21"/>
                <w:highlight w:val="none"/>
              </w:rPr>
              <w:t>偏离/响应</w:t>
            </w:r>
          </w:p>
        </w:tc>
        <w:tc>
          <w:tcPr>
            <w:tcW w:w="1784" w:type="dxa"/>
            <w:vAlign w:val="center"/>
          </w:tcPr>
          <w:p w14:paraId="58042E7F">
            <w:pPr>
              <w:ind w:firstLine="422"/>
              <w:jc w:val="center"/>
              <w:rPr>
                <w:rFonts w:ascii="宋体" w:hAnsi="宋体" w:cs="宋体"/>
                <w:color w:val="auto"/>
                <w:szCs w:val="21"/>
                <w:highlight w:val="none"/>
              </w:rPr>
            </w:pPr>
            <w:r>
              <w:rPr>
                <w:rFonts w:hint="eastAsia" w:ascii="宋体" w:hAnsi="宋体"/>
                <w:color w:val="auto"/>
                <w:szCs w:val="21"/>
                <w:highlight w:val="none"/>
              </w:rPr>
              <w:t>说明</w:t>
            </w:r>
          </w:p>
        </w:tc>
      </w:tr>
      <w:tr w14:paraId="131C8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2F4C5815">
            <w:pPr>
              <w:spacing w:line="360" w:lineRule="auto"/>
              <w:ind w:firstLine="422"/>
              <w:rPr>
                <w:rFonts w:ascii="宋体" w:hAnsi="宋体" w:cs="宋体"/>
                <w:color w:val="auto"/>
                <w:szCs w:val="21"/>
                <w:highlight w:val="none"/>
              </w:rPr>
            </w:pPr>
          </w:p>
        </w:tc>
        <w:tc>
          <w:tcPr>
            <w:tcW w:w="1828" w:type="dxa"/>
            <w:vAlign w:val="center"/>
          </w:tcPr>
          <w:p w14:paraId="48052538">
            <w:pPr>
              <w:spacing w:line="360" w:lineRule="auto"/>
              <w:ind w:firstLine="422"/>
              <w:rPr>
                <w:rFonts w:ascii="宋体" w:hAnsi="宋体" w:cs="宋体"/>
                <w:color w:val="auto"/>
                <w:szCs w:val="21"/>
                <w:highlight w:val="none"/>
              </w:rPr>
            </w:pPr>
          </w:p>
        </w:tc>
        <w:tc>
          <w:tcPr>
            <w:tcW w:w="1646" w:type="dxa"/>
            <w:vAlign w:val="center"/>
          </w:tcPr>
          <w:p w14:paraId="07FCC8B4">
            <w:pPr>
              <w:spacing w:line="360" w:lineRule="auto"/>
              <w:ind w:firstLine="422"/>
              <w:rPr>
                <w:rFonts w:ascii="宋体" w:hAnsi="宋体" w:cs="宋体"/>
                <w:color w:val="auto"/>
                <w:szCs w:val="21"/>
                <w:highlight w:val="none"/>
              </w:rPr>
            </w:pPr>
          </w:p>
        </w:tc>
        <w:tc>
          <w:tcPr>
            <w:tcW w:w="1463" w:type="dxa"/>
            <w:vAlign w:val="center"/>
          </w:tcPr>
          <w:p w14:paraId="756DC96E">
            <w:pPr>
              <w:spacing w:line="360" w:lineRule="auto"/>
              <w:ind w:firstLine="422"/>
              <w:rPr>
                <w:rFonts w:ascii="宋体" w:hAnsi="宋体" w:cs="宋体"/>
                <w:color w:val="auto"/>
                <w:szCs w:val="21"/>
                <w:highlight w:val="none"/>
              </w:rPr>
            </w:pPr>
          </w:p>
        </w:tc>
        <w:tc>
          <w:tcPr>
            <w:tcW w:w="1726" w:type="dxa"/>
            <w:vAlign w:val="center"/>
          </w:tcPr>
          <w:p w14:paraId="71D406F5">
            <w:pPr>
              <w:spacing w:line="360" w:lineRule="auto"/>
              <w:ind w:firstLine="422"/>
              <w:rPr>
                <w:rFonts w:ascii="宋体" w:hAnsi="宋体" w:cs="宋体"/>
                <w:color w:val="auto"/>
                <w:szCs w:val="21"/>
                <w:highlight w:val="none"/>
              </w:rPr>
            </w:pPr>
          </w:p>
        </w:tc>
        <w:tc>
          <w:tcPr>
            <w:tcW w:w="1784" w:type="dxa"/>
            <w:vAlign w:val="center"/>
          </w:tcPr>
          <w:p w14:paraId="53B61CAB">
            <w:pPr>
              <w:spacing w:line="360" w:lineRule="auto"/>
              <w:ind w:firstLine="422"/>
              <w:rPr>
                <w:rFonts w:ascii="宋体" w:hAnsi="宋体" w:cs="宋体"/>
                <w:color w:val="auto"/>
                <w:szCs w:val="21"/>
                <w:highlight w:val="none"/>
              </w:rPr>
            </w:pPr>
          </w:p>
        </w:tc>
      </w:tr>
      <w:tr w14:paraId="62BC1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7F8438AB">
            <w:pPr>
              <w:spacing w:line="360" w:lineRule="auto"/>
              <w:ind w:firstLine="422"/>
              <w:rPr>
                <w:rFonts w:ascii="宋体" w:hAnsi="宋体" w:cs="宋体"/>
                <w:color w:val="auto"/>
                <w:szCs w:val="21"/>
                <w:highlight w:val="none"/>
              </w:rPr>
            </w:pPr>
          </w:p>
        </w:tc>
        <w:tc>
          <w:tcPr>
            <w:tcW w:w="1828" w:type="dxa"/>
            <w:vAlign w:val="center"/>
          </w:tcPr>
          <w:p w14:paraId="50FE4F0D">
            <w:pPr>
              <w:spacing w:line="360" w:lineRule="auto"/>
              <w:ind w:firstLine="422"/>
              <w:rPr>
                <w:rFonts w:ascii="宋体" w:hAnsi="宋体" w:cs="宋体"/>
                <w:color w:val="auto"/>
                <w:szCs w:val="21"/>
                <w:highlight w:val="none"/>
              </w:rPr>
            </w:pPr>
          </w:p>
        </w:tc>
        <w:tc>
          <w:tcPr>
            <w:tcW w:w="1646" w:type="dxa"/>
            <w:vAlign w:val="center"/>
          </w:tcPr>
          <w:p w14:paraId="5B9430C6">
            <w:pPr>
              <w:spacing w:line="360" w:lineRule="auto"/>
              <w:ind w:firstLine="422"/>
              <w:rPr>
                <w:rFonts w:ascii="宋体" w:hAnsi="宋体" w:cs="宋体"/>
                <w:color w:val="auto"/>
                <w:szCs w:val="21"/>
                <w:highlight w:val="none"/>
              </w:rPr>
            </w:pPr>
          </w:p>
        </w:tc>
        <w:tc>
          <w:tcPr>
            <w:tcW w:w="1463" w:type="dxa"/>
            <w:vAlign w:val="center"/>
          </w:tcPr>
          <w:p w14:paraId="1A2D3007">
            <w:pPr>
              <w:spacing w:line="360" w:lineRule="auto"/>
              <w:ind w:firstLine="422"/>
              <w:rPr>
                <w:rFonts w:ascii="宋体" w:hAnsi="宋体" w:cs="宋体"/>
                <w:color w:val="auto"/>
                <w:szCs w:val="21"/>
                <w:highlight w:val="none"/>
              </w:rPr>
            </w:pPr>
          </w:p>
        </w:tc>
        <w:tc>
          <w:tcPr>
            <w:tcW w:w="1726" w:type="dxa"/>
            <w:vAlign w:val="center"/>
          </w:tcPr>
          <w:p w14:paraId="1E31BF84">
            <w:pPr>
              <w:spacing w:line="360" w:lineRule="auto"/>
              <w:ind w:firstLine="422"/>
              <w:rPr>
                <w:rFonts w:ascii="宋体" w:hAnsi="宋体" w:cs="宋体"/>
                <w:color w:val="auto"/>
                <w:szCs w:val="21"/>
                <w:highlight w:val="none"/>
              </w:rPr>
            </w:pPr>
          </w:p>
        </w:tc>
        <w:tc>
          <w:tcPr>
            <w:tcW w:w="1784" w:type="dxa"/>
            <w:vAlign w:val="center"/>
          </w:tcPr>
          <w:p w14:paraId="1521D74A">
            <w:pPr>
              <w:spacing w:line="360" w:lineRule="auto"/>
              <w:ind w:firstLine="422"/>
              <w:rPr>
                <w:rFonts w:ascii="宋体" w:hAnsi="宋体" w:cs="宋体"/>
                <w:color w:val="auto"/>
                <w:szCs w:val="21"/>
                <w:highlight w:val="none"/>
              </w:rPr>
            </w:pPr>
          </w:p>
        </w:tc>
      </w:tr>
      <w:tr w14:paraId="5949C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751C47E4">
            <w:pPr>
              <w:spacing w:line="360" w:lineRule="auto"/>
              <w:ind w:firstLine="422"/>
              <w:rPr>
                <w:rFonts w:ascii="宋体" w:hAnsi="宋体" w:cs="宋体"/>
                <w:color w:val="auto"/>
                <w:szCs w:val="21"/>
                <w:highlight w:val="none"/>
              </w:rPr>
            </w:pPr>
          </w:p>
        </w:tc>
        <w:tc>
          <w:tcPr>
            <w:tcW w:w="1828" w:type="dxa"/>
            <w:vAlign w:val="center"/>
          </w:tcPr>
          <w:p w14:paraId="0669A8A9">
            <w:pPr>
              <w:spacing w:line="360" w:lineRule="auto"/>
              <w:ind w:firstLine="422"/>
              <w:rPr>
                <w:rFonts w:ascii="宋体" w:hAnsi="宋体" w:cs="宋体"/>
                <w:color w:val="auto"/>
                <w:szCs w:val="21"/>
                <w:highlight w:val="none"/>
              </w:rPr>
            </w:pPr>
          </w:p>
        </w:tc>
        <w:tc>
          <w:tcPr>
            <w:tcW w:w="1646" w:type="dxa"/>
            <w:vAlign w:val="center"/>
          </w:tcPr>
          <w:p w14:paraId="50681EE0">
            <w:pPr>
              <w:spacing w:line="360" w:lineRule="auto"/>
              <w:ind w:firstLine="422"/>
              <w:rPr>
                <w:rFonts w:ascii="宋体" w:hAnsi="宋体" w:cs="宋体"/>
                <w:color w:val="auto"/>
                <w:szCs w:val="21"/>
                <w:highlight w:val="none"/>
              </w:rPr>
            </w:pPr>
          </w:p>
        </w:tc>
        <w:tc>
          <w:tcPr>
            <w:tcW w:w="1463" w:type="dxa"/>
            <w:vAlign w:val="center"/>
          </w:tcPr>
          <w:p w14:paraId="1E2F98BB">
            <w:pPr>
              <w:spacing w:line="360" w:lineRule="auto"/>
              <w:ind w:firstLine="422"/>
              <w:rPr>
                <w:rFonts w:ascii="宋体" w:hAnsi="宋体" w:cs="宋体"/>
                <w:color w:val="auto"/>
                <w:szCs w:val="21"/>
                <w:highlight w:val="none"/>
              </w:rPr>
            </w:pPr>
          </w:p>
        </w:tc>
        <w:tc>
          <w:tcPr>
            <w:tcW w:w="1726" w:type="dxa"/>
            <w:vAlign w:val="center"/>
          </w:tcPr>
          <w:p w14:paraId="479DC161">
            <w:pPr>
              <w:spacing w:line="360" w:lineRule="auto"/>
              <w:ind w:firstLine="422"/>
              <w:rPr>
                <w:rFonts w:ascii="宋体" w:hAnsi="宋体" w:cs="宋体"/>
                <w:color w:val="auto"/>
                <w:szCs w:val="21"/>
                <w:highlight w:val="none"/>
              </w:rPr>
            </w:pPr>
          </w:p>
        </w:tc>
        <w:tc>
          <w:tcPr>
            <w:tcW w:w="1784" w:type="dxa"/>
            <w:vAlign w:val="center"/>
          </w:tcPr>
          <w:p w14:paraId="1CFD4B30">
            <w:pPr>
              <w:spacing w:line="360" w:lineRule="auto"/>
              <w:ind w:firstLine="422"/>
              <w:rPr>
                <w:rFonts w:ascii="宋体" w:hAnsi="宋体" w:cs="宋体"/>
                <w:color w:val="auto"/>
                <w:szCs w:val="21"/>
                <w:highlight w:val="none"/>
              </w:rPr>
            </w:pPr>
          </w:p>
        </w:tc>
      </w:tr>
      <w:tr w14:paraId="76A2A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3A87B344">
            <w:pPr>
              <w:spacing w:line="360" w:lineRule="auto"/>
              <w:ind w:firstLine="422"/>
              <w:rPr>
                <w:rFonts w:ascii="宋体" w:hAnsi="宋体" w:cs="宋体"/>
                <w:color w:val="auto"/>
                <w:szCs w:val="21"/>
                <w:highlight w:val="none"/>
              </w:rPr>
            </w:pPr>
          </w:p>
        </w:tc>
        <w:tc>
          <w:tcPr>
            <w:tcW w:w="1828" w:type="dxa"/>
            <w:vAlign w:val="center"/>
          </w:tcPr>
          <w:p w14:paraId="571FF373">
            <w:pPr>
              <w:spacing w:line="360" w:lineRule="auto"/>
              <w:ind w:firstLine="422"/>
              <w:rPr>
                <w:rFonts w:ascii="宋体" w:hAnsi="宋体" w:cs="宋体"/>
                <w:color w:val="auto"/>
                <w:szCs w:val="21"/>
                <w:highlight w:val="none"/>
              </w:rPr>
            </w:pPr>
          </w:p>
        </w:tc>
        <w:tc>
          <w:tcPr>
            <w:tcW w:w="1646" w:type="dxa"/>
            <w:vAlign w:val="center"/>
          </w:tcPr>
          <w:p w14:paraId="65F62417">
            <w:pPr>
              <w:spacing w:line="360" w:lineRule="auto"/>
              <w:ind w:firstLine="422"/>
              <w:rPr>
                <w:rFonts w:ascii="宋体" w:hAnsi="宋体" w:cs="宋体"/>
                <w:color w:val="auto"/>
                <w:szCs w:val="21"/>
                <w:highlight w:val="none"/>
              </w:rPr>
            </w:pPr>
          </w:p>
        </w:tc>
        <w:tc>
          <w:tcPr>
            <w:tcW w:w="1463" w:type="dxa"/>
            <w:vAlign w:val="center"/>
          </w:tcPr>
          <w:p w14:paraId="66FAD94E">
            <w:pPr>
              <w:spacing w:line="360" w:lineRule="auto"/>
              <w:ind w:firstLine="422"/>
              <w:rPr>
                <w:rFonts w:ascii="宋体" w:hAnsi="宋体" w:cs="宋体"/>
                <w:color w:val="auto"/>
                <w:szCs w:val="21"/>
                <w:highlight w:val="none"/>
              </w:rPr>
            </w:pPr>
          </w:p>
        </w:tc>
        <w:tc>
          <w:tcPr>
            <w:tcW w:w="1726" w:type="dxa"/>
            <w:vAlign w:val="center"/>
          </w:tcPr>
          <w:p w14:paraId="0E26665F">
            <w:pPr>
              <w:spacing w:line="360" w:lineRule="auto"/>
              <w:ind w:firstLine="422"/>
              <w:rPr>
                <w:rFonts w:ascii="宋体" w:hAnsi="宋体" w:cs="宋体"/>
                <w:color w:val="auto"/>
                <w:szCs w:val="21"/>
                <w:highlight w:val="none"/>
              </w:rPr>
            </w:pPr>
          </w:p>
        </w:tc>
        <w:tc>
          <w:tcPr>
            <w:tcW w:w="1784" w:type="dxa"/>
            <w:vAlign w:val="center"/>
          </w:tcPr>
          <w:p w14:paraId="592DFEB3">
            <w:pPr>
              <w:spacing w:line="360" w:lineRule="auto"/>
              <w:ind w:firstLine="422"/>
              <w:rPr>
                <w:rFonts w:ascii="宋体" w:hAnsi="宋体" w:cs="宋体"/>
                <w:color w:val="auto"/>
                <w:szCs w:val="21"/>
                <w:highlight w:val="none"/>
              </w:rPr>
            </w:pPr>
          </w:p>
        </w:tc>
      </w:tr>
      <w:tr w14:paraId="6CF5F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04968597">
            <w:pPr>
              <w:spacing w:line="360" w:lineRule="auto"/>
              <w:ind w:firstLine="422"/>
              <w:rPr>
                <w:rFonts w:ascii="宋体" w:hAnsi="宋体" w:cs="宋体"/>
                <w:color w:val="auto"/>
                <w:szCs w:val="21"/>
                <w:highlight w:val="none"/>
              </w:rPr>
            </w:pPr>
          </w:p>
        </w:tc>
        <w:tc>
          <w:tcPr>
            <w:tcW w:w="1828" w:type="dxa"/>
            <w:vAlign w:val="center"/>
          </w:tcPr>
          <w:p w14:paraId="16C31171">
            <w:pPr>
              <w:spacing w:line="360" w:lineRule="auto"/>
              <w:ind w:firstLine="422"/>
              <w:rPr>
                <w:rFonts w:ascii="宋体" w:hAnsi="宋体" w:cs="宋体"/>
                <w:color w:val="auto"/>
                <w:szCs w:val="21"/>
                <w:highlight w:val="none"/>
              </w:rPr>
            </w:pPr>
          </w:p>
        </w:tc>
        <w:tc>
          <w:tcPr>
            <w:tcW w:w="1646" w:type="dxa"/>
            <w:vAlign w:val="center"/>
          </w:tcPr>
          <w:p w14:paraId="44A6A9F1">
            <w:pPr>
              <w:spacing w:line="360" w:lineRule="auto"/>
              <w:ind w:firstLine="422"/>
              <w:rPr>
                <w:rFonts w:ascii="宋体" w:hAnsi="宋体" w:cs="宋体"/>
                <w:color w:val="auto"/>
                <w:szCs w:val="21"/>
                <w:highlight w:val="none"/>
              </w:rPr>
            </w:pPr>
          </w:p>
        </w:tc>
        <w:tc>
          <w:tcPr>
            <w:tcW w:w="1463" w:type="dxa"/>
            <w:vAlign w:val="center"/>
          </w:tcPr>
          <w:p w14:paraId="43A0C847">
            <w:pPr>
              <w:spacing w:line="360" w:lineRule="auto"/>
              <w:ind w:firstLine="422"/>
              <w:rPr>
                <w:rFonts w:ascii="宋体" w:hAnsi="宋体" w:cs="宋体"/>
                <w:color w:val="auto"/>
                <w:szCs w:val="21"/>
                <w:highlight w:val="none"/>
              </w:rPr>
            </w:pPr>
          </w:p>
        </w:tc>
        <w:tc>
          <w:tcPr>
            <w:tcW w:w="1726" w:type="dxa"/>
            <w:vAlign w:val="center"/>
          </w:tcPr>
          <w:p w14:paraId="2DD00B2E">
            <w:pPr>
              <w:spacing w:line="360" w:lineRule="auto"/>
              <w:ind w:firstLine="422"/>
              <w:rPr>
                <w:rFonts w:ascii="宋体" w:hAnsi="宋体" w:cs="宋体"/>
                <w:color w:val="auto"/>
                <w:szCs w:val="21"/>
                <w:highlight w:val="none"/>
              </w:rPr>
            </w:pPr>
          </w:p>
        </w:tc>
        <w:tc>
          <w:tcPr>
            <w:tcW w:w="1784" w:type="dxa"/>
            <w:vAlign w:val="center"/>
          </w:tcPr>
          <w:p w14:paraId="4A229E91">
            <w:pPr>
              <w:spacing w:line="360" w:lineRule="auto"/>
              <w:ind w:firstLine="422"/>
              <w:rPr>
                <w:rFonts w:ascii="宋体" w:hAnsi="宋体" w:cs="宋体"/>
                <w:color w:val="auto"/>
                <w:szCs w:val="21"/>
                <w:highlight w:val="none"/>
              </w:rPr>
            </w:pPr>
          </w:p>
        </w:tc>
      </w:tr>
      <w:tr w14:paraId="64CC4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43D960A9">
            <w:pPr>
              <w:spacing w:line="360" w:lineRule="auto"/>
              <w:ind w:firstLine="422"/>
              <w:rPr>
                <w:rFonts w:ascii="宋体" w:hAnsi="宋体" w:cs="宋体"/>
                <w:color w:val="auto"/>
                <w:szCs w:val="21"/>
                <w:highlight w:val="none"/>
              </w:rPr>
            </w:pPr>
          </w:p>
        </w:tc>
        <w:tc>
          <w:tcPr>
            <w:tcW w:w="1828" w:type="dxa"/>
            <w:vAlign w:val="center"/>
          </w:tcPr>
          <w:p w14:paraId="41F12750">
            <w:pPr>
              <w:spacing w:line="360" w:lineRule="auto"/>
              <w:ind w:firstLine="422"/>
              <w:rPr>
                <w:rFonts w:ascii="宋体" w:hAnsi="宋体" w:cs="宋体"/>
                <w:color w:val="auto"/>
                <w:szCs w:val="21"/>
                <w:highlight w:val="none"/>
              </w:rPr>
            </w:pPr>
          </w:p>
        </w:tc>
        <w:tc>
          <w:tcPr>
            <w:tcW w:w="1646" w:type="dxa"/>
            <w:vAlign w:val="center"/>
          </w:tcPr>
          <w:p w14:paraId="330D3D97">
            <w:pPr>
              <w:spacing w:line="360" w:lineRule="auto"/>
              <w:ind w:firstLine="422"/>
              <w:rPr>
                <w:rFonts w:ascii="宋体" w:hAnsi="宋体" w:cs="宋体"/>
                <w:color w:val="auto"/>
                <w:szCs w:val="21"/>
                <w:highlight w:val="none"/>
              </w:rPr>
            </w:pPr>
          </w:p>
        </w:tc>
        <w:tc>
          <w:tcPr>
            <w:tcW w:w="1463" w:type="dxa"/>
            <w:vAlign w:val="center"/>
          </w:tcPr>
          <w:p w14:paraId="64869B6E">
            <w:pPr>
              <w:spacing w:line="360" w:lineRule="auto"/>
              <w:ind w:firstLine="422"/>
              <w:rPr>
                <w:rFonts w:ascii="宋体" w:hAnsi="宋体" w:cs="宋体"/>
                <w:color w:val="auto"/>
                <w:szCs w:val="21"/>
                <w:highlight w:val="none"/>
              </w:rPr>
            </w:pPr>
          </w:p>
        </w:tc>
        <w:tc>
          <w:tcPr>
            <w:tcW w:w="1726" w:type="dxa"/>
            <w:vAlign w:val="center"/>
          </w:tcPr>
          <w:p w14:paraId="33FC5EA8">
            <w:pPr>
              <w:spacing w:line="360" w:lineRule="auto"/>
              <w:ind w:firstLine="422"/>
              <w:rPr>
                <w:rFonts w:ascii="宋体" w:hAnsi="宋体" w:cs="宋体"/>
                <w:color w:val="auto"/>
                <w:szCs w:val="21"/>
                <w:highlight w:val="none"/>
              </w:rPr>
            </w:pPr>
          </w:p>
        </w:tc>
        <w:tc>
          <w:tcPr>
            <w:tcW w:w="1784" w:type="dxa"/>
            <w:vAlign w:val="center"/>
          </w:tcPr>
          <w:p w14:paraId="6C534029">
            <w:pPr>
              <w:spacing w:line="360" w:lineRule="auto"/>
              <w:ind w:firstLine="422"/>
              <w:rPr>
                <w:rFonts w:ascii="宋体" w:hAnsi="宋体" w:cs="宋体"/>
                <w:color w:val="auto"/>
                <w:szCs w:val="21"/>
                <w:highlight w:val="none"/>
              </w:rPr>
            </w:pPr>
          </w:p>
        </w:tc>
      </w:tr>
      <w:tr w14:paraId="657F1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20121F4B">
            <w:pPr>
              <w:spacing w:line="360" w:lineRule="auto"/>
              <w:ind w:firstLine="422"/>
              <w:rPr>
                <w:rFonts w:ascii="宋体" w:hAnsi="宋体" w:cs="宋体"/>
                <w:color w:val="auto"/>
                <w:szCs w:val="21"/>
                <w:highlight w:val="none"/>
              </w:rPr>
            </w:pPr>
          </w:p>
        </w:tc>
        <w:tc>
          <w:tcPr>
            <w:tcW w:w="1828" w:type="dxa"/>
            <w:vAlign w:val="center"/>
          </w:tcPr>
          <w:p w14:paraId="76936341">
            <w:pPr>
              <w:spacing w:line="360" w:lineRule="auto"/>
              <w:ind w:firstLine="422"/>
              <w:rPr>
                <w:rFonts w:ascii="宋体" w:hAnsi="宋体" w:cs="宋体"/>
                <w:color w:val="auto"/>
                <w:szCs w:val="21"/>
                <w:highlight w:val="none"/>
              </w:rPr>
            </w:pPr>
          </w:p>
        </w:tc>
        <w:tc>
          <w:tcPr>
            <w:tcW w:w="1646" w:type="dxa"/>
            <w:vAlign w:val="center"/>
          </w:tcPr>
          <w:p w14:paraId="31448EDA">
            <w:pPr>
              <w:spacing w:line="360" w:lineRule="auto"/>
              <w:ind w:firstLine="422"/>
              <w:rPr>
                <w:rFonts w:ascii="宋体" w:hAnsi="宋体" w:cs="宋体"/>
                <w:color w:val="auto"/>
                <w:szCs w:val="21"/>
                <w:highlight w:val="none"/>
              </w:rPr>
            </w:pPr>
          </w:p>
        </w:tc>
        <w:tc>
          <w:tcPr>
            <w:tcW w:w="1463" w:type="dxa"/>
            <w:vAlign w:val="center"/>
          </w:tcPr>
          <w:p w14:paraId="0997F12F">
            <w:pPr>
              <w:spacing w:line="360" w:lineRule="auto"/>
              <w:ind w:firstLine="422"/>
              <w:rPr>
                <w:rFonts w:ascii="宋体" w:hAnsi="宋体" w:cs="宋体"/>
                <w:color w:val="auto"/>
                <w:szCs w:val="21"/>
                <w:highlight w:val="none"/>
              </w:rPr>
            </w:pPr>
          </w:p>
        </w:tc>
        <w:tc>
          <w:tcPr>
            <w:tcW w:w="1726" w:type="dxa"/>
            <w:vAlign w:val="center"/>
          </w:tcPr>
          <w:p w14:paraId="06FF65A6">
            <w:pPr>
              <w:spacing w:line="360" w:lineRule="auto"/>
              <w:ind w:firstLine="422"/>
              <w:rPr>
                <w:rFonts w:ascii="宋体" w:hAnsi="宋体" w:cs="宋体"/>
                <w:color w:val="auto"/>
                <w:szCs w:val="21"/>
                <w:highlight w:val="none"/>
              </w:rPr>
            </w:pPr>
          </w:p>
        </w:tc>
        <w:tc>
          <w:tcPr>
            <w:tcW w:w="1784" w:type="dxa"/>
            <w:vAlign w:val="center"/>
          </w:tcPr>
          <w:p w14:paraId="2AA319D7">
            <w:pPr>
              <w:spacing w:line="360" w:lineRule="auto"/>
              <w:ind w:firstLine="422"/>
              <w:rPr>
                <w:rFonts w:ascii="宋体" w:hAnsi="宋体" w:cs="宋体"/>
                <w:color w:val="auto"/>
                <w:szCs w:val="21"/>
                <w:highlight w:val="none"/>
              </w:rPr>
            </w:pPr>
          </w:p>
        </w:tc>
      </w:tr>
      <w:tr w14:paraId="3A71A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41" w:type="dxa"/>
            <w:vAlign w:val="center"/>
          </w:tcPr>
          <w:p w14:paraId="7E513B61">
            <w:pPr>
              <w:spacing w:line="360" w:lineRule="auto"/>
              <w:ind w:firstLine="422"/>
              <w:rPr>
                <w:rFonts w:ascii="宋体" w:hAnsi="宋体" w:cs="宋体"/>
                <w:color w:val="auto"/>
                <w:szCs w:val="21"/>
                <w:highlight w:val="none"/>
              </w:rPr>
            </w:pPr>
          </w:p>
        </w:tc>
        <w:tc>
          <w:tcPr>
            <w:tcW w:w="1828" w:type="dxa"/>
            <w:vAlign w:val="center"/>
          </w:tcPr>
          <w:p w14:paraId="06516E1B">
            <w:pPr>
              <w:spacing w:line="360" w:lineRule="auto"/>
              <w:ind w:firstLine="422"/>
              <w:rPr>
                <w:rFonts w:ascii="宋体" w:hAnsi="宋体" w:cs="宋体"/>
                <w:color w:val="auto"/>
                <w:szCs w:val="21"/>
                <w:highlight w:val="none"/>
              </w:rPr>
            </w:pPr>
          </w:p>
        </w:tc>
        <w:tc>
          <w:tcPr>
            <w:tcW w:w="1646" w:type="dxa"/>
            <w:vAlign w:val="center"/>
          </w:tcPr>
          <w:p w14:paraId="79CCB5E4">
            <w:pPr>
              <w:spacing w:line="360" w:lineRule="auto"/>
              <w:ind w:firstLine="422"/>
              <w:rPr>
                <w:rFonts w:ascii="宋体" w:hAnsi="宋体" w:cs="宋体"/>
                <w:color w:val="auto"/>
                <w:szCs w:val="21"/>
                <w:highlight w:val="none"/>
              </w:rPr>
            </w:pPr>
          </w:p>
        </w:tc>
        <w:tc>
          <w:tcPr>
            <w:tcW w:w="1463" w:type="dxa"/>
            <w:vAlign w:val="center"/>
          </w:tcPr>
          <w:p w14:paraId="59508B0B">
            <w:pPr>
              <w:spacing w:line="360" w:lineRule="auto"/>
              <w:ind w:firstLine="422"/>
              <w:rPr>
                <w:rFonts w:ascii="宋体" w:hAnsi="宋体" w:cs="宋体"/>
                <w:color w:val="auto"/>
                <w:szCs w:val="21"/>
                <w:highlight w:val="none"/>
              </w:rPr>
            </w:pPr>
          </w:p>
        </w:tc>
        <w:tc>
          <w:tcPr>
            <w:tcW w:w="1726" w:type="dxa"/>
            <w:vAlign w:val="center"/>
          </w:tcPr>
          <w:p w14:paraId="71D705F9">
            <w:pPr>
              <w:spacing w:line="360" w:lineRule="auto"/>
              <w:ind w:firstLine="422"/>
              <w:rPr>
                <w:rFonts w:ascii="宋体" w:hAnsi="宋体" w:cs="宋体"/>
                <w:color w:val="auto"/>
                <w:szCs w:val="21"/>
                <w:highlight w:val="none"/>
              </w:rPr>
            </w:pPr>
          </w:p>
        </w:tc>
        <w:tc>
          <w:tcPr>
            <w:tcW w:w="1784" w:type="dxa"/>
            <w:vAlign w:val="center"/>
          </w:tcPr>
          <w:p w14:paraId="7A5178E5">
            <w:pPr>
              <w:spacing w:line="360" w:lineRule="auto"/>
              <w:ind w:firstLine="422"/>
              <w:rPr>
                <w:rFonts w:ascii="宋体" w:hAnsi="宋体" w:cs="宋体"/>
                <w:color w:val="auto"/>
                <w:szCs w:val="21"/>
                <w:highlight w:val="none"/>
              </w:rPr>
            </w:pPr>
          </w:p>
        </w:tc>
      </w:tr>
      <w:tr w14:paraId="22D76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65B00E29">
            <w:pPr>
              <w:spacing w:line="360" w:lineRule="auto"/>
              <w:ind w:firstLine="422"/>
              <w:rPr>
                <w:rFonts w:ascii="宋体" w:hAnsi="宋体" w:cs="宋体"/>
                <w:color w:val="auto"/>
                <w:szCs w:val="21"/>
                <w:highlight w:val="none"/>
              </w:rPr>
            </w:pPr>
          </w:p>
        </w:tc>
        <w:tc>
          <w:tcPr>
            <w:tcW w:w="1828" w:type="dxa"/>
            <w:vAlign w:val="center"/>
          </w:tcPr>
          <w:p w14:paraId="02F60E8E">
            <w:pPr>
              <w:spacing w:line="360" w:lineRule="auto"/>
              <w:ind w:firstLine="422"/>
              <w:rPr>
                <w:rFonts w:ascii="宋体" w:hAnsi="宋体" w:cs="宋体"/>
                <w:color w:val="auto"/>
                <w:szCs w:val="21"/>
                <w:highlight w:val="none"/>
              </w:rPr>
            </w:pPr>
          </w:p>
        </w:tc>
        <w:tc>
          <w:tcPr>
            <w:tcW w:w="1646" w:type="dxa"/>
            <w:vAlign w:val="center"/>
          </w:tcPr>
          <w:p w14:paraId="4025A460">
            <w:pPr>
              <w:spacing w:line="360" w:lineRule="auto"/>
              <w:ind w:firstLine="422"/>
              <w:rPr>
                <w:rFonts w:ascii="宋体" w:hAnsi="宋体" w:cs="宋体"/>
                <w:color w:val="auto"/>
                <w:szCs w:val="21"/>
                <w:highlight w:val="none"/>
              </w:rPr>
            </w:pPr>
          </w:p>
        </w:tc>
        <w:tc>
          <w:tcPr>
            <w:tcW w:w="1463" w:type="dxa"/>
            <w:vAlign w:val="center"/>
          </w:tcPr>
          <w:p w14:paraId="22AD3062">
            <w:pPr>
              <w:spacing w:line="360" w:lineRule="auto"/>
              <w:ind w:firstLine="422"/>
              <w:rPr>
                <w:rFonts w:ascii="宋体" w:hAnsi="宋体" w:cs="宋体"/>
                <w:color w:val="auto"/>
                <w:szCs w:val="21"/>
                <w:highlight w:val="none"/>
              </w:rPr>
            </w:pPr>
          </w:p>
        </w:tc>
        <w:tc>
          <w:tcPr>
            <w:tcW w:w="1726" w:type="dxa"/>
            <w:vAlign w:val="center"/>
          </w:tcPr>
          <w:p w14:paraId="0A0AA252">
            <w:pPr>
              <w:spacing w:line="360" w:lineRule="auto"/>
              <w:ind w:firstLine="422"/>
              <w:rPr>
                <w:rFonts w:ascii="宋体" w:hAnsi="宋体" w:cs="宋体"/>
                <w:color w:val="auto"/>
                <w:szCs w:val="21"/>
                <w:highlight w:val="none"/>
              </w:rPr>
            </w:pPr>
          </w:p>
        </w:tc>
        <w:tc>
          <w:tcPr>
            <w:tcW w:w="1784" w:type="dxa"/>
            <w:vAlign w:val="center"/>
          </w:tcPr>
          <w:p w14:paraId="3C8E5C94">
            <w:pPr>
              <w:spacing w:line="360" w:lineRule="auto"/>
              <w:ind w:firstLine="422"/>
              <w:rPr>
                <w:rFonts w:ascii="宋体" w:hAnsi="宋体" w:cs="宋体"/>
                <w:color w:val="auto"/>
                <w:szCs w:val="21"/>
                <w:highlight w:val="none"/>
              </w:rPr>
            </w:pPr>
          </w:p>
        </w:tc>
      </w:tr>
      <w:tr w14:paraId="009B8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3E6A194E">
            <w:pPr>
              <w:spacing w:line="360" w:lineRule="auto"/>
              <w:ind w:firstLine="422"/>
              <w:rPr>
                <w:rFonts w:ascii="宋体" w:hAnsi="宋体" w:cs="宋体"/>
                <w:color w:val="auto"/>
                <w:szCs w:val="21"/>
                <w:highlight w:val="none"/>
              </w:rPr>
            </w:pPr>
          </w:p>
        </w:tc>
        <w:tc>
          <w:tcPr>
            <w:tcW w:w="1828" w:type="dxa"/>
            <w:vAlign w:val="center"/>
          </w:tcPr>
          <w:p w14:paraId="6CB0D38C">
            <w:pPr>
              <w:spacing w:line="360" w:lineRule="auto"/>
              <w:ind w:firstLine="422"/>
              <w:rPr>
                <w:rFonts w:ascii="宋体" w:hAnsi="宋体" w:cs="宋体"/>
                <w:color w:val="auto"/>
                <w:szCs w:val="21"/>
                <w:highlight w:val="none"/>
              </w:rPr>
            </w:pPr>
          </w:p>
        </w:tc>
        <w:tc>
          <w:tcPr>
            <w:tcW w:w="1646" w:type="dxa"/>
            <w:vAlign w:val="center"/>
          </w:tcPr>
          <w:p w14:paraId="2D7066CF">
            <w:pPr>
              <w:spacing w:line="360" w:lineRule="auto"/>
              <w:ind w:firstLine="422"/>
              <w:rPr>
                <w:rFonts w:ascii="宋体" w:hAnsi="宋体" w:cs="宋体"/>
                <w:color w:val="auto"/>
                <w:szCs w:val="21"/>
                <w:highlight w:val="none"/>
              </w:rPr>
            </w:pPr>
          </w:p>
        </w:tc>
        <w:tc>
          <w:tcPr>
            <w:tcW w:w="1463" w:type="dxa"/>
            <w:vAlign w:val="center"/>
          </w:tcPr>
          <w:p w14:paraId="6AEED138">
            <w:pPr>
              <w:spacing w:line="360" w:lineRule="auto"/>
              <w:ind w:firstLine="422"/>
              <w:rPr>
                <w:rFonts w:ascii="宋体" w:hAnsi="宋体" w:cs="宋体"/>
                <w:color w:val="auto"/>
                <w:szCs w:val="21"/>
                <w:highlight w:val="none"/>
              </w:rPr>
            </w:pPr>
          </w:p>
        </w:tc>
        <w:tc>
          <w:tcPr>
            <w:tcW w:w="1726" w:type="dxa"/>
            <w:vAlign w:val="center"/>
          </w:tcPr>
          <w:p w14:paraId="7B6ECA02">
            <w:pPr>
              <w:spacing w:line="360" w:lineRule="auto"/>
              <w:ind w:firstLine="422"/>
              <w:rPr>
                <w:rFonts w:ascii="宋体" w:hAnsi="宋体" w:cs="宋体"/>
                <w:color w:val="auto"/>
                <w:szCs w:val="21"/>
                <w:highlight w:val="none"/>
              </w:rPr>
            </w:pPr>
          </w:p>
        </w:tc>
        <w:tc>
          <w:tcPr>
            <w:tcW w:w="1784" w:type="dxa"/>
            <w:vAlign w:val="center"/>
          </w:tcPr>
          <w:p w14:paraId="53429E44">
            <w:pPr>
              <w:spacing w:line="360" w:lineRule="auto"/>
              <w:ind w:firstLine="422"/>
              <w:rPr>
                <w:rFonts w:ascii="宋体" w:hAnsi="宋体" w:cs="宋体"/>
                <w:color w:val="auto"/>
                <w:szCs w:val="21"/>
                <w:highlight w:val="none"/>
              </w:rPr>
            </w:pPr>
          </w:p>
        </w:tc>
      </w:tr>
    </w:tbl>
    <w:p w14:paraId="415150C8">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注：1.投标人应对照招标文件技术要求等要求，所投标的物与招标文件的规定有偏离的，应在此表中申明与技术要求条文的偏差和例外。</w:t>
      </w:r>
    </w:p>
    <w:p w14:paraId="1EE994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2.未在上表中说明的，如在投标文件其他内容中已有文字说明的，则以已有文字说明为准，否则，将被认为完全响应招标文件的规定。但该表不作为投标人对所投标的物关于技术要求等详细描述和说明的替代。</w:t>
      </w:r>
    </w:p>
    <w:p w14:paraId="2DF46DDD">
      <w:pPr>
        <w:spacing w:line="360" w:lineRule="auto"/>
        <w:ind w:firstLine="422"/>
        <w:rPr>
          <w:rFonts w:ascii="宋体" w:hAnsi="宋体" w:cs="宋体"/>
          <w:color w:val="auto"/>
          <w:szCs w:val="21"/>
          <w:highlight w:val="none"/>
        </w:rPr>
      </w:pPr>
    </w:p>
    <w:p w14:paraId="2FB5F74D">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投标人：（签章）</w:t>
      </w:r>
    </w:p>
    <w:p w14:paraId="3668D356">
      <w:pPr>
        <w:spacing w:line="360" w:lineRule="auto"/>
        <w:ind w:firstLine="422"/>
        <w:rPr>
          <w:rFonts w:ascii="宋体" w:hAnsi="宋体" w:cs="宋体"/>
          <w:color w:val="auto"/>
          <w:szCs w:val="21"/>
          <w:highlight w:val="none"/>
        </w:rPr>
        <w:sectPr>
          <w:pgSz w:w="11906" w:h="16838"/>
          <w:pgMar w:top="1440" w:right="1417" w:bottom="1440" w:left="1247" w:header="964" w:footer="1077" w:gutter="0"/>
          <w:cols w:space="720" w:num="1"/>
          <w:docGrid w:type="lines" w:linePitch="312" w:charSpace="0"/>
        </w:sectPr>
      </w:pPr>
      <w:r>
        <w:rPr>
          <w:rFonts w:hint="eastAsia" w:ascii="宋体" w:hAnsi="宋体" w:cs="宋体"/>
          <w:color w:val="auto"/>
          <w:szCs w:val="21"/>
          <w:highlight w:val="none"/>
        </w:rPr>
        <w:t>日期：         年         月       日</w:t>
      </w:r>
    </w:p>
    <w:bookmarkEnd w:id="42"/>
    <w:bookmarkEnd w:id="43"/>
    <w:bookmarkEnd w:id="44"/>
    <w:bookmarkEnd w:id="45"/>
    <w:bookmarkEnd w:id="46"/>
    <w:bookmarkEnd w:id="47"/>
    <w:p w14:paraId="462FE2FD">
      <w:pPr>
        <w:adjustRightInd w:val="0"/>
        <w:snapToGrid w:val="0"/>
        <w:spacing w:line="360" w:lineRule="auto"/>
        <w:rPr>
          <w:rFonts w:ascii="宋体" w:hAnsi="宋体"/>
          <w:b/>
          <w:color w:val="auto"/>
          <w:szCs w:val="21"/>
          <w:highlight w:val="none"/>
          <w:lang w:val="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w:t>
      </w:r>
      <w:r>
        <w:rPr>
          <w:rFonts w:hint="eastAsia" w:ascii="宋体" w:hAnsi="宋体"/>
          <w:b/>
          <w:color w:val="auto"/>
          <w:szCs w:val="21"/>
          <w:highlight w:val="none"/>
          <w:lang w:val="zh-CN"/>
        </w:rPr>
        <w:t>质保期满后</w:t>
      </w:r>
      <w:r>
        <w:rPr>
          <w:rFonts w:hint="eastAsia" w:ascii="宋体" w:hAnsi="宋体"/>
          <w:b/>
          <w:color w:val="auto"/>
          <w:szCs w:val="21"/>
          <w:highlight w:val="none"/>
        </w:rPr>
        <w:t>三年内</w:t>
      </w:r>
      <w:r>
        <w:rPr>
          <w:rFonts w:hint="eastAsia" w:ascii="宋体" w:hAnsi="宋体"/>
          <w:b/>
          <w:color w:val="auto"/>
          <w:szCs w:val="21"/>
          <w:highlight w:val="none"/>
          <w:lang w:val="zh-CN"/>
        </w:rPr>
        <w:t>备品备件、易损件报价表（不含在投标报价中）</w:t>
      </w:r>
    </w:p>
    <w:p w14:paraId="3999938C">
      <w:pPr>
        <w:overflowPunct w:val="0"/>
        <w:adjustRightInd w:val="0"/>
        <w:snapToGrid w:val="0"/>
        <w:ind w:firstLine="480"/>
        <w:jc w:val="left"/>
        <w:textAlignment w:val="baseline"/>
        <w:rPr>
          <w:rFonts w:ascii="宋体" w:hAnsi="宋体"/>
          <w:b/>
          <w:color w:val="auto"/>
          <w:sz w:val="24"/>
          <w:szCs w:val="20"/>
          <w:highlight w:val="none"/>
        </w:rPr>
      </w:pPr>
    </w:p>
    <w:p w14:paraId="119FAF7B">
      <w:pPr>
        <w:overflowPunct w:val="0"/>
        <w:adjustRightInd w:val="0"/>
        <w:snapToGrid w:val="0"/>
        <w:jc w:val="center"/>
        <w:textAlignment w:val="baseline"/>
        <w:rPr>
          <w:rFonts w:ascii="宋体" w:hAnsi="宋体"/>
          <w:b/>
          <w:color w:val="auto"/>
          <w:szCs w:val="21"/>
          <w:highlight w:val="none"/>
          <w:lang w:val="zh-CN"/>
        </w:rPr>
      </w:pPr>
      <w:r>
        <w:rPr>
          <w:rFonts w:hint="eastAsia" w:ascii="宋体" w:hAnsi="宋体"/>
          <w:b/>
          <w:color w:val="auto"/>
          <w:szCs w:val="21"/>
          <w:highlight w:val="none"/>
          <w:lang w:val="zh-CN"/>
        </w:rPr>
        <w:t>质保期满后三年内备品备件、易损件报价表</w:t>
      </w:r>
    </w:p>
    <w:p w14:paraId="419C924A">
      <w:pPr>
        <w:snapToGrid w:val="0"/>
        <w:spacing w:line="360" w:lineRule="auto"/>
        <w:ind w:firstLine="502"/>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招标编号：        号                  </w:t>
      </w:r>
      <w:r>
        <w:rPr>
          <w:rFonts w:hint="eastAsia" w:ascii="宋体" w:hAnsi="宋体" w:cs="宋体"/>
          <w:color w:val="auto"/>
          <w:szCs w:val="21"/>
          <w:highlight w:val="none"/>
        </w:rPr>
        <w:t>项目名称：</w:t>
      </w:r>
    </w:p>
    <w:tbl>
      <w:tblPr>
        <w:tblStyle w:val="3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60"/>
        <w:gridCol w:w="2160"/>
        <w:gridCol w:w="2160"/>
        <w:gridCol w:w="2160"/>
      </w:tblGrid>
      <w:tr w14:paraId="4FE0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DDEC17E">
            <w:pPr>
              <w:overflowPunct w:val="0"/>
              <w:adjustRightInd w:val="0"/>
              <w:snapToGrid w:val="0"/>
              <w:spacing w:line="360" w:lineRule="auto"/>
              <w:textAlignment w:val="baseline"/>
              <w:rPr>
                <w:rFonts w:ascii="宋体" w:hAnsi="宋体"/>
                <w:bCs/>
                <w:color w:val="auto"/>
                <w:szCs w:val="21"/>
                <w:highlight w:val="none"/>
              </w:rPr>
            </w:pPr>
            <w:r>
              <w:rPr>
                <w:rFonts w:hint="eastAsia" w:ascii="宋体" w:hAnsi="宋体"/>
                <w:bCs/>
                <w:color w:val="auto"/>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3BEF0B4D">
            <w:pPr>
              <w:overflowPunct w:val="0"/>
              <w:adjustRightInd w:val="0"/>
              <w:snapToGrid w:val="0"/>
              <w:spacing w:line="360" w:lineRule="auto"/>
              <w:textAlignment w:val="baseline"/>
              <w:rPr>
                <w:rFonts w:ascii="宋体" w:hAnsi="宋体"/>
                <w:bCs/>
                <w:color w:val="auto"/>
                <w:szCs w:val="21"/>
                <w:highlight w:val="none"/>
              </w:rPr>
            </w:pPr>
            <w:r>
              <w:rPr>
                <w:rFonts w:hint="eastAsia" w:ascii="宋体" w:hAnsi="宋体"/>
                <w:bCs/>
                <w:color w:val="auto"/>
                <w:szCs w:val="21"/>
                <w:highlight w:val="none"/>
              </w:rPr>
              <w:t>设备（配件）名称</w:t>
            </w:r>
          </w:p>
        </w:tc>
        <w:tc>
          <w:tcPr>
            <w:tcW w:w="2160" w:type="dxa"/>
            <w:tcBorders>
              <w:top w:val="single" w:color="auto" w:sz="4" w:space="0"/>
              <w:left w:val="single" w:color="auto" w:sz="4" w:space="0"/>
              <w:bottom w:val="single" w:color="auto" w:sz="4" w:space="0"/>
              <w:right w:val="single" w:color="auto" w:sz="4" w:space="0"/>
            </w:tcBorders>
            <w:vAlign w:val="center"/>
          </w:tcPr>
          <w:p w14:paraId="760AC6CD">
            <w:pPr>
              <w:overflowPunct w:val="0"/>
              <w:adjustRightInd w:val="0"/>
              <w:snapToGrid w:val="0"/>
              <w:spacing w:line="360" w:lineRule="auto"/>
              <w:textAlignment w:val="baseline"/>
              <w:rPr>
                <w:rFonts w:ascii="宋体" w:hAnsi="宋体"/>
                <w:bCs/>
                <w:color w:val="auto"/>
                <w:szCs w:val="21"/>
                <w:highlight w:val="none"/>
              </w:rPr>
            </w:pPr>
            <w:r>
              <w:rPr>
                <w:rFonts w:hint="eastAsia" w:ascii="宋体" w:hAnsi="宋体"/>
                <w:bCs/>
                <w:color w:val="auto"/>
                <w:szCs w:val="21"/>
                <w:highlight w:val="none"/>
              </w:rPr>
              <w:t>型号规格</w:t>
            </w:r>
          </w:p>
        </w:tc>
        <w:tc>
          <w:tcPr>
            <w:tcW w:w="2160" w:type="dxa"/>
            <w:tcBorders>
              <w:top w:val="single" w:color="auto" w:sz="4" w:space="0"/>
              <w:left w:val="single" w:color="auto" w:sz="4" w:space="0"/>
              <w:bottom w:val="single" w:color="auto" w:sz="4" w:space="0"/>
              <w:right w:val="single" w:color="auto" w:sz="4" w:space="0"/>
            </w:tcBorders>
            <w:vAlign w:val="center"/>
          </w:tcPr>
          <w:p w14:paraId="0C25B1DE">
            <w:pPr>
              <w:overflowPunct w:val="0"/>
              <w:adjustRightInd w:val="0"/>
              <w:snapToGrid w:val="0"/>
              <w:spacing w:line="360" w:lineRule="auto"/>
              <w:textAlignment w:val="baseline"/>
              <w:rPr>
                <w:rFonts w:ascii="宋体" w:hAnsi="宋体"/>
                <w:bCs/>
                <w:color w:val="auto"/>
                <w:szCs w:val="21"/>
                <w:highlight w:val="none"/>
              </w:rPr>
            </w:pPr>
            <w:r>
              <w:rPr>
                <w:rFonts w:hint="eastAsia" w:ascii="宋体" w:hAnsi="宋体"/>
                <w:bCs/>
                <w:color w:val="auto"/>
                <w:szCs w:val="21"/>
                <w:highlight w:val="none"/>
              </w:rPr>
              <w:t>单价</w:t>
            </w:r>
          </w:p>
        </w:tc>
        <w:tc>
          <w:tcPr>
            <w:tcW w:w="2160" w:type="dxa"/>
            <w:tcBorders>
              <w:top w:val="single" w:color="auto" w:sz="4" w:space="0"/>
              <w:left w:val="single" w:color="auto" w:sz="4" w:space="0"/>
              <w:bottom w:val="single" w:color="auto" w:sz="4" w:space="0"/>
              <w:right w:val="single" w:color="auto" w:sz="4" w:space="0"/>
            </w:tcBorders>
            <w:vAlign w:val="center"/>
          </w:tcPr>
          <w:p w14:paraId="62D7CECD">
            <w:pPr>
              <w:overflowPunct w:val="0"/>
              <w:adjustRightInd w:val="0"/>
              <w:snapToGrid w:val="0"/>
              <w:spacing w:line="360" w:lineRule="auto"/>
              <w:ind w:firstLine="422"/>
              <w:jc w:val="center"/>
              <w:textAlignment w:val="baseline"/>
              <w:rPr>
                <w:rFonts w:ascii="宋体" w:hAnsi="宋体"/>
                <w:bCs/>
                <w:color w:val="auto"/>
                <w:szCs w:val="21"/>
                <w:highlight w:val="none"/>
              </w:rPr>
            </w:pPr>
            <w:r>
              <w:rPr>
                <w:rFonts w:hint="eastAsia" w:ascii="宋体" w:hAnsi="宋体"/>
                <w:bCs/>
                <w:color w:val="auto"/>
                <w:szCs w:val="21"/>
                <w:highlight w:val="none"/>
              </w:rPr>
              <w:t>备注</w:t>
            </w:r>
          </w:p>
        </w:tc>
      </w:tr>
      <w:tr w14:paraId="1008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0338E7A">
            <w:pPr>
              <w:overflowPunct w:val="0"/>
              <w:adjustRightInd w:val="0"/>
              <w:snapToGri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14:paraId="56737CCE">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2E6E4ED">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481D511">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790A3BF">
            <w:pPr>
              <w:overflowPunct w:val="0"/>
              <w:adjustRightInd w:val="0"/>
              <w:snapToGrid w:val="0"/>
              <w:spacing w:line="360" w:lineRule="auto"/>
              <w:ind w:firstLine="420"/>
              <w:jc w:val="left"/>
              <w:textAlignment w:val="baseline"/>
              <w:rPr>
                <w:rFonts w:ascii="宋体" w:hAnsi="宋体"/>
                <w:b/>
                <w:color w:val="auto"/>
                <w:szCs w:val="21"/>
                <w:highlight w:val="none"/>
              </w:rPr>
            </w:pPr>
          </w:p>
        </w:tc>
      </w:tr>
      <w:tr w14:paraId="677C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2DD1794A">
            <w:pPr>
              <w:overflowPunct w:val="0"/>
              <w:adjustRightInd w:val="0"/>
              <w:snapToGri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14:paraId="43438253">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A0A8C70">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E5B2EEE">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71C3A1B">
            <w:pPr>
              <w:overflowPunct w:val="0"/>
              <w:adjustRightInd w:val="0"/>
              <w:snapToGrid w:val="0"/>
              <w:spacing w:line="360" w:lineRule="auto"/>
              <w:ind w:firstLine="420"/>
              <w:jc w:val="left"/>
              <w:textAlignment w:val="baseline"/>
              <w:rPr>
                <w:rFonts w:ascii="宋体" w:hAnsi="宋体"/>
                <w:b/>
                <w:color w:val="auto"/>
                <w:szCs w:val="21"/>
                <w:highlight w:val="none"/>
              </w:rPr>
            </w:pPr>
          </w:p>
        </w:tc>
      </w:tr>
      <w:tr w14:paraId="1E24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09C60BB">
            <w:pPr>
              <w:overflowPunct w:val="0"/>
              <w:adjustRightInd w:val="0"/>
              <w:snapToGri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2160" w:type="dxa"/>
            <w:tcBorders>
              <w:top w:val="single" w:color="auto" w:sz="4" w:space="0"/>
              <w:left w:val="single" w:color="auto" w:sz="4" w:space="0"/>
              <w:bottom w:val="single" w:color="auto" w:sz="4" w:space="0"/>
              <w:right w:val="single" w:color="auto" w:sz="4" w:space="0"/>
            </w:tcBorders>
            <w:vAlign w:val="center"/>
          </w:tcPr>
          <w:p w14:paraId="30C41430">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0970CB1">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9F3F53E">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F26BF16">
            <w:pPr>
              <w:overflowPunct w:val="0"/>
              <w:adjustRightInd w:val="0"/>
              <w:snapToGrid w:val="0"/>
              <w:spacing w:line="360" w:lineRule="auto"/>
              <w:ind w:firstLine="420"/>
              <w:jc w:val="left"/>
              <w:textAlignment w:val="baseline"/>
              <w:rPr>
                <w:rFonts w:ascii="宋体" w:hAnsi="宋体"/>
                <w:b/>
                <w:color w:val="auto"/>
                <w:szCs w:val="21"/>
                <w:highlight w:val="none"/>
              </w:rPr>
            </w:pPr>
          </w:p>
        </w:tc>
      </w:tr>
      <w:tr w14:paraId="0B56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45E607F">
            <w:pPr>
              <w:overflowPunct w:val="0"/>
              <w:adjustRightInd w:val="0"/>
              <w:snapToGrid w:val="0"/>
              <w:spacing w:line="360" w:lineRule="auto"/>
              <w:jc w:val="center"/>
              <w:textAlignment w:val="baseline"/>
              <w:rPr>
                <w:rFonts w:ascii="宋体" w:hAnsi="宋体"/>
                <w:b/>
                <w:color w:val="auto"/>
                <w:szCs w:val="21"/>
                <w:highlight w:val="none"/>
              </w:rPr>
            </w:pPr>
            <w:r>
              <w:rPr>
                <w:rFonts w:ascii="宋体" w:hAnsi="宋体"/>
                <w:b/>
                <w:color w:val="auto"/>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14:paraId="48C02FCD">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514FEC7">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CACBB8F">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AF518E3">
            <w:pPr>
              <w:overflowPunct w:val="0"/>
              <w:adjustRightInd w:val="0"/>
              <w:snapToGrid w:val="0"/>
              <w:spacing w:line="360" w:lineRule="auto"/>
              <w:ind w:firstLine="420"/>
              <w:jc w:val="left"/>
              <w:textAlignment w:val="baseline"/>
              <w:rPr>
                <w:rFonts w:ascii="宋体" w:hAnsi="宋体"/>
                <w:b/>
                <w:color w:val="auto"/>
                <w:szCs w:val="21"/>
                <w:highlight w:val="none"/>
              </w:rPr>
            </w:pPr>
          </w:p>
        </w:tc>
      </w:tr>
      <w:tr w14:paraId="7216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78A491D">
            <w:pPr>
              <w:overflowPunct w:val="0"/>
              <w:adjustRightInd w:val="0"/>
              <w:snapToGrid w:val="0"/>
              <w:spacing w:line="360" w:lineRule="auto"/>
              <w:ind w:firstLine="420"/>
              <w:jc w:val="center"/>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86174FD">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A2C7F05">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5BAC2EE">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44A1630">
            <w:pPr>
              <w:overflowPunct w:val="0"/>
              <w:adjustRightInd w:val="0"/>
              <w:snapToGrid w:val="0"/>
              <w:spacing w:line="360" w:lineRule="auto"/>
              <w:ind w:firstLine="420"/>
              <w:jc w:val="left"/>
              <w:textAlignment w:val="baseline"/>
              <w:rPr>
                <w:rFonts w:ascii="宋体" w:hAnsi="宋体"/>
                <w:b/>
                <w:color w:val="auto"/>
                <w:szCs w:val="21"/>
                <w:highlight w:val="none"/>
              </w:rPr>
            </w:pPr>
          </w:p>
        </w:tc>
      </w:tr>
      <w:tr w14:paraId="0F22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4269904">
            <w:pPr>
              <w:overflowPunct w:val="0"/>
              <w:adjustRightInd w:val="0"/>
              <w:snapToGrid w:val="0"/>
              <w:spacing w:line="360" w:lineRule="auto"/>
              <w:ind w:firstLine="420"/>
              <w:jc w:val="center"/>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649B6EB">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42EE727">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41D4C4B">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9EFB651">
            <w:pPr>
              <w:overflowPunct w:val="0"/>
              <w:adjustRightInd w:val="0"/>
              <w:snapToGrid w:val="0"/>
              <w:spacing w:line="360" w:lineRule="auto"/>
              <w:ind w:firstLine="420"/>
              <w:jc w:val="left"/>
              <w:textAlignment w:val="baseline"/>
              <w:rPr>
                <w:rFonts w:ascii="宋体" w:hAnsi="宋体"/>
                <w:b/>
                <w:color w:val="auto"/>
                <w:szCs w:val="21"/>
                <w:highlight w:val="none"/>
              </w:rPr>
            </w:pPr>
          </w:p>
        </w:tc>
      </w:tr>
    </w:tbl>
    <w:p w14:paraId="06B5B891">
      <w:pPr>
        <w:overflowPunct w:val="0"/>
        <w:adjustRightInd w:val="0"/>
        <w:snapToGrid w:val="0"/>
        <w:spacing w:line="360" w:lineRule="auto"/>
        <w:ind w:firstLine="422"/>
        <w:jc w:val="left"/>
        <w:textAlignment w:val="baseline"/>
        <w:rPr>
          <w:rFonts w:ascii="宋体" w:hAnsi="宋体"/>
          <w:color w:val="auto"/>
          <w:szCs w:val="20"/>
          <w:highlight w:val="none"/>
        </w:rPr>
      </w:pPr>
      <w:r>
        <w:rPr>
          <w:rFonts w:hint="eastAsia" w:ascii="宋体" w:hAnsi="宋体"/>
          <w:color w:val="auto"/>
          <w:szCs w:val="20"/>
          <w:highlight w:val="none"/>
        </w:rPr>
        <w:t>注：</w:t>
      </w:r>
    </w:p>
    <w:p w14:paraId="70975594">
      <w:pPr>
        <w:overflowPunct w:val="0"/>
        <w:adjustRightInd w:val="0"/>
        <w:snapToGrid w:val="0"/>
        <w:spacing w:line="360" w:lineRule="auto"/>
        <w:ind w:firstLine="422"/>
        <w:jc w:val="left"/>
        <w:textAlignment w:val="baseline"/>
        <w:rPr>
          <w:rFonts w:ascii="宋体" w:hAnsi="宋体"/>
          <w:color w:val="auto"/>
          <w:szCs w:val="20"/>
          <w:highlight w:val="none"/>
        </w:rPr>
      </w:pPr>
      <w:r>
        <w:rPr>
          <w:rFonts w:ascii="宋体" w:hAnsi="宋体"/>
          <w:color w:val="auto"/>
          <w:szCs w:val="20"/>
          <w:highlight w:val="none"/>
        </w:rPr>
        <w:t>1</w:t>
      </w:r>
      <w:r>
        <w:rPr>
          <w:rFonts w:hint="eastAsia" w:ascii="宋体" w:hAnsi="宋体"/>
          <w:color w:val="auto"/>
          <w:szCs w:val="20"/>
          <w:highlight w:val="none"/>
        </w:rPr>
        <w:t>、此报价作为最高限价，实际价格在中标后以双方协商为准。</w:t>
      </w:r>
    </w:p>
    <w:p w14:paraId="747F8935">
      <w:pPr>
        <w:widowControl/>
        <w:snapToGrid w:val="0"/>
        <w:spacing w:line="360" w:lineRule="auto"/>
        <w:ind w:firstLine="422"/>
        <w:jc w:val="left"/>
        <w:rPr>
          <w:rFonts w:ascii="宋体" w:hAnsi="宋体" w:cs="宋体"/>
          <w:color w:val="auto"/>
          <w:szCs w:val="21"/>
          <w:highlight w:val="none"/>
        </w:rPr>
      </w:pPr>
    </w:p>
    <w:p w14:paraId="6FBF2BE0">
      <w:pPr>
        <w:widowControl/>
        <w:snapToGrid w:val="0"/>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投标人：（签章）</w:t>
      </w:r>
    </w:p>
    <w:p w14:paraId="7310CAEB">
      <w:pPr>
        <w:widowControl/>
        <w:overflowPunct w:val="0"/>
        <w:snapToGrid w:val="0"/>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291C5BD6">
      <w:pPr>
        <w:autoSpaceDE w:val="0"/>
        <w:autoSpaceDN w:val="0"/>
        <w:adjustRightInd w:val="0"/>
        <w:spacing w:line="360" w:lineRule="auto"/>
        <w:ind w:firstLine="422"/>
        <w:rPr>
          <w:rFonts w:ascii="宋体" w:hAnsi="宋体" w:cs="宋体"/>
          <w:b/>
          <w:bCs/>
          <w:color w:val="auto"/>
          <w:szCs w:val="21"/>
          <w:highlight w:val="none"/>
        </w:rPr>
      </w:pPr>
      <w:r>
        <w:rPr>
          <w:rFonts w:ascii="宋体" w:hAnsi="宋体" w:cs="宋体"/>
          <w:b/>
          <w:color w:val="auto"/>
          <w:szCs w:val="21"/>
          <w:highlight w:val="none"/>
        </w:rPr>
        <w:br w:type="page"/>
      </w:r>
    </w:p>
    <w:p w14:paraId="7166CF39">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：售后服务承诺书</w:t>
      </w:r>
    </w:p>
    <w:p w14:paraId="0F70E0DB">
      <w:pPr>
        <w:pStyle w:val="13"/>
        <w:jc w:val="center"/>
        <w:rPr>
          <w:rFonts w:ascii="宋体" w:hAnsi="宋体" w:cs="宋体"/>
          <w:b/>
          <w:bCs/>
          <w:color w:val="auto"/>
          <w:szCs w:val="21"/>
          <w:highlight w:val="none"/>
        </w:rPr>
      </w:pPr>
      <w:r>
        <w:rPr>
          <w:rFonts w:hint="eastAsia" w:ascii="宋体" w:hAnsi="宋体" w:cs="宋体"/>
          <w:b/>
          <w:bCs/>
          <w:color w:val="auto"/>
          <w:szCs w:val="21"/>
          <w:highlight w:val="none"/>
        </w:rPr>
        <w:t>售后服务承诺书</w:t>
      </w:r>
    </w:p>
    <w:p w14:paraId="1D9EAB04">
      <w:pPr>
        <w:ind w:firstLine="630" w:firstLineChars="300"/>
        <w:rPr>
          <w:color w:val="auto"/>
          <w:highlight w:val="none"/>
        </w:rPr>
      </w:pPr>
      <w:r>
        <w:rPr>
          <w:rFonts w:hint="eastAsia" w:ascii="宋体" w:hAnsi="宋体" w:cs="宋体"/>
          <w:color w:val="auto"/>
          <w:szCs w:val="21"/>
          <w:highlight w:val="none"/>
          <w:lang w:val="zh-CN"/>
        </w:rPr>
        <w:t>招标编号：             号</w:t>
      </w:r>
      <w:r>
        <w:rPr>
          <w:rFonts w:hint="eastAsia" w:ascii="宋体" w:hAnsi="宋体" w:cs="宋体"/>
          <w:color w:val="auto"/>
          <w:szCs w:val="21"/>
          <w:highlight w:val="none"/>
        </w:rPr>
        <w:t xml:space="preserve">                    项目名称</w:t>
      </w:r>
    </w:p>
    <w:tbl>
      <w:tblPr>
        <w:tblStyle w:val="30"/>
        <w:tblW w:w="0" w:type="auto"/>
        <w:tblInd w:w="2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9"/>
        <w:gridCol w:w="2799"/>
        <w:gridCol w:w="2452"/>
        <w:gridCol w:w="2375"/>
      </w:tblGrid>
      <w:tr w14:paraId="7327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69" w:type="dxa"/>
            <w:noWrap/>
            <w:vAlign w:val="center"/>
          </w:tcPr>
          <w:p w14:paraId="452442A0">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2799" w:type="dxa"/>
            <w:noWrap/>
            <w:vAlign w:val="center"/>
          </w:tcPr>
          <w:p w14:paraId="0FCB1B3A">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售后服务内容</w:t>
            </w:r>
          </w:p>
        </w:tc>
        <w:tc>
          <w:tcPr>
            <w:tcW w:w="2452" w:type="dxa"/>
            <w:noWrap/>
            <w:vAlign w:val="center"/>
          </w:tcPr>
          <w:p w14:paraId="53849F5A">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期限（时间）</w:t>
            </w:r>
          </w:p>
        </w:tc>
        <w:tc>
          <w:tcPr>
            <w:tcW w:w="2375" w:type="dxa"/>
            <w:noWrap/>
            <w:vAlign w:val="center"/>
          </w:tcPr>
          <w:p w14:paraId="369FB616">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备注</w:t>
            </w:r>
          </w:p>
        </w:tc>
      </w:tr>
      <w:tr w14:paraId="57672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69" w:type="dxa"/>
            <w:noWrap/>
            <w:vAlign w:val="center"/>
          </w:tcPr>
          <w:p w14:paraId="6E56823D">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799" w:type="dxa"/>
            <w:noWrap/>
            <w:vAlign w:val="center"/>
          </w:tcPr>
          <w:p w14:paraId="5B18E79F">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rPr>
              <w:t>质保期</w:t>
            </w:r>
          </w:p>
        </w:tc>
        <w:tc>
          <w:tcPr>
            <w:tcW w:w="2452" w:type="dxa"/>
            <w:noWrap/>
            <w:vAlign w:val="center"/>
          </w:tcPr>
          <w:p w14:paraId="6C67BF88">
            <w:pPr>
              <w:spacing w:before="25" w:after="25" w:line="400" w:lineRule="exact"/>
              <w:jc w:val="center"/>
              <w:rPr>
                <w:rFonts w:ascii="宋体" w:hAnsi="宋体" w:cs="宋体"/>
                <w:color w:val="auto"/>
                <w:szCs w:val="21"/>
                <w:highlight w:val="none"/>
              </w:rPr>
            </w:pPr>
          </w:p>
        </w:tc>
        <w:tc>
          <w:tcPr>
            <w:tcW w:w="2375" w:type="dxa"/>
            <w:noWrap/>
            <w:vAlign w:val="center"/>
          </w:tcPr>
          <w:p w14:paraId="5F2A8798">
            <w:pPr>
              <w:spacing w:before="25" w:after="25" w:line="400" w:lineRule="exact"/>
              <w:jc w:val="center"/>
              <w:rPr>
                <w:rFonts w:ascii="宋体" w:hAnsi="宋体" w:cs="宋体"/>
                <w:color w:val="auto"/>
                <w:szCs w:val="21"/>
                <w:highlight w:val="none"/>
              </w:rPr>
            </w:pPr>
          </w:p>
        </w:tc>
      </w:tr>
      <w:tr w14:paraId="6391B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69" w:type="dxa"/>
            <w:noWrap/>
            <w:vAlign w:val="center"/>
          </w:tcPr>
          <w:p w14:paraId="799A8784">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799" w:type="dxa"/>
            <w:noWrap/>
            <w:vAlign w:val="center"/>
          </w:tcPr>
          <w:p w14:paraId="00ACE3EE">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服务响应</w:t>
            </w:r>
          </w:p>
        </w:tc>
        <w:tc>
          <w:tcPr>
            <w:tcW w:w="2452" w:type="dxa"/>
            <w:noWrap/>
            <w:vAlign w:val="center"/>
          </w:tcPr>
          <w:p w14:paraId="07A02AE2">
            <w:pPr>
              <w:spacing w:before="25" w:after="25" w:line="400" w:lineRule="exact"/>
              <w:jc w:val="center"/>
              <w:rPr>
                <w:rFonts w:ascii="宋体" w:hAnsi="宋体" w:cs="宋体"/>
                <w:color w:val="auto"/>
                <w:szCs w:val="21"/>
                <w:highlight w:val="none"/>
              </w:rPr>
            </w:pPr>
          </w:p>
        </w:tc>
        <w:tc>
          <w:tcPr>
            <w:tcW w:w="2375" w:type="dxa"/>
            <w:noWrap/>
            <w:vAlign w:val="center"/>
          </w:tcPr>
          <w:p w14:paraId="273059B3">
            <w:pPr>
              <w:spacing w:before="25" w:after="25" w:line="400" w:lineRule="exact"/>
              <w:jc w:val="center"/>
              <w:rPr>
                <w:rFonts w:ascii="宋体" w:hAnsi="宋体" w:cs="宋体"/>
                <w:color w:val="auto"/>
                <w:szCs w:val="21"/>
                <w:highlight w:val="none"/>
              </w:rPr>
            </w:pPr>
          </w:p>
        </w:tc>
      </w:tr>
      <w:tr w14:paraId="1F700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69" w:type="dxa"/>
            <w:noWrap/>
            <w:vAlign w:val="center"/>
          </w:tcPr>
          <w:p w14:paraId="0FF24F33">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799" w:type="dxa"/>
            <w:noWrap/>
            <w:vAlign w:val="center"/>
          </w:tcPr>
          <w:p w14:paraId="6F9BCF82">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到达现场</w:t>
            </w:r>
          </w:p>
        </w:tc>
        <w:tc>
          <w:tcPr>
            <w:tcW w:w="2452" w:type="dxa"/>
            <w:noWrap/>
            <w:vAlign w:val="center"/>
          </w:tcPr>
          <w:p w14:paraId="7FD447F1">
            <w:pPr>
              <w:spacing w:before="25" w:after="25" w:line="400" w:lineRule="exact"/>
              <w:jc w:val="center"/>
              <w:rPr>
                <w:rFonts w:ascii="宋体" w:hAnsi="宋体" w:cs="宋体"/>
                <w:color w:val="auto"/>
                <w:szCs w:val="21"/>
                <w:highlight w:val="none"/>
              </w:rPr>
            </w:pPr>
          </w:p>
        </w:tc>
        <w:tc>
          <w:tcPr>
            <w:tcW w:w="2375" w:type="dxa"/>
            <w:noWrap/>
            <w:vAlign w:val="center"/>
          </w:tcPr>
          <w:p w14:paraId="5987846D">
            <w:pPr>
              <w:spacing w:before="25" w:after="25" w:line="400" w:lineRule="exact"/>
              <w:jc w:val="center"/>
              <w:rPr>
                <w:rFonts w:ascii="宋体" w:hAnsi="宋体" w:cs="宋体"/>
                <w:color w:val="auto"/>
                <w:szCs w:val="21"/>
                <w:highlight w:val="none"/>
              </w:rPr>
            </w:pPr>
          </w:p>
        </w:tc>
      </w:tr>
      <w:tr w14:paraId="25DF6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869" w:type="dxa"/>
            <w:noWrap/>
            <w:vAlign w:val="center"/>
          </w:tcPr>
          <w:p w14:paraId="71A720E7">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799" w:type="dxa"/>
            <w:noWrap/>
            <w:vAlign w:val="center"/>
          </w:tcPr>
          <w:p w14:paraId="35967149">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解决问题</w:t>
            </w:r>
          </w:p>
        </w:tc>
        <w:tc>
          <w:tcPr>
            <w:tcW w:w="2452" w:type="dxa"/>
            <w:noWrap/>
            <w:vAlign w:val="center"/>
          </w:tcPr>
          <w:p w14:paraId="54AF1C5D">
            <w:pPr>
              <w:spacing w:before="25" w:after="25" w:line="400" w:lineRule="exact"/>
              <w:jc w:val="center"/>
              <w:rPr>
                <w:rFonts w:ascii="宋体" w:hAnsi="宋体" w:cs="宋体"/>
                <w:color w:val="auto"/>
                <w:szCs w:val="21"/>
                <w:highlight w:val="none"/>
              </w:rPr>
            </w:pPr>
          </w:p>
        </w:tc>
        <w:tc>
          <w:tcPr>
            <w:tcW w:w="2375" w:type="dxa"/>
            <w:noWrap/>
            <w:vAlign w:val="center"/>
          </w:tcPr>
          <w:p w14:paraId="7E8A3A51">
            <w:pPr>
              <w:spacing w:before="25" w:after="25" w:line="400" w:lineRule="exact"/>
              <w:jc w:val="center"/>
              <w:rPr>
                <w:rFonts w:ascii="宋体" w:hAnsi="宋体" w:cs="宋体"/>
                <w:color w:val="auto"/>
                <w:szCs w:val="21"/>
                <w:highlight w:val="none"/>
              </w:rPr>
            </w:pPr>
          </w:p>
        </w:tc>
      </w:tr>
      <w:tr w14:paraId="479B6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69" w:type="dxa"/>
            <w:noWrap/>
            <w:vAlign w:val="center"/>
          </w:tcPr>
          <w:p w14:paraId="4146DD64">
            <w:pPr>
              <w:spacing w:before="25" w:after="25" w:line="400" w:lineRule="exact"/>
              <w:jc w:val="center"/>
              <w:rPr>
                <w:rFonts w:ascii="宋体" w:hAnsi="宋体" w:cs="宋体"/>
                <w:color w:val="auto"/>
                <w:szCs w:val="21"/>
                <w:highlight w:val="none"/>
              </w:rPr>
            </w:pPr>
          </w:p>
        </w:tc>
        <w:tc>
          <w:tcPr>
            <w:tcW w:w="2799" w:type="dxa"/>
            <w:noWrap/>
            <w:vAlign w:val="center"/>
          </w:tcPr>
          <w:p w14:paraId="141E3142">
            <w:pPr>
              <w:spacing w:before="25" w:after="25" w:line="400" w:lineRule="exact"/>
              <w:jc w:val="center"/>
              <w:rPr>
                <w:rFonts w:ascii="宋体" w:hAnsi="宋体" w:cs="宋体"/>
                <w:color w:val="auto"/>
                <w:szCs w:val="21"/>
                <w:highlight w:val="none"/>
              </w:rPr>
            </w:pPr>
          </w:p>
        </w:tc>
        <w:tc>
          <w:tcPr>
            <w:tcW w:w="2452" w:type="dxa"/>
            <w:noWrap/>
            <w:vAlign w:val="center"/>
          </w:tcPr>
          <w:p w14:paraId="6007C361">
            <w:pPr>
              <w:spacing w:before="25" w:after="25" w:line="400" w:lineRule="exact"/>
              <w:jc w:val="center"/>
              <w:rPr>
                <w:rFonts w:ascii="宋体" w:hAnsi="宋体" w:cs="宋体"/>
                <w:color w:val="auto"/>
                <w:szCs w:val="21"/>
                <w:highlight w:val="none"/>
              </w:rPr>
            </w:pPr>
          </w:p>
        </w:tc>
        <w:tc>
          <w:tcPr>
            <w:tcW w:w="2375" w:type="dxa"/>
            <w:noWrap/>
            <w:vAlign w:val="center"/>
          </w:tcPr>
          <w:p w14:paraId="23FC7F74">
            <w:pPr>
              <w:spacing w:before="25" w:after="25" w:line="400" w:lineRule="exact"/>
              <w:jc w:val="center"/>
              <w:rPr>
                <w:rFonts w:ascii="宋体" w:hAnsi="宋体" w:cs="宋体"/>
                <w:color w:val="auto"/>
                <w:szCs w:val="21"/>
                <w:highlight w:val="none"/>
              </w:rPr>
            </w:pPr>
          </w:p>
        </w:tc>
      </w:tr>
    </w:tbl>
    <w:p w14:paraId="78D47AE9">
      <w:pPr>
        <w:spacing w:line="360" w:lineRule="auto"/>
        <w:ind w:firstLine="240"/>
        <w:rPr>
          <w:rFonts w:ascii="宋体" w:hAnsi="宋体" w:cs="宋体"/>
          <w:color w:val="auto"/>
          <w:szCs w:val="21"/>
          <w:highlight w:val="none"/>
        </w:rPr>
      </w:pPr>
    </w:p>
    <w:p w14:paraId="1F9C03CF">
      <w:pPr>
        <w:spacing w:line="360" w:lineRule="auto"/>
        <w:ind w:firstLine="240"/>
        <w:rPr>
          <w:rFonts w:ascii="宋体" w:hAnsi="宋体" w:cs="宋体"/>
          <w:color w:val="auto"/>
          <w:szCs w:val="21"/>
          <w:highlight w:val="none"/>
        </w:rPr>
      </w:pPr>
      <w:r>
        <w:rPr>
          <w:rFonts w:hint="eastAsia" w:ascii="宋体" w:hAnsi="宋体" w:cs="宋体"/>
          <w:color w:val="auto"/>
          <w:szCs w:val="21"/>
          <w:highlight w:val="none"/>
        </w:rPr>
        <w:t xml:space="preserve">投标人：（签章）                                    </w:t>
      </w:r>
    </w:p>
    <w:p w14:paraId="45DF7494">
      <w:pPr>
        <w:ind w:firstLine="210" w:firstLineChars="100"/>
        <w:rPr>
          <w:color w:val="auto"/>
          <w:szCs w:val="21"/>
          <w:highlight w:val="none"/>
        </w:rPr>
      </w:pPr>
      <w:r>
        <w:rPr>
          <w:rFonts w:hint="eastAsia" w:ascii="宋体" w:hAnsi="宋体" w:cs="宋体"/>
          <w:color w:val="auto"/>
          <w:szCs w:val="21"/>
          <w:highlight w:val="none"/>
        </w:rPr>
        <w:t>日期：　　年　　 月　　 日</w:t>
      </w:r>
    </w:p>
    <w:p w14:paraId="06B84881">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：商务条款偏离表</w:t>
      </w:r>
    </w:p>
    <w:p w14:paraId="2CE9B96B">
      <w:pPr>
        <w:autoSpaceDE w:val="0"/>
        <w:autoSpaceDN w:val="0"/>
        <w:adjustRightInd w:val="0"/>
        <w:spacing w:line="360" w:lineRule="auto"/>
        <w:ind w:firstLine="420"/>
        <w:jc w:val="center"/>
        <w:rPr>
          <w:rFonts w:ascii="宋体" w:hAnsi="宋体" w:cs="宋体"/>
          <w:b/>
          <w:color w:val="auto"/>
          <w:szCs w:val="21"/>
          <w:highlight w:val="none"/>
        </w:rPr>
      </w:pPr>
    </w:p>
    <w:p w14:paraId="0A16FD96">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b/>
          <w:color w:val="auto"/>
          <w:szCs w:val="21"/>
          <w:highlight w:val="none"/>
        </w:rPr>
        <w:t>商务条款偏离表</w:t>
      </w:r>
    </w:p>
    <w:p w14:paraId="09E8ABA2">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lang w:val="zh-CN"/>
        </w:rPr>
        <w:t>招标编号：             号</w:t>
      </w:r>
      <w:r>
        <w:rPr>
          <w:rFonts w:hint="eastAsia" w:ascii="宋体" w:hAnsi="宋体" w:cs="宋体"/>
          <w:color w:val="auto"/>
          <w:szCs w:val="21"/>
          <w:highlight w:val="none"/>
        </w:rPr>
        <w:t xml:space="preserve">                  项目名称：</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50"/>
        <w:gridCol w:w="2438"/>
        <w:gridCol w:w="2438"/>
        <w:gridCol w:w="1743"/>
      </w:tblGrid>
      <w:tr w14:paraId="1F093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19" w:type="dxa"/>
            <w:vAlign w:val="center"/>
          </w:tcPr>
          <w:p w14:paraId="5003C758">
            <w:pPr>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1950" w:type="dxa"/>
            <w:vAlign w:val="center"/>
          </w:tcPr>
          <w:p w14:paraId="64CC91FA">
            <w:pPr>
              <w:spacing w:line="360" w:lineRule="auto"/>
              <w:rPr>
                <w:rFonts w:ascii="宋体" w:hAnsi="宋体" w:cs="宋体"/>
                <w:color w:val="auto"/>
                <w:szCs w:val="21"/>
                <w:highlight w:val="none"/>
              </w:rPr>
            </w:pPr>
            <w:r>
              <w:rPr>
                <w:rFonts w:hint="eastAsia" w:ascii="宋体" w:hAnsi="宋体" w:cs="宋体"/>
                <w:color w:val="auto"/>
                <w:szCs w:val="21"/>
                <w:highlight w:val="none"/>
              </w:rPr>
              <w:t>招标文件条目号</w:t>
            </w:r>
          </w:p>
        </w:tc>
        <w:tc>
          <w:tcPr>
            <w:tcW w:w="2438" w:type="dxa"/>
            <w:vAlign w:val="center"/>
          </w:tcPr>
          <w:p w14:paraId="00567775">
            <w:pPr>
              <w:spacing w:line="360" w:lineRule="auto"/>
              <w:rPr>
                <w:rFonts w:ascii="宋体" w:hAnsi="宋体" w:cs="宋体"/>
                <w:color w:val="auto"/>
                <w:szCs w:val="21"/>
                <w:highlight w:val="none"/>
              </w:rPr>
            </w:pPr>
            <w:r>
              <w:rPr>
                <w:rFonts w:hint="eastAsia" w:ascii="宋体" w:hAnsi="宋体" w:cs="宋体"/>
                <w:color w:val="auto"/>
                <w:szCs w:val="21"/>
                <w:highlight w:val="none"/>
              </w:rPr>
              <w:t>招标文件的商务条款</w:t>
            </w:r>
          </w:p>
        </w:tc>
        <w:tc>
          <w:tcPr>
            <w:tcW w:w="2438" w:type="dxa"/>
            <w:vAlign w:val="center"/>
          </w:tcPr>
          <w:p w14:paraId="681C7F49">
            <w:pPr>
              <w:spacing w:line="360" w:lineRule="auto"/>
              <w:rPr>
                <w:rFonts w:ascii="宋体" w:hAnsi="宋体" w:cs="宋体"/>
                <w:color w:val="auto"/>
                <w:szCs w:val="21"/>
                <w:highlight w:val="none"/>
              </w:rPr>
            </w:pPr>
            <w:r>
              <w:rPr>
                <w:rFonts w:hint="eastAsia" w:ascii="宋体" w:hAnsi="宋体" w:cs="宋体"/>
                <w:color w:val="auto"/>
                <w:szCs w:val="21"/>
                <w:highlight w:val="none"/>
              </w:rPr>
              <w:t>投标文件的商务条款</w:t>
            </w:r>
          </w:p>
        </w:tc>
        <w:tc>
          <w:tcPr>
            <w:tcW w:w="1743" w:type="dxa"/>
            <w:vAlign w:val="center"/>
          </w:tcPr>
          <w:p w14:paraId="6A417A62">
            <w:pPr>
              <w:spacing w:line="360" w:lineRule="auto"/>
              <w:ind w:firstLine="422"/>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1A129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3C0C8920">
            <w:pPr>
              <w:rPr>
                <w:rFonts w:ascii="宋体" w:hAnsi="宋体" w:cs="宋体"/>
                <w:color w:val="auto"/>
                <w:szCs w:val="21"/>
                <w:highlight w:val="none"/>
              </w:rPr>
            </w:pPr>
            <w:r>
              <w:rPr>
                <w:rFonts w:hint="eastAsia" w:ascii="宋体" w:hAnsi="宋体" w:cs="宋体"/>
                <w:color w:val="auto"/>
                <w:szCs w:val="21"/>
                <w:highlight w:val="none"/>
              </w:rPr>
              <w:t>1</w:t>
            </w:r>
          </w:p>
        </w:tc>
        <w:tc>
          <w:tcPr>
            <w:tcW w:w="1950" w:type="dxa"/>
            <w:vAlign w:val="center"/>
          </w:tcPr>
          <w:p w14:paraId="24142183">
            <w:pPr>
              <w:rPr>
                <w:rFonts w:ascii="宋体" w:hAnsi="宋体" w:cs="宋体"/>
                <w:color w:val="auto"/>
                <w:szCs w:val="21"/>
                <w:highlight w:val="none"/>
              </w:rPr>
            </w:pPr>
            <w:r>
              <w:rPr>
                <w:rFonts w:hint="eastAsia" w:ascii="宋体" w:hAnsi="宋体" w:cs="宋体"/>
                <w:color w:val="auto"/>
                <w:szCs w:val="21"/>
                <w:highlight w:val="none"/>
              </w:rPr>
              <w:t>服务期限</w:t>
            </w:r>
          </w:p>
        </w:tc>
        <w:tc>
          <w:tcPr>
            <w:tcW w:w="2438" w:type="dxa"/>
            <w:vAlign w:val="center"/>
          </w:tcPr>
          <w:p w14:paraId="5DE996AA">
            <w:pPr>
              <w:spacing w:line="360" w:lineRule="auto"/>
              <w:ind w:firstLine="422"/>
              <w:rPr>
                <w:rFonts w:ascii="宋体" w:hAnsi="宋体" w:cs="宋体"/>
                <w:color w:val="auto"/>
                <w:szCs w:val="21"/>
                <w:highlight w:val="none"/>
              </w:rPr>
            </w:pPr>
          </w:p>
        </w:tc>
        <w:tc>
          <w:tcPr>
            <w:tcW w:w="2438" w:type="dxa"/>
            <w:vAlign w:val="center"/>
          </w:tcPr>
          <w:p w14:paraId="6AE43B05">
            <w:pPr>
              <w:spacing w:line="360" w:lineRule="auto"/>
              <w:ind w:firstLine="422"/>
              <w:rPr>
                <w:rFonts w:ascii="宋体" w:hAnsi="宋体" w:cs="宋体"/>
                <w:color w:val="auto"/>
                <w:szCs w:val="21"/>
                <w:highlight w:val="none"/>
              </w:rPr>
            </w:pPr>
          </w:p>
        </w:tc>
        <w:tc>
          <w:tcPr>
            <w:tcW w:w="1743" w:type="dxa"/>
            <w:vAlign w:val="center"/>
          </w:tcPr>
          <w:p w14:paraId="73F0EBEE">
            <w:pPr>
              <w:spacing w:line="360" w:lineRule="auto"/>
              <w:ind w:firstLine="422"/>
              <w:rPr>
                <w:rFonts w:ascii="宋体" w:hAnsi="宋体" w:cs="宋体"/>
                <w:color w:val="auto"/>
                <w:szCs w:val="21"/>
                <w:highlight w:val="none"/>
              </w:rPr>
            </w:pPr>
          </w:p>
        </w:tc>
      </w:tr>
      <w:tr w14:paraId="72F62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619A2C11">
            <w:pPr>
              <w:rPr>
                <w:rFonts w:ascii="宋体" w:hAnsi="宋体" w:cs="宋体"/>
                <w:color w:val="auto"/>
                <w:szCs w:val="21"/>
                <w:highlight w:val="none"/>
              </w:rPr>
            </w:pPr>
            <w:r>
              <w:rPr>
                <w:rFonts w:hint="eastAsia" w:ascii="宋体" w:hAnsi="宋体" w:cs="宋体"/>
                <w:color w:val="auto"/>
                <w:szCs w:val="21"/>
                <w:highlight w:val="none"/>
              </w:rPr>
              <w:t>2</w:t>
            </w:r>
          </w:p>
        </w:tc>
        <w:tc>
          <w:tcPr>
            <w:tcW w:w="1950" w:type="dxa"/>
            <w:vAlign w:val="center"/>
          </w:tcPr>
          <w:p w14:paraId="5349FE7F">
            <w:pPr>
              <w:rPr>
                <w:rFonts w:ascii="宋体" w:hAnsi="宋体" w:cs="宋体"/>
                <w:color w:val="auto"/>
                <w:szCs w:val="21"/>
                <w:highlight w:val="none"/>
              </w:rPr>
            </w:pPr>
            <w:r>
              <w:rPr>
                <w:rFonts w:hint="eastAsia" w:ascii="宋体" w:hAnsi="宋体" w:cs="宋体"/>
                <w:color w:val="auto"/>
                <w:szCs w:val="21"/>
                <w:highlight w:val="none"/>
              </w:rPr>
              <w:t>付款步骤</w:t>
            </w:r>
          </w:p>
        </w:tc>
        <w:tc>
          <w:tcPr>
            <w:tcW w:w="2438" w:type="dxa"/>
            <w:vAlign w:val="center"/>
          </w:tcPr>
          <w:p w14:paraId="6A6C2D63">
            <w:pPr>
              <w:spacing w:line="360" w:lineRule="auto"/>
              <w:ind w:firstLine="422"/>
              <w:rPr>
                <w:rFonts w:ascii="宋体" w:hAnsi="宋体" w:cs="宋体"/>
                <w:color w:val="auto"/>
                <w:szCs w:val="21"/>
                <w:highlight w:val="none"/>
              </w:rPr>
            </w:pPr>
          </w:p>
        </w:tc>
        <w:tc>
          <w:tcPr>
            <w:tcW w:w="2438" w:type="dxa"/>
            <w:vAlign w:val="center"/>
          </w:tcPr>
          <w:p w14:paraId="3A8B04E3">
            <w:pPr>
              <w:spacing w:line="360" w:lineRule="auto"/>
              <w:ind w:firstLine="422"/>
              <w:rPr>
                <w:rFonts w:ascii="宋体" w:hAnsi="宋体" w:cs="宋体"/>
                <w:color w:val="auto"/>
                <w:szCs w:val="21"/>
                <w:highlight w:val="none"/>
              </w:rPr>
            </w:pPr>
          </w:p>
        </w:tc>
        <w:tc>
          <w:tcPr>
            <w:tcW w:w="1743" w:type="dxa"/>
            <w:vAlign w:val="center"/>
          </w:tcPr>
          <w:p w14:paraId="2A770714">
            <w:pPr>
              <w:spacing w:line="360" w:lineRule="auto"/>
              <w:ind w:firstLine="422"/>
              <w:rPr>
                <w:rFonts w:ascii="宋体" w:hAnsi="宋体" w:cs="宋体"/>
                <w:color w:val="auto"/>
                <w:szCs w:val="21"/>
                <w:highlight w:val="none"/>
              </w:rPr>
            </w:pPr>
          </w:p>
        </w:tc>
      </w:tr>
      <w:tr w14:paraId="2A58F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6F344981">
            <w:pPr>
              <w:rPr>
                <w:rFonts w:ascii="宋体" w:hAnsi="宋体" w:cs="宋体"/>
                <w:color w:val="auto"/>
                <w:szCs w:val="21"/>
                <w:highlight w:val="none"/>
              </w:rPr>
            </w:pPr>
            <w:r>
              <w:rPr>
                <w:rFonts w:hint="eastAsia" w:ascii="宋体" w:hAnsi="宋体" w:cs="宋体"/>
                <w:color w:val="auto"/>
                <w:szCs w:val="21"/>
                <w:highlight w:val="none"/>
              </w:rPr>
              <w:t>3</w:t>
            </w:r>
          </w:p>
        </w:tc>
        <w:tc>
          <w:tcPr>
            <w:tcW w:w="1950" w:type="dxa"/>
            <w:vAlign w:val="center"/>
          </w:tcPr>
          <w:p w14:paraId="5EF1F89B">
            <w:pPr>
              <w:rPr>
                <w:rFonts w:ascii="宋体" w:hAnsi="宋体" w:cs="宋体"/>
                <w:color w:val="auto"/>
                <w:szCs w:val="21"/>
                <w:highlight w:val="none"/>
              </w:rPr>
            </w:pPr>
            <w:r>
              <w:rPr>
                <w:rFonts w:hint="eastAsia" w:ascii="宋体" w:hAnsi="宋体" w:cs="宋体"/>
                <w:color w:val="auto"/>
                <w:szCs w:val="21"/>
                <w:highlight w:val="none"/>
              </w:rPr>
              <w:t>合同条款</w:t>
            </w:r>
          </w:p>
        </w:tc>
        <w:tc>
          <w:tcPr>
            <w:tcW w:w="2438" w:type="dxa"/>
            <w:vAlign w:val="center"/>
          </w:tcPr>
          <w:p w14:paraId="49DA2DF2">
            <w:pPr>
              <w:spacing w:line="360" w:lineRule="auto"/>
              <w:ind w:firstLine="422"/>
              <w:rPr>
                <w:rFonts w:ascii="宋体" w:hAnsi="宋体" w:cs="宋体"/>
                <w:color w:val="auto"/>
                <w:szCs w:val="21"/>
                <w:highlight w:val="none"/>
              </w:rPr>
            </w:pPr>
          </w:p>
        </w:tc>
        <w:tc>
          <w:tcPr>
            <w:tcW w:w="2438" w:type="dxa"/>
            <w:vAlign w:val="center"/>
          </w:tcPr>
          <w:p w14:paraId="18B07F4A">
            <w:pPr>
              <w:spacing w:line="360" w:lineRule="auto"/>
              <w:ind w:firstLine="422"/>
              <w:rPr>
                <w:rFonts w:ascii="宋体" w:hAnsi="宋体" w:cs="宋体"/>
                <w:color w:val="auto"/>
                <w:szCs w:val="21"/>
                <w:highlight w:val="none"/>
              </w:rPr>
            </w:pPr>
          </w:p>
        </w:tc>
        <w:tc>
          <w:tcPr>
            <w:tcW w:w="1743" w:type="dxa"/>
            <w:vAlign w:val="center"/>
          </w:tcPr>
          <w:p w14:paraId="6C3D4CC6">
            <w:pPr>
              <w:spacing w:line="360" w:lineRule="auto"/>
              <w:ind w:firstLine="422"/>
              <w:rPr>
                <w:rFonts w:ascii="宋体" w:hAnsi="宋体" w:cs="宋体"/>
                <w:color w:val="auto"/>
                <w:szCs w:val="21"/>
                <w:highlight w:val="none"/>
              </w:rPr>
            </w:pPr>
          </w:p>
        </w:tc>
      </w:tr>
      <w:tr w14:paraId="2ECA7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31D1B7DA">
            <w:pPr>
              <w:rPr>
                <w:rFonts w:ascii="宋体" w:hAnsi="宋体" w:cs="宋体"/>
                <w:color w:val="auto"/>
                <w:szCs w:val="21"/>
                <w:highlight w:val="none"/>
              </w:rPr>
            </w:pPr>
            <w:r>
              <w:rPr>
                <w:rFonts w:hint="eastAsia" w:ascii="宋体" w:hAnsi="宋体" w:cs="宋体"/>
                <w:color w:val="auto"/>
                <w:szCs w:val="21"/>
                <w:highlight w:val="none"/>
              </w:rPr>
              <w:t>4</w:t>
            </w:r>
          </w:p>
        </w:tc>
        <w:tc>
          <w:tcPr>
            <w:tcW w:w="1950" w:type="dxa"/>
            <w:vAlign w:val="center"/>
          </w:tcPr>
          <w:p w14:paraId="2A536104">
            <w:pPr>
              <w:rPr>
                <w:rFonts w:ascii="宋体" w:hAnsi="宋体" w:cs="宋体"/>
                <w:color w:val="auto"/>
                <w:szCs w:val="21"/>
                <w:highlight w:val="none"/>
              </w:rPr>
            </w:pPr>
          </w:p>
        </w:tc>
        <w:tc>
          <w:tcPr>
            <w:tcW w:w="2438" w:type="dxa"/>
            <w:vAlign w:val="center"/>
          </w:tcPr>
          <w:p w14:paraId="23804D65">
            <w:pPr>
              <w:spacing w:line="360" w:lineRule="auto"/>
              <w:ind w:firstLine="422"/>
              <w:rPr>
                <w:rFonts w:ascii="宋体" w:hAnsi="宋体" w:cs="宋体"/>
                <w:color w:val="auto"/>
                <w:szCs w:val="21"/>
                <w:highlight w:val="none"/>
              </w:rPr>
            </w:pPr>
          </w:p>
        </w:tc>
        <w:tc>
          <w:tcPr>
            <w:tcW w:w="2438" w:type="dxa"/>
            <w:vAlign w:val="center"/>
          </w:tcPr>
          <w:p w14:paraId="3469FAEC">
            <w:pPr>
              <w:spacing w:line="360" w:lineRule="auto"/>
              <w:ind w:firstLine="422"/>
              <w:rPr>
                <w:rFonts w:ascii="宋体" w:hAnsi="宋体" w:cs="宋体"/>
                <w:color w:val="auto"/>
                <w:szCs w:val="21"/>
                <w:highlight w:val="none"/>
              </w:rPr>
            </w:pPr>
          </w:p>
        </w:tc>
        <w:tc>
          <w:tcPr>
            <w:tcW w:w="1743" w:type="dxa"/>
            <w:vAlign w:val="center"/>
          </w:tcPr>
          <w:p w14:paraId="66EFAD36">
            <w:pPr>
              <w:spacing w:line="360" w:lineRule="auto"/>
              <w:ind w:firstLine="422"/>
              <w:rPr>
                <w:rFonts w:ascii="宋体" w:hAnsi="宋体" w:cs="宋体"/>
                <w:color w:val="auto"/>
                <w:szCs w:val="21"/>
                <w:highlight w:val="none"/>
              </w:rPr>
            </w:pPr>
          </w:p>
        </w:tc>
      </w:tr>
      <w:tr w14:paraId="0266E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4E11DA7B">
            <w:pPr>
              <w:rPr>
                <w:rFonts w:ascii="宋体" w:hAnsi="宋体" w:cs="宋体"/>
                <w:color w:val="auto"/>
                <w:szCs w:val="21"/>
                <w:highlight w:val="none"/>
              </w:rPr>
            </w:pPr>
            <w:r>
              <w:rPr>
                <w:rFonts w:hint="eastAsia" w:ascii="宋体" w:hAnsi="宋体" w:cs="宋体"/>
                <w:color w:val="auto"/>
                <w:szCs w:val="21"/>
                <w:highlight w:val="none"/>
              </w:rPr>
              <w:t>...</w:t>
            </w:r>
          </w:p>
        </w:tc>
        <w:tc>
          <w:tcPr>
            <w:tcW w:w="1950" w:type="dxa"/>
            <w:vAlign w:val="center"/>
          </w:tcPr>
          <w:p w14:paraId="2125A2AA">
            <w:pPr>
              <w:rPr>
                <w:rFonts w:ascii="宋体" w:hAnsi="宋体" w:cs="宋体"/>
                <w:color w:val="auto"/>
                <w:szCs w:val="21"/>
                <w:highlight w:val="none"/>
              </w:rPr>
            </w:pPr>
          </w:p>
        </w:tc>
        <w:tc>
          <w:tcPr>
            <w:tcW w:w="2438" w:type="dxa"/>
            <w:vAlign w:val="center"/>
          </w:tcPr>
          <w:p w14:paraId="31D047BE">
            <w:pPr>
              <w:spacing w:line="360" w:lineRule="auto"/>
              <w:ind w:firstLine="422"/>
              <w:rPr>
                <w:rFonts w:ascii="宋体" w:hAnsi="宋体" w:cs="宋体"/>
                <w:color w:val="auto"/>
                <w:szCs w:val="21"/>
                <w:highlight w:val="none"/>
              </w:rPr>
            </w:pPr>
          </w:p>
        </w:tc>
        <w:tc>
          <w:tcPr>
            <w:tcW w:w="2438" w:type="dxa"/>
            <w:vAlign w:val="center"/>
          </w:tcPr>
          <w:p w14:paraId="0259DCD3">
            <w:pPr>
              <w:spacing w:line="360" w:lineRule="auto"/>
              <w:ind w:firstLine="422"/>
              <w:rPr>
                <w:rFonts w:ascii="宋体" w:hAnsi="宋体" w:cs="宋体"/>
                <w:color w:val="auto"/>
                <w:szCs w:val="21"/>
                <w:highlight w:val="none"/>
              </w:rPr>
            </w:pPr>
          </w:p>
        </w:tc>
        <w:tc>
          <w:tcPr>
            <w:tcW w:w="1743" w:type="dxa"/>
            <w:vAlign w:val="center"/>
          </w:tcPr>
          <w:p w14:paraId="0073AD83">
            <w:pPr>
              <w:spacing w:line="360" w:lineRule="auto"/>
              <w:ind w:firstLine="422"/>
              <w:rPr>
                <w:rFonts w:ascii="宋体" w:hAnsi="宋体" w:cs="宋体"/>
                <w:color w:val="auto"/>
                <w:szCs w:val="21"/>
                <w:highlight w:val="none"/>
              </w:rPr>
            </w:pPr>
          </w:p>
        </w:tc>
      </w:tr>
      <w:tr w14:paraId="63789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19" w:type="dxa"/>
            <w:vAlign w:val="center"/>
          </w:tcPr>
          <w:p w14:paraId="0473311F">
            <w:pPr>
              <w:spacing w:line="360" w:lineRule="auto"/>
              <w:ind w:firstLine="422"/>
              <w:rPr>
                <w:rFonts w:ascii="宋体" w:hAnsi="宋体" w:cs="宋体"/>
                <w:color w:val="auto"/>
                <w:szCs w:val="21"/>
                <w:highlight w:val="none"/>
              </w:rPr>
            </w:pPr>
          </w:p>
        </w:tc>
        <w:tc>
          <w:tcPr>
            <w:tcW w:w="1950" w:type="dxa"/>
            <w:vAlign w:val="center"/>
          </w:tcPr>
          <w:p w14:paraId="662AFD2E">
            <w:pPr>
              <w:spacing w:line="360" w:lineRule="auto"/>
              <w:ind w:firstLine="422"/>
              <w:rPr>
                <w:rFonts w:ascii="宋体" w:hAnsi="宋体" w:cs="宋体"/>
                <w:color w:val="auto"/>
                <w:szCs w:val="21"/>
                <w:highlight w:val="none"/>
              </w:rPr>
            </w:pPr>
          </w:p>
        </w:tc>
        <w:tc>
          <w:tcPr>
            <w:tcW w:w="2438" w:type="dxa"/>
            <w:vAlign w:val="center"/>
          </w:tcPr>
          <w:p w14:paraId="2FBFC033">
            <w:pPr>
              <w:spacing w:line="360" w:lineRule="auto"/>
              <w:ind w:firstLine="422"/>
              <w:rPr>
                <w:rFonts w:ascii="宋体" w:hAnsi="宋体" w:cs="宋体"/>
                <w:color w:val="auto"/>
                <w:szCs w:val="21"/>
                <w:highlight w:val="none"/>
              </w:rPr>
            </w:pPr>
          </w:p>
        </w:tc>
        <w:tc>
          <w:tcPr>
            <w:tcW w:w="2438" w:type="dxa"/>
            <w:vAlign w:val="center"/>
          </w:tcPr>
          <w:p w14:paraId="4F9B8F98">
            <w:pPr>
              <w:spacing w:line="360" w:lineRule="auto"/>
              <w:ind w:firstLine="422"/>
              <w:rPr>
                <w:rFonts w:ascii="宋体" w:hAnsi="宋体" w:cs="宋体"/>
                <w:color w:val="auto"/>
                <w:szCs w:val="21"/>
                <w:highlight w:val="none"/>
              </w:rPr>
            </w:pPr>
          </w:p>
        </w:tc>
        <w:tc>
          <w:tcPr>
            <w:tcW w:w="1743" w:type="dxa"/>
            <w:vAlign w:val="center"/>
          </w:tcPr>
          <w:p w14:paraId="39C3EC39">
            <w:pPr>
              <w:spacing w:line="360" w:lineRule="auto"/>
              <w:ind w:firstLine="422"/>
              <w:rPr>
                <w:rFonts w:ascii="宋体" w:hAnsi="宋体" w:cs="宋体"/>
                <w:color w:val="auto"/>
                <w:szCs w:val="21"/>
                <w:highlight w:val="none"/>
              </w:rPr>
            </w:pPr>
          </w:p>
        </w:tc>
      </w:tr>
      <w:tr w14:paraId="2999D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45F5B16">
            <w:pPr>
              <w:spacing w:line="360" w:lineRule="auto"/>
              <w:ind w:firstLine="422"/>
              <w:rPr>
                <w:rFonts w:ascii="宋体" w:hAnsi="宋体" w:cs="宋体"/>
                <w:color w:val="auto"/>
                <w:szCs w:val="21"/>
                <w:highlight w:val="none"/>
              </w:rPr>
            </w:pPr>
          </w:p>
        </w:tc>
        <w:tc>
          <w:tcPr>
            <w:tcW w:w="1950" w:type="dxa"/>
            <w:vAlign w:val="center"/>
          </w:tcPr>
          <w:p w14:paraId="5CF39632">
            <w:pPr>
              <w:spacing w:line="360" w:lineRule="auto"/>
              <w:ind w:firstLine="422"/>
              <w:rPr>
                <w:rFonts w:ascii="宋体" w:hAnsi="宋体" w:cs="宋体"/>
                <w:color w:val="auto"/>
                <w:szCs w:val="21"/>
                <w:highlight w:val="none"/>
              </w:rPr>
            </w:pPr>
          </w:p>
        </w:tc>
        <w:tc>
          <w:tcPr>
            <w:tcW w:w="2438" w:type="dxa"/>
            <w:vAlign w:val="center"/>
          </w:tcPr>
          <w:p w14:paraId="0A0A5C98">
            <w:pPr>
              <w:spacing w:line="360" w:lineRule="auto"/>
              <w:ind w:firstLine="422"/>
              <w:rPr>
                <w:rFonts w:ascii="宋体" w:hAnsi="宋体" w:cs="宋体"/>
                <w:color w:val="auto"/>
                <w:szCs w:val="21"/>
                <w:highlight w:val="none"/>
              </w:rPr>
            </w:pPr>
          </w:p>
        </w:tc>
        <w:tc>
          <w:tcPr>
            <w:tcW w:w="2438" w:type="dxa"/>
            <w:vAlign w:val="center"/>
          </w:tcPr>
          <w:p w14:paraId="5F48D30A">
            <w:pPr>
              <w:spacing w:line="360" w:lineRule="auto"/>
              <w:ind w:firstLine="422"/>
              <w:rPr>
                <w:rFonts w:ascii="宋体" w:hAnsi="宋体" w:cs="宋体"/>
                <w:color w:val="auto"/>
                <w:szCs w:val="21"/>
                <w:highlight w:val="none"/>
              </w:rPr>
            </w:pPr>
          </w:p>
        </w:tc>
        <w:tc>
          <w:tcPr>
            <w:tcW w:w="1743" w:type="dxa"/>
            <w:vAlign w:val="center"/>
          </w:tcPr>
          <w:p w14:paraId="2BC4958A">
            <w:pPr>
              <w:spacing w:line="360" w:lineRule="auto"/>
              <w:ind w:firstLine="422"/>
              <w:rPr>
                <w:rFonts w:ascii="宋体" w:hAnsi="宋体" w:cs="宋体"/>
                <w:color w:val="auto"/>
                <w:szCs w:val="21"/>
                <w:highlight w:val="none"/>
              </w:rPr>
            </w:pPr>
          </w:p>
        </w:tc>
      </w:tr>
      <w:tr w14:paraId="27751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567D99F">
            <w:pPr>
              <w:spacing w:line="360" w:lineRule="auto"/>
              <w:ind w:firstLine="422"/>
              <w:rPr>
                <w:rFonts w:ascii="宋体" w:hAnsi="宋体" w:cs="宋体"/>
                <w:color w:val="auto"/>
                <w:szCs w:val="21"/>
                <w:highlight w:val="none"/>
              </w:rPr>
            </w:pPr>
          </w:p>
        </w:tc>
        <w:tc>
          <w:tcPr>
            <w:tcW w:w="1950" w:type="dxa"/>
            <w:vAlign w:val="center"/>
          </w:tcPr>
          <w:p w14:paraId="4D0D8BD4">
            <w:pPr>
              <w:spacing w:line="360" w:lineRule="auto"/>
              <w:ind w:firstLine="422"/>
              <w:rPr>
                <w:rFonts w:ascii="宋体" w:hAnsi="宋体" w:cs="宋体"/>
                <w:color w:val="auto"/>
                <w:szCs w:val="21"/>
                <w:highlight w:val="none"/>
              </w:rPr>
            </w:pPr>
          </w:p>
        </w:tc>
        <w:tc>
          <w:tcPr>
            <w:tcW w:w="2438" w:type="dxa"/>
            <w:vAlign w:val="center"/>
          </w:tcPr>
          <w:p w14:paraId="59A062FD">
            <w:pPr>
              <w:spacing w:line="360" w:lineRule="auto"/>
              <w:ind w:firstLine="422"/>
              <w:rPr>
                <w:rFonts w:ascii="宋体" w:hAnsi="宋体" w:cs="宋体"/>
                <w:color w:val="auto"/>
                <w:szCs w:val="21"/>
                <w:highlight w:val="none"/>
              </w:rPr>
            </w:pPr>
          </w:p>
        </w:tc>
        <w:tc>
          <w:tcPr>
            <w:tcW w:w="2438" w:type="dxa"/>
            <w:vAlign w:val="center"/>
          </w:tcPr>
          <w:p w14:paraId="72AB72D7">
            <w:pPr>
              <w:spacing w:line="360" w:lineRule="auto"/>
              <w:ind w:firstLine="422"/>
              <w:rPr>
                <w:rFonts w:ascii="宋体" w:hAnsi="宋体" w:cs="宋体"/>
                <w:color w:val="auto"/>
                <w:szCs w:val="21"/>
                <w:highlight w:val="none"/>
              </w:rPr>
            </w:pPr>
          </w:p>
        </w:tc>
        <w:tc>
          <w:tcPr>
            <w:tcW w:w="1743" w:type="dxa"/>
            <w:vAlign w:val="center"/>
          </w:tcPr>
          <w:p w14:paraId="4162CD37">
            <w:pPr>
              <w:spacing w:line="360" w:lineRule="auto"/>
              <w:ind w:firstLine="422"/>
              <w:rPr>
                <w:rFonts w:ascii="宋体" w:hAnsi="宋体" w:cs="宋体"/>
                <w:color w:val="auto"/>
                <w:szCs w:val="21"/>
                <w:highlight w:val="none"/>
              </w:rPr>
            </w:pPr>
          </w:p>
        </w:tc>
      </w:tr>
      <w:tr w14:paraId="0FCBC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73670031">
            <w:pPr>
              <w:spacing w:line="360" w:lineRule="auto"/>
              <w:ind w:firstLine="422"/>
              <w:rPr>
                <w:rFonts w:ascii="宋体" w:hAnsi="宋体" w:cs="宋体"/>
                <w:color w:val="auto"/>
                <w:szCs w:val="21"/>
                <w:highlight w:val="none"/>
              </w:rPr>
            </w:pPr>
          </w:p>
        </w:tc>
        <w:tc>
          <w:tcPr>
            <w:tcW w:w="1950" w:type="dxa"/>
            <w:vAlign w:val="center"/>
          </w:tcPr>
          <w:p w14:paraId="10A17537">
            <w:pPr>
              <w:spacing w:line="360" w:lineRule="auto"/>
              <w:ind w:firstLine="422"/>
              <w:rPr>
                <w:rFonts w:ascii="宋体" w:hAnsi="宋体" w:cs="宋体"/>
                <w:color w:val="auto"/>
                <w:szCs w:val="21"/>
                <w:highlight w:val="none"/>
              </w:rPr>
            </w:pPr>
          </w:p>
        </w:tc>
        <w:tc>
          <w:tcPr>
            <w:tcW w:w="2438" w:type="dxa"/>
            <w:vAlign w:val="center"/>
          </w:tcPr>
          <w:p w14:paraId="1078E0C9">
            <w:pPr>
              <w:spacing w:line="360" w:lineRule="auto"/>
              <w:ind w:firstLine="422"/>
              <w:rPr>
                <w:rFonts w:ascii="宋体" w:hAnsi="宋体" w:cs="宋体"/>
                <w:color w:val="auto"/>
                <w:szCs w:val="21"/>
                <w:highlight w:val="none"/>
              </w:rPr>
            </w:pPr>
          </w:p>
        </w:tc>
        <w:tc>
          <w:tcPr>
            <w:tcW w:w="2438" w:type="dxa"/>
            <w:vAlign w:val="center"/>
          </w:tcPr>
          <w:p w14:paraId="25CD1D04">
            <w:pPr>
              <w:spacing w:line="360" w:lineRule="auto"/>
              <w:ind w:firstLine="422"/>
              <w:rPr>
                <w:rFonts w:ascii="宋体" w:hAnsi="宋体" w:cs="宋体"/>
                <w:color w:val="auto"/>
                <w:szCs w:val="21"/>
                <w:highlight w:val="none"/>
              </w:rPr>
            </w:pPr>
          </w:p>
        </w:tc>
        <w:tc>
          <w:tcPr>
            <w:tcW w:w="1743" w:type="dxa"/>
            <w:vAlign w:val="center"/>
          </w:tcPr>
          <w:p w14:paraId="5F5AA187">
            <w:pPr>
              <w:spacing w:line="360" w:lineRule="auto"/>
              <w:ind w:firstLine="422"/>
              <w:rPr>
                <w:rFonts w:ascii="宋体" w:hAnsi="宋体" w:cs="宋体"/>
                <w:color w:val="auto"/>
                <w:szCs w:val="21"/>
                <w:highlight w:val="none"/>
              </w:rPr>
            </w:pPr>
          </w:p>
        </w:tc>
      </w:tr>
      <w:tr w14:paraId="763CF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7D0E98E4">
            <w:pPr>
              <w:spacing w:line="360" w:lineRule="auto"/>
              <w:ind w:firstLine="422"/>
              <w:rPr>
                <w:rFonts w:ascii="宋体" w:hAnsi="宋体" w:cs="宋体"/>
                <w:color w:val="auto"/>
                <w:szCs w:val="21"/>
                <w:highlight w:val="none"/>
              </w:rPr>
            </w:pPr>
          </w:p>
        </w:tc>
        <w:tc>
          <w:tcPr>
            <w:tcW w:w="1950" w:type="dxa"/>
            <w:vAlign w:val="center"/>
          </w:tcPr>
          <w:p w14:paraId="54CC00ED">
            <w:pPr>
              <w:spacing w:line="360" w:lineRule="auto"/>
              <w:ind w:firstLine="422"/>
              <w:rPr>
                <w:rFonts w:ascii="宋体" w:hAnsi="宋体" w:cs="宋体"/>
                <w:color w:val="auto"/>
                <w:szCs w:val="21"/>
                <w:highlight w:val="none"/>
              </w:rPr>
            </w:pPr>
          </w:p>
        </w:tc>
        <w:tc>
          <w:tcPr>
            <w:tcW w:w="2438" w:type="dxa"/>
            <w:vAlign w:val="center"/>
          </w:tcPr>
          <w:p w14:paraId="4D35B70D">
            <w:pPr>
              <w:spacing w:line="360" w:lineRule="auto"/>
              <w:ind w:firstLine="422"/>
              <w:rPr>
                <w:rFonts w:ascii="宋体" w:hAnsi="宋体" w:cs="宋体"/>
                <w:color w:val="auto"/>
                <w:szCs w:val="21"/>
                <w:highlight w:val="none"/>
              </w:rPr>
            </w:pPr>
          </w:p>
        </w:tc>
        <w:tc>
          <w:tcPr>
            <w:tcW w:w="2438" w:type="dxa"/>
            <w:vAlign w:val="center"/>
          </w:tcPr>
          <w:p w14:paraId="58C3232E">
            <w:pPr>
              <w:spacing w:line="360" w:lineRule="auto"/>
              <w:ind w:firstLine="422"/>
              <w:rPr>
                <w:rFonts w:ascii="宋体" w:hAnsi="宋体" w:cs="宋体"/>
                <w:color w:val="auto"/>
                <w:szCs w:val="21"/>
                <w:highlight w:val="none"/>
              </w:rPr>
            </w:pPr>
          </w:p>
        </w:tc>
        <w:tc>
          <w:tcPr>
            <w:tcW w:w="1743" w:type="dxa"/>
            <w:vAlign w:val="center"/>
          </w:tcPr>
          <w:p w14:paraId="7E2F53E2">
            <w:pPr>
              <w:spacing w:line="360" w:lineRule="auto"/>
              <w:ind w:firstLine="422"/>
              <w:rPr>
                <w:rFonts w:ascii="宋体" w:hAnsi="宋体" w:cs="宋体"/>
                <w:color w:val="auto"/>
                <w:szCs w:val="21"/>
                <w:highlight w:val="none"/>
              </w:rPr>
            </w:pPr>
          </w:p>
        </w:tc>
      </w:tr>
    </w:tbl>
    <w:p w14:paraId="6EF92B80">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注：投标人的投标文件（除服务要求部分）与招标文件规定的有偏离的，应在此表中说明。未在上表中说明的，如在投标文件其他内容中已有文字说明的，则以已有文字说明为准，否则，将被认为完全响应招标文件的规定。但该表不作为投标人对所投标服务关于商务条款等详细描述和说明的替代。</w:t>
      </w:r>
    </w:p>
    <w:p w14:paraId="7B93253C">
      <w:pPr>
        <w:spacing w:line="360" w:lineRule="auto"/>
        <w:ind w:firstLine="422"/>
        <w:rPr>
          <w:rFonts w:ascii="宋体" w:hAnsi="宋体" w:cs="宋体"/>
          <w:color w:val="auto"/>
          <w:szCs w:val="21"/>
          <w:highlight w:val="none"/>
        </w:rPr>
      </w:pPr>
    </w:p>
    <w:p w14:paraId="0B7909DD">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投标人：（签章）</w:t>
      </w:r>
    </w:p>
    <w:p w14:paraId="5B4C4D63">
      <w:pPr>
        <w:spacing w:line="360" w:lineRule="auto"/>
        <w:ind w:firstLine="422"/>
        <w:rPr>
          <w:rFonts w:ascii="宋体" w:hAnsi="宋体" w:cs="宋体"/>
          <w:color w:val="auto"/>
          <w:szCs w:val="21"/>
          <w:highlight w:val="non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szCs w:val="21"/>
          <w:highlight w:val="none"/>
        </w:rPr>
        <w:t>日期：         年         月       日</w:t>
      </w:r>
    </w:p>
    <w:p w14:paraId="00EB38DA">
      <w:pPr>
        <w:widowControl/>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、针对本项目的人员配置表</w:t>
      </w:r>
    </w:p>
    <w:p w14:paraId="74A4CCAD">
      <w:pPr>
        <w:spacing w:line="360" w:lineRule="auto"/>
        <w:ind w:firstLine="500"/>
        <w:jc w:val="center"/>
        <w:rPr>
          <w:rFonts w:ascii="宋体" w:hAnsi="宋体" w:cs="宋体"/>
          <w:b/>
          <w:bCs/>
          <w:color w:val="auto"/>
          <w:spacing w:val="20"/>
          <w:szCs w:val="21"/>
          <w:highlight w:val="none"/>
        </w:rPr>
      </w:pPr>
    </w:p>
    <w:p w14:paraId="680C48E2">
      <w:pPr>
        <w:spacing w:line="360" w:lineRule="auto"/>
        <w:ind w:firstLine="502"/>
        <w:jc w:val="center"/>
        <w:rPr>
          <w:rFonts w:ascii="宋体" w:hAnsi="宋体" w:cs="宋体"/>
          <w:b/>
          <w:bCs/>
          <w:color w:val="auto"/>
          <w:szCs w:val="21"/>
          <w:highlight w:val="none"/>
        </w:rPr>
      </w:pPr>
      <w:r>
        <w:rPr>
          <w:rFonts w:hint="eastAsia" w:ascii="宋体" w:hAnsi="宋体" w:cs="宋体"/>
          <w:b/>
          <w:bCs/>
          <w:color w:val="auto"/>
          <w:spacing w:val="20"/>
          <w:szCs w:val="21"/>
          <w:highlight w:val="none"/>
        </w:rPr>
        <w:t>针对本项目的人员配置表</w:t>
      </w:r>
    </w:p>
    <w:p w14:paraId="2AE719CE">
      <w:pPr>
        <w:autoSpaceDE w:val="0"/>
        <w:autoSpaceDN w:val="0"/>
        <w:adjustRightInd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项目编号：         号                        项目名称：</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8"/>
        <w:gridCol w:w="991"/>
        <w:gridCol w:w="825"/>
        <w:gridCol w:w="1434"/>
        <w:gridCol w:w="975"/>
        <w:gridCol w:w="950"/>
        <w:gridCol w:w="858"/>
        <w:gridCol w:w="1380"/>
        <w:gridCol w:w="967"/>
      </w:tblGrid>
      <w:tr w14:paraId="5D425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585236EE">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991" w:type="dxa"/>
            <w:tcBorders>
              <w:top w:val="single" w:color="auto" w:sz="4" w:space="0"/>
              <w:left w:val="single" w:color="auto" w:sz="4" w:space="0"/>
              <w:bottom w:val="single" w:color="auto" w:sz="4" w:space="0"/>
              <w:right w:val="single" w:color="auto" w:sz="4" w:space="0"/>
            </w:tcBorders>
            <w:vAlign w:val="center"/>
          </w:tcPr>
          <w:p w14:paraId="7979878A">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姓名</w:t>
            </w:r>
          </w:p>
        </w:tc>
        <w:tc>
          <w:tcPr>
            <w:tcW w:w="825" w:type="dxa"/>
            <w:tcBorders>
              <w:top w:val="single" w:color="auto" w:sz="4" w:space="0"/>
              <w:left w:val="single" w:color="auto" w:sz="4" w:space="0"/>
              <w:bottom w:val="single" w:color="auto" w:sz="4" w:space="0"/>
              <w:right w:val="single" w:color="auto" w:sz="4" w:space="0"/>
            </w:tcBorders>
            <w:vAlign w:val="center"/>
          </w:tcPr>
          <w:p w14:paraId="5EE45B6C">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性别</w:t>
            </w:r>
          </w:p>
        </w:tc>
        <w:tc>
          <w:tcPr>
            <w:tcW w:w="1434" w:type="dxa"/>
            <w:tcBorders>
              <w:top w:val="single" w:color="auto" w:sz="4" w:space="0"/>
              <w:left w:val="single" w:color="auto" w:sz="4" w:space="0"/>
              <w:bottom w:val="single" w:color="auto" w:sz="4" w:space="0"/>
              <w:right w:val="single" w:color="auto" w:sz="4" w:space="0"/>
            </w:tcBorders>
            <w:vAlign w:val="center"/>
          </w:tcPr>
          <w:p w14:paraId="48149E59">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身份证号码</w:t>
            </w:r>
          </w:p>
        </w:tc>
        <w:tc>
          <w:tcPr>
            <w:tcW w:w="975" w:type="dxa"/>
            <w:tcBorders>
              <w:top w:val="single" w:color="auto" w:sz="4" w:space="0"/>
              <w:left w:val="single" w:color="auto" w:sz="4" w:space="0"/>
              <w:bottom w:val="single" w:color="auto" w:sz="4" w:space="0"/>
              <w:right w:val="single" w:color="auto" w:sz="4" w:space="0"/>
            </w:tcBorders>
            <w:vAlign w:val="center"/>
          </w:tcPr>
          <w:p w14:paraId="1A9ED0CA">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学历</w:t>
            </w:r>
          </w:p>
        </w:tc>
        <w:tc>
          <w:tcPr>
            <w:tcW w:w="950" w:type="dxa"/>
            <w:tcBorders>
              <w:top w:val="single" w:color="auto" w:sz="4" w:space="0"/>
              <w:left w:val="single" w:color="auto" w:sz="4" w:space="0"/>
              <w:bottom w:val="single" w:color="auto" w:sz="4" w:space="0"/>
              <w:right w:val="single" w:color="auto" w:sz="4" w:space="0"/>
            </w:tcBorders>
            <w:vAlign w:val="center"/>
          </w:tcPr>
          <w:p w14:paraId="3C318907">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专业</w:t>
            </w:r>
          </w:p>
        </w:tc>
        <w:tc>
          <w:tcPr>
            <w:tcW w:w="858" w:type="dxa"/>
            <w:tcBorders>
              <w:top w:val="single" w:color="auto" w:sz="4" w:space="0"/>
              <w:left w:val="single" w:color="auto" w:sz="4" w:space="0"/>
              <w:bottom w:val="single" w:color="auto" w:sz="4" w:space="0"/>
              <w:right w:val="single" w:color="auto" w:sz="4" w:space="0"/>
            </w:tcBorders>
            <w:vAlign w:val="center"/>
          </w:tcPr>
          <w:p w14:paraId="12F61EAC">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职称</w:t>
            </w:r>
          </w:p>
        </w:tc>
        <w:tc>
          <w:tcPr>
            <w:tcW w:w="1380" w:type="dxa"/>
            <w:tcBorders>
              <w:top w:val="single" w:color="auto" w:sz="4" w:space="0"/>
              <w:left w:val="single" w:color="auto" w:sz="4" w:space="0"/>
              <w:bottom w:val="single" w:color="auto" w:sz="4" w:space="0"/>
              <w:right w:val="single" w:color="auto" w:sz="4" w:space="0"/>
            </w:tcBorders>
            <w:vAlign w:val="center"/>
          </w:tcPr>
          <w:p w14:paraId="11C96A97">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责任</w:t>
            </w:r>
          </w:p>
          <w:p w14:paraId="2E9C280E">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或分工</w:t>
            </w:r>
          </w:p>
        </w:tc>
        <w:tc>
          <w:tcPr>
            <w:tcW w:w="967" w:type="dxa"/>
            <w:tcBorders>
              <w:top w:val="single" w:color="auto" w:sz="4" w:space="0"/>
              <w:left w:val="single" w:color="auto" w:sz="4" w:space="0"/>
              <w:bottom w:val="single" w:color="auto" w:sz="4" w:space="0"/>
              <w:right w:val="single" w:color="auto" w:sz="4" w:space="0"/>
            </w:tcBorders>
            <w:vAlign w:val="center"/>
          </w:tcPr>
          <w:p w14:paraId="0E45705F">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备注</w:t>
            </w:r>
          </w:p>
        </w:tc>
      </w:tr>
      <w:tr w14:paraId="77744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2FBF8673">
            <w:pPr>
              <w:tabs>
                <w:tab w:val="left" w:pos="9765"/>
              </w:tabs>
              <w:spacing w:line="360" w:lineRule="auto"/>
              <w:ind w:firstLine="422"/>
              <w:jc w:val="center"/>
              <w:rPr>
                <w:rFonts w:ascii="宋体" w:hAnsi="宋体" w:cs="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10E88F9E">
            <w:pPr>
              <w:spacing w:line="360" w:lineRule="auto"/>
              <w:ind w:firstLine="422"/>
              <w:jc w:val="center"/>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33D114E7">
            <w:pPr>
              <w:tabs>
                <w:tab w:val="left" w:pos="9765"/>
              </w:tabs>
              <w:spacing w:line="360" w:lineRule="auto"/>
              <w:ind w:firstLine="422"/>
              <w:rPr>
                <w:rFonts w:ascii="宋体" w:hAnsi="宋体" w:cs="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343D42AA">
            <w:pPr>
              <w:tabs>
                <w:tab w:val="left" w:pos="9765"/>
              </w:tabs>
              <w:spacing w:line="360" w:lineRule="auto"/>
              <w:ind w:firstLine="422"/>
              <w:rPr>
                <w:rFonts w:ascii="宋体" w:hAnsi="宋体" w:cs="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72694B68">
            <w:pPr>
              <w:tabs>
                <w:tab w:val="left" w:pos="9765"/>
              </w:tabs>
              <w:spacing w:line="360" w:lineRule="auto"/>
              <w:ind w:firstLine="422"/>
              <w:rPr>
                <w:rFonts w:ascii="宋体" w:hAnsi="宋体" w:cs="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4368B7E0">
            <w:pPr>
              <w:tabs>
                <w:tab w:val="left" w:pos="9765"/>
              </w:tabs>
              <w:spacing w:line="360" w:lineRule="auto"/>
              <w:ind w:firstLine="422"/>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77054644">
            <w:pPr>
              <w:tabs>
                <w:tab w:val="left" w:pos="9765"/>
              </w:tabs>
              <w:spacing w:line="360" w:lineRule="auto"/>
              <w:ind w:firstLine="422"/>
              <w:rPr>
                <w:rFonts w:ascii="宋体" w:hAnsi="宋体" w:cs="宋体"/>
                <w:color w:val="auto"/>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69F3C56">
            <w:pPr>
              <w:tabs>
                <w:tab w:val="left" w:pos="9765"/>
              </w:tabs>
              <w:spacing w:line="360" w:lineRule="auto"/>
              <w:ind w:firstLine="422"/>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54F19F69">
            <w:pPr>
              <w:tabs>
                <w:tab w:val="left" w:pos="9765"/>
              </w:tabs>
              <w:spacing w:line="360" w:lineRule="auto"/>
              <w:ind w:firstLine="422"/>
              <w:rPr>
                <w:rFonts w:ascii="宋体" w:hAnsi="宋体" w:cs="宋体"/>
                <w:color w:val="auto"/>
                <w:szCs w:val="21"/>
                <w:highlight w:val="none"/>
              </w:rPr>
            </w:pPr>
          </w:p>
        </w:tc>
      </w:tr>
      <w:tr w14:paraId="18315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523F3BF6">
            <w:pPr>
              <w:tabs>
                <w:tab w:val="left" w:pos="9765"/>
              </w:tabs>
              <w:spacing w:line="360" w:lineRule="auto"/>
              <w:ind w:firstLine="422"/>
              <w:jc w:val="center"/>
              <w:rPr>
                <w:rFonts w:ascii="宋体" w:hAnsi="宋体" w:cs="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5DE09F2">
            <w:pPr>
              <w:spacing w:line="360" w:lineRule="auto"/>
              <w:ind w:firstLine="422"/>
              <w:jc w:val="center"/>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3AB47D14">
            <w:pPr>
              <w:tabs>
                <w:tab w:val="left" w:pos="9765"/>
              </w:tabs>
              <w:spacing w:line="360" w:lineRule="auto"/>
              <w:ind w:firstLine="422"/>
              <w:rPr>
                <w:rFonts w:ascii="宋体" w:hAnsi="宋体" w:cs="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162AC8BB">
            <w:pPr>
              <w:tabs>
                <w:tab w:val="left" w:pos="9765"/>
              </w:tabs>
              <w:spacing w:line="360" w:lineRule="auto"/>
              <w:ind w:firstLine="422"/>
              <w:rPr>
                <w:rFonts w:ascii="宋体" w:hAnsi="宋体" w:cs="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AB9C195">
            <w:pPr>
              <w:tabs>
                <w:tab w:val="left" w:pos="9765"/>
              </w:tabs>
              <w:spacing w:line="360" w:lineRule="auto"/>
              <w:ind w:firstLine="422"/>
              <w:rPr>
                <w:rFonts w:ascii="宋体" w:hAnsi="宋体" w:cs="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06C47C5">
            <w:pPr>
              <w:tabs>
                <w:tab w:val="left" w:pos="9765"/>
              </w:tabs>
              <w:spacing w:line="360" w:lineRule="auto"/>
              <w:ind w:firstLine="422"/>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69BBC784">
            <w:pPr>
              <w:tabs>
                <w:tab w:val="left" w:pos="9765"/>
              </w:tabs>
              <w:spacing w:line="360" w:lineRule="auto"/>
              <w:ind w:firstLine="422"/>
              <w:rPr>
                <w:rFonts w:ascii="宋体" w:hAnsi="宋体" w:cs="宋体"/>
                <w:color w:val="auto"/>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B85EC1D">
            <w:pPr>
              <w:tabs>
                <w:tab w:val="left" w:pos="9765"/>
              </w:tabs>
              <w:spacing w:line="360" w:lineRule="auto"/>
              <w:ind w:firstLine="422"/>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34078CB1">
            <w:pPr>
              <w:tabs>
                <w:tab w:val="left" w:pos="9765"/>
              </w:tabs>
              <w:spacing w:line="360" w:lineRule="auto"/>
              <w:ind w:firstLine="422"/>
              <w:rPr>
                <w:rFonts w:ascii="宋体" w:hAnsi="宋体" w:cs="宋体"/>
                <w:color w:val="auto"/>
                <w:szCs w:val="21"/>
                <w:highlight w:val="none"/>
              </w:rPr>
            </w:pPr>
          </w:p>
        </w:tc>
      </w:tr>
      <w:tr w14:paraId="28352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3899980C">
            <w:pPr>
              <w:tabs>
                <w:tab w:val="left" w:pos="9765"/>
              </w:tabs>
              <w:spacing w:line="360" w:lineRule="auto"/>
              <w:ind w:firstLine="422"/>
              <w:jc w:val="center"/>
              <w:rPr>
                <w:rFonts w:ascii="宋体" w:hAnsi="宋体" w:cs="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3DC41709">
            <w:pPr>
              <w:spacing w:line="360" w:lineRule="auto"/>
              <w:ind w:firstLine="422"/>
              <w:jc w:val="center"/>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65E0D9F6">
            <w:pPr>
              <w:tabs>
                <w:tab w:val="left" w:pos="9765"/>
              </w:tabs>
              <w:spacing w:line="360" w:lineRule="auto"/>
              <w:ind w:firstLine="422"/>
              <w:rPr>
                <w:rFonts w:ascii="宋体" w:hAnsi="宋体" w:cs="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139F6A4D">
            <w:pPr>
              <w:tabs>
                <w:tab w:val="left" w:pos="9765"/>
              </w:tabs>
              <w:spacing w:line="360" w:lineRule="auto"/>
              <w:ind w:firstLine="422"/>
              <w:rPr>
                <w:rFonts w:ascii="宋体" w:hAnsi="宋体" w:cs="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5072310">
            <w:pPr>
              <w:tabs>
                <w:tab w:val="left" w:pos="9765"/>
              </w:tabs>
              <w:spacing w:line="360" w:lineRule="auto"/>
              <w:ind w:firstLine="422"/>
              <w:rPr>
                <w:rFonts w:ascii="宋体" w:hAnsi="宋体" w:cs="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C452D35">
            <w:pPr>
              <w:tabs>
                <w:tab w:val="left" w:pos="9765"/>
              </w:tabs>
              <w:spacing w:line="360" w:lineRule="auto"/>
              <w:ind w:firstLine="422"/>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1B94BDBC">
            <w:pPr>
              <w:tabs>
                <w:tab w:val="left" w:pos="9765"/>
              </w:tabs>
              <w:spacing w:line="360" w:lineRule="auto"/>
              <w:ind w:firstLine="422"/>
              <w:rPr>
                <w:rFonts w:ascii="宋体" w:hAnsi="宋体" w:cs="宋体"/>
                <w:color w:val="auto"/>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DA03F09">
            <w:pPr>
              <w:tabs>
                <w:tab w:val="left" w:pos="9765"/>
              </w:tabs>
              <w:spacing w:line="360" w:lineRule="auto"/>
              <w:ind w:firstLine="422"/>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1D444D81">
            <w:pPr>
              <w:tabs>
                <w:tab w:val="left" w:pos="9765"/>
              </w:tabs>
              <w:spacing w:line="360" w:lineRule="auto"/>
              <w:ind w:firstLine="422"/>
              <w:rPr>
                <w:rFonts w:ascii="宋体" w:hAnsi="宋体" w:cs="宋体"/>
                <w:color w:val="auto"/>
                <w:szCs w:val="21"/>
                <w:highlight w:val="none"/>
              </w:rPr>
            </w:pPr>
          </w:p>
        </w:tc>
      </w:tr>
      <w:tr w14:paraId="41B57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30CEFF31">
            <w:pPr>
              <w:tabs>
                <w:tab w:val="left" w:pos="9765"/>
              </w:tabs>
              <w:spacing w:line="360" w:lineRule="auto"/>
              <w:ind w:firstLine="422"/>
              <w:jc w:val="center"/>
              <w:rPr>
                <w:rFonts w:ascii="宋体" w:hAnsi="宋体" w:cs="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23D4F78F">
            <w:pPr>
              <w:spacing w:line="360" w:lineRule="auto"/>
              <w:ind w:firstLine="422"/>
              <w:jc w:val="center"/>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6910E256">
            <w:pPr>
              <w:tabs>
                <w:tab w:val="left" w:pos="9765"/>
              </w:tabs>
              <w:spacing w:line="360" w:lineRule="auto"/>
              <w:ind w:firstLine="422"/>
              <w:rPr>
                <w:rFonts w:ascii="宋体" w:hAnsi="宋体" w:cs="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7595F787">
            <w:pPr>
              <w:tabs>
                <w:tab w:val="left" w:pos="9765"/>
              </w:tabs>
              <w:spacing w:line="360" w:lineRule="auto"/>
              <w:ind w:firstLine="422"/>
              <w:rPr>
                <w:rFonts w:ascii="宋体" w:hAnsi="宋体" w:cs="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37105C5">
            <w:pPr>
              <w:tabs>
                <w:tab w:val="left" w:pos="9765"/>
              </w:tabs>
              <w:spacing w:line="360" w:lineRule="auto"/>
              <w:ind w:firstLine="422"/>
              <w:rPr>
                <w:rFonts w:ascii="宋体" w:hAnsi="宋体" w:cs="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2465879">
            <w:pPr>
              <w:tabs>
                <w:tab w:val="left" w:pos="9765"/>
              </w:tabs>
              <w:spacing w:line="360" w:lineRule="auto"/>
              <w:ind w:firstLine="422"/>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7B21EFE0">
            <w:pPr>
              <w:tabs>
                <w:tab w:val="left" w:pos="9765"/>
              </w:tabs>
              <w:spacing w:line="360" w:lineRule="auto"/>
              <w:ind w:firstLine="422"/>
              <w:rPr>
                <w:rFonts w:ascii="宋体" w:hAnsi="宋体" w:cs="宋体"/>
                <w:color w:val="auto"/>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561AA40">
            <w:pPr>
              <w:tabs>
                <w:tab w:val="left" w:pos="9765"/>
              </w:tabs>
              <w:spacing w:line="360" w:lineRule="auto"/>
              <w:ind w:firstLine="422"/>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70BF0E7B">
            <w:pPr>
              <w:tabs>
                <w:tab w:val="left" w:pos="9765"/>
              </w:tabs>
              <w:spacing w:line="360" w:lineRule="auto"/>
              <w:ind w:firstLine="422"/>
              <w:rPr>
                <w:rFonts w:ascii="宋体" w:hAnsi="宋体" w:cs="宋体"/>
                <w:color w:val="auto"/>
                <w:szCs w:val="21"/>
                <w:highlight w:val="none"/>
              </w:rPr>
            </w:pPr>
          </w:p>
        </w:tc>
      </w:tr>
      <w:tr w14:paraId="611BD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5B897291">
            <w:pPr>
              <w:tabs>
                <w:tab w:val="left" w:pos="9765"/>
              </w:tabs>
              <w:spacing w:line="360" w:lineRule="auto"/>
              <w:ind w:firstLine="422"/>
              <w:jc w:val="center"/>
              <w:rPr>
                <w:rFonts w:ascii="宋体" w:hAnsi="宋体" w:cs="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BC90451">
            <w:pPr>
              <w:spacing w:line="360" w:lineRule="auto"/>
              <w:ind w:firstLine="422"/>
              <w:jc w:val="center"/>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10066CAA">
            <w:pPr>
              <w:tabs>
                <w:tab w:val="left" w:pos="9765"/>
              </w:tabs>
              <w:spacing w:line="360" w:lineRule="auto"/>
              <w:ind w:firstLine="422"/>
              <w:rPr>
                <w:rFonts w:ascii="宋体" w:hAnsi="宋体" w:cs="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00B5D1B9">
            <w:pPr>
              <w:tabs>
                <w:tab w:val="left" w:pos="9765"/>
              </w:tabs>
              <w:spacing w:line="360" w:lineRule="auto"/>
              <w:ind w:firstLine="422"/>
              <w:rPr>
                <w:rFonts w:ascii="宋体" w:hAnsi="宋体" w:cs="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7B43513">
            <w:pPr>
              <w:tabs>
                <w:tab w:val="left" w:pos="9765"/>
              </w:tabs>
              <w:spacing w:line="360" w:lineRule="auto"/>
              <w:ind w:firstLine="422"/>
              <w:rPr>
                <w:rFonts w:ascii="宋体" w:hAnsi="宋体" w:cs="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57DDF83">
            <w:pPr>
              <w:tabs>
                <w:tab w:val="left" w:pos="9765"/>
              </w:tabs>
              <w:spacing w:line="360" w:lineRule="auto"/>
              <w:ind w:firstLine="422"/>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698B31F8">
            <w:pPr>
              <w:tabs>
                <w:tab w:val="left" w:pos="9765"/>
              </w:tabs>
              <w:spacing w:line="360" w:lineRule="auto"/>
              <w:ind w:firstLine="422"/>
              <w:rPr>
                <w:rFonts w:ascii="宋体" w:hAnsi="宋体" w:cs="宋体"/>
                <w:color w:val="auto"/>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F832377">
            <w:pPr>
              <w:tabs>
                <w:tab w:val="left" w:pos="9765"/>
              </w:tabs>
              <w:spacing w:line="360" w:lineRule="auto"/>
              <w:ind w:firstLine="422"/>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3CC852C2">
            <w:pPr>
              <w:tabs>
                <w:tab w:val="left" w:pos="9765"/>
              </w:tabs>
              <w:spacing w:line="360" w:lineRule="auto"/>
              <w:ind w:firstLine="422"/>
              <w:rPr>
                <w:rFonts w:ascii="宋体" w:hAnsi="宋体" w:cs="宋体"/>
                <w:color w:val="auto"/>
                <w:szCs w:val="21"/>
                <w:highlight w:val="none"/>
              </w:rPr>
            </w:pPr>
          </w:p>
        </w:tc>
      </w:tr>
      <w:tr w14:paraId="6ADED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1710A379">
            <w:pPr>
              <w:tabs>
                <w:tab w:val="left" w:pos="9765"/>
              </w:tabs>
              <w:spacing w:line="360" w:lineRule="auto"/>
              <w:ind w:firstLine="422"/>
              <w:rPr>
                <w:rFonts w:ascii="宋体" w:hAnsi="宋体" w:cs="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6BD230B1">
            <w:pPr>
              <w:tabs>
                <w:tab w:val="left" w:pos="9765"/>
              </w:tabs>
              <w:spacing w:line="360" w:lineRule="auto"/>
              <w:ind w:firstLine="422"/>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5E3D1AC5">
            <w:pPr>
              <w:tabs>
                <w:tab w:val="left" w:pos="9765"/>
              </w:tabs>
              <w:spacing w:line="360" w:lineRule="auto"/>
              <w:ind w:firstLine="422"/>
              <w:rPr>
                <w:rFonts w:ascii="宋体" w:hAnsi="宋体" w:cs="宋体"/>
                <w:color w:val="auto"/>
                <w:szCs w:val="21"/>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717F1B31">
            <w:pPr>
              <w:tabs>
                <w:tab w:val="left" w:pos="9765"/>
              </w:tabs>
              <w:spacing w:line="360" w:lineRule="auto"/>
              <w:ind w:firstLine="422"/>
              <w:rPr>
                <w:rFonts w:ascii="宋体" w:hAnsi="宋体" w:cs="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793200B">
            <w:pPr>
              <w:tabs>
                <w:tab w:val="left" w:pos="9765"/>
              </w:tabs>
              <w:spacing w:line="360" w:lineRule="auto"/>
              <w:ind w:firstLine="422"/>
              <w:rPr>
                <w:rFonts w:ascii="宋体" w:hAnsi="宋体" w:cs="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54FE00A5">
            <w:pPr>
              <w:tabs>
                <w:tab w:val="left" w:pos="9765"/>
              </w:tabs>
              <w:spacing w:line="360" w:lineRule="auto"/>
              <w:ind w:firstLine="422"/>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37779171">
            <w:pPr>
              <w:tabs>
                <w:tab w:val="left" w:pos="9765"/>
              </w:tabs>
              <w:spacing w:line="360" w:lineRule="auto"/>
              <w:ind w:firstLine="422"/>
              <w:rPr>
                <w:rFonts w:ascii="宋体" w:hAnsi="宋体" w:cs="宋体"/>
                <w:color w:val="auto"/>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D9714D2">
            <w:pPr>
              <w:tabs>
                <w:tab w:val="left" w:pos="9765"/>
              </w:tabs>
              <w:spacing w:line="360" w:lineRule="auto"/>
              <w:ind w:firstLine="422"/>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2CE24D35">
            <w:pPr>
              <w:tabs>
                <w:tab w:val="left" w:pos="9765"/>
              </w:tabs>
              <w:spacing w:line="360" w:lineRule="auto"/>
              <w:ind w:firstLine="422"/>
              <w:rPr>
                <w:rFonts w:ascii="宋体" w:hAnsi="宋体" w:cs="宋体"/>
                <w:color w:val="auto"/>
                <w:szCs w:val="21"/>
                <w:highlight w:val="none"/>
              </w:rPr>
            </w:pPr>
          </w:p>
        </w:tc>
      </w:tr>
    </w:tbl>
    <w:p w14:paraId="2D1D9065">
      <w:pPr>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注：</w:t>
      </w:r>
      <w:r>
        <w:rPr>
          <w:rFonts w:hint="eastAsia" w:ascii="宋体" w:hAnsi="宋体" w:cs="宋体"/>
          <w:color w:val="auto"/>
          <w:szCs w:val="21"/>
          <w:highlight w:val="none"/>
        </w:rPr>
        <w:t>1、</w:t>
      </w:r>
      <w:r>
        <w:rPr>
          <w:rFonts w:hint="eastAsia" w:ascii="宋体" w:hAnsi="宋体" w:cs="宋体"/>
          <w:color w:val="auto"/>
          <w:szCs w:val="21"/>
          <w:highlight w:val="none"/>
          <w:lang w:val="zh-CN"/>
        </w:rPr>
        <w:t>投标人自行根据项目需要配备相应的人员。</w:t>
      </w:r>
    </w:p>
    <w:p w14:paraId="040E57B5">
      <w:pPr>
        <w:spacing w:line="360" w:lineRule="auto"/>
        <w:ind w:firstLine="422"/>
        <w:rPr>
          <w:rFonts w:ascii="宋体" w:hAnsi="宋体" w:cs="宋体"/>
          <w:color w:val="auto"/>
          <w:szCs w:val="21"/>
          <w:highlight w:val="none"/>
        </w:rPr>
      </w:pPr>
    </w:p>
    <w:p w14:paraId="532269F4">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投标人：（签章）</w:t>
      </w:r>
    </w:p>
    <w:p w14:paraId="63D6A475">
      <w:pPr>
        <w:spacing w:line="360" w:lineRule="auto"/>
        <w:ind w:firstLine="422"/>
        <w:rPr>
          <w:rFonts w:ascii="宋体" w:hAnsi="宋体" w:cs="宋体"/>
          <w:color w:val="auto"/>
          <w:szCs w:val="21"/>
          <w:highlight w:val="non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szCs w:val="21"/>
          <w:highlight w:val="none"/>
        </w:rPr>
        <w:t>日期：         年         月       日</w:t>
      </w:r>
    </w:p>
    <w:p w14:paraId="62E308C7">
      <w:pPr>
        <w:pageBreakBefore/>
        <w:widowControl/>
        <w:spacing w:line="360" w:lineRule="auto"/>
        <w:jc w:val="left"/>
        <w:rPr>
          <w:rFonts w:ascii="宋体" w:hAnsi="宋体" w:cs="宋体"/>
          <w:b/>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w:t>
      </w:r>
      <w:r>
        <w:rPr>
          <w:rFonts w:hint="eastAsia" w:ascii="宋体" w:hAnsi="宋体" w:cs="宋体"/>
          <w:b/>
          <w:color w:val="auto"/>
          <w:szCs w:val="21"/>
          <w:highlight w:val="none"/>
        </w:rPr>
        <w:t>类似业绩一览表</w:t>
      </w:r>
    </w:p>
    <w:p w14:paraId="365B0C6F">
      <w:pPr>
        <w:spacing w:line="360" w:lineRule="auto"/>
        <w:ind w:firstLine="420"/>
        <w:jc w:val="center"/>
        <w:rPr>
          <w:rFonts w:ascii="宋体" w:hAnsi="宋体" w:cs="宋体"/>
          <w:b/>
          <w:color w:val="auto"/>
          <w:szCs w:val="21"/>
          <w:highlight w:val="none"/>
        </w:rPr>
      </w:pPr>
    </w:p>
    <w:p w14:paraId="48AA630E">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类似业绩一览表</w:t>
      </w:r>
    </w:p>
    <w:p w14:paraId="0CC88F4B">
      <w:pPr>
        <w:autoSpaceDE w:val="0"/>
        <w:autoSpaceDN w:val="0"/>
        <w:adjustRightInd w:val="0"/>
        <w:spacing w:line="360" w:lineRule="auto"/>
        <w:ind w:firstLine="422"/>
        <w:rPr>
          <w:rFonts w:ascii="宋体" w:hAnsi="宋体" w:cs="宋体"/>
          <w:b/>
          <w:color w:val="auto"/>
          <w:szCs w:val="21"/>
          <w:highlight w:val="none"/>
        </w:rPr>
      </w:pPr>
      <w:r>
        <w:rPr>
          <w:rFonts w:hint="eastAsia" w:ascii="宋体" w:hAnsi="宋体" w:cs="宋体"/>
          <w:color w:val="auto"/>
          <w:szCs w:val="21"/>
          <w:highlight w:val="none"/>
          <w:lang w:val="zh-CN"/>
        </w:rPr>
        <w:t>项目编号：         号                        项目名称：</w:t>
      </w:r>
    </w:p>
    <w:tbl>
      <w:tblPr>
        <w:tblStyle w:val="30"/>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259"/>
        <w:gridCol w:w="2218"/>
        <w:gridCol w:w="1722"/>
        <w:gridCol w:w="1532"/>
        <w:gridCol w:w="1239"/>
      </w:tblGrid>
      <w:tr w14:paraId="7199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63652686">
            <w:pPr>
              <w:pStyle w:val="5"/>
              <w:overflowPunct w:val="0"/>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16" w:type="pct"/>
            <w:tcBorders>
              <w:top w:val="single" w:color="auto" w:sz="4" w:space="0"/>
              <w:left w:val="single" w:color="auto" w:sz="4" w:space="0"/>
              <w:bottom w:val="single" w:color="auto" w:sz="4" w:space="0"/>
              <w:right w:val="single" w:color="auto" w:sz="4" w:space="0"/>
            </w:tcBorders>
            <w:vAlign w:val="center"/>
          </w:tcPr>
          <w:p w14:paraId="588A15F3">
            <w:pPr>
              <w:spacing w:line="360" w:lineRule="auto"/>
              <w:rPr>
                <w:rFonts w:ascii="宋体" w:hAnsi="宋体" w:cs="宋体"/>
                <w:color w:val="auto"/>
                <w:szCs w:val="21"/>
                <w:highlight w:val="none"/>
              </w:rPr>
            </w:pPr>
            <w:r>
              <w:rPr>
                <w:rFonts w:hint="eastAsia" w:ascii="宋体" w:hAnsi="宋体"/>
                <w:color w:val="auto"/>
                <w:szCs w:val="21"/>
                <w:highlight w:val="none"/>
              </w:rPr>
              <w:t>项目名称</w:t>
            </w:r>
          </w:p>
        </w:tc>
        <w:tc>
          <w:tcPr>
            <w:tcW w:w="1261" w:type="pct"/>
            <w:tcBorders>
              <w:top w:val="single" w:color="auto" w:sz="4" w:space="0"/>
              <w:left w:val="single" w:color="auto" w:sz="4" w:space="0"/>
              <w:bottom w:val="single" w:color="auto" w:sz="4" w:space="0"/>
              <w:right w:val="single" w:color="auto" w:sz="4" w:space="0"/>
            </w:tcBorders>
            <w:vAlign w:val="center"/>
          </w:tcPr>
          <w:p w14:paraId="29F4D044">
            <w:pPr>
              <w:spacing w:line="360" w:lineRule="auto"/>
              <w:rPr>
                <w:rFonts w:ascii="宋体" w:hAnsi="宋体" w:cs="宋体"/>
                <w:color w:val="auto"/>
                <w:szCs w:val="21"/>
                <w:highlight w:val="none"/>
              </w:rPr>
            </w:pPr>
            <w:r>
              <w:rPr>
                <w:rFonts w:hint="eastAsia" w:ascii="宋体" w:hAnsi="宋体"/>
                <w:color w:val="auto"/>
                <w:szCs w:val="21"/>
                <w:highlight w:val="none"/>
              </w:rPr>
              <w:t>业主单位（采购单位）</w:t>
            </w:r>
          </w:p>
        </w:tc>
        <w:tc>
          <w:tcPr>
            <w:tcW w:w="979" w:type="pct"/>
            <w:tcBorders>
              <w:top w:val="single" w:color="auto" w:sz="4" w:space="0"/>
              <w:left w:val="single" w:color="auto" w:sz="4" w:space="0"/>
              <w:bottom w:val="single" w:color="auto" w:sz="4" w:space="0"/>
              <w:right w:val="single" w:color="auto" w:sz="4" w:space="0"/>
            </w:tcBorders>
            <w:vAlign w:val="center"/>
          </w:tcPr>
          <w:p w14:paraId="1B9FD595">
            <w:pPr>
              <w:spacing w:line="360" w:lineRule="auto"/>
              <w:rPr>
                <w:rFonts w:ascii="宋体" w:hAnsi="宋体" w:cs="宋体"/>
                <w:color w:val="auto"/>
                <w:szCs w:val="21"/>
                <w:highlight w:val="none"/>
              </w:rPr>
            </w:pPr>
            <w:r>
              <w:rPr>
                <w:rFonts w:hint="eastAsia" w:ascii="宋体" w:hAnsi="宋体"/>
                <w:color w:val="auto"/>
                <w:szCs w:val="21"/>
                <w:highlight w:val="none"/>
              </w:rPr>
              <w:t>合同签订时间</w:t>
            </w:r>
          </w:p>
        </w:tc>
        <w:tc>
          <w:tcPr>
            <w:tcW w:w="871" w:type="pct"/>
            <w:tcBorders>
              <w:top w:val="single" w:color="auto" w:sz="4" w:space="0"/>
              <w:left w:val="single" w:color="auto" w:sz="4" w:space="0"/>
              <w:bottom w:val="single" w:color="auto" w:sz="4" w:space="0"/>
              <w:right w:val="single" w:color="auto" w:sz="4" w:space="0"/>
            </w:tcBorders>
            <w:vAlign w:val="center"/>
          </w:tcPr>
          <w:p w14:paraId="7A41EEB1">
            <w:pPr>
              <w:spacing w:line="360" w:lineRule="auto"/>
              <w:ind w:firstLine="422"/>
              <w:rPr>
                <w:rFonts w:ascii="宋体" w:hAnsi="宋体" w:cs="宋体"/>
                <w:color w:val="auto"/>
                <w:szCs w:val="21"/>
                <w:highlight w:val="none"/>
              </w:rPr>
            </w:pPr>
            <w:r>
              <w:rPr>
                <w:rFonts w:hint="eastAsia" w:ascii="宋体" w:hAnsi="宋体"/>
                <w:color w:val="auto"/>
                <w:szCs w:val="21"/>
                <w:highlight w:val="none"/>
              </w:rPr>
              <w:t>合同金额</w:t>
            </w:r>
          </w:p>
        </w:tc>
        <w:tc>
          <w:tcPr>
            <w:tcW w:w="704" w:type="pct"/>
            <w:tcBorders>
              <w:top w:val="single" w:color="auto" w:sz="4" w:space="0"/>
              <w:left w:val="single" w:color="auto" w:sz="4" w:space="0"/>
              <w:bottom w:val="single" w:color="auto" w:sz="4" w:space="0"/>
              <w:right w:val="single" w:color="auto" w:sz="4" w:space="0"/>
            </w:tcBorders>
            <w:vAlign w:val="center"/>
          </w:tcPr>
          <w:p w14:paraId="65966596">
            <w:pPr>
              <w:spacing w:line="360" w:lineRule="auto"/>
              <w:ind w:firstLine="422"/>
              <w:rPr>
                <w:rFonts w:ascii="宋体" w:hAnsi="宋体" w:cs="宋体"/>
                <w:color w:val="auto"/>
                <w:szCs w:val="21"/>
                <w:highlight w:val="none"/>
              </w:rPr>
            </w:pPr>
            <w:r>
              <w:rPr>
                <w:rFonts w:hint="eastAsia" w:ascii="宋体" w:hAnsi="宋体"/>
                <w:color w:val="auto"/>
                <w:szCs w:val="21"/>
                <w:highlight w:val="none"/>
              </w:rPr>
              <w:t>备注</w:t>
            </w:r>
          </w:p>
        </w:tc>
      </w:tr>
      <w:tr w14:paraId="5A15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2220CC7D">
            <w:pPr>
              <w:pStyle w:val="5"/>
              <w:overflowPunct w:val="0"/>
              <w:spacing w:line="360" w:lineRule="auto"/>
              <w:ind w:firstLine="422"/>
              <w:jc w:val="center"/>
              <w:rPr>
                <w:rFonts w:ascii="宋体" w:hAnsi="宋体" w:eastAsia="宋体" w:cs="宋体"/>
                <w:color w:val="auto"/>
                <w:sz w:val="21"/>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46ED7649">
            <w:pPr>
              <w:pStyle w:val="5"/>
              <w:overflowPunct w:val="0"/>
              <w:spacing w:line="360" w:lineRule="auto"/>
              <w:ind w:firstLine="422"/>
              <w:jc w:val="center"/>
              <w:rPr>
                <w:rFonts w:ascii="宋体" w:hAnsi="宋体" w:eastAsia="宋体" w:cs="宋体"/>
                <w:color w:val="auto"/>
                <w:sz w:val="21"/>
                <w:szCs w:val="21"/>
                <w:highlight w:val="none"/>
              </w:rPr>
            </w:pPr>
          </w:p>
        </w:tc>
        <w:tc>
          <w:tcPr>
            <w:tcW w:w="1261" w:type="pct"/>
            <w:tcBorders>
              <w:top w:val="single" w:color="auto" w:sz="4" w:space="0"/>
              <w:left w:val="single" w:color="auto" w:sz="4" w:space="0"/>
              <w:bottom w:val="single" w:color="auto" w:sz="4" w:space="0"/>
              <w:right w:val="single" w:color="auto" w:sz="4" w:space="0"/>
            </w:tcBorders>
            <w:vAlign w:val="center"/>
          </w:tcPr>
          <w:p w14:paraId="583B82A9">
            <w:pPr>
              <w:pStyle w:val="5"/>
              <w:overflowPunct w:val="0"/>
              <w:spacing w:line="360" w:lineRule="auto"/>
              <w:ind w:firstLine="422"/>
              <w:jc w:val="center"/>
              <w:rPr>
                <w:rFonts w:ascii="宋体" w:hAnsi="宋体" w:eastAsia="宋体" w:cs="宋体"/>
                <w:color w:val="auto"/>
                <w:sz w:val="21"/>
                <w:szCs w:val="21"/>
                <w:highlight w:val="none"/>
              </w:rPr>
            </w:pPr>
          </w:p>
        </w:tc>
        <w:tc>
          <w:tcPr>
            <w:tcW w:w="979" w:type="pct"/>
            <w:tcBorders>
              <w:top w:val="single" w:color="auto" w:sz="4" w:space="0"/>
              <w:left w:val="single" w:color="auto" w:sz="4" w:space="0"/>
              <w:bottom w:val="single" w:color="auto" w:sz="4" w:space="0"/>
              <w:right w:val="single" w:color="auto" w:sz="4" w:space="0"/>
            </w:tcBorders>
            <w:vAlign w:val="center"/>
          </w:tcPr>
          <w:p w14:paraId="6ED4430A">
            <w:pPr>
              <w:pStyle w:val="5"/>
              <w:overflowPunct w:val="0"/>
              <w:spacing w:line="360" w:lineRule="auto"/>
              <w:ind w:firstLine="422"/>
              <w:jc w:val="center"/>
              <w:rPr>
                <w:rFonts w:ascii="宋体" w:hAnsi="宋体" w:eastAsia="宋体" w:cs="宋体"/>
                <w:color w:val="auto"/>
                <w:sz w:val="21"/>
                <w:szCs w:val="21"/>
                <w:highlight w:val="none"/>
              </w:rPr>
            </w:pPr>
          </w:p>
        </w:tc>
        <w:tc>
          <w:tcPr>
            <w:tcW w:w="871" w:type="pct"/>
            <w:tcBorders>
              <w:top w:val="single" w:color="auto" w:sz="4" w:space="0"/>
              <w:left w:val="single" w:color="auto" w:sz="4" w:space="0"/>
              <w:bottom w:val="single" w:color="auto" w:sz="4" w:space="0"/>
              <w:right w:val="single" w:color="auto" w:sz="4" w:space="0"/>
            </w:tcBorders>
            <w:vAlign w:val="center"/>
          </w:tcPr>
          <w:p w14:paraId="6A0AE7AA">
            <w:pPr>
              <w:pStyle w:val="5"/>
              <w:overflowPunct w:val="0"/>
              <w:spacing w:line="360" w:lineRule="auto"/>
              <w:ind w:firstLine="422"/>
              <w:jc w:val="center"/>
              <w:rPr>
                <w:rFonts w:ascii="宋体" w:hAnsi="宋体" w:eastAsia="宋体" w:cs="宋体"/>
                <w:color w:val="auto"/>
                <w:sz w:val="21"/>
                <w:szCs w:val="21"/>
                <w:highlight w:val="none"/>
              </w:rPr>
            </w:pPr>
          </w:p>
        </w:tc>
        <w:tc>
          <w:tcPr>
            <w:tcW w:w="704" w:type="pct"/>
            <w:tcBorders>
              <w:top w:val="single" w:color="auto" w:sz="4" w:space="0"/>
              <w:left w:val="single" w:color="auto" w:sz="4" w:space="0"/>
              <w:bottom w:val="single" w:color="auto" w:sz="4" w:space="0"/>
              <w:right w:val="single" w:color="auto" w:sz="4" w:space="0"/>
            </w:tcBorders>
            <w:vAlign w:val="center"/>
          </w:tcPr>
          <w:p w14:paraId="15D54C68">
            <w:pPr>
              <w:pStyle w:val="5"/>
              <w:overflowPunct w:val="0"/>
              <w:spacing w:line="360" w:lineRule="auto"/>
              <w:ind w:firstLine="422"/>
              <w:jc w:val="center"/>
              <w:rPr>
                <w:rFonts w:ascii="宋体" w:hAnsi="宋体" w:eastAsia="宋体" w:cs="宋体"/>
                <w:color w:val="auto"/>
                <w:sz w:val="21"/>
                <w:szCs w:val="21"/>
                <w:highlight w:val="none"/>
              </w:rPr>
            </w:pPr>
          </w:p>
        </w:tc>
      </w:tr>
      <w:tr w14:paraId="1985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0C4DCA38">
            <w:pPr>
              <w:pStyle w:val="5"/>
              <w:overflowPunct w:val="0"/>
              <w:spacing w:line="360" w:lineRule="auto"/>
              <w:ind w:firstLine="422"/>
              <w:jc w:val="center"/>
              <w:rPr>
                <w:rFonts w:ascii="宋体" w:hAnsi="宋体" w:eastAsia="宋体" w:cs="宋体"/>
                <w:color w:val="auto"/>
                <w:sz w:val="21"/>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9B4FFBC">
            <w:pPr>
              <w:pStyle w:val="5"/>
              <w:overflowPunct w:val="0"/>
              <w:spacing w:line="360" w:lineRule="auto"/>
              <w:ind w:firstLine="422"/>
              <w:jc w:val="center"/>
              <w:rPr>
                <w:rFonts w:ascii="宋体" w:hAnsi="宋体" w:eastAsia="宋体" w:cs="宋体"/>
                <w:color w:val="auto"/>
                <w:sz w:val="21"/>
                <w:szCs w:val="21"/>
                <w:highlight w:val="none"/>
              </w:rPr>
            </w:pPr>
          </w:p>
        </w:tc>
        <w:tc>
          <w:tcPr>
            <w:tcW w:w="1261" w:type="pct"/>
            <w:tcBorders>
              <w:top w:val="single" w:color="auto" w:sz="4" w:space="0"/>
              <w:left w:val="single" w:color="auto" w:sz="4" w:space="0"/>
              <w:bottom w:val="single" w:color="auto" w:sz="4" w:space="0"/>
              <w:right w:val="single" w:color="auto" w:sz="4" w:space="0"/>
            </w:tcBorders>
            <w:vAlign w:val="center"/>
          </w:tcPr>
          <w:p w14:paraId="58B0E1BE">
            <w:pPr>
              <w:pStyle w:val="5"/>
              <w:overflowPunct w:val="0"/>
              <w:spacing w:line="360" w:lineRule="auto"/>
              <w:ind w:firstLine="422"/>
              <w:jc w:val="center"/>
              <w:rPr>
                <w:rFonts w:ascii="宋体" w:hAnsi="宋体" w:eastAsia="宋体" w:cs="宋体"/>
                <w:color w:val="auto"/>
                <w:sz w:val="21"/>
                <w:szCs w:val="21"/>
                <w:highlight w:val="none"/>
              </w:rPr>
            </w:pPr>
          </w:p>
        </w:tc>
        <w:tc>
          <w:tcPr>
            <w:tcW w:w="979" w:type="pct"/>
            <w:tcBorders>
              <w:top w:val="single" w:color="auto" w:sz="4" w:space="0"/>
              <w:left w:val="single" w:color="auto" w:sz="4" w:space="0"/>
              <w:bottom w:val="single" w:color="auto" w:sz="4" w:space="0"/>
              <w:right w:val="single" w:color="auto" w:sz="4" w:space="0"/>
            </w:tcBorders>
            <w:vAlign w:val="center"/>
          </w:tcPr>
          <w:p w14:paraId="6AC01CAD">
            <w:pPr>
              <w:pStyle w:val="5"/>
              <w:overflowPunct w:val="0"/>
              <w:spacing w:line="360" w:lineRule="auto"/>
              <w:ind w:firstLine="422"/>
              <w:jc w:val="center"/>
              <w:rPr>
                <w:rFonts w:ascii="宋体" w:hAnsi="宋体" w:eastAsia="宋体" w:cs="宋体"/>
                <w:color w:val="auto"/>
                <w:sz w:val="21"/>
                <w:szCs w:val="21"/>
                <w:highlight w:val="none"/>
              </w:rPr>
            </w:pPr>
          </w:p>
        </w:tc>
        <w:tc>
          <w:tcPr>
            <w:tcW w:w="871" w:type="pct"/>
            <w:tcBorders>
              <w:top w:val="single" w:color="auto" w:sz="4" w:space="0"/>
              <w:left w:val="single" w:color="auto" w:sz="4" w:space="0"/>
              <w:bottom w:val="single" w:color="auto" w:sz="4" w:space="0"/>
              <w:right w:val="single" w:color="auto" w:sz="4" w:space="0"/>
            </w:tcBorders>
            <w:vAlign w:val="center"/>
          </w:tcPr>
          <w:p w14:paraId="5E9B10FB">
            <w:pPr>
              <w:pStyle w:val="5"/>
              <w:overflowPunct w:val="0"/>
              <w:spacing w:line="360" w:lineRule="auto"/>
              <w:ind w:firstLine="422"/>
              <w:jc w:val="center"/>
              <w:rPr>
                <w:rFonts w:ascii="宋体" w:hAnsi="宋体" w:eastAsia="宋体" w:cs="宋体"/>
                <w:color w:val="auto"/>
                <w:sz w:val="21"/>
                <w:szCs w:val="21"/>
                <w:highlight w:val="none"/>
              </w:rPr>
            </w:pPr>
          </w:p>
        </w:tc>
        <w:tc>
          <w:tcPr>
            <w:tcW w:w="704" w:type="pct"/>
            <w:tcBorders>
              <w:top w:val="single" w:color="auto" w:sz="4" w:space="0"/>
              <w:left w:val="single" w:color="auto" w:sz="4" w:space="0"/>
              <w:bottom w:val="single" w:color="auto" w:sz="4" w:space="0"/>
              <w:right w:val="single" w:color="auto" w:sz="4" w:space="0"/>
            </w:tcBorders>
            <w:vAlign w:val="center"/>
          </w:tcPr>
          <w:p w14:paraId="29979C13">
            <w:pPr>
              <w:pStyle w:val="5"/>
              <w:overflowPunct w:val="0"/>
              <w:spacing w:line="360" w:lineRule="auto"/>
              <w:ind w:firstLine="422"/>
              <w:jc w:val="center"/>
              <w:rPr>
                <w:rFonts w:ascii="宋体" w:hAnsi="宋体" w:eastAsia="宋体" w:cs="宋体"/>
                <w:color w:val="auto"/>
                <w:sz w:val="21"/>
                <w:szCs w:val="21"/>
                <w:highlight w:val="none"/>
              </w:rPr>
            </w:pPr>
          </w:p>
        </w:tc>
      </w:tr>
      <w:tr w14:paraId="0039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53F19AC8">
            <w:pPr>
              <w:pStyle w:val="5"/>
              <w:overflowPunct w:val="0"/>
              <w:spacing w:line="360" w:lineRule="auto"/>
              <w:ind w:firstLine="422"/>
              <w:jc w:val="center"/>
              <w:rPr>
                <w:rFonts w:ascii="宋体" w:hAnsi="宋体" w:eastAsia="宋体" w:cs="宋体"/>
                <w:color w:val="auto"/>
                <w:sz w:val="21"/>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B6071FD">
            <w:pPr>
              <w:pStyle w:val="5"/>
              <w:overflowPunct w:val="0"/>
              <w:spacing w:line="360" w:lineRule="auto"/>
              <w:ind w:firstLine="422"/>
              <w:jc w:val="center"/>
              <w:rPr>
                <w:rFonts w:ascii="宋体" w:hAnsi="宋体" w:eastAsia="宋体" w:cs="宋体"/>
                <w:color w:val="auto"/>
                <w:sz w:val="21"/>
                <w:szCs w:val="21"/>
                <w:highlight w:val="none"/>
              </w:rPr>
            </w:pPr>
          </w:p>
        </w:tc>
        <w:tc>
          <w:tcPr>
            <w:tcW w:w="1261" w:type="pct"/>
            <w:tcBorders>
              <w:top w:val="single" w:color="auto" w:sz="4" w:space="0"/>
              <w:left w:val="single" w:color="auto" w:sz="4" w:space="0"/>
              <w:bottom w:val="single" w:color="auto" w:sz="4" w:space="0"/>
              <w:right w:val="single" w:color="auto" w:sz="4" w:space="0"/>
            </w:tcBorders>
            <w:vAlign w:val="center"/>
          </w:tcPr>
          <w:p w14:paraId="5B72C8A0">
            <w:pPr>
              <w:pStyle w:val="5"/>
              <w:overflowPunct w:val="0"/>
              <w:spacing w:line="360" w:lineRule="auto"/>
              <w:ind w:firstLine="422"/>
              <w:jc w:val="center"/>
              <w:rPr>
                <w:rFonts w:ascii="宋体" w:hAnsi="宋体" w:eastAsia="宋体" w:cs="宋体"/>
                <w:color w:val="auto"/>
                <w:sz w:val="21"/>
                <w:szCs w:val="21"/>
                <w:highlight w:val="none"/>
              </w:rPr>
            </w:pPr>
          </w:p>
        </w:tc>
        <w:tc>
          <w:tcPr>
            <w:tcW w:w="979" w:type="pct"/>
            <w:tcBorders>
              <w:top w:val="single" w:color="auto" w:sz="4" w:space="0"/>
              <w:left w:val="single" w:color="auto" w:sz="4" w:space="0"/>
              <w:bottom w:val="single" w:color="auto" w:sz="4" w:space="0"/>
              <w:right w:val="single" w:color="auto" w:sz="4" w:space="0"/>
            </w:tcBorders>
            <w:vAlign w:val="center"/>
          </w:tcPr>
          <w:p w14:paraId="64FFBEFA">
            <w:pPr>
              <w:pStyle w:val="5"/>
              <w:overflowPunct w:val="0"/>
              <w:spacing w:line="360" w:lineRule="auto"/>
              <w:ind w:firstLine="422"/>
              <w:jc w:val="center"/>
              <w:rPr>
                <w:rFonts w:ascii="宋体" w:hAnsi="宋体" w:eastAsia="宋体" w:cs="宋体"/>
                <w:color w:val="auto"/>
                <w:sz w:val="21"/>
                <w:szCs w:val="21"/>
                <w:highlight w:val="none"/>
              </w:rPr>
            </w:pPr>
          </w:p>
        </w:tc>
        <w:tc>
          <w:tcPr>
            <w:tcW w:w="871" w:type="pct"/>
            <w:tcBorders>
              <w:top w:val="single" w:color="auto" w:sz="4" w:space="0"/>
              <w:left w:val="single" w:color="auto" w:sz="4" w:space="0"/>
              <w:bottom w:val="single" w:color="auto" w:sz="4" w:space="0"/>
              <w:right w:val="single" w:color="auto" w:sz="4" w:space="0"/>
            </w:tcBorders>
            <w:vAlign w:val="center"/>
          </w:tcPr>
          <w:p w14:paraId="0DB7369E">
            <w:pPr>
              <w:pStyle w:val="5"/>
              <w:overflowPunct w:val="0"/>
              <w:spacing w:line="360" w:lineRule="auto"/>
              <w:ind w:firstLine="422"/>
              <w:jc w:val="center"/>
              <w:rPr>
                <w:rFonts w:ascii="宋体" w:hAnsi="宋体" w:eastAsia="宋体" w:cs="宋体"/>
                <w:color w:val="auto"/>
                <w:sz w:val="21"/>
                <w:szCs w:val="21"/>
                <w:highlight w:val="none"/>
              </w:rPr>
            </w:pPr>
          </w:p>
        </w:tc>
        <w:tc>
          <w:tcPr>
            <w:tcW w:w="704" w:type="pct"/>
            <w:tcBorders>
              <w:top w:val="single" w:color="auto" w:sz="4" w:space="0"/>
              <w:left w:val="single" w:color="auto" w:sz="4" w:space="0"/>
              <w:bottom w:val="single" w:color="auto" w:sz="4" w:space="0"/>
              <w:right w:val="single" w:color="auto" w:sz="4" w:space="0"/>
            </w:tcBorders>
            <w:vAlign w:val="center"/>
          </w:tcPr>
          <w:p w14:paraId="033E25E1">
            <w:pPr>
              <w:pStyle w:val="5"/>
              <w:overflowPunct w:val="0"/>
              <w:spacing w:line="360" w:lineRule="auto"/>
              <w:ind w:firstLine="422"/>
              <w:jc w:val="center"/>
              <w:rPr>
                <w:rFonts w:ascii="宋体" w:hAnsi="宋体" w:eastAsia="宋体" w:cs="宋体"/>
                <w:color w:val="auto"/>
                <w:sz w:val="21"/>
                <w:szCs w:val="21"/>
                <w:highlight w:val="none"/>
              </w:rPr>
            </w:pPr>
          </w:p>
        </w:tc>
      </w:tr>
      <w:tr w14:paraId="5842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295B3511">
            <w:pPr>
              <w:pStyle w:val="5"/>
              <w:overflowPunct w:val="0"/>
              <w:spacing w:line="360" w:lineRule="auto"/>
              <w:ind w:firstLine="422"/>
              <w:jc w:val="center"/>
              <w:rPr>
                <w:rFonts w:ascii="宋体" w:hAnsi="宋体" w:eastAsia="宋体" w:cs="宋体"/>
                <w:color w:val="auto"/>
                <w:sz w:val="21"/>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05591F2">
            <w:pPr>
              <w:pStyle w:val="5"/>
              <w:overflowPunct w:val="0"/>
              <w:spacing w:line="360" w:lineRule="auto"/>
              <w:ind w:firstLine="422"/>
              <w:jc w:val="center"/>
              <w:rPr>
                <w:rFonts w:ascii="宋体" w:hAnsi="宋体" w:eastAsia="宋体" w:cs="宋体"/>
                <w:color w:val="auto"/>
                <w:sz w:val="21"/>
                <w:szCs w:val="21"/>
                <w:highlight w:val="none"/>
              </w:rPr>
            </w:pPr>
          </w:p>
        </w:tc>
        <w:tc>
          <w:tcPr>
            <w:tcW w:w="1261" w:type="pct"/>
            <w:tcBorders>
              <w:top w:val="single" w:color="auto" w:sz="4" w:space="0"/>
              <w:left w:val="single" w:color="auto" w:sz="4" w:space="0"/>
              <w:bottom w:val="single" w:color="auto" w:sz="4" w:space="0"/>
              <w:right w:val="single" w:color="auto" w:sz="4" w:space="0"/>
            </w:tcBorders>
            <w:vAlign w:val="center"/>
          </w:tcPr>
          <w:p w14:paraId="49BDA8CF">
            <w:pPr>
              <w:pStyle w:val="5"/>
              <w:overflowPunct w:val="0"/>
              <w:spacing w:line="360" w:lineRule="auto"/>
              <w:ind w:firstLine="422"/>
              <w:jc w:val="center"/>
              <w:rPr>
                <w:rFonts w:ascii="宋体" w:hAnsi="宋体" w:eastAsia="宋体" w:cs="宋体"/>
                <w:color w:val="auto"/>
                <w:sz w:val="21"/>
                <w:szCs w:val="21"/>
                <w:highlight w:val="none"/>
              </w:rPr>
            </w:pPr>
          </w:p>
        </w:tc>
        <w:tc>
          <w:tcPr>
            <w:tcW w:w="979" w:type="pct"/>
            <w:tcBorders>
              <w:top w:val="single" w:color="auto" w:sz="4" w:space="0"/>
              <w:left w:val="single" w:color="auto" w:sz="4" w:space="0"/>
              <w:bottom w:val="single" w:color="auto" w:sz="4" w:space="0"/>
              <w:right w:val="single" w:color="auto" w:sz="4" w:space="0"/>
            </w:tcBorders>
            <w:vAlign w:val="center"/>
          </w:tcPr>
          <w:p w14:paraId="00F841CE">
            <w:pPr>
              <w:pStyle w:val="5"/>
              <w:overflowPunct w:val="0"/>
              <w:spacing w:line="360" w:lineRule="auto"/>
              <w:ind w:firstLine="422"/>
              <w:jc w:val="center"/>
              <w:rPr>
                <w:rFonts w:ascii="宋体" w:hAnsi="宋体" w:eastAsia="宋体" w:cs="宋体"/>
                <w:color w:val="auto"/>
                <w:sz w:val="21"/>
                <w:szCs w:val="21"/>
                <w:highlight w:val="none"/>
              </w:rPr>
            </w:pPr>
          </w:p>
        </w:tc>
        <w:tc>
          <w:tcPr>
            <w:tcW w:w="871" w:type="pct"/>
            <w:tcBorders>
              <w:top w:val="single" w:color="auto" w:sz="4" w:space="0"/>
              <w:left w:val="single" w:color="auto" w:sz="4" w:space="0"/>
              <w:bottom w:val="single" w:color="auto" w:sz="4" w:space="0"/>
              <w:right w:val="single" w:color="auto" w:sz="4" w:space="0"/>
            </w:tcBorders>
            <w:vAlign w:val="center"/>
          </w:tcPr>
          <w:p w14:paraId="23E6C906">
            <w:pPr>
              <w:pStyle w:val="5"/>
              <w:overflowPunct w:val="0"/>
              <w:spacing w:line="360" w:lineRule="auto"/>
              <w:ind w:firstLine="422"/>
              <w:jc w:val="center"/>
              <w:rPr>
                <w:rFonts w:ascii="宋体" w:hAnsi="宋体" w:eastAsia="宋体" w:cs="宋体"/>
                <w:color w:val="auto"/>
                <w:sz w:val="21"/>
                <w:szCs w:val="21"/>
                <w:highlight w:val="none"/>
              </w:rPr>
            </w:pPr>
          </w:p>
        </w:tc>
        <w:tc>
          <w:tcPr>
            <w:tcW w:w="704" w:type="pct"/>
            <w:tcBorders>
              <w:top w:val="single" w:color="auto" w:sz="4" w:space="0"/>
              <w:left w:val="single" w:color="auto" w:sz="4" w:space="0"/>
              <w:bottom w:val="single" w:color="auto" w:sz="4" w:space="0"/>
              <w:right w:val="single" w:color="auto" w:sz="4" w:space="0"/>
            </w:tcBorders>
            <w:vAlign w:val="center"/>
          </w:tcPr>
          <w:p w14:paraId="654CA68F">
            <w:pPr>
              <w:pStyle w:val="5"/>
              <w:overflowPunct w:val="0"/>
              <w:spacing w:line="360" w:lineRule="auto"/>
              <w:ind w:firstLine="422"/>
              <w:jc w:val="center"/>
              <w:rPr>
                <w:rFonts w:ascii="宋体" w:hAnsi="宋体" w:eastAsia="宋体" w:cs="宋体"/>
                <w:color w:val="auto"/>
                <w:sz w:val="21"/>
                <w:szCs w:val="21"/>
                <w:highlight w:val="none"/>
              </w:rPr>
            </w:pPr>
          </w:p>
        </w:tc>
      </w:tr>
      <w:tr w14:paraId="12DD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1D436923">
            <w:pPr>
              <w:pStyle w:val="5"/>
              <w:overflowPunct w:val="0"/>
              <w:spacing w:line="360" w:lineRule="auto"/>
              <w:ind w:firstLine="422"/>
              <w:jc w:val="center"/>
              <w:rPr>
                <w:rFonts w:ascii="宋体" w:hAnsi="宋体" w:eastAsia="宋体" w:cs="宋体"/>
                <w:color w:val="auto"/>
                <w:sz w:val="21"/>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46DCDCFB">
            <w:pPr>
              <w:pStyle w:val="5"/>
              <w:overflowPunct w:val="0"/>
              <w:spacing w:line="360" w:lineRule="auto"/>
              <w:ind w:firstLine="422"/>
              <w:jc w:val="center"/>
              <w:rPr>
                <w:rFonts w:ascii="宋体" w:hAnsi="宋体" w:eastAsia="宋体" w:cs="宋体"/>
                <w:color w:val="auto"/>
                <w:sz w:val="21"/>
                <w:szCs w:val="21"/>
                <w:highlight w:val="none"/>
              </w:rPr>
            </w:pPr>
          </w:p>
        </w:tc>
        <w:tc>
          <w:tcPr>
            <w:tcW w:w="1261" w:type="pct"/>
            <w:tcBorders>
              <w:top w:val="single" w:color="auto" w:sz="4" w:space="0"/>
              <w:left w:val="single" w:color="auto" w:sz="4" w:space="0"/>
              <w:bottom w:val="single" w:color="auto" w:sz="4" w:space="0"/>
              <w:right w:val="single" w:color="auto" w:sz="4" w:space="0"/>
            </w:tcBorders>
            <w:vAlign w:val="center"/>
          </w:tcPr>
          <w:p w14:paraId="6D6DF27A">
            <w:pPr>
              <w:pStyle w:val="5"/>
              <w:overflowPunct w:val="0"/>
              <w:spacing w:line="360" w:lineRule="auto"/>
              <w:ind w:firstLine="422"/>
              <w:jc w:val="center"/>
              <w:rPr>
                <w:rFonts w:ascii="宋体" w:hAnsi="宋体" w:eastAsia="宋体" w:cs="宋体"/>
                <w:color w:val="auto"/>
                <w:sz w:val="21"/>
                <w:szCs w:val="21"/>
                <w:highlight w:val="none"/>
              </w:rPr>
            </w:pPr>
          </w:p>
        </w:tc>
        <w:tc>
          <w:tcPr>
            <w:tcW w:w="979" w:type="pct"/>
            <w:tcBorders>
              <w:top w:val="single" w:color="auto" w:sz="4" w:space="0"/>
              <w:left w:val="single" w:color="auto" w:sz="4" w:space="0"/>
              <w:bottom w:val="single" w:color="auto" w:sz="4" w:space="0"/>
              <w:right w:val="single" w:color="auto" w:sz="4" w:space="0"/>
            </w:tcBorders>
            <w:vAlign w:val="center"/>
          </w:tcPr>
          <w:p w14:paraId="7236D139">
            <w:pPr>
              <w:pStyle w:val="5"/>
              <w:overflowPunct w:val="0"/>
              <w:spacing w:line="360" w:lineRule="auto"/>
              <w:ind w:firstLine="422"/>
              <w:jc w:val="center"/>
              <w:rPr>
                <w:rFonts w:ascii="宋体" w:hAnsi="宋体" w:eastAsia="宋体" w:cs="宋体"/>
                <w:color w:val="auto"/>
                <w:sz w:val="21"/>
                <w:szCs w:val="21"/>
                <w:highlight w:val="none"/>
              </w:rPr>
            </w:pPr>
          </w:p>
        </w:tc>
        <w:tc>
          <w:tcPr>
            <w:tcW w:w="871" w:type="pct"/>
            <w:tcBorders>
              <w:top w:val="single" w:color="auto" w:sz="4" w:space="0"/>
              <w:left w:val="single" w:color="auto" w:sz="4" w:space="0"/>
              <w:bottom w:val="single" w:color="auto" w:sz="4" w:space="0"/>
              <w:right w:val="single" w:color="auto" w:sz="4" w:space="0"/>
            </w:tcBorders>
            <w:vAlign w:val="center"/>
          </w:tcPr>
          <w:p w14:paraId="01484010">
            <w:pPr>
              <w:pStyle w:val="5"/>
              <w:overflowPunct w:val="0"/>
              <w:spacing w:line="360" w:lineRule="auto"/>
              <w:ind w:firstLine="422"/>
              <w:jc w:val="center"/>
              <w:rPr>
                <w:rFonts w:ascii="宋体" w:hAnsi="宋体" w:eastAsia="宋体" w:cs="宋体"/>
                <w:color w:val="auto"/>
                <w:sz w:val="21"/>
                <w:szCs w:val="21"/>
                <w:highlight w:val="none"/>
              </w:rPr>
            </w:pPr>
          </w:p>
        </w:tc>
        <w:tc>
          <w:tcPr>
            <w:tcW w:w="704" w:type="pct"/>
            <w:tcBorders>
              <w:top w:val="single" w:color="auto" w:sz="4" w:space="0"/>
              <w:left w:val="single" w:color="auto" w:sz="4" w:space="0"/>
              <w:bottom w:val="single" w:color="auto" w:sz="4" w:space="0"/>
              <w:right w:val="single" w:color="auto" w:sz="4" w:space="0"/>
            </w:tcBorders>
            <w:vAlign w:val="center"/>
          </w:tcPr>
          <w:p w14:paraId="11BE8E3A">
            <w:pPr>
              <w:pStyle w:val="5"/>
              <w:overflowPunct w:val="0"/>
              <w:spacing w:line="360" w:lineRule="auto"/>
              <w:ind w:firstLine="422"/>
              <w:jc w:val="center"/>
              <w:rPr>
                <w:rFonts w:ascii="宋体" w:hAnsi="宋体" w:eastAsia="宋体" w:cs="宋体"/>
                <w:color w:val="auto"/>
                <w:sz w:val="21"/>
                <w:szCs w:val="21"/>
                <w:highlight w:val="none"/>
              </w:rPr>
            </w:pPr>
          </w:p>
        </w:tc>
      </w:tr>
      <w:tr w14:paraId="1683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018AA9A1">
            <w:pPr>
              <w:pStyle w:val="5"/>
              <w:overflowPunct w:val="0"/>
              <w:spacing w:line="360" w:lineRule="auto"/>
              <w:ind w:firstLine="422"/>
              <w:jc w:val="center"/>
              <w:rPr>
                <w:rFonts w:ascii="宋体" w:hAnsi="宋体" w:eastAsia="宋体" w:cs="宋体"/>
                <w:color w:val="auto"/>
                <w:sz w:val="21"/>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47E0A757">
            <w:pPr>
              <w:pStyle w:val="5"/>
              <w:overflowPunct w:val="0"/>
              <w:spacing w:line="360" w:lineRule="auto"/>
              <w:ind w:firstLine="422"/>
              <w:jc w:val="center"/>
              <w:rPr>
                <w:rFonts w:ascii="宋体" w:hAnsi="宋体" w:eastAsia="宋体" w:cs="宋体"/>
                <w:color w:val="auto"/>
                <w:sz w:val="21"/>
                <w:szCs w:val="21"/>
                <w:highlight w:val="none"/>
              </w:rPr>
            </w:pPr>
          </w:p>
        </w:tc>
        <w:tc>
          <w:tcPr>
            <w:tcW w:w="1261" w:type="pct"/>
            <w:tcBorders>
              <w:top w:val="single" w:color="auto" w:sz="4" w:space="0"/>
              <w:left w:val="single" w:color="auto" w:sz="4" w:space="0"/>
              <w:bottom w:val="single" w:color="auto" w:sz="4" w:space="0"/>
              <w:right w:val="single" w:color="auto" w:sz="4" w:space="0"/>
            </w:tcBorders>
            <w:vAlign w:val="center"/>
          </w:tcPr>
          <w:p w14:paraId="4653F55A">
            <w:pPr>
              <w:pStyle w:val="5"/>
              <w:overflowPunct w:val="0"/>
              <w:spacing w:line="360" w:lineRule="auto"/>
              <w:ind w:firstLine="422"/>
              <w:jc w:val="center"/>
              <w:rPr>
                <w:rFonts w:ascii="宋体" w:hAnsi="宋体" w:eastAsia="宋体" w:cs="宋体"/>
                <w:color w:val="auto"/>
                <w:sz w:val="21"/>
                <w:szCs w:val="21"/>
                <w:highlight w:val="none"/>
              </w:rPr>
            </w:pPr>
          </w:p>
        </w:tc>
        <w:tc>
          <w:tcPr>
            <w:tcW w:w="979" w:type="pct"/>
            <w:tcBorders>
              <w:top w:val="single" w:color="auto" w:sz="4" w:space="0"/>
              <w:left w:val="single" w:color="auto" w:sz="4" w:space="0"/>
              <w:bottom w:val="single" w:color="auto" w:sz="4" w:space="0"/>
              <w:right w:val="single" w:color="auto" w:sz="4" w:space="0"/>
            </w:tcBorders>
            <w:vAlign w:val="center"/>
          </w:tcPr>
          <w:p w14:paraId="4E54EE4B">
            <w:pPr>
              <w:pStyle w:val="5"/>
              <w:overflowPunct w:val="0"/>
              <w:spacing w:line="360" w:lineRule="auto"/>
              <w:ind w:firstLine="422"/>
              <w:jc w:val="center"/>
              <w:rPr>
                <w:rFonts w:ascii="宋体" w:hAnsi="宋体" w:eastAsia="宋体" w:cs="宋体"/>
                <w:color w:val="auto"/>
                <w:sz w:val="21"/>
                <w:szCs w:val="21"/>
                <w:highlight w:val="none"/>
              </w:rPr>
            </w:pPr>
          </w:p>
        </w:tc>
        <w:tc>
          <w:tcPr>
            <w:tcW w:w="871" w:type="pct"/>
            <w:tcBorders>
              <w:top w:val="single" w:color="auto" w:sz="4" w:space="0"/>
              <w:left w:val="single" w:color="auto" w:sz="4" w:space="0"/>
              <w:bottom w:val="single" w:color="auto" w:sz="4" w:space="0"/>
              <w:right w:val="single" w:color="auto" w:sz="4" w:space="0"/>
            </w:tcBorders>
            <w:vAlign w:val="center"/>
          </w:tcPr>
          <w:p w14:paraId="46AD6188">
            <w:pPr>
              <w:pStyle w:val="5"/>
              <w:overflowPunct w:val="0"/>
              <w:spacing w:line="360" w:lineRule="auto"/>
              <w:ind w:firstLine="422"/>
              <w:jc w:val="center"/>
              <w:rPr>
                <w:rFonts w:ascii="宋体" w:hAnsi="宋体" w:eastAsia="宋体" w:cs="宋体"/>
                <w:color w:val="auto"/>
                <w:sz w:val="21"/>
                <w:szCs w:val="21"/>
                <w:highlight w:val="none"/>
              </w:rPr>
            </w:pPr>
          </w:p>
        </w:tc>
        <w:tc>
          <w:tcPr>
            <w:tcW w:w="704" w:type="pct"/>
            <w:tcBorders>
              <w:top w:val="single" w:color="auto" w:sz="4" w:space="0"/>
              <w:left w:val="single" w:color="auto" w:sz="4" w:space="0"/>
              <w:bottom w:val="single" w:color="auto" w:sz="4" w:space="0"/>
              <w:right w:val="single" w:color="auto" w:sz="4" w:space="0"/>
            </w:tcBorders>
            <w:vAlign w:val="center"/>
          </w:tcPr>
          <w:p w14:paraId="4E74D104">
            <w:pPr>
              <w:pStyle w:val="5"/>
              <w:overflowPunct w:val="0"/>
              <w:spacing w:line="360" w:lineRule="auto"/>
              <w:ind w:firstLine="422"/>
              <w:jc w:val="center"/>
              <w:rPr>
                <w:rFonts w:ascii="宋体" w:hAnsi="宋体" w:eastAsia="宋体" w:cs="宋体"/>
                <w:color w:val="auto"/>
                <w:sz w:val="21"/>
                <w:szCs w:val="21"/>
                <w:highlight w:val="none"/>
              </w:rPr>
            </w:pPr>
          </w:p>
        </w:tc>
      </w:tr>
    </w:tbl>
    <w:p w14:paraId="779E3CA7">
      <w:pPr>
        <w:spacing w:line="360" w:lineRule="auto"/>
        <w:ind w:firstLine="422"/>
        <w:rPr>
          <w:rFonts w:ascii="宋体" w:hAnsi="宋体" w:cs="宋体"/>
          <w:color w:val="auto"/>
          <w:szCs w:val="21"/>
          <w:highlight w:val="none"/>
        </w:rPr>
      </w:pPr>
    </w:p>
    <w:p w14:paraId="445E755F">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投标人：（签章）</w:t>
      </w:r>
    </w:p>
    <w:p w14:paraId="3165C6C9">
      <w:pPr>
        <w:spacing w:line="360" w:lineRule="auto"/>
        <w:ind w:firstLine="422"/>
        <w:rPr>
          <w:rFonts w:ascii="宋体" w:hAnsi="宋体" w:cs="宋体"/>
          <w:color w:val="auto"/>
          <w:szCs w:val="21"/>
          <w:highlight w:val="non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szCs w:val="21"/>
          <w:highlight w:val="none"/>
        </w:rPr>
        <w:t>日期：         年         月       日</w:t>
      </w:r>
    </w:p>
    <w:p w14:paraId="38FF3A2C">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、关于资格文件的声明函</w:t>
      </w:r>
    </w:p>
    <w:p w14:paraId="095FE798">
      <w:pPr>
        <w:pStyle w:val="5"/>
        <w:overflowPunct w:val="0"/>
        <w:spacing w:line="360" w:lineRule="auto"/>
        <w:jc w:val="center"/>
        <w:rPr>
          <w:rFonts w:ascii="宋体" w:hAnsi="宋体" w:eastAsia="宋体" w:cs="宋体"/>
          <w:b/>
          <w:color w:val="auto"/>
          <w:sz w:val="21"/>
          <w:szCs w:val="21"/>
          <w:highlight w:val="none"/>
        </w:rPr>
      </w:pPr>
    </w:p>
    <w:p w14:paraId="3175E15B">
      <w:pPr>
        <w:pStyle w:val="5"/>
        <w:overflowPunct w:val="0"/>
        <w:spacing w:line="360" w:lineRule="auto"/>
        <w:ind w:firstLine="422"/>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关于资格文件的声明函</w:t>
      </w:r>
    </w:p>
    <w:p w14:paraId="3BC44169">
      <w:pPr>
        <w:pStyle w:val="5"/>
        <w:overflowPunct w:val="0"/>
        <w:spacing w:line="360" w:lineRule="auto"/>
        <w:ind w:firstLine="422"/>
        <w:jc w:val="center"/>
        <w:rPr>
          <w:rFonts w:ascii="宋体" w:hAnsi="宋体" w:eastAsia="宋体" w:cs="宋体"/>
          <w:color w:val="auto"/>
          <w:sz w:val="21"/>
          <w:highlight w:val="none"/>
        </w:rPr>
      </w:pPr>
    </w:p>
    <w:p w14:paraId="5052A687">
      <w:pPr>
        <w:pStyle w:val="5"/>
        <w:overflowPunct w:val="0"/>
        <w:spacing w:line="360" w:lineRule="auto"/>
        <w:ind w:firstLine="1470" w:firstLineChars="700"/>
        <w:rPr>
          <w:rFonts w:ascii="宋体" w:hAnsi="宋体" w:eastAsia="宋体" w:cs="宋体"/>
          <w:color w:val="auto"/>
          <w:sz w:val="21"/>
          <w:highlight w:val="none"/>
        </w:rPr>
      </w:pPr>
      <w:r>
        <w:rPr>
          <w:rFonts w:hint="eastAsia" w:ascii="宋体" w:hAnsi="宋体" w:eastAsia="宋体" w:cs="宋体"/>
          <w:color w:val="auto"/>
          <w:sz w:val="21"/>
          <w:highlight w:val="none"/>
        </w:rPr>
        <w:t>：</w:t>
      </w:r>
    </w:p>
    <w:p w14:paraId="5B0CDFDF">
      <w:pPr>
        <w:pStyle w:val="5"/>
        <w:overflowPunct w:val="0"/>
        <w:snapToGrid w:val="0"/>
        <w:spacing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highlight w:val="none"/>
        </w:rPr>
        <w:t>本公司愿就由贵公司组织实施的编号为</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rPr>
        <w:t>号的招标活动进行投标。本公司所提交的投标文件中所有关于投标资格的文件、证明和陈述均是真实的、有效的、准确的。本公司愿意提供招标文件中要求的所有资料，本公司承诺我单位符合招标文件投标人须知要求中“合格投标人的条件”的资格要求。若与真实情况不符，本公司愿意承担由此而产生的一切后果。</w:t>
      </w:r>
    </w:p>
    <w:p w14:paraId="787F0027">
      <w:pPr>
        <w:pStyle w:val="5"/>
        <w:overflowPunct w:val="0"/>
        <w:spacing w:line="360" w:lineRule="auto"/>
        <w:ind w:firstLine="422"/>
        <w:rPr>
          <w:rFonts w:ascii="宋体" w:hAnsi="宋体" w:eastAsia="宋体" w:cs="宋体"/>
          <w:color w:val="auto"/>
          <w:sz w:val="21"/>
          <w:highlight w:val="none"/>
        </w:rPr>
      </w:pPr>
    </w:p>
    <w:p w14:paraId="0D7F02D2">
      <w:pPr>
        <w:pStyle w:val="5"/>
        <w:overflowPunct w:val="0"/>
        <w:spacing w:line="360" w:lineRule="auto"/>
        <w:ind w:firstLine="422"/>
        <w:rPr>
          <w:rFonts w:ascii="宋体" w:hAnsi="宋体" w:eastAsia="宋体" w:cs="宋体"/>
          <w:color w:val="auto"/>
          <w:sz w:val="21"/>
          <w:highlight w:val="none"/>
        </w:rPr>
      </w:pPr>
    </w:p>
    <w:p w14:paraId="544B160E">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投标人：（签章）</w:t>
      </w:r>
    </w:p>
    <w:p w14:paraId="1DD2596C">
      <w:pPr>
        <w:spacing w:line="360" w:lineRule="auto"/>
        <w:ind w:firstLine="422"/>
        <w:rPr>
          <w:rFonts w:ascii="宋体" w:hAnsi="宋体" w:cs="宋体"/>
          <w:color w:val="auto"/>
          <w:szCs w:val="21"/>
          <w:highlight w:val="non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szCs w:val="21"/>
          <w:highlight w:val="none"/>
        </w:rPr>
        <w:t>日期：         年         月       日</w:t>
      </w:r>
    </w:p>
    <w:p w14:paraId="13B1506C">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、投标单位情况表</w:t>
      </w:r>
    </w:p>
    <w:p w14:paraId="486511D4">
      <w:pPr>
        <w:pStyle w:val="5"/>
        <w:overflowPunct w:val="0"/>
        <w:spacing w:line="360" w:lineRule="auto"/>
        <w:ind w:firstLine="422"/>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投标单位情况表</w:t>
      </w:r>
    </w:p>
    <w:p w14:paraId="7B09641E">
      <w:pPr>
        <w:pStyle w:val="5"/>
        <w:overflowPunct w:val="0"/>
        <w:spacing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highlight w:val="none"/>
        </w:rPr>
        <w:t>签章</w:t>
      </w:r>
      <w:r>
        <w:rPr>
          <w:rFonts w:hint="eastAsia" w:ascii="宋体" w:hAnsi="宋体" w:eastAsia="宋体" w:cs="宋体"/>
          <w:color w:val="auto"/>
          <w:sz w:val="21"/>
          <w:szCs w:val="21"/>
          <w:highlight w:val="none"/>
        </w:rPr>
        <w:t>）</w:t>
      </w:r>
    </w:p>
    <w:tbl>
      <w:tblPr>
        <w:tblStyle w:val="3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95"/>
        <w:gridCol w:w="1930"/>
        <w:gridCol w:w="1466"/>
        <w:gridCol w:w="2057"/>
        <w:gridCol w:w="1240"/>
      </w:tblGrid>
      <w:tr w14:paraId="0E6E5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12701E06">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tc>
        <w:tc>
          <w:tcPr>
            <w:tcW w:w="1737" w:type="dxa"/>
            <w:vAlign w:val="center"/>
          </w:tcPr>
          <w:p w14:paraId="4A59E0A1">
            <w:pPr>
              <w:pStyle w:val="5"/>
              <w:overflowPunct w:val="0"/>
              <w:spacing w:line="360" w:lineRule="auto"/>
              <w:ind w:firstLine="422"/>
              <w:rPr>
                <w:rFonts w:ascii="宋体" w:hAnsi="宋体" w:eastAsia="宋体" w:cs="宋体"/>
                <w:color w:val="auto"/>
                <w:kern w:val="2"/>
                <w:sz w:val="21"/>
                <w:szCs w:val="21"/>
                <w:highlight w:val="none"/>
              </w:rPr>
            </w:pPr>
          </w:p>
        </w:tc>
        <w:tc>
          <w:tcPr>
            <w:tcW w:w="1319" w:type="dxa"/>
            <w:vAlign w:val="center"/>
          </w:tcPr>
          <w:p w14:paraId="5438E7A1">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成立日期</w:t>
            </w:r>
          </w:p>
        </w:tc>
        <w:tc>
          <w:tcPr>
            <w:tcW w:w="2967" w:type="dxa"/>
            <w:gridSpan w:val="2"/>
            <w:vAlign w:val="center"/>
          </w:tcPr>
          <w:p w14:paraId="43E50D85">
            <w:pPr>
              <w:pStyle w:val="5"/>
              <w:overflowPunct w:val="0"/>
              <w:spacing w:line="360" w:lineRule="auto"/>
              <w:ind w:firstLine="422"/>
              <w:rPr>
                <w:rFonts w:ascii="宋体" w:hAnsi="宋体" w:eastAsia="宋体" w:cs="宋体"/>
                <w:color w:val="auto"/>
                <w:kern w:val="2"/>
                <w:sz w:val="21"/>
                <w:szCs w:val="21"/>
                <w:highlight w:val="none"/>
              </w:rPr>
            </w:pPr>
          </w:p>
        </w:tc>
      </w:tr>
      <w:tr w14:paraId="4940A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15D07E7E">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企业地址</w:t>
            </w:r>
          </w:p>
        </w:tc>
        <w:tc>
          <w:tcPr>
            <w:tcW w:w="1737" w:type="dxa"/>
            <w:vAlign w:val="center"/>
          </w:tcPr>
          <w:p w14:paraId="783BD3E2">
            <w:pPr>
              <w:pStyle w:val="5"/>
              <w:overflowPunct w:val="0"/>
              <w:spacing w:line="360" w:lineRule="auto"/>
              <w:ind w:firstLine="422"/>
              <w:rPr>
                <w:rFonts w:ascii="宋体" w:hAnsi="宋体" w:eastAsia="宋体" w:cs="宋体"/>
                <w:color w:val="auto"/>
                <w:kern w:val="2"/>
                <w:sz w:val="21"/>
                <w:szCs w:val="21"/>
                <w:highlight w:val="none"/>
              </w:rPr>
            </w:pPr>
          </w:p>
        </w:tc>
        <w:tc>
          <w:tcPr>
            <w:tcW w:w="1319" w:type="dxa"/>
            <w:vAlign w:val="center"/>
          </w:tcPr>
          <w:p w14:paraId="141E0F27">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注册资本</w:t>
            </w:r>
          </w:p>
        </w:tc>
        <w:tc>
          <w:tcPr>
            <w:tcW w:w="2967" w:type="dxa"/>
            <w:gridSpan w:val="2"/>
            <w:vAlign w:val="center"/>
          </w:tcPr>
          <w:p w14:paraId="7D9C8EF4">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万元</w:t>
            </w:r>
          </w:p>
        </w:tc>
      </w:tr>
      <w:tr w14:paraId="4C487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0ED68449">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经营范围</w:t>
            </w:r>
          </w:p>
        </w:tc>
        <w:tc>
          <w:tcPr>
            <w:tcW w:w="6023" w:type="dxa"/>
            <w:gridSpan w:val="4"/>
            <w:vAlign w:val="center"/>
          </w:tcPr>
          <w:p w14:paraId="095B0A0A">
            <w:pPr>
              <w:pStyle w:val="5"/>
              <w:overflowPunct w:val="0"/>
              <w:spacing w:line="360" w:lineRule="auto"/>
              <w:ind w:firstLine="422"/>
              <w:rPr>
                <w:rFonts w:ascii="宋体" w:hAnsi="宋体" w:eastAsia="宋体" w:cs="宋体"/>
                <w:color w:val="auto"/>
                <w:kern w:val="2"/>
                <w:sz w:val="21"/>
                <w:szCs w:val="21"/>
                <w:highlight w:val="none"/>
              </w:rPr>
            </w:pPr>
          </w:p>
        </w:tc>
      </w:tr>
      <w:tr w14:paraId="4EE4E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64FCAA87">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c>
          <w:tcPr>
            <w:tcW w:w="1737" w:type="dxa"/>
            <w:vAlign w:val="center"/>
          </w:tcPr>
          <w:p w14:paraId="3F5F72BD">
            <w:pPr>
              <w:pStyle w:val="5"/>
              <w:overflowPunct w:val="0"/>
              <w:spacing w:line="360" w:lineRule="auto"/>
              <w:ind w:firstLine="422"/>
              <w:rPr>
                <w:rFonts w:ascii="宋体" w:hAnsi="宋体" w:eastAsia="宋体" w:cs="宋体"/>
                <w:color w:val="auto"/>
                <w:kern w:val="2"/>
                <w:sz w:val="21"/>
                <w:szCs w:val="21"/>
                <w:highlight w:val="none"/>
              </w:rPr>
            </w:pPr>
          </w:p>
        </w:tc>
        <w:tc>
          <w:tcPr>
            <w:tcW w:w="3170" w:type="dxa"/>
            <w:gridSpan w:val="2"/>
            <w:vAlign w:val="center"/>
          </w:tcPr>
          <w:p w14:paraId="6E8E1937">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其中：有中高级以上职称的人数</w:t>
            </w:r>
          </w:p>
        </w:tc>
        <w:tc>
          <w:tcPr>
            <w:tcW w:w="1116" w:type="dxa"/>
            <w:vAlign w:val="center"/>
          </w:tcPr>
          <w:p w14:paraId="553DE62E">
            <w:pPr>
              <w:pStyle w:val="5"/>
              <w:overflowPunct w:val="0"/>
              <w:spacing w:line="360" w:lineRule="auto"/>
              <w:ind w:firstLine="422"/>
              <w:rPr>
                <w:rFonts w:ascii="宋体" w:hAnsi="宋体" w:eastAsia="宋体" w:cs="宋体"/>
                <w:color w:val="auto"/>
                <w:kern w:val="2"/>
                <w:sz w:val="21"/>
                <w:szCs w:val="21"/>
                <w:highlight w:val="none"/>
              </w:rPr>
            </w:pPr>
          </w:p>
        </w:tc>
      </w:tr>
      <w:tr w14:paraId="68B51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40176524">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资产总计</w:t>
            </w:r>
          </w:p>
        </w:tc>
        <w:tc>
          <w:tcPr>
            <w:tcW w:w="1737" w:type="dxa"/>
            <w:vAlign w:val="center"/>
          </w:tcPr>
          <w:p w14:paraId="2CE15113">
            <w:pPr>
              <w:pStyle w:val="5"/>
              <w:overflowPunct w:val="0"/>
              <w:spacing w:line="360" w:lineRule="auto"/>
              <w:ind w:firstLine="422"/>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万元</w:t>
            </w:r>
          </w:p>
        </w:tc>
        <w:tc>
          <w:tcPr>
            <w:tcW w:w="1319" w:type="dxa"/>
            <w:vAlign w:val="center"/>
          </w:tcPr>
          <w:p w14:paraId="6BC2731A">
            <w:pPr>
              <w:pStyle w:val="5"/>
              <w:overflowPunct w:val="0"/>
              <w:spacing w:line="360" w:lineRule="auto"/>
              <w:ind w:left="0" w:leftChars="0" w:firstLine="0" w:firstLineChars="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净资产</w:t>
            </w:r>
          </w:p>
        </w:tc>
        <w:tc>
          <w:tcPr>
            <w:tcW w:w="2967" w:type="dxa"/>
            <w:gridSpan w:val="2"/>
            <w:vAlign w:val="center"/>
          </w:tcPr>
          <w:p w14:paraId="5CA568F1">
            <w:pPr>
              <w:pStyle w:val="5"/>
              <w:overflowPunct w:val="0"/>
              <w:spacing w:line="360" w:lineRule="auto"/>
              <w:ind w:firstLine="422"/>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万元</w:t>
            </w:r>
          </w:p>
        </w:tc>
      </w:tr>
      <w:tr w14:paraId="68515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7" w:hRule="atLeast"/>
          <w:jc w:val="center"/>
        </w:trPr>
        <w:tc>
          <w:tcPr>
            <w:tcW w:w="2336" w:type="dxa"/>
            <w:vAlign w:val="center"/>
          </w:tcPr>
          <w:p w14:paraId="734813E1">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股东权益</w:t>
            </w:r>
          </w:p>
        </w:tc>
        <w:tc>
          <w:tcPr>
            <w:tcW w:w="1737" w:type="dxa"/>
            <w:vAlign w:val="center"/>
          </w:tcPr>
          <w:p w14:paraId="331F1BAA">
            <w:pPr>
              <w:pStyle w:val="5"/>
              <w:overflowPunct w:val="0"/>
              <w:spacing w:line="360" w:lineRule="auto"/>
              <w:ind w:firstLine="422"/>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万元</w:t>
            </w:r>
          </w:p>
        </w:tc>
        <w:tc>
          <w:tcPr>
            <w:tcW w:w="1319" w:type="dxa"/>
            <w:vAlign w:val="center"/>
          </w:tcPr>
          <w:p w14:paraId="1030D51F">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销售收入</w:t>
            </w:r>
          </w:p>
        </w:tc>
        <w:tc>
          <w:tcPr>
            <w:tcW w:w="2967" w:type="dxa"/>
            <w:gridSpan w:val="2"/>
            <w:vAlign w:val="center"/>
          </w:tcPr>
          <w:p w14:paraId="19B74C6F">
            <w:pPr>
              <w:pStyle w:val="5"/>
              <w:overflowPunct w:val="0"/>
              <w:spacing w:line="360" w:lineRule="auto"/>
              <w:ind w:firstLine="422"/>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          万元</w:t>
            </w:r>
          </w:p>
        </w:tc>
      </w:tr>
      <w:tr w14:paraId="034F1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2572498C">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实现利润</w:t>
            </w:r>
          </w:p>
        </w:tc>
        <w:tc>
          <w:tcPr>
            <w:tcW w:w="1737" w:type="dxa"/>
            <w:vAlign w:val="center"/>
          </w:tcPr>
          <w:p w14:paraId="5A704D8D">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  万元</w:t>
            </w:r>
          </w:p>
        </w:tc>
        <w:tc>
          <w:tcPr>
            <w:tcW w:w="1319" w:type="dxa"/>
            <w:vAlign w:val="center"/>
          </w:tcPr>
          <w:p w14:paraId="2993CC45">
            <w:pPr>
              <w:pStyle w:val="5"/>
              <w:overflowPunct w:val="0"/>
              <w:spacing w:line="360" w:lineRule="auto"/>
              <w:ind w:firstLine="422"/>
              <w:rPr>
                <w:rFonts w:ascii="宋体" w:hAnsi="宋体" w:eastAsia="宋体" w:cs="宋体"/>
                <w:color w:val="auto"/>
                <w:kern w:val="2"/>
                <w:sz w:val="21"/>
                <w:szCs w:val="21"/>
                <w:highlight w:val="none"/>
              </w:rPr>
            </w:pPr>
          </w:p>
        </w:tc>
        <w:tc>
          <w:tcPr>
            <w:tcW w:w="2967" w:type="dxa"/>
            <w:gridSpan w:val="2"/>
            <w:vAlign w:val="center"/>
          </w:tcPr>
          <w:p w14:paraId="59BE55F6">
            <w:pPr>
              <w:pStyle w:val="5"/>
              <w:overflowPunct w:val="0"/>
              <w:spacing w:line="360" w:lineRule="auto"/>
              <w:ind w:firstLine="422"/>
              <w:rPr>
                <w:rFonts w:ascii="宋体" w:hAnsi="宋体" w:eastAsia="宋体" w:cs="宋体"/>
                <w:color w:val="auto"/>
                <w:kern w:val="2"/>
                <w:sz w:val="21"/>
                <w:szCs w:val="21"/>
                <w:highlight w:val="none"/>
              </w:rPr>
            </w:pPr>
          </w:p>
        </w:tc>
      </w:tr>
      <w:tr w14:paraId="1A090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2FAA80D2">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营业面积（含厂房面积）</w:t>
            </w:r>
          </w:p>
        </w:tc>
        <w:tc>
          <w:tcPr>
            <w:tcW w:w="1737" w:type="dxa"/>
            <w:vAlign w:val="center"/>
          </w:tcPr>
          <w:p w14:paraId="781F7BB0">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平方米</w:t>
            </w:r>
          </w:p>
        </w:tc>
        <w:tc>
          <w:tcPr>
            <w:tcW w:w="1319" w:type="dxa"/>
            <w:vAlign w:val="center"/>
          </w:tcPr>
          <w:p w14:paraId="11C995E2">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其中：</w:t>
            </w:r>
          </w:p>
        </w:tc>
        <w:tc>
          <w:tcPr>
            <w:tcW w:w="2967" w:type="dxa"/>
            <w:gridSpan w:val="2"/>
            <w:vAlign w:val="center"/>
          </w:tcPr>
          <w:p w14:paraId="139B2591">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自有面积         平方米</w:t>
            </w:r>
          </w:p>
          <w:p w14:paraId="1B6695FF">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承租面积         平方米</w:t>
            </w:r>
          </w:p>
        </w:tc>
      </w:tr>
      <w:tr w14:paraId="1D9B1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1A3D195D">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单位简历及内设机构情况</w:t>
            </w:r>
          </w:p>
        </w:tc>
        <w:tc>
          <w:tcPr>
            <w:tcW w:w="6023" w:type="dxa"/>
            <w:gridSpan w:val="4"/>
            <w:vAlign w:val="center"/>
          </w:tcPr>
          <w:p w14:paraId="2932F108">
            <w:pPr>
              <w:pStyle w:val="5"/>
              <w:overflowPunct w:val="0"/>
              <w:spacing w:line="360" w:lineRule="auto"/>
              <w:ind w:firstLine="422"/>
              <w:rPr>
                <w:rFonts w:ascii="宋体" w:hAnsi="宋体" w:eastAsia="宋体" w:cs="宋体"/>
                <w:color w:val="auto"/>
                <w:kern w:val="2"/>
                <w:sz w:val="21"/>
                <w:szCs w:val="21"/>
                <w:highlight w:val="none"/>
              </w:rPr>
            </w:pPr>
          </w:p>
        </w:tc>
      </w:tr>
      <w:tr w14:paraId="46277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59DCB8C0">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单位优势及特长</w:t>
            </w:r>
          </w:p>
        </w:tc>
        <w:tc>
          <w:tcPr>
            <w:tcW w:w="6023" w:type="dxa"/>
            <w:gridSpan w:val="4"/>
            <w:vAlign w:val="center"/>
          </w:tcPr>
          <w:p w14:paraId="2F0964B5">
            <w:pPr>
              <w:pStyle w:val="5"/>
              <w:overflowPunct w:val="0"/>
              <w:spacing w:line="360" w:lineRule="auto"/>
              <w:ind w:firstLine="422"/>
              <w:rPr>
                <w:rFonts w:ascii="宋体" w:hAnsi="宋体" w:eastAsia="宋体" w:cs="宋体"/>
                <w:color w:val="auto"/>
                <w:kern w:val="2"/>
                <w:sz w:val="21"/>
                <w:szCs w:val="21"/>
                <w:highlight w:val="none"/>
              </w:rPr>
            </w:pPr>
          </w:p>
        </w:tc>
      </w:tr>
      <w:tr w14:paraId="62CC0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134EEE5C">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近三年来完成或正在履行的重大合同情况</w:t>
            </w:r>
          </w:p>
        </w:tc>
        <w:tc>
          <w:tcPr>
            <w:tcW w:w="6023" w:type="dxa"/>
            <w:gridSpan w:val="4"/>
            <w:vAlign w:val="center"/>
          </w:tcPr>
          <w:p w14:paraId="7B31C08E">
            <w:pPr>
              <w:pStyle w:val="5"/>
              <w:overflowPunct w:val="0"/>
              <w:spacing w:line="360" w:lineRule="auto"/>
              <w:ind w:firstLine="422"/>
              <w:rPr>
                <w:rFonts w:ascii="宋体" w:hAnsi="宋体" w:eastAsia="宋体" w:cs="宋体"/>
                <w:color w:val="auto"/>
                <w:kern w:val="2"/>
                <w:sz w:val="21"/>
                <w:szCs w:val="21"/>
                <w:highlight w:val="none"/>
              </w:rPr>
            </w:pPr>
          </w:p>
        </w:tc>
      </w:tr>
      <w:tr w14:paraId="58BFC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0E54CD78">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最近2年内在经营过程中受到何种奖励或处分</w:t>
            </w:r>
          </w:p>
        </w:tc>
        <w:tc>
          <w:tcPr>
            <w:tcW w:w="6023" w:type="dxa"/>
            <w:gridSpan w:val="4"/>
            <w:vAlign w:val="center"/>
          </w:tcPr>
          <w:p w14:paraId="6718EB00">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（包括财政、工商、税务、物价、技监部门稽查情况和结果）</w:t>
            </w:r>
          </w:p>
        </w:tc>
      </w:tr>
      <w:tr w14:paraId="5C776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3E3F9E38">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最近3年内有无因售假、售劣或是其他原因被消费者投诉或起诉的情况及说明</w:t>
            </w:r>
          </w:p>
        </w:tc>
        <w:tc>
          <w:tcPr>
            <w:tcW w:w="6023" w:type="dxa"/>
            <w:gridSpan w:val="4"/>
            <w:vAlign w:val="center"/>
          </w:tcPr>
          <w:p w14:paraId="4928E00E">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（包括解决方式和结果）</w:t>
            </w:r>
          </w:p>
        </w:tc>
      </w:tr>
      <w:tr w14:paraId="016EF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1B0B7CF0">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参加政府采购活动前三年内，在经营活动中有无重大违法记录情况及说明</w:t>
            </w:r>
          </w:p>
        </w:tc>
        <w:tc>
          <w:tcPr>
            <w:tcW w:w="6023" w:type="dxa"/>
            <w:gridSpan w:val="4"/>
            <w:vAlign w:val="center"/>
          </w:tcPr>
          <w:p w14:paraId="18B655C1">
            <w:pPr>
              <w:pStyle w:val="5"/>
              <w:overflowPunct w:val="0"/>
              <w:spacing w:line="360" w:lineRule="auto"/>
              <w:ind w:firstLine="422"/>
              <w:rPr>
                <w:rFonts w:ascii="宋体" w:hAnsi="宋体" w:eastAsia="宋体" w:cs="宋体"/>
                <w:color w:val="auto"/>
                <w:kern w:val="2"/>
                <w:sz w:val="21"/>
                <w:szCs w:val="21"/>
                <w:highlight w:val="none"/>
              </w:rPr>
            </w:pPr>
          </w:p>
        </w:tc>
      </w:tr>
      <w:tr w14:paraId="48D0D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6BC9B1B6">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获得技术认证的工程师及简介</w:t>
            </w:r>
          </w:p>
        </w:tc>
        <w:tc>
          <w:tcPr>
            <w:tcW w:w="6023" w:type="dxa"/>
            <w:gridSpan w:val="4"/>
            <w:vAlign w:val="center"/>
          </w:tcPr>
          <w:p w14:paraId="6A60BAF4">
            <w:pPr>
              <w:pStyle w:val="5"/>
              <w:overflowPunct w:val="0"/>
              <w:spacing w:line="360" w:lineRule="auto"/>
              <w:ind w:firstLine="422"/>
              <w:rPr>
                <w:rFonts w:ascii="宋体" w:hAnsi="宋体" w:eastAsia="宋体" w:cs="宋体"/>
                <w:color w:val="auto"/>
                <w:kern w:val="2"/>
                <w:sz w:val="21"/>
                <w:szCs w:val="21"/>
                <w:highlight w:val="none"/>
              </w:rPr>
            </w:pPr>
          </w:p>
        </w:tc>
      </w:tr>
      <w:tr w14:paraId="20403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336" w:type="dxa"/>
            <w:vAlign w:val="center"/>
          </w:tcPr>
          <w:p w14:paraId="17BA4C4B">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其他需要说明的情况</w:t>
            </w:r>
          </w:p>
        </w:tc>
        <w:tc>
          <w:tcPr>
            <w:tcW w:w="6023" w:type="dxa"/>
            <w:gridSpan w:val="4"/>
            <w:vAlign w:val="center"/>
          </w:tcPr>
          <w:p w14:paraId="0CA2E541">
            <w:pPr>
              <w:pStyle w:val="5"/>
              <w:overflowPunct w:val="0"/>
              <w:spacing w:line="360" w:lineRule="auto"/>
              <w:ind w:firstLine="422"/>
              <w:rPr>
                <w:rFonts w:ascii="宋体" w:hAnsi="宋体" w:eastAsia="宋体" w:cs="宋体"/>
                <w:color w:val="auto"/>
                <w:kern w:val="2"/>
                <w:sz w:val="21"/>
                <w:szCs w:val="21"/>
                <w:highlight w:val="none"/>
              </w:rPr>
            </w:pPr>
          </w:p>
        </w:tc>
      </w:tr>
    </w:tbl>
    <w:p w14:paraId="65DB453C">
      <w:pPr>
        <w:widowControl/>
        <w:spacing w:line="360" w:lineRule="auto"/>
        <w:ind w:firstLine="422"/>
        <w:jc w:val="center"/>
        <w:rPr>
          <w:rFonts w:ascii="宋体" w:hAnsi="宋体" w:cs="宋体"/>
          <w:color w:val="auto"/>
          <w:kern w:val="0"/>
          <w:szCs w:val="21"/>
          <w:highlight w:val="none"/>
        </w:rPr>
        <w:sectPr>
          <w:pgSz w:w="11906" w:h="16838"/>
          <w:pgMar w:top="1440" w:right="1417" w:bottom="1440" w:left="1417" w:header="964" w:footer="1077" w:gutter="0"/>
          <w:cols w:space="720" w:num="1"/>
          <w:docGrid w:type="lines" w:linePitch="312" w:charSpace="0"/>
        </w:sectPr>
      </w:pPr>
    </w:p>
    <w:p w14:paraId="37A001C2">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、投标（响应）保证承诺书</w:t>
      </w:r>
    </w:p>
    <w:p w14:paraId="5787CAB5">
      <w:pPr>
        <w:widowControl/>
        <w:spacing w:line="360" w:lineRule="auto"/>
        <w:ind w:firstLine="422"/>
        <w:jc w:val="center"/>
        <w:rPr>
          <w:rFonts w:ascii="宋体" w:hAnsi="宋体" w:cs="宋体"/>
          <w:color w:val="auto"/>
          <w:kern w:val="0"/>
          <w:szCs w:val="21"/>
          <w:highlight w:val="none"/>
        </w:rPr>
      </w:pPr>
    </w:p>
    <w:p w14:paraId="178021E8">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投标（响应）保证承诺书</w:t>
      </w:r>
    </w:p>
    <w:p w14:paraId="27DA0BFD">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（采购代理机构名称）</w:t>
      </w:r>
    </w:p>
    <w:p w14:paraId="7317A351">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我（单位/本人，以下统称我单位）自愿参加</w:t>
      </w:r>
      <w:r>
        <w:rPr>
          <w:rFonts w:hint="eastAsia" w:ascii="宋体" w:hAnsi="宋体" w:cs="宋体"/>
          <w:color w:val="auto"/>
          <w:kern w:val="0"/>
          <w:szCs w:val="21"/>
          <w:highlight w:val="none"/>
          <w:u w:val="single"/>
        </w:rPr>
        <w:t xml:space="preserve">              （项目名称和采购编号）</w:t>
      </w:r>
      <w:r>
        <w:rPr>
          <w:rFonts w:hint="eastAsia" w:ascii="宋体" w:hAnsi="宋体" w:cs="宋体"/>
          <w:color w:val="auto"/>
          <w:kern w:val="0"/>
          <w:szCs w:val="21"/>
          <w:highlight w:val="none"/>
        </w:rPr>
        <w:t>的投标（响应）,并做出如下承诺：</w:t>
      </w:r>
    </w:p>
    <w:p w14:paraId="51EA8566">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一、  除不可抗力外，我单位如果发生以下行为，将在行为发生的10个工作日内，向贵方</w:t>
      </w:r>
      <w:r>
        <w:rPr>
          <w:rFonts w:hint="eastAsia" w:ascii="宋体" w:hAnsi="宋体" w:cs="宋体"/>
          <w:color w:val="auto"/>
          <w:kern w:val="0"/>
          <w:szCs w:val="21"/>
          <w:highlight w:val="none"/>
          <w:u w:val="single"/>
        </w:rPr>
        <w:t>（或采购单位）</w:t>
      </w:r>
      <w:r>
        <w:rPr>
          <w:rFonts w:hint="eastAsia" w:ascii="宋体" w:hAnsi="宋体" w:cs="宋体"/>
          <w:color w:val="auto"/>
          <w:kern w:val="0"/>
          <w:szCs w:val="21"/>
          <w:highlight w:val="none"/>
        </w:rPr>
        <w:t>支付本招标文件公布的预算金额（或最高限价）的2%作为违约赔偿金（数量不确定的单价采购须约定具体金额）。</w:t>
      </w:r>
    </w:p>
    <w:p w14:paraId="24F456B9">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1.自投标（响应）截止时间至本项目发布中标（成交）公告为止，撤销投标（响应）；</w:t>
      </w:r>
    </w:p>
    <w:p w14:paraId="584B0C81">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2.中标（成交）后不依法与采购单位签订合同；</w:t>
      </w:r>
    </w:p>
    <w:p w14:paraId="7362E55B">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3.中标（成交）后不按本招标文件规定向采购单位提交履约保证金（如有）；</w:t>
      </w:r>
    </w:p>
    <w:p w14:paraId="640CC462">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4.中标（成交）后不按本招标文件规定向贵方缴纳采购代理费。</w:t>
      </w:r>
    </w:p>
    <w:p w14:paraId="7BD155B3">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二、  我单位知晓上述行为的法律后果，承认本承诺书作为贵方</w:t>
      </w:r>
      <w:r>
        <w:rPr>
          <w:rFonts w:hint="eastAsia" w:ascii="宋体" w:hAnsi="宋体" w:cs="宋体"/>
          <w:color w:val="auto"/>
          <w:kern w:val="0"/>
          <w:szCs w:val="21"/>
          <w:highlight w:val="none"/>
          <w:u w:val="single"/>
        </w:rPr>
        <w:t>（或采购单位）</w:t>
      </w:r>
      <w:r>
        <w:rPr>
          <w:rFonts w:hint="eastAsia" w:ascii="宋体" w:hAnsi="宋体" w:cs="宋体"/>
          <w:color w:val="auto"/>
          <w:kern w:val="0"/>
          <w:szCs w:val="21"/>
          <w:highlight w:val="none"/>
        </w:rPr>
        <w:t>要求我单位履行违约赔偿义务的依据作用。</w:t>
      </w:r>
    </w:p>
    <w:p w14:paraId="60E9B4A8">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14:paraId="11AD1EB8">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投标（响应）人（</w:t>
      </w:r>
      <w:r>
        <w:rPr>
          <w:rFonts w:hint="eastAsia" w:ascii="宋体" w:hAnsi="宋体" w:cs="宋体"/>
          <w:color w:val="auto"/>
          <w:szCs w:val="20"/>
          <w:highlight w:val="none"/>
        </w:rPr>
        <w:t>签章</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w:t>
      </w:r>
    </w:p>
    <w:p w14:paraId="3562BC08">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6C9A2DAC">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785F073">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传真：</w:t>
      </w:r>
      <w:r>
        <w:rPr>
          <w:rFonts w:hint="eastAsia" w:ascii="宋体" w:hAnsi="宋体" w:cs="宋体"/>
          <w:color w:val="auto"/>
          <w:kern w:val="0"/>
          <w:szCs w:val="21"/>
          <w:highlight w:val="none"/>
          <w:u w:val="single"/>
        </w:rPr>
        <w:t xml:space="preserve">                      </w:t>
      </w:r>
    </w:p>
    <w:p w14:paraId="3AD3CE35">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电子邮件：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w:t>
      </w:r>
    </w:p>
    <w:p w14:paraId="50943053">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邮编：</w:t>
      </w:r>
      <w:r>
        <w:rPr>
          <w:rFonts w:hint="eastAsia" w:ascii="宋体" w:hAnsi="宋体" w:cs="宋体"/>
          <w:color w:val="auto"/>
          <w:kern w:val="0"/>
          <w:szCs w:val="21"/>
          <w:highlight w:val="none"/>
          <w:u w:val="single"/>
        </w:rPr>
        <w:t xml:space="preserve">                      </w:t>
      </w:r>
    </w:p>
    <w:p w14:paraId="789CE587">
      <w:pPr>
        <w:widowControl/>
        <w:spacing w:line="360" w:lineRule="auto"/>
        <w:ind w:firstLine="422"/>
        <w:jc w:val="left"/>
        <w:rPr>
          <w:rFonts w:ascii="宋体" w:hAnsi="宋体" w:cs="宋体"/>
          <w:color w:val="auto"/>
          <w:kern w:val="0"/>
          <w:szCs w:val="21"/>
          <w:highlight w:val="none"/>
          <w:u w:val="singl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w:t>
      </w:r>
    </w:p>
    <w:p w14:paraId="5B67B6F4">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r>
        <w:rPr>
          <w:rFonts w:hint="eastAsia" w:ascii="宋体" w:hAnsi="宋体" w:cs="宋体"/>
          <w:b/>
          <w:bCs/>
          <w:color w:val="auto"/>
          <w:szCs w:val="21"/>
          <w:highlight w:val="none"/>
          <w:lang w:val="zh-CN"/>
        </w:rPr>
        <w:t>合格投标人资格证明材料</w:t>
      </w:r>
    </w:p>
    <w:p w14:paraId="056DF6E2">
      <w:pPr>
        <w:autoSpaceDE w:val="0"/>
        <w:autoSpaceDN w:val="0"/>
        <w:adjustRightInd w:val="0"/>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val="zh-CN"/>
        </w:rPr>
        <w:t>合格投标人资格证明材料</w:t>
      </w:r>
    </w:p>
    <w:p w14:paraId="76970B3E">
      <w:pPr>
        <w:autoSpaceDE w:val="0"/>
        <w:autoSpaceDN w:val="0"/>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招标编号：             号</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25"/>
        <w:gridCol w:w="1600"/>
        <w:gridCol w:w="3543"/>
      </w:tblGrid>
      <w:tr w14:paraId="1EC0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20" w:type="dxa"/>
            <w:vAlign w:val="center"/>
          </w:tcPr>
          <w:p w14:paraId="2C24F784">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3425" w:type="dxa"/>
            <w:vAlign w:val="center"/>
          </w:tcPr>
          <w:p w14:paraId="6CEBF24B">
            <w:pPr>
              <w:autoSpaceDE w:val="0"/>
              <w:autoSpaceDN w:val="0"/>
              <w:adjustRightInd w:val="0"/>
              <w:snapToGrid w:val="0"/>
              <w:spacing w:line="360" w:lineRule="auto"/>
              <w:ind w:firstLine="422"/>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投标单位资格要求</w:t>
            </w:r>
          </w:p>
        </w:tc>
        <w:tc>
          <w:tcPr>
            <w:tcW w:w="1600" w:type="dxa"/>
            <w:vAlign w:val="center"/>
          </w:tcPr>
          <w:p w14:paraId="645F9BAD">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是否完全响应</w:t>
            </w:r>
          </w:p>
        </w:tc>
        <w:tc>
          <w:tcPr>
            <w:tcW w:w="3543" w:type="dxa"/>
            <w:vAlign w:val="center"/>
          </w:tcPr>
          <w:p w14:paraId="434E7A35">
            <w:pPr>
              <w:autoSpaceDE w:val="0"/>
              <w:autoSpaceDN w:val="0"/>
              <w:adjustRightInd w:val="0"/>
              <w:snapToGrid w:val="0"/>
              <w:spacing w:line="360" w:lineRule="auto"/>
              <w:ind w:firstLine="422"/>
              <w:jc w:val="center"/>
              <w:rPr>
                <w:rFonts w:ascii="宋体" w:hAnsi="宋体" w:cs="宋体"/>
                <w:color w:val="auto"/>
                <w:szCs w:val="21"/>
                <w:highlight w:val="none"/>
                <w:lang w:val="zh-CN"/>
              </w:rPr>
            </w:pPr>
            <w:r>
              <w:rPr>
                <w:rFonts w:hint="eastAsia" w:ascii="宋体" w:hAnsi="宋体" w:cs="宋体"/>
                <w:color w:val="auto"/>
                <w:szCs w:val="21"/>
                <w:highlight w:val="none"/>
                <w:lang w:val="zh-CN"/>
              </w:rPr>
              <w:t>备注</w:t>
            </w:r>
          </w:p>
        </w:tc>
      </w:tr>
      <w:tr w14:paraId="60E6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0" w:type="dxa"/>
            <w:vAlign w:val="center"/>
          </w:tcPr>
          <w:p w14:paraId="50F80471">
            <w:pPr>
              <w:autoSpaceDE w:val="0"/>
              <w:autoSpaceDN w:val="0"/>
              <w:adjustRightInd w:val="0"/>
              <w:snapToGrid w:val="0"/>
              <w:spacing w:line="360" w:lineRule="auto"/>
              <w:ind w:firstLine="422"/>
              <w:jc w:val="center"/>
              <w:rPr>
                <w:rFonts w:ascii="宋体" w:hAnsi="宋体" w:cs="宋体"/>
                <w:color w:val="auto"/>
                <w:szCs w:val="21"/>
                <w:highlight w:val="none"/>
              </w:rPr>
            </w:pPr>
            <w:r>
              <w:rPr>
                <w:rFonts w:hint="eastAsia" w:ascii="宋体" w:hAnsi="宋体" w:cs="宋体"/>
                <w:color w:val="auto"/>
                <w:szCs w:val="21"/>
                <w:highlight w:val="none"/>
              </w:rPr>
              <w:t>1</w:t>
            </w:r>
          </w:p>
        </w:tc>
        <w:tc>
          <w:tcPr>
            <w:tcW w:w="3425" w:type="dxa"/>
            <w:vAlign w:val="center"/>
          </w:tcPr>
          <w:p w14:paraId="56657E6C">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具有独立承担民事责任的能力</w:t>
            </w:r>
          </w:p>
        </w:tc>
        <w:tc>
          <w:tcPr>
            <w:tcW w:w="1600" w:type="dxa"/>
            <w:vAlign w:val="center"/>
          </w:tcPr>
          <w:p w14:paraId="54642E14">
            <w:pPr>
              <w:autoSpaceDE w:val="0"/>
              <w:autoSpaceDN w:val="0"/>
              <w:adjustRightInd w:val="0"/>
              <w:snapToGrid w:val="0"/>
              <w:spacing w:line="360" w:lineRule="auto"/>
              <w:ind w:firstLine="422"/>
              <w:jc w:val="center"/>
              <w:rPr>
                <w:rFonts w:ascii="宋体" w:hAnsi="宋体" w:cs="宋体"/>
                <w:color w:val="auto"/>
                <w:szCs w:val="21"/>
                <w:highlight w:val="none"/>
              </w:rPr>
            </w:pPr>
          </w:p>
        </w:tc>
        <w:tc>
          <w:tcPr>
            <w:tcW w:w="3543" w:type="dxa"/>
            <w:vAlign w:val="center"/>
          </w:tcPr>
          <w:p w14:paraId="4699C556">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提供包括法人或者其他组织的营业执照等证明文件，自然人的身份证明</w:t>
            </w:r>
          </w:p>
        </w:tc>
      </w:tr>
      <w:tr w14:paraId="3A6F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0" w:type="dxa"/>
            <w:vAlign w:val="center"/>
          </w:tcPr>
          <w:p w14:paraId="66AC1083">
            <w:pPr>
              <w:autoSpaceDE w:val="0"/>
              <w:autoSpaceDN w:val="0"/>
              <w:adjustRightInd w:val="0"/>
              <w:snapToGrid w:val="0"/>
              <w:spacing w:line="360" w:lineRule="auto"/>
              <w:ind w:firstLine="422"/>
              <w:jc w:val="center"/>
              <w:rPr>
                <w:rFonts w:ascii="宋体" w:hAnsi="宋体" w:cs="宋体"/>
                <w:color w:val="auto"/>
                <w:szCs w:val="21"/>
                <w:highlight w:val="none"/>
              </w:rPr>
            </w:pPr>
            <w:r>
              <w:rPr>
                <w:rFonts w:hint="eastAsia" w:ascii="宋体" w:hAnsi="宋体" w:cs="宋体"/>
                <w:color w:val="auto"/>
                <w:szCs w:val="21"/>
                <w:highlight w:val="none"/>
              </w:rPr>
              <w:t>2</w:t>
            </w:r>
          </w:p>
        </w:tc>
        <w:tc>
          <w:tcPr>
            <w:tcW w:w="3425" w:type="dxa"/>
            <w:vAlign w:val="center"/>
          </w:tcPr>
          <w:p w14:paraId="388A6A4C">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具有良好的商业信誉和健全的财务会计制度</w:t>
            </w:r>
          </w:p>
        </w:tc>
        <w:tc>
          <w:tcPr>
            <w:tcW w:w="1600" w:type="dxa"/>
            <w:vAlign w:val="center"/>
          </w:tcPr>
          <w:p w14:paraId="66185058">
            <w:pPr>
              <w:autoSpaceDE w:val="0"/>
              <w:autoSpaceDN w:val="0"/>
              <w:adjustRightInd w:val="0"/>
              <w:snapToGrid w:val="0"/>
              <w:spacing w:line="360" w:lineRule="auto"/>
              <w:ind w:firstLine="422"/>
              <w:jc w:val="center"/>
              <w:rPr>
                <w:rFonts w:ascii="宋体" w:hAnsi="宋体" w:cs="宋体"/>
                <w:color w:val="auto"/>
                <w:szCs w:val="21"/>
                <w:highlight w:val="none"/>
              </w:rPr>
            </w:pPr>
          </w:p>
        </w:tc>
        <w:tc>
          <w:tcPr>
            <w:tcW w:w="3543" w:type="dxa"/>
            <w:vAlign w:val="center"/>
          </w:tcPr>
          <w:p w14:paraId="3650B1A4">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提供包括但不限于最近一期（202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年度或202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年度）财务审计报告或最近一期（202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月至今任一期）财务报表，其他组织、自然人及成立未满一年的法人应提供银行出具的资信证明）</w:t>
            </w:r>
          </w:p>
        </w:tc>
      </w:tr>
      <w:tr w14:paraId="5663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0" w:type="dxa"/>
            <w:vAlign w:val="center"/>
          </w:tcPr>
          <w:p w14:paraId="5BD471B0">
            <w:pPr>
              <w:autoSpaceDE w:val="0"/>
              <w:autoSpaceDN w:val="0"/>
              <w:adjustRightInd w:val="0"/>
              <w:snapToGrid w:val="0"/>
              <w:spacing w:line="360" w:lineRule="auto"/>
              <w:ind w:firstLine="422"/>
              <w:jc w:val="center"/>
              <w:rPr>
                <w:rFonts w:ascii="宋体" w:hAnsi="宋体" w:cs="宋体"/>
                <w:color w:val="auto"/>
                <w:szCs w:val="21"/>
                <w:highlight w:val="none"/>
              </w:rPr>
            </w:pPr>
            <w:r>
              <w:rPr>
                <w:rFonts w:hint="eastAsia" w:ascii="宋体" w:hAnsi="宋体" w:cs="宋体"/>
                <w:color w:val="auto"/>
                <w:szCs w:val="21"/>
                <w:highlight w:val="none"/>
              </w:rPr>
              <w:t>3</w:t>
            </w:r>
          </w:p>
        </w:tc>
        <w:tc>
          <w:tcPr>
            <w:tcW w:w="3425" w:type="dxa"/>
            <w:vAlign w:val="center"/>
          </w:tcPr>
          <w:p w14:paraId="56422C80">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具有履行合同所必需的设备和专业技术能力</w:t>
            </w:r>
          </w:p>
        </w:tc>
        <w:tc>
          <w:tcPr>
            <w:tcW w:w="1600" w:type="dxa"/>
            <w:vAlign w:val="center"/>
          </w:tcPr>
          <w:p w14:paraId="3209B700">
            <w:pPr>
              <w:autoSpaceDE w:val="0"/>
              <w:autoSpaceDN w:val="0"/>
              <w:adjustRightInd w:val="0"/>
              <w:snapToGrid w:val="0"/>
              <w:spacing w:line="360" w:lineRule="auto"/>
              <w:ind w:firstLine="422"/>
              <w:jc w:val="center"/>
              <w:rPr>
                <w:rFonts w:ascii="宋体" w:hAnsi="宋体" w:cs="宋体"/>
                <w:color w:val="auto"/>
                <w:szCs w:val="21"/>
                <w:highlight w:val="none"/>
              </w:rPr>
            </w:pPr>
          </w:p>
        </w:tc>
        <w:tc>
          <w:tcPr>
            <w:tcW w:w="3543" w:type="dxa"/>
            <w:vAlign w:val="center"/>
          </w:tcPr>
          <w:p w14:paraId="1C2252C7">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提供证明材料或承诺</w:t>
            </w:r>
          </w:p>
        </w:tc>
      </w:tr>
      <w:tr w14:paraId="101F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0" w:type="dxa"/>
            <w:vAlign w:val="center"/>
          </w:tcPr>
          <w:p w14:paraId="21BA1890">
            <w:pPr>
              <w:autoSpaceDE w:val="0"/>
              <w:autoSpaceDN w:val="0"/>
              <w:adjustRightInd w:val="0"/>
              <w:snapToGrid w:val="0"/>
              <w:spacing w:line="360" w:lineRule="auto"/>
              <w:ind w:firstLine="422"/>
              <w:jc w:val="center"/>
              <w:rPr>
                <w:rFonts w:ascii="宋体" w:hAnsi="宋体" w:cs="宋体"/>
                <w:color w:val="auto"/>
                <w:szCs w:val="21"/>
                <w:highlight w:val="none"/>
              </w:rPr>
            </w:pPr>
            <w:r>
              <w:rPr>
                <w:rFonts w:hint="eastAsia" w:ascii="宋体" w:hAnsi="宋体" w:cs="宋体"/>
                <w:color w:val="auto"/>
                <w:szCs w:val="21"/>
                <w:highlight w:val="none"/>
              </w:rPr>
              <w:t>4</w:t>
            </w:r>
          </w:p>
        </w:tc>
        <w:tc>
          <w:tcPr>
            <w:tcW w:w="3425" w:type="dxa"/>
            <w:vAlign w:val="center"/>
          </w:tcPr>
          <w:p w14:paraId="2703F745">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有依法缴纳税收和社会保障资金的良好记录</w:t>
            </w:r>
          </w:p>
        </w:tc>
        <w:tc>
          <w:tcPr>
            <w:tcW w:w="1600" w:type="dxa"/>
            <w:vAlign w:val="center"/>
          </w:tcPr>
          <w:p w14:paraId="0FC3888C">
            <w:pPr>
              <w:autoSpaceDE w:val="0"/>
              <w:autoSpaceDN w:val="0"/>
              <w:adjustRightInd w:val="0"/>
              <w:snapToGrid w:val="0"/>
              <w:spacing w:line="360" w:lineRule="auto"/>
              <w:ind w:firstLine="422"/>
              <w:jc w:val="center"/>
              <w:rPr>
                <w:rFonts w:ascii="宋体" w:hAnsi="宋体" w:cs="宋体"/>
                <w:color w:val="auto"/>
                <w:szCs w:val="21"/>
                <w:highlight w:val="none"/>
              </w:rPr>
            </w:pPr>
          </w:p>
        </w:tc>
        <w:tc>
          <w:tcPr>
            <w:tcW w:w="3543" w:type="dxa"/>
            <w:vAlign w:val="center"/>
          </w:tcPr>
          <w:p w14:paraId="303F65BA">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供应商参加本次政府采购活动前半年（至少一个月）依法缴纳税收和社会保险的凭据；依法免税或不需要缴纳社会保障资金的供应商，应提供相应证明资料证明其依法免税或不需要缴纳社会保障资金，否则不予认可</w:t>
            </w:r>
          </w:p>
        </w:tc>
      </w:tr>
      <w:tr w14:paraId="312B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0" w:type="dxa"/>
            <w:vAlign w:val="center"/>
          </w:tcPr>
          <w:p w14:paraId="5E44FAA0">
            <w:pPr>
              <w:autoSpaceDE w:val="0"/>
              <w:autoSpaceDN w:val="0"/>
              <w:adjustRightInd w:val="0"/>
              <w:snapToGrid w:val="0"/>
              <w:spacing w:line="360" w:lineRule="auto"/>
              <w:ind w:firstLine="422"/>
              <w:jc w:val="center"/>
              <w:rPr>
                <w:rFonts w:ascii="宋体" w:hAnsi="宋体" w:cs="宋体"/>
                <w:color w:val="auto"/>
                <w:szCs w:val="21"/>
                <w:highlight w:val="none"/>
              </w:rPr>
            </w:pPr>
            <w:r>
              <w:rPr>
                <w:rFonts w:hint="eastAsia" w:ascii="宋体" w:hAnsi="宋体" w:cs="宋体"/>
                <w:color w:val="auto"/>
                <w:szCs w:val="21"/>
                <w:highlight w:val="none"/>
              </w:rPr>
              <w:t>5</w:t>
            </w:r>
          </w:p>
        </w:tc>
        <w:tc>
          <w:tcPr>
            <w:tcW w:w="3425" w:type="dxa"/>
            <w:vAlign w:val="center"/>
          </w:tcPr>
          <w:p w14:paraId="2C7ECACD">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1600" w:type="dxa"/>
            <w:vAlign w:val="center"/>
          </w:tcPr>
          <w:p w14:paraId="36C31868">
            <w:pPr>
              <w:autoSpaceDE w:val="0"/>
              <w:autoSpaceDN w:val="0"/>
              <w:adjustRightInd w:val="0"/>
              <w:snapToGrid w:val="0"/>
              <w:spacing w:line="360" w:lineRule="auto"/>
              <w:ind w:firstLine="422"/>
              <w:jc w:val="center"/>
              <w:rPr>
                <w:rFonts w:ascii="宋体" w:hAnsi="宋体" w:cs="宋体"/>
                <w:color w:val="auto"/>
                <w:szCs w:val="21"/>
                <w:highlight w:val="none"/>
              </w:rPr>
            </w:pPr>
          </w:p>
        </w:tc>
        <w:tc>
          <w:tcPr>
            <w:tcW w:w="3543" w:type="dxa"/>
            <w:vAlign w:val="center"/>
          </w:tcPr>
          <w:p w14:paraId="56D7A2DF">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提供书面声明函</w:t>
            </w:r>
          </w:p>
        </w:tc>
      </w:tr>
      <w:tr w14:paraId="00EA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0" w:type="dxa"/>
            <w:vAlign w:val="center"/>
          </w:tcPr>
          <w:p w14:paraId="0CF97528">
            <w:pPr>
              <w:autoSpaceDE w:val="0"/>
              <w:autoSpaceDN w:val="0"/>
              <w:adjustRightInd w:val="0"/>
              <w:snapToGrid w:val="0"/>
              <w:spacing w:line="360" w:lineRule="auto"/>
              <w:ind w:firstLine="422"/>
              <w:jc w:val="center"/>
              <w:rPr>
                <w:rFonts w:ascii="宋体" w:hAnsi="宋体" w:cs="宋体"/>
                <w:color w:val="auto"/>
                <w:szCs w:val="21"/>
                <w:highlight w:val="none"/>
              </w:rPr>
            </w:pPr>
            <w:r>
              <w:rPr>
                <w:rFonts w:hint="eastAsia" w:ascii="宋体" w:hAnsi="宋体" w:cs="宋体"/>
                <w:color w:val="auto"/>
                <w:szCs w:val="21"/>
                <w:highlight w:val="none"/>
              </w:rPr>
              <w:t>6</w:t>
            </w:r>
          </w:p>
        </w:tc>
        <w:tc>
          <w:tcPr>
            <w:tcW w:w="3425" w:type="dxa"/>
            <w:vAlign w:val="center"/>
          </w:tcPr>
          <w:p w14:paraId="69F92CA6">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法律、行政法规规定的其他条件</w:t>
            </w:r>
          </w:p>
        </w:tc>
        <w:tc>
          <w:tcPr>
            <w:tcW w:w="1600" w:type="dxa"/>
            <w:vAlign w:val="center"/>
          </w:tcPr>
          <w:p w14:paraId="2DF06B6E">
            <w:pPr>
              <w:autoSpaceDE w:val="0"/>
              <w:autoSpaceDN w:val="0"/>
              <w:adjustRightInd w:val="0"/>
              <w:snapToGrid w:val="0"/>
              <w:spacing w:line="360" w:lineRule="auto"/>
              <w:ind w:firstLine="422"/>
              <w:jc w:val="center"/>
              <w:rPr>
                <w:rFonts w:ascii="宋体" w:hAnsi="宋体" w:cs="宋体"/>
                <w:color w:val="auto"/>
                <w:szCs w:val="21"/>
                <w:highlight w:val="none"/>
              </w:rPr>
            </w:pPr>
          </w:p>
        </w:tc>
        <w:tc>
          <w:tcPr>
            <w:tcW w:w="3543" w:type="dxa"/>
            <w:vAlign w:val="center"/>
          </w:tcPr>
          <w:p w14:paraId="0E233823">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提供书面声明函</w:t>
            </w:r>
          </w:p>
        </w:tc>
      </w:tr>
      <w:tr w14:paraId="0A84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0" w:type="dxa"/>
            <w:vAlign w:val="center"/>
          </w:tcPr>
          <w:p w14:paraId="773DFA61">
            <w:pPr>
              <w:autoSpaceDE w:val="0"/>
              <w:autoSpaceDN w:val="0"/>
              <w:adjustRightInd w:val="0"/>
              <w:snapToGrid w:val="0"/>
              <w:spacing w:line="360" w:lineRule="auto"/>
              <w:ind w:firstLine="422"/>
              <w:jc w:val="center"/>
              <w:rPr>
                <w:rFonts w:ascii="宋体" w:hAnsi="宋体" w:cs="宋体"/>
                <w:color w:val="auto"/>
                <w:szCs w:val="21"/>
                <w:highlight w:val="none"/>
              </w:rPr>
            </w:pPr>
            <w:r>
              <w:rPr>
                <w:rFonts w:hint="eastAsia" w:ascii="宋体" w:hAnsi="宋体" w:cs="宋体"/>
                <w:color w:val="auto"/>
                <w:szCs w:val="21"/>
                <w:highlight w:val="none"/>
              </w:rPr>
              <w:t>7</w:t>
            </w:r>
          </w:p>
        </w:tc>
        <w:tc>
          <w:tcPr>
            <w:tcW w:w="3425" w:type="dxa"/>
            <w:vAlign w:val="center"/>
          </w:tcPr>
          <w:p w14:paraId="0C949BF3">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合格投标单位其他特定资格要求（如有）</w:t>
            </w:r>
          </w:p>
        </w:tc>
        <w:tc>
          <w:tcPr>
            <w:tcW w:w="1600" w:type="dxa"/>
            <w:vAlign w:val="center"/>
          </w:tcPr>
          <w:p w14:paraId="3867B9E8">
            <w:pPr>
              <w:autoSpaceDE w:val="0"/>
              <w:autoSpaceDN w:val="0"/>
              <w:adjustRightInd w:val="0"/>
              <w:snapToGrid w:val="0"/>
              <w:spacing w:line="360" w:lineRule="auto"/>
              <w:ind w:firstLine="422"/>
              <w:jc w:val="center"/>
              <w:rPr>
                <w:rFonts w:ascii="宋体" w:hAnsi="宋体" w:cs="宋体"/>
                <w:color w:val="auto"/>
                <w:szCs w:val="21"/>
                <w:highlight w:val="none"/>
              </w:rPr>
            </w:pPr>
          </w:p>
        </w:tc>
        <w:tc>
          <w:tcPr>
            <w:tcW w:w="3543" w:type="dxa"/>
            <w:vAlign w:val="center"/>
          </w:tcPr>
          <w:p w14:paraId="50DFC753">
            <w:p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按招标公告要求提供相关证明材料</w:t>
            </w:r>
          </w:p>
        </w:tc>
      </w:tr>
    </w:tbl>
    <w:p w14:paraId="4668BEE9">
      <w:pPr>
        <w:pStyle w:val="27"/>
        <w:adjustRightInd w:val="0"/>
        <w:snapToGrid w:val="0"/>
        <w:spacing w:beforeAutospacing="0" w:afterAutospacing="0" w:line="360" w:lineRule="auto"/>
        <w:ind w:firstLine="630" w:firstLineChars="30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投标单位：（签章）</w:t>
      </w:r>
    </w:p>
    <w:p w14:paraId="0D35E92B">
      <w:pPr>
        <w:pStyle w:val="27"/>
        <w:adjustRightInd w:val="0"/>
        <w:snapToGrid w:val="0"/>
        <w:spacing w:beforeAutospacing="0" w:afterAutospacing="0" w:line="360" w:lineRule="auto"/>
        <w:ind w:firstLine="630" w:firstLineChars="30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日期：</w:t>
      </w:r>
    </w:p>
    <w:p w14:paraId="0F136758">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、声明函</w:t>
      </w:r>
    </w:p>
    <w:p w14:paraId="048CCEC9">
      <w:pPr>
        <w:autoSpaceDE w:val="0"/>
        <w:autoSpaceDN w:val="0"/>
        <w:ind w:firstLine="2741" w:firstLineChars="1300"/>
        <w:rPr>
          <w:rFonts w:ascii="宋体" w:hAnsi="宋体" w:cs="宋体"/>
          <w:b/>
          <w:color w:val="auto"/>
          <w:szCs w:val="21"/>
          <w:highlight w:val="none"/>
        </w:rPr>
      </w:pPr>
      <w:r>
        <w:rPr>
          <w:rFonts w:hint="eastAsia" w:ascii="宋体" w:hAnsi="宋体" w:cs="宋体"/>
          <w:b/>
          <w:color w:val="auto"/>
          <w:szCs w:val="21"/>
          <w:highlight w:val="none"/>
        </w:rPr>
        <w:t>（1）</w:t>
      </w:r>
      <w:bookmarkStart w:id="48" w:name="_Toc1077"/>
      <w:bookmarkStart w:id="49" w:name="_Toc4028"/>
      <w:r>
        <w:rPr>
          <w:rFonts w:hint="eastAsia" w:ascii="宋体" w:hAnsi="宋体" w:cs="宋体"/>
          <w:color w:val="auto"/>
          <w:szCs w:val="21"/>
          <w:highlight w:val="none"/>
        </w:rPr>
        <w:t>中小企业声明函（货物）</w:t>
      </w:r>
      <w:bookmarkEnd w:id="48"/>
      <w:bookmarkEnd w:id="49"/>
    </w:p>
    <w:p w14:paraId="067371C8">
      <w:pPr>
        <w:pStyle w:val="13"/>
        <w:spacing w:after="0" w:line="360" w:lineRule="auto"/>
        <w:ind w:firstLine="414"/>
        <w:rPr>
          <w:rFonts w:ascii="宋体" w:hAnsi="宋体" w:cs="宋体"/>
          <w:color w:val="auto"/>
          <w:sz w:val="21"/>
          <w:szCs w:val="21"/>
          <w:highlight w:val="none"/>
        </w:rPr>
      </w:pPr>
      <w:r>
        <w:rPr>
          <w:rFonts w:hint="eastAsia" w:ascii="宋体" w:hAnsi="宋体" w:cs="宋体"/>
          <w:color w:val="auto"/>
          <w:spacing w:val="-2"/>
          <w:sz w:val="21"/>
          <w:szCs w:val="21"/>
          <w:highlight w:val="none"/>
        </w:rPr>
        <w:t>本公司</w:t>
      </w:r>
      <w:r>
        <w:rPr>
          <w:rFonts w:hint="eastAsia" w:ascii="宋体" w:hAnsi="宋体" w:cs="宋体"/>
          <w:color w:val="auto"/>
          <w:sz w:val="21"/>
          <w:szCs w:val="21"/>
          <w:highlight w:val="none"/>
        </w:rPr>
        <w:t>（联合体</w:t>
      </w:r>
      <w:r>
        <w:rPr>
          <w:rFonts w:hint="eastAsia" w:ascii="宋体" w:hAnsi="宋体" w:cs="宋体"/>
          <w:color w:val="auto"/>
          <w:spacing w:val="-5"/>
          <w:sz w:val="21"/>
          <w:szCs w:val="21"/>
          <w:highlight w:val="none"/>
        </w:rPr>
        <w:t>）</w:t>
      </w:r>
      <w:r>
        <w:rPr>
          <w:rFonts w:hint="eastAsia" w:ascii="宋体" w:hAnsi="宋体" w:cs="宋体"/>
          <w:color w:val="auto"/>
          <w:spacing w:val="-2"/>
          <w:sz w:val="21"/>
          <w:szCs w:val="21"/>
          <w:highlight w:val="none"/>
        </w:rPr>
        <w:t>郑重声明，根据《政府采购促进中小</w:t>
      </w:r>
      <w:r>
        <w:rPr>
          <w:rFonts w:hint="eastAsia" w:ascii="宋体" w:hAnsi="宋体" w:cs="宋体"/>
          <w:color w:val="auto"/>
          <w:spacing w:val="-18"/>
          <w:sz w:val="21"/>
          <w:szCs w:val="21"/>
          <w:highlight w:val="none"/>
        </w:rPr>
        <w:t>企业发展管理办法》</w:t>
      </w:r>
      <w:r>
        <w:rPr>
          <w:rFonts w:hint="eastAsia" w:ascii="宋体" w:hAnsi="宋体" w:cs="宋体"/>
          <w:color w:val="auto"/>
          <w:sz w:val="21"/>
          <w:szCs w:val="21"/>
          <w:highlight w:val="none"/>
        </w:rPr>
        <w:t>（</w:t>
      </w:r>
      <w:r>
        <w:rPr>
          <w:rFonts w:hint="eastAsia" w:ascii="宋体" w:hAnsi="宋体" w:cs="宋体"/>
          <w:color w:val="auto"/>
          <w:spacing w:val="5"/>
          <w:sz w:val="21"/>
          <w:szCs w:val="21"/>
          <w:highlight w:val="none"/>
        </w:rPr>
        <w:t>财库</w:t>
      </w:r>
      <w:r>
        <w:rPr>
          <w:rFonts w:hint="eastAsia" w:ascii="宋体" w:hAnsi="宋体" w:cs="宋体"/>
          <w:color w:val="auto"/>
          <w:sz w:val="21"/>
          <w:szCs w:val="21"/>
          <w:highlight w:val="none"/>
        </w:rPr>
        <w:t>﹝2020﹞46</w:t>
      </w:r>
      <w:r>
        <w:rPr>
          <w:rFonts w:hint="eastAsia" w:ascii="宋体" w:hAnsi="宋体" w:cs="宋体"/>
          <w:color w:val="auto"/>
          <w:spacing w:val="-38"/>
          <w:sz w:val="21"/>
          <w:szCs w:val="21"/>
          <w:highlight w:val="none"/>
        </w:rPr>
        <w:t xml:space="preserve"> 号</w:t>
      </w:r>
      <w:r>
        <w:rPr>
          <w:rFonts w:hint="eastAsia" w:ascii="宋体" w:hAnsi="宋体" w:cs="宋体"/>
          <w:color w:val="auto"/>
          <w:spacing w:val="5"/>
          <w:sz w:val="21"/>
          <w:szCs w:val="21"/>
          <w:highlight w:val="none"/>
        </w:rPr>
        <w:t>）</w:t>
      </w:r>
      <w:r>
        <w:rPr>
          <w:rFonts w:hint="eastAsia" w:ascii="宋体" w:hAnsi="宋体" w:cs="宋体"/>
          <w:color w:val="auto"/>
          <w:sz w:val="21"/>
          <w:szCs w:val="21"/>
          <w:highlight w:val="none"/>
        </w:rPr>
        <w:t>的规定，本公司（联合体）</w:t>
      </w:r>
      <w:r>
        <w:rPr>
          <w:rFonts w:hint="eastAsia" w:ascii="宋体" w:hAnsi="宋体" w:cs="宋体"/>
          <w:color w:val="auto"/>
          <w:spacing w:val="-8"/>
          <w:sz w:val="21"/>
          <w:szCs w:val="21"/>
          <w:highlight w:val="none"/>
        </w:rPr>
        <w:t>参</w:t>
      </w:r>
      <w:r>
        <w:rPr>
          <w:rFonts w:hint="eastAsia" w:ascii="宋体" w:hAnsi="宋体" w:cs="宋体"/>
          <w:color w:val="auto"/>
          <w:spacing w:val="-2"/>
          <w:kern w:val="2"/>
          <w:sz w:val="21"/>
          <w:szCs w:val="21"/>
          <w:highlight w:val="none"/>
        </w:rPr>
        <w:t>加（</w:t>
      </w:r>
      <w:r>
        <w:rPr>
          <w:rFonts w:hint="eastAsia" w:ascii="宋体" w:hAnsi="宋体" w:cs="宋体"/>
          <w:b/>
          <w:bCs/>
          <w:color w:val="auto"/>
          <w:spacing w:val="-2"/>
          <w:kern w:val="2"/>
          <w:sz w:val="21"/>
          <w:szCs w:val="21"/>
          <w:highlight w:val="none"/>
        </w:rPr>
        <w:t>单位名称</w:t>
      </w:r>
      <w:r>
        <w:rPr>
          <w:rFonts w:hint="eastAsia" w:ascii="宋体" w:hAnsi="宋体" w:cs="宋体"/>
          <w:color w:val="auto"/>
          <w:spacing w:val="-2"/>
          <w:kern w:val="2"/>
          <w:sz w:val="21"/>
          <w:szCs w:val="21"/>
          <w:highlight w:val="none"/>
        </w:rPr>
        <w:t>）的（</w:t>
      </w:r>
      <w:r>
        <w:rPr>
          <w:rFonts w:hint="eastAsia" w:ascii="宋体" w:hAnsi="宋体" w:cs="宋体"/>
          <w:b/>
          <w:bCs/>
          <w:color w:val="auto"/>
          <w:spacing w:val="-2"/>
          <w:kern w:val="2"/>
          <w:sz w:val="21"/>
          <w:szCs w:val="21"/>
          <w:highlight w:val="none"/>
        </w:rPr>
        <w:t>项目名称</w:t>
      </w:r>
      <w:r>
        <w:rPr>
          <w:rFonts w:hint="eastAsia" w:ascii="宋体" w:hAnsi="宋体" w:cs="宋体"/>
          <w:color w:val="auto"/>
          <w:spacing w:val="-2"/>
          <w:kern w:val="2"/>
          <w:sz w:val="21"/>
          <w:szCs w:val="21"/>
          <w:highlight w:val="none"/>
        </w:rPr>
        <w:t>）采购活</w:t>
      </w:r>
      <w:r>
        <w:rPr>
          <w:rFonts w:hint="eastAsia" w:ascii="宋体" w:hAnsi="宋体" w:cs="宋体"/>
          <w:color w:val="auto"/>
          <w:spacing w:val="-1"/>
          <w:sz w:val="21"/>
          <w:szCs w:val="21"/>
          <w:highlight w:val="none"/>
        </w:rPr>
        <w:t>动，</w:t>
      </w:r>
      <w:r>
        <w:rPr>
          <w:rFonts w:hint="eastAsia" w:ascii="宋体" w:hAnsi="宋体" w:cs="宋体"/>
          <w:color w:val="auto"/>
          <w:spacing w:val="-2"/>
          <w:kern w:val="2"/>
          <w:sz w:val="21"/>
          <w:szCs w:val="21"/>
          <w:highlight w:val="none"/>
        </w:rPr>
        <w:t>提供的货物全部由符合政策要求的中小企业制造。相关企业（含联合体中的中小企业、签订分包</w:t>
      </w:r>
      <w:r>
        <w:rPr>
          <w:rFonts w:hint="eastAsia" w:ascii="宋体" w:hAnsi="宋体" w:cs="宋体"/>
          <w:color w:val="auto"/>
          <w:sz w:val="21"/>
          <w:szCs w:val="21"/>
          <w:highlight w:val="none"/>
        </w:rPr>
        <w:t>意向协议的中小企业） 的具体情况如下：</w:t>
      </w:r>
    </w:p>
    <w:p w14:paraId="61F9D850">
      <w:pPr>
        <w:pStyle w:val="83"/>
        <w:tabs>
          <w:tab w:val="left" w:pos="1183"/>
          <w:tab w:val="left" w:pos="1484"/>
          <w:tab w:val="left" w:pos="4662"/>
          <w:tab w:val="left" w:pos="6903"/>
        </w:tabs>
        <w:spacing w:line="360" w:lineRule="auto"/>
        <w:ind w:firstLine="412"/>
        <w:jc w:val="left"/>
        <w:rPr>
          <w:rFonts w:ascii="宋体" w:hAnsi="宋体" w:cs="宋体"/>
          <w:color w:val="auto"/>
          <w:spacing w:val="-2"/>
          <w:szCs w:val="21"/>
          <w:highlight w:val="none"/>
        </w:rPr>
      </w:pPr>
      <w:r>
        <w:rPr>
          <w:rFonts w:hint="eastAsia" w:ascii="宋体" w:hAnsi="宋体" w:cs="宋体"/>
          <w:color w:val="auto"/>
          <w:spacing w:val="-2"/>
          <w:szCs w:val="21"/>
          <w:highlight w:val="none"/>
        </w:rPr>
        <w:t>1、</w:t>
      </w:r>
      <w:r>
        <w:rPr>
          <w:rFonts w:hint="eastAsia" w:ascii="宋体" w:hAnsi="宋体" w:cs="宋体"/>
          <w:color w:val="auto"/>
          <w:spacing w:val="-2"/>
          <w:szCs w:val="21"/>
          <w:highlight w:val="none"/>
          <w:u w:val="single"/>
        </w:rPr>
        <w:t>（标的名称）</w:t>
      </w:r>
      <w:r>
        <w:rPr>
          <w:rFonts w:hint="eastAsia" w:ascii="宋体" w:hAnsi="宋体" w:cs="宋体"/>
          <w:color w:val="auto"/>
          <w:spacing w:val="-2"/>
          <w:szCs w:val="21"/>
          <w:highlight w:val="none"/>
        </w:rPr>
        <w:t>，属于（工业）行业；制造商为（企业名称），从业人员</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rPr>
        <w:t>人，营业收入为</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rPr>
        <w:t>万元，资产总额为</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rPr>
        <w:t>万元，属于</w:t>
      </w:r>
      <w:r>
        <w:rPr>
          <w:rFonts w:hint="eastAsia" w:ascii="宋体" w:hAnsi="宋体" w:cs="宋体"/>
          <w:color w:val="auto"/>
          <w:spacing w:val="-2"/>
          <w:szCs w:val="21"/>
          <w:highlight w:val="none"/>
          <w:u w:val="single"/>
        </w:rPr>
        <w:t>（中型企业、小型企业、微型企业）</w:t>
      </w:r>
      <w:r>
        <w:rPr>
          <w:rFonts w:hint="eastAsia" w:ascii="宋体" w:hAnsi="宋体" w:cs="宋体"/>
          <w:color w:val="auto"/>
          <w:spacing w:val="-2"/>
          <w:szCs w:val="21"/>
          <w:highlight w:val="none"/>
        </w:rPr>
        <w:t>；</w:t>
      </w:r>
    </w:p>
    <w:p w14:paraId="0E0AF9F0">
      <w:pPr>
        <w:pStyle w:val="83"/>
        <w:tabs>
          <w:tab w:val="left" w:pos="1183"/>
          <w:tab w:val="left" w:pos="1484"/>
          <w:tab w:val="left" w:pos="4662"/>
          <w:tab w:val="left" w:pos="6903"/>
        </w:tabs>
        <w:spacing w:line="360" w:lineRule="auto"/>
        <w:ind w:firstLine="412"/>
        <w:jc w:val="left"/>
        <w:rPr>
          <w:rFonts w:ascii="宋体" w:hAnsi="宋体" w:cs="宋体"/>
          <w:color w:val="auto"/>
          <w:spacing w:val="-2"/>
          <w:szCs w:val="21"/>
          <w:highlight w:val="none"/>
        </w:rPr>
      </w:pPr>
      <w:r>
        <w:rPr>
          <w:rFonts w:hint="eastAsia" w:ascii="宋体" w:hAnsi="宋体" w:cs="宋体"/>
          <w:color w:val="auto"/>
          <w:spacing w:val="-2"/>
          <w:szCs w:val="21"/>
          <w:highlight w:val="none"/>
        </w:rPr>
        <w:t>2、</w:t>
      </w:r>
      <w:r>
        <w:rPr>
          <w:rFonts w:hint="eastAsia" w:ascii="宋体" w:hAnsi="宋体" w:cs="宋体"/>
          <w:color w:val="auto"/>
          <w:spacing w:val="-2"/>
          <w:szCs w:val="21"/>
          <w:highlight w:val="none"/>
          <w:u w:val="single"/>
        </w:rPr>
        <w:t>（标的名称）</w:t>
      </w:r>
      <w:r>
        <w:rPr>
          <w:rFonts w:hint="eastAsia" w:ascii="宋体" w:hAnsi="宋体" w:cs="宋体"/>
          <w:color w:val="auto"/>
          <w:spacing w:val="-2"/>
          <w:szCs w:val="21"/>
          <w:highlight w:val="none"/>
        </w:rPr>
        <w:t>，属于（工业）行业；制造商为（企业名称），从业人员</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rPr>
        <w:t>人，营业收入为</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rPr>
        <w:t>万元，资产总额为</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rPr>
        <w:t>万元，属于</w:t>
      </w:r>
      <w:r>
        <w:rPr>
          <w:rFonts w:hint="eastAsia" w:ascii="宋体" w:hAnsi="宋体" w:cs="宋体"/>
          <w:color w:val="auto"/>
          <w:spacing w:val="-2"/>
          <w:szCs w:val="21"/>
          <w:highlight w:val="none"/>
          <w:u w:val="single"/>
        </w:rPr>
        <w:t>（中型企业、小型企业、微型企业）</w:t>
      </w:r>
      <w:r>
        <w:rPr>
          <w:rFonts w:hint="eastAsia" w:ascii="宋体" w:hAnsi="宋体" w:cs="宋体"/>
          <w:color w:val="auto"/>
          <w:spacing w:val="-2"/>
          <w:szCs w:val="21"/>
          <w:highlight w:val="none"/>
        </w:rPr>
        <w:t>；</w:t>
      </w:r>
    </w:p>
    <w:p w14:paraId="69B6C8C2">
      <w:pPr>
        <w:pStyle w:val="13"/>
        <w:spacing w:after="0" w:line="360" w:lineRule="auto"/>
        <w:ind w:firstLine="414"/>
        <w:rPr>
          <w:rFonts w:ascii="宋体" w:hAnsi="宋体" w:cs="宋体"/>
          <w:color w:val="auto"/>
          <w:spacing w:val="-2"/>
          <w:kern w:val="2"/>
          <w:sz w:val="21"/>
          <w:szCs w:val="21"/>
          <w:highlight w:val="none"/>
        </w:rPr>
      </w:pPr>
      <w:r>
        <w:rPr>
          <w:rFonts w:hint="eastAsia" w:ascii="宋体" w:hAnsi="宋体" w:cs="宋体"/>
          <w:color w:val="auto"/>
          <w:spacing w:val="-2"/>
          <w:kern w:val="2"/>
          <w:sz w:val="21"/>
          <w:szCs w:val="21"/>
          <w:highlight w:val="none"/>
        </w:rPr>
        <w:t>……</w:t>
      </w:r>
    </w:p>
    <w:p w14:paraId="57970FE3">
      <w:pPr>
        <w:pStyle w:val="13"/>
        <w:spacing w:after="0" w:line="360" w:lineRule="auto"/>
        <w:ind w:firstLine="410"/>
        <w:rPr>
          <w:rFonts w:ascii="宋体" w:hAnsi="宋体" w:cs="宋体"/>
          <w:color w:val="auto"/>
          <w:sz w:val="21"/>
          <w:szCs w:val="21"/>
          <w:highlight w:val="none"/>
        </w:rPr>
      </w:pPr>
      <w:r>
        <w:rPr>
          <w:rFonts w:hint="eastAsia" w:ascii="宋体" w:hAnsi="宋体" w:cs="宋体"/>
          <w:color w:val="auto"/>
          <w:spacing w:val="-3"/>
          <w:sz w:val="21"/>
          <w:szCs w:val="21"/>
          <w:highlight w:val="none"/>
        </w:rPr>
        <w:t>以上企业，不属于大企业的分支机构，不存在控股股东</w:t>
      </w:r>
      <w:r>
        <w:rPr>
          <w:rFonts w:hint="eastAsia" w:ascii="宋体" w:hAnsi="宋体" w:cs="宋体"/>
          <w:color w:val="auto"/>
          <w:spacing w:val="-5"/>
          <w:sz w:val="21"/>
          <w:szCs w:val="21"/>
          <w:highlight w:val="none"/>
        </w:rPr>
        <w:t>为大企业的情形，也不存在与大企业的负责人为同一人的情形。</w:t>
      </w:r>
    </w:p>
    <w:p w14:paraId="78C81A44">
      <w:pPr>
        <w:pStyle w:val="13"/>
        <w:spacing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3BDC6EED">
      <w:pPr>
        <w:adjustRightInd w:val="0"/>
        <w:snapToGrid w:val="0"/>
        <w:spacing w:line="360" w:lineRule="auto"/>
        <w:ind w:firstLine="422"/>
        <w:rPr>
          <w:rFonts w:ascii="宋体" w:hAnsi="宋体" w:cs="宋体"/>
          <w:color w:val="auto"/>
          <w:szCs w:val="21"/>
          <w:highlight w:val="none"/>
        </w:rPr>
      </w:pPr>
    </w:p>
    <w:p w14:paraId="6F74D0BB">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企业名称（盖章）：</w:t>
      </w:r>
    </w:p>
    <w:p w14:paraId="4333061C">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61AC8CF7">
      <w:pPr>
        <w:autoSpaceDE w:val="0"/>
        <w:autoSpaceDN w:val="0"/>
        <w:spacing w:line="360" w:lineRule="auto"/>
        <w:ind w:firstLine="630" w:firstLineChars="300"/>
        <w:rPr>
          <w:rFonts w:ascii="宋体" w:hAnsi="宋体" w:cs="宋体"/>
          <w:color w:val="auto"/>
          <w:szCs w:val="21"/>
          <w:highlight w:val="none"/>
          <w:lang w:val="zh-CN"/>
        </w:rPr>
      </w:pPr>
      <w:r>
        <w:rPr>
          <w:rFonts w:hint="eastAsia" w:ascii="宋体" w:hAnsi="宋体" w:cs="宋体"/>
          <w:color w:val="auto"/>
          <w:szCs w:val="21"/>
          <w:highlight w:val="none"/>
        </w:rPr>
        <w:t>日期</w:t>
      </w:r>
      <w:r>
        <w:rPr>
          <w:rFonts w:hint="eastAsia" w:ascii="宋体" w:hAnsi="宋体" w:cs="宋体"/>
          <w:color w:val="auto"/>
          <w:szCs w:val="21"/>
          <w:highlight w:val="none"/>
          <w:lang w:val="zh-CN"/>
        </w:rPr>
        <w:t>：</w:t>
      </w:r>
    </w:p>
    <w:p w14:paraId="567EB124">
      <w:pPr>
        <w:pStyle w:val="25"/>
        <w:spacing w:line="240" w:lineRule="auto"/>
        <w:ind w:firstLine="420"/>
        <w:rPr>
          <w:rFonts w:ascii="宋体" w:hAnsi="宋体" w:cs="宋体"/>
          <w:b w:val="0"/>
          <w:bCs w:val="0"/>
          <w:color w:val="auto"/>
          <w:kern w:val="2"/>
          <w:sz w:val="21"/>
          <w:szCs w:val="24"/>
          <w:highlight w:val="none"/>
        </w:rPr>
      </w:pPr>
      <w:bookmarkStart w:id="50" w:name="_Toc2583149"/>
      <w:bookmarkStart w:id="51" w:name="_Toc532444352"/>
      <w:bookmarkStart w:id="52" w:name="_Toc532444514"/>
      <w:bookmarkStart w:id="53" w:name="_Toc532452121"/>
    </w:p>
    <w:p w14:paraId="3FD9CB85">
      <w:pPr>
        <w:pStyle w:val="25"/>
        <w:spacing w:line="240" w:lineRule="auto"/>
        <w:ind w:firstLine="420"/>
        <w:rPr>
          <w:rFonts w:ascii="宋体" w:hAnsi="宋体" w:cs="宋体"/>
          <w:b w:val="0"/>
          <w:bCs w:val="0"/>
          <w:color w:val="auto"/>
          <w:kern w:val="2"/>
          <w:sz w:val="21"/>
          <w:szCs w:val="24"/>
          <w:highlight w:val="none"/>
        </w:rPr>
      </w:pPr>
    </w:p>
    <w:p w14:paraId="15215653">
      <w:pPr>
        <w:pStyle w:val="25"/>
        <w:spacing w:line="240" w:lineRule="auto"/>
        <w:ind w:firstLine="420"/>
        <w:rPr>
          <w:rFonts w:ascii="宋体" w:hAnsi="宋体" w:cs="宋体"/>
          <w:b w:val="0"/>
          <w:bCs w:val="0"/>
          <w:color w:val="auto"/>
          <w:kern w:val="2"/>
          <w:sz w:val="21"/>
          <w:szCs w:val="24"/>
          <w:highlight w:val="none"/>
        </w:rPr>
      </w:pPr>
    </w:p>
    <w:p w14:paraId="2C19917B">
      <w:pPr>
        <w:pStyle w:val="25"/>
        <w:spacing w:line="240" w:lineRule="auto"/>
        <w:ind w:firstLine="420"/>
        <w:rPr>
          <w:rFonts w:ascii="宋体" w:hAnsi="宋体" w:cs="宋体"/>
          <w:b w:val="0"/>
          <w:bCs w:val="0"/>
          <w:color w:val="auto"/>
          <w:kern w:val="2"/>
          <w:sz w:val="21"/>
          <w:szCs w:val="24"/>
          <w:highlight w:val="none"/>
        </w:rPr>
      </w:pPr>
      <w:r>
        <w:rPr>
          <w:rFonts w:hint="eastAsia" w:ascii="宋体" w:hAnsi="宋体" w:cs="宋体"/>
          <w:b w:val="0"/>
          <w:bCs w:val="0"/>
          <w:color w:val="auto"/>
          <w:kern w:val="2"/>
          <w:sz w:val="21"/>
          <w:szCs w:val="24"/>
          <w:highlight w:val="none"/>
        </w:rPr>
        <w:t>备注：1.从业人员、营业收入、资产总额填报上一年度数据，无上一年度数据的新成立企业可不填报。</w:t>
      </w:r>
    </w:p>
    <w:p w14:paraId="2C5F0946">
      <w:pPr>
        <w:pStyle w:val="25"/>
        <w:spacing w:line="240" w:lineRule="auto"/>
        <w:ind w:firstLine="630" w:firstLineChars="300"/>
        <w:rPr>
          <w:rFonts w:ascii="宋体" w:hAnsi="宋体" w:cs="宋体"/>
          <w:color w:val="auto"/>
          <w:kern w:val="2"/>
          <w:sz w:val="21"/>
          <w:szCs w:val="24"/>
          <w:highlight w:val="none"/>
        </w:rPr>
      </w:pPr>
      <w:r>
        <w:rPr>
          <w:rFonts w:hint="eastAsia" w:ascii="宋体" w:hAnsi="宋体" w:cs="宋体"/>
          <w:b w:val="0"/>
          <w:bCs w:val="0"/>
          <w:color w:val="auto"/>
          <w:kern w:val="2"/>
          <w:sz w:val="21"/>
          <w:szCs w:val="24"/>
          <w:highlight w:val="none"/>
        </w:rPr>
        <w:t>2.在货物采购项目中，货物由中小企业制造，即货物由中小企业生产且使用该中小企业商号或者注册商标。</w:t>
      </w:r>
      <w:r>
        <w:rPr>
          <w:rFonts w:hint="eastAsia" w:ascii="宋体" w:hAnsi="宋体" w:cs="宋体"/>
          <w:color w:val="auto"/>
          <w:kern w:val="2"/>
          <w:sz w:val="21"/>
          <w:szCs w:val="24"/>
          <w:highlight w:val="none"/>
        </w:rPr>
        <w:t>供应商提供的货物既有中小企业制造货物，也有大型企业制造货物的，不享受相应扶持政策。</w:t>
      </w:r>
    </w:p>
    <w:p w14:paraId="41D9DCA6">
      <w:pPr>
        <w:pStyle w:val="25"/>
        <w:spacing w:line="240" w:lineRule="auto"/>
        <w:ind w:firstLine="630" w:firstLineChars="300"/>
        <w:rPr>
          <w:rFonts w:ascii="宋体" w:hAnsi="宋体" w:cs="宋体"/>
          <w:color w:val="auto"/>
          <w:kern w:val="2"/>
          <w:sz w:val="21"/>
          <w:szCs w:val="24"/>
          <w:highlight w:val="none"/>
        </w:rPr>
      </w:pPr>
      <w:r>
        <w:rPr>
          <w:rFonts w:hint="eastAsia" w:ascii="宋体" w:hAnsi="宋体" w:cs="宋体"/>
          <w:b w:val="0"/>
          <w:bCs w:val="0"/>
          <w:color w:val="auto"/>
          <w:kern w:val="2"/>
          <w:sz w:val="21"/>
          <w:szCs w:val="24"/>
          <w:highlight w:val="none"/>
        </w:rPr>
        <w:t>3.《中小企业声明函》中所填的行业应与本采购标的对应的中小企业划分标准所属行业一致，不一致的不可享受相应政策优惠。</w:t>
      </w:r>
      <w:r>
        <w:rPr>
          <w:rFonts w:hint="eastAsia" w:ascii="宋体" w:hAnsi="宋体" w:cs="宋体"/>
          <w:color w:val="auto"/>
          <w:kern w:val="2"/>
          <w:sz w:val="21"/>
          <w:szCs w:val="24"/>
          <w:highlight w:val="none"/>
        </w:rPr>
        <w:t>本采购标的对应的中小企业划分标准所属行业，以采购文件中具体规定为准。</w:t>
      </w:r>
    </w:p>
    <w:p w14:paraId="5ED5879D">
      <w:pPr>
        <w:pStyle w:val="25"/>
        <w:spacing w:line="240" w:lineRule="auto"/>
        <w:ind w:firstLine="632" w:firstLineChars="300"/>
        <w:rPr>
          <w:rFonts w:ascii="宋体" w:hAnsi="宋体" w:cs="宋体"/>
          <w:color w:val="auto"/>
          <w:kern w:val="2"/>
          <w:sz w:val="21"/>
          <w:szCs w:val="24"/>
          <w:highlight w:val="none"/>
        </w:rPr>
      </w:pPr>
      <w:r>
        <w:rPr>
          <w:rFonts w:hint="eastAsia" w:ascii="宋体" w:hAnsi="宋体" w:cs="宋体"/>
          <w:color w:val="auto"/>
          <w:kern w:val="2"/>
          <w:sz w:val="21"/>
          <w:szCs w:val="24"/>
          <w:highlight w:val="none"/>
        </w:rPr>
        <w:t>4.如未对（中型企业、小型企业、微型企业）进行勾选，视同非中小微企业，不可享受相应扶持政策。</w:t>
      </w:r>
    </w:p>
    <w:p w14:paraId="7EAE591B">
      <w:pPr>
        <w:pStyle w:val="84"/>
        <w:spacing w:line="360" w:lineRule="auto"/>
        <w:ind w:left="840" w:leftChars="300" w:hanging="210" w:hangingChars="100"/>
        <w:rPr>
          <w:rFonts w:hAnsi="宋体" w:eastAsia="宋体" w:cs="宋体"/>
          <w:color w:val="auto"/>
          <w:sz w:val="21"/>
          <w:szCs w:val="24"/>
          <w:highlight w:val="none"/>
          <w:lang w:val="zh-CN"/>
        </w:rPr>
      </w:pPr>
      <w:r>
        <w:rPr>
          <w:rFonts w:hint="eastAsia" w:hAnsi="宋体" w:eastAsia="宋体" w:cs="宋体"/>
          <w:color w:val="auto"/>
          <w:sz w:val="21"/>
          <w:szCs w:val="24"/>
          <w:highlight w:val="none"/>
        </w:rPr>
        <w:t>5.中标单位为中小企业的，《中小企业声明函》将随中标结果同时公告</w:t>
      </w:r>
      <w:r>
        <w:rPr>
          <w:rFonts w:hint="eastAsia" w:hAnsi="宋体" w:eastAsia="宋体" w:cs="宋体"/>
          <w:color w:val="auto"/>
          <w:sz w:val="21"/>
          <w:szCs w:val="24"/>
          <w:highlight w:val="none"/>
          <w:lang w:val="zh-CN"/>
        </w:rPr>
        <w:t>。</w:t>
      </w:r>
    </w:p>
    <w:p w14:paraId="6DF29072">
      <w:pPr>
        <w:pStyle w:val="84"/>
        <w:spacing w:line="360" w:lineRule="auto"/>
        <w:ind w:left="840" w:leftChars="300" w:hanging="210" w:hangingChars="100"/>
        <w:rPr>
          <w:rFonts w:hAnsi="宋体" w:eastAsia="宋体" w:cs="宋体"/>
          <w:color w:val="auto"/>
          <w:sz w:val="21"/>
          <w:szCs w:val="24"/>
          <w:highlight w:val="none"/>
          <w:lang w:val="zh-CN"/>
        </w:rPr>
      </w:pPr>
    </w:p>
    <w:p w14:paraId="5904E172">
      <w:pPr>
        <w:rPr>
          <w:rFonts w:ascii="宋体" w:hAnsi="宋体"/>
          <w:b/>
          <w:color w:val="auto"/>
          <w:highlight w:val="none"/>
        </w:rPr>
      </w:pPr>
      <w:r>
        <w:rPr>
          <w:rFonts w:hint="eastAsia" w:ascii="宋体" w:hAnsi="宋体"/>
          <w:b/>
          <w:color w:val="auto"/>
          <w:highlight w:val="none"/>
        </w:rPr>
        <w:t>附：中小企业划型标准规定</w:t>
      </w:r>
    </w:p>
    <w:p w14:paraId="1D628284">
      <w:pPr>
        <w:ind w:firstLine="422" w:firstLineChars="200"/>
        <w:rPr>
          <w:rFonts w:ascii="宋体" w:hAnsi="宋体"/>
          <w:color w:val="auto"/>
          <w:highlight w:val="none"/>
        </w:rPr>
      </w:pPr>
      <w:r>
        <w:rPr>
          <w:rFonts w:hint="eastAsia" w:ascii="宋体" w:hAnsi="宋体"/>
          <w:b/>
          <w:color w:val="auto"/>
          <w:highlight w:val="none"/>
        </w:rPr>
        <w:t>（一）农、林、牧、渔业。</w:t>
      </w:r>
      <w:r>
        <w:rPr>
          <w:rFonts w:hint="eastAsia" w:ascii="宋体" w:hAnsi="宋体"/>
          <w:color w:val="auto"/>
          <w:highlight w:val="none"/>
        </w:rPr>
        <w:t>营业收入20000万元以下的为中小微型企业。其中，营业收入500万元及以上的为中型企业，营业收入50万元及以上的为小型企业，营业收入50万元以下的为微型企业。</w:t>
      </w:r>
    </w:p>
    <w:p w14:paraId="03BD0D28">
      <w:pPr>
        <w:ind w:firstLine="422" w:firstLineChars="200"/>
        <w:rPr>
          <w:rFonts w:ascii="宋体" w:hAnsi="宋体"/>
          <w:color w:val="auto"/>
          <w:highlight w:val="none"/>
        </w:rPr>
      </w:pPr>
      <w:r>
        <w:rPr>
          <w:rFonts w:hint="eastAsia" w:ascii="宋体" w:hAnsi="宋体"/>
          <w:b/>
          <w:color w:val="auto"/>
          <w:highlight w:val="none"/>
        </w:rPr>
        <w:t>（二）工业。</w:t>
      </w:r>
      <w:r>
        <w:rPr>
          <w:rFonts w:hint="eastAsia" w:ascii="宋体" w:hAnsi="宋体"/>
          <w:color w:val="auto"/>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A420CAA">
      <w:pPr>
        <w:ind w:firstLine="422" w:firstLineChars="200"/>
        <w:rPr>
          <w:rFonts w:ascii="宋体" w:hAnsi="宋体"/>
          <w:color w:val="auto"/>
          <w:highlight w:val="none"/>
        </w:rPr>
      </w:pPr>
      <w:r>
        <w:rPr>
          <w:rFonts w:hint="eastAsia" w:ascii="宋体" w:hAnsi="宋体"/>
          <w:b/>
          <w:color w:val="auto"/>
          <w:highlight w:val="none"/>
        </w:rPr>
        <w:t>（三）建筑业。</w:t>
      </w:r>
      <w:r>
        <w:rPr>
          <w:rFonts w:hint="eastAsia" w:ascii="宋体" w:hAnsi="宋体"/>
          <w:color w:val="auto"/>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0728254">
      <w:pPr>
        <w:ind w:firstLine="422" w:firstLineChars="200"/>
        <w:rPr>
          <w:rFonts w:ascii="宋体" w:hAnsi="宋体"/>
          <w:color w:val="auto"/>
          <w:highlight w:val="none"/>
        </w:rPr>
      </w:pPr>
      <w:r>
        <w:rPr>
          <w:rFonts w:hint="eastAsia" w:ascii="宋体" w:hAnsi="宋体"/>
          <w:b/>
          <w:color w:val="auto"/>
          <w:highlight w:val="none"/>
        </w:rPr>
        <w:t>（四）批发业。</w:t>
      </w:r>
      <w:r>
        <w:rPr>
          <w:rFonts w:hint="eastAsia" w:ascii="宋体" w:hAnsi="宋体"/>
          <w:color w:val="auto"/>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B686C55">
      <w:pPr>
        <w:ind w:firstLine="422" w:firstLineChars="200"/>
        <w:rPr>
          <w:rFonts w:ascii="宋体" w:hAnsi="宋体"/>
          <w:color w:val="auto"/>
          <w:highlight w:val="none"/>
        </w:rPr>
      </w:pPr>
      <w:r>
        <w:rPr>
          <w:rFonts w:hint="eastAsia" w:ascii="宋体" w:hAnsi="宋体"/>
          <w:b/>
          <w:color w:val="auto"/>
          <w:highlight w:val="none"/>
        </w:rPr>
        <w:t>（五）零售业。</w:t>
      </w:r>
      <w:r>
        <w:rPr>
          <w:rFonts w:hint="eastAsia" w:ascii="宋体" w:hAnsi="宋体"/>
          <w:color w:val="auto"/>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33629C5">
      <w:pPr>
        <w:ind w:firstLine="422" w:firstLineChars="200"/>
        <w:rPr>
          <w:rFonts w:ascii="宋体" w:hAnsi="宋体"/>
          <w:color w:val="auto"/>
          <w:highlight w:val="none"/>
        </w:rPr>
      </w:pPr>
      <w:r>
        <w:rPr>
          <w:rFonts w:hint="eastAsia" w:ascii="宋体" w:hAnsi="宋体"/>
          <w:b/>
          <w:color w:val="auto"/>
          <w:highlight w:val="none"/>
        </w:rPr>
        <w:t>（六）交通运输业。</w:t>
      </w:r>
      <w:r>
        <w:rPr>
          <w:rFonts w:hint="eastAsia" w:ascii="宋体" w:hAnsi="宋体"/>
          <w:color w:val="auto"/>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C5B27F">
      <w:pPr>
        <w:ind w:firstLine="422" w:firstLineChars="200"/>
        <w:rPr>
          <w:rFonts w:ascii="宋体" w:hAnsi="宋体"/>
          <w:color w:val="auto"/>
          <w:highlight w:val="none"/>
        </w:rPr>
      </w:pPr>
      <w:r>
        <w:rPr>
          <w:rFonts w:hint="eastAsia" w:ascii="宋体" w:hAnsi="宋体"/>
          <w:b/>
          <w:color w:val="auto"/>
          <w:highlight w:val="none"/>
        </w:rPr>
        <w:t>（七）仓储业。</w:t>
      </w:r>
      <w:r>
        <w:rPr>
          <w:rFonts w:hint="eastAsia" w:ascii="宋体" w:hAnsi="宋体"/>
          <w:color w:val="auto"/>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B3D64D2">
      <w:pPr>
        <w:ind w:firstLine="422" w:firstLineChars="200"/>
        <w:rPr>
          <w:rFonts w:ascii="宋体" w:hAnsi="宋体"/>
          <w:color w:val="auto"/>
          <w:highlight w:val="none"/>
        </w:rPr>
      </w:pPr>
      <w:r>
        <w:rPr>
          <w:rFonts w:hint="eastAsia" w:ascii="宋体" w:hAnsi="宋体"/>
          <w:b/>
          <w:color w:val="auto"/>
          <w:highlight w:val="none"/>
        </w:rPr>
        <w:t>（八）邮政业。</w:t>
      </w:r>
      <w:r>
        <w:rPr>
          <w:rFonts w:hint="eastAsia" w:ascii="宋体" w:hAnsi="宋体"/>
          <w:color w:val="auto"/>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22DE5FE">
      <w:pPr>
        <w:ind w:firstLine="422" w:firstLineChars="200"/>
        <w:rPr>
          <w:rFonts w:ascii="宋体" w:hAnsi="宋体"/>
          <w:color w:val="auto"/>
          <w:highlight w:val="none"/>
        </w:rPr>
      </w:pPr>
      <w:r>
        <w:rPr>
          <w:rFonts w:hint="eastAsia" w:ascii="宋体" w:hAnsi="宋体"/>
          <w:b/>
          <w:color w:val="auto"/>
          <w:highlight w:val="none"/>
        </w:rPr>
        <w:t>（九）住宿业。</w:t>
      </w:r>
      <w:r>
        <w:rPr>
          <w:rFonts w:hint="eastAsia" w:ascii="宋体" w:hAnsi="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17B9380">
      <w:pPr>
        <w:ind w:firstLine="422" w:firstLineChars="200"/>
        <w:rPr>
          <w:rFonts w:ascii="宋体" w:hAnsi="宋体"/>
          <w:color w:val="auto"/>
          <w:highlight w:val="none"/>
        </w:rPr>
      </w:pPr>
      <w:r>
        <w:rPr>
          <w:rFonts w:hint="eastAsia" w:ascii="宋体" w:hAnsi="宋体"/>
          <w:b/>
          <w:color w:val="auto"/>
          <w:highlight w:val="none"/>
        </w:rPr>
        <w:t>（十）餐饮业。</w:t>
      </w:r>
      <w:r>
        <w:rPr>
          <w:rFonts w:hint="eastAsia" w:ascii="宋体" w:hAnsi="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EB78CA2">
      <w:pPr>
        <w:ind w:firstLine="422" w:firstLineChars="200"/>
        <w:rPr>
          <w:rFonts w:ascii="宋体" w:hAnsi="宋体"/>
          <w:color w:val="auto"/>
          <w:highlight w:val="none"/>
        </w:rPr>
      </w:pPr>
      <w:r>
        <w:rPr>
          <w:rFonts w:hint="eastAsia" w:ascii="宋体" w:hAnsi="宋体"/>
          <w:b/>
          <w:color w:val="auto"/>
          <w:highlight w:val="none"/>
        </w:rPr>
        <w:t>（十一）信息传输业。</w:t>
      </w:r>
      <w:r>
        <w:rPr>
          <w:rFonts w:hint="eastAsia" w:ascii="宋体" w:hAnsi="宋体"/>
          <w:color w:val="auto"/>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0F1EEF6">
      <w:pPr>
        <w:ind w:firstLine="422" w:firstLineChars="200"/>
        <w:rPr>
          <w:rFonts w:ascii="宋体" w:hAnsi="宋体"/>
          <w:color w:val="auto"/>
          <w:highlight w:val="none"/>
        </w:rPr>
      </w:pPr>
      <w:r>
        <w:rPr>
          <w:rFonts w:hint="eastAsia" w:ascii="宋体" w:hAnsi="宋体"/>
          <w:b/>
          <w:color w:val="auto"/>
          <w:highlight w:val="none"/>
        </w:rPr>
        <w:t>（十二）软件和信息技术服务业。</w:t>
      </w:r>
      <w:r>
        <w:rPr>
          <w:rFonts w:hint="eastAsia" w:ascii="宋体" w:hAnsi="宋体"/>
          <w:color w:val="auto"/>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6AEB13D">
      <w:pPr>
        <w:ind w:firstLine="422" w:firstLineChars="200"/>
        <w:rPr>
          <w:rFonts w:ascii="宋体" w:hAnsi="宋体"/>
          <w:color w:val="auto"/>
          <w:highlight w:val="none"/>
        </w:rPr>
      </w:pPr>
      <w:r>
        <w:rPr>
          <w:rFonts w:hint="eastAsia" w:ascii="宋体" w:hAnsi="宋体"/>
          <w:b/>
          <w:color w:val="auto"/>
          <w:highlight w:val="none"/>
        </w:rPr>
        <w:t>（十三）房地产开发经营。</w:t>
      </w:r>
      <w:r>
        <w:rPr>
          <w:rFonts w:hint="eastAsia" w:ascii="宋体" w:hAnsi="宋体"/>
          <w:color w:val="auto"/>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47CB4AE">
      <w:pPr>
        <w:ind w:firstLine="422" w:firstLineChars="200"/>
        <w:rPr>
          <w:rFonts w:ascii="宋体" w:hAnsi="宋体"/>
          <w:color w:val="auto"/>
          <w:highlight w:val="none"/>
        </w:rPr>
      </w:pPr>
      <w:r>
        <w:rPr>
          <w:rFonts w:hint="eastAsia" w:ascii="宋体" w:hAnsi="宋体"/>
          <w:b/>
          <w:color w:val="auto"/>
          <w:highlight w:val="none"/>
        </w:rPr>
        <w:t>（十四）物业管理。</w:t>
      </w:r>
      <w:r>
        <w:rPr>
          <w:rFonts w:hint="eastAsia" w:ascii="宋体" w:hAnsi="宋体"/>
          <w:color w:val="auto"/>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119E61">
      <w:pPr>
        <w:ind w:firstLine="422" w:firstLineChars="200"/>
        <w:rPr>
          <w:rFonts w:ascii="宋体" w:hAnsi="宋体"/>
          <w:color w:val="auto"/>
          <w:highlight w:val="none"/>
        </w:rPr>
      </w:pPr>
      <w:r>
        <w:rPr>
          <w:rFonts w:hint="eastAsia" w:ascii="宋体" w:hAnsi="宋体"/>
          <w:b/>
          <w:color w:val="auto"/>
          <w:highlight w:val="none"/>
        </w:rPr>
        <w:t>（十五）租赁和商务服务业。</w:t>
      </w:r>
      <w:r>
        <w:rPr>
          <w:rFonts w:hint="eastAsia" w:ascii="宋体" w:hAnsi="宋体"/>
          <w:color w:val="auto"/>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6E87AE">
      <w:pPr>
        <w:pStyle w:val="84"/>
        <w:adjustRightInd/>
        <w:ind w:firstLine="422" w:firstLineChars="200"/>
        <w:rPr>
          <w:rFonts w:hAnsi="宋体" w:eastAsia="宋体" w:cs="宋体"/>
          <w:color w:val="auto"/>
          <w:sz w:val="21"/>
          <w:szCs w:val="21"/>
          <w:highlight w:val="none"/>
          <w:lang w:val="zh-CN"/>
        </w:rPr>
      </w:pPr>
      <w:r>
        <w:rPr>
          <w:rFonts w:hint="eastAsia" w:hAnsi="宋体" w:eastAsia="宋体"/>
          <w:b/>
          <w:color w:val="auto"/>
          <w:sz w:val="21"/>
          <w:szCs w:val="24"/>
          <w:highlight w:val="none"/>
        </w:rPr>
        <w:t>（十六）其他未列明行业。</w:t>
      </w:r>
      <w:r>
        <w:rPr>
          <w:rFonts w:hint="eastAsia" w:hAnsi="宋体" w:eastAsia="宋体"/>
          <w:color w:val="auto"/>
          <w:sz w:val="21"/>
          <w:szCs w:val="24"/>
          <w:highlight w:val="none"/>
        </w:rPr>
        <w:t>从业人员300人以下的为中小微型企业。其中，从业人员100人及以上的为中型企业；从业人员10人及以上的为小型企业；从业人员10人以下的为微型企业。</w:t>
      </w:r>
    </w:p>
    <w:p w14:paraId="03991A5E">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587541F2">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612A7022">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65396742">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7EC7C21E">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73AF0972">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68096A1F">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3CBF1E7E">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1114A52A">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0CE2E62A">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683AB0F0">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425B2511">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4231E3D1">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5CBED232">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4D8FA9A0">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5F9A733F">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19D21A06">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6777ED95">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61A03211">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5B0AABDB">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4E588070">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0C580748">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43EA4227">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51616654">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51653A0E">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4FEEAD91">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130E52ED">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5ECA3932">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0A8AA083">
      <w:pPr>
        <w:overflowPunct w:val="0"/>
        <w:adjustRightInd w:val="0"/>
        <w:snapToGrid w:val="0"/>
        <w:spacing w:line="360" w:lineRule="auto"/>
        <w:jc w:val="center"/>
        <w:textAlignment w:val="baseline"/>
        <w:rPr>
          <w:rFonts w:hint="eastAsia" w:ascii="宋体" w:hAnsi="宋体" w:cs="宋体"/>
          <w:b/>
          <w:color w:val="auto"/>
          <w:szCs w:val="21"/>
          <w:highlight w:val="none"/>
        </w:rPr>
      </w:pPr>
    </w:p>
    <w:p w14:paraId="566B1337">
      <w:pPr>
        <w:overflowPunct w:val="0"/>
        <w:adjustRightInd w:val="0"/>
        <w:snapToGri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残疾人福利性单位声明函</w:t>
      </w:r>
    </w:p>
    <w:p w14:paraId="74BDCC39">
      <w:pPr>
        <w:overflowPunct w:val="0"/>
        <w:adjustRightInd w:val="0"/>
        <w:snapToGrid w:val="0"/>
        <w:spacing w:line="360" w:lineRule="auto"/>
        <w:ind w:firstLine="420"/>
        <w:jc w:val="center"/>
        <w:textAlignment w:val="baseline"/>
        <w:rPr>
          <w:rFonts w:ascii="宋体" w:hAnsi="宋体" w:cs="宋体"/>
          <w:b/>
          <w:color w:val="auto"/>
          <w:szCs w:val="21"/>
          <w:highlight w:val="none"/>
        </w:rPr>
      </w:pPr>
    </w:p>
    <w:p w14:paraId="0B2653A2">
      <w:pPr>
        <w:adjustRightInd w:val="0"/>
        <w:snapToGrid w:val="0"/>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F96117">
      <w:pPr>
        <w:adjustRightInd w:val="0"/>
        <w:snapToGrid w:val="0"/>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C5361DE">
      <w:pPr>
        <w:adjustRightInd w:val="0"/>
        <w:snapToGrid w:val="0"/>
        <w:spacing w:line="360" w:lineRule="auto"/>
        <w:ind w:firstLine="444" w:firstLineChars="200"/>
        <w:rPr>
          <w:rFonts w:ascii="宋体" w:hAnsi="宋体" w:cs="宋体"/>
          <w:color w:val="auto"/>
          <w:spacing w:val="6"/>
          <w:szCs w:val="21"/>
          <w:highlight w:val="none"/>
        </w:rPr>
      </w:pPr>
    </w:p>
    <w:p w14:paraId="4562BB98">
      <w:pPr>
        <w:adjustRightInd w:val="0"/>
        <w:snapToGrid w:val="0"/>
        <w:spacing w:line="360" w:lineRule="auto"/>
        <w:ind w:firstLine="444" w:firstLineChars="200"/>
        <w:rPr>
          <w:rFonts w:ascii="宋体" w:hAnsi="宋体" w:cs="宋体"/>
          <w:color w:val="auto"/>
          <w:spacing w:val="6"/>
          <w:szCs w:val="21"/>
          <w:highlight w:val="none"/>
        </w:rPr>
      </w:pPr>
    </w:p>
    <w:p w14:paraId="53DC677A">
      <w:pPr>
        <w:tabs>
          <w:tab w:val="left" w:pos="4860"/>
        </w:tabs>
        <w:adjustRightInd w:val="0"/>
        <w:snapToGrid w:val="0"/>
        <w:spacing w:line="360" w:lineRule="auto"/>
        <w:ind w:firstLine="444" w:firstLineChars="200"/>
        <w:jc w:val="center"/>
        <w:rPr>
          <w:rFonts w:ascii="宋体" w:hAnsi="宋体" w:cs="宋体"/>
          <w:color w:val="auto"/>
          <w:spacing w:val="6"/>
          <w:szCs w:val="21"/>
          <w:highlight w:val="none"/>
        </w:rPr>
      </w:pPr>
      <w:r>
        <w:rPr>
          <w:rFonts w:hint="eastAsia" w:ascii="宋体" w:hAnsi="宋体" w:cs="宋体"/>
          <w:color w:val="auto"/>
          <w:spacing w:val="6"/>
          <w:szCs w:val="21"/>
          <w:highlight w:val="none"/>
        </w:rPr>
        <w:t xml:space="preserve">                                  单位名称（盖章）：</w:t>
      </w:r>
    </w:p>
    <w:p w14:paraId="555731CC">
      <w:pPr>
        <w:tabs>
          <w:tab w:val="left" w:pos="4860"/>
        </w:tabs>
        <w:adjustRightInd w:val="0"/>
        <w:snapToGrid w:val="0"/>
        <w:spacing w:line="360" w:lineRule="auto"/>
        <w:ind w:firstLine="444" w:firstLineChars="200"/>
        <w:jc w:val="center"/>
        <w:rPr>
          <w:rFonts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2695A05E">
      <w:pPr>
        <w:adjustRightInd w:val="0"/>
        <w:snapToGrid w:val="0"/>
        <w:spacing w:line="360" w:lineRule="auto"/>
        <w:ind w:firstLine="333" w:firstLineChars="150"/>
        <w:rPr>
          <w:rFonts w:ascii="宋体" w:hAnsi="宋体" w:cs="宋体"/>
          <w:color w:val="auto"/>
          <w:spacing w:val="6"/>
          <w:szCs w:val="21"/>
          <w:highlight w:val="none"/>
        </w:rPr>
      </w:pPr>
      <w:r>
        <w:rPr>
          <w:rFonts w:hint="eastAsia" w:ascii="宋体" w:hAnsi="宋体" w:cs="宋体"/>
          <w:color w:val="auto"/>
          <w:spacing w:val="6"/>
          <w:szCs w:val="21"/>
          <w:highlight w:val="none"/>
        </w:rPr>
        <w:t>备注：符合《关于促进残疾人就业政府采购政策的通知》（财库〔2017〕141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中标单位为残疾人福利性单位的，采购单位或者其委托的采购代理机构应当随中标、成交结果同时公告其《残疾人福利性单位声明函》，接受社会监督。</w:t>
      </w:r>
    </w:p>
    <w:p w14:paraId="00C05266">
      <w:pPr>
        <w:pStyle w:val="13"/>
        <w:rPr>
          <w:rFonts w:ascii="宋体" w:hAnsi="宋体" w:cs="宋体"/>
          <w:color w:val="auto"/>
          <w:spacing w:val="6"/>
          <w:szCs w:val="21"/>
          <w:highlight w:val="none"/>
        </w:rPr>
      </w:pPr>
    </w:p>
    <w:p w14:paraId="3AADE740">
      <w:pPr>
        <w:rPr>
          <w:rFonts w:ascii="宋体" w:hAnsi="宋体" w:cs="宋体"/>
          <w:color w:val="auto"/>
          <w:spacing w:val="6"/>
          <w:szCs w:val="21"/>
          <w:highlight w:val="none"/>
        </w:rPr>
      </w:pPr>
    </w:p>
    <w:p w14:paraId="29C29604">
      <w:pPr>
        <w:pStyle w:val="13"/>
        <w:rPr>
          <w:rFonts w:ascii="宋体" w:hAnsi="宋体" w:cs="宋体"/>
          <w:color w:val="auto"/>
          <w:spacing w:val="6"/>
          <w:szCs w:val="21"/>
          <w:highlight w:val="none"/>
        </w:rPr>
      </w:pPr>
    </w:p>
    <w:p w14:paraId="1B9D2452">
      <w:pPr>
        <w:rPr>
          <w:rFonts w:ascii="宋体" w:hAnsi="宋体" w:cs="宋体"/>
          <w:color w:val="auto"/>
          <w:spacing w:val="6"/>
          <w:szCs w:val="21"/>
          <w:highlight w:val="none"/>
        </w:rPr>
      </w:pPr>
    </w:p>
    <w:p w14:paraId="6BDE146A">
      <w:pPr>
        <w:pStyle w:val="13"/>
        <w:rPr>
          <w:rFonts w:ascii="宋体" w:hAnsi="宋体" w:cs="宋体"/>
          <w:color w:val="auto"/>
          <w:spacing w:val="6"/>
          <w:szCs w:val="21"/>
          <w:highlight w:val="none"/>
        </w:rPr>
      </w:pPr>
    </w:p>
    <w:p w14:paraId="5EEE11C9">
      <w:pPr>
        <w:rPr>
          <w:rFonts w:ascii="宋体" w:hAnsi="宋体" w:cs="宋体"/>
          <w:color w:val="auto"/>
          <w:spacing w:val="6"/>
          <w:szCs w:val="21"/>
          <w:highlight w:val="none"/>
        </w:rPr>
      </w:pPr>
    </w:p>
    <w:p w14:paraId="163A3BA1">
      <w:pPr>
        <w:pStyle w:val="13"/>
        <w:rPr>
          <w:rFonts w:ascii="宋体" w:hAnsi="宋体" w:cs="宋体"/>
          <w:color w:val="auto"/>
          <w:spacing w:val="6"/>
          <w:szCs w:val="21"/>
          <w:highlight w:val="none"/>
        </w:rPr>
      </w:pPr>
    </w:p>
    <w:p w14:paraId="62390656">
      <w:pPr>
        <w:rPr>
          <w:rFonts w:ascii="宋体" w:hAnsi="宋体" w:cs="宋体"/>
          <w:color w:val="auto"/>
          <w:spacing w:val="6"/>
          <w:szCs w:val="21"/>
          <w:highlight w:val="none"/>
        </w:rPr>
      </w:pPr>
    </w:p>
    <w:p w14:paraId="57FA96B0">
      <w:pPr>
        <w:pStyle w:val="13"/>
        <w:rPr>
          <w:rFonts w:ascii="宋体" w:hAnsi="宋体" w:cs="宋体"/>
          <w:color w:val="auto"/>
          <w:spacing w:val="6"/>
          <w:szCs w:val="21"/>
          <w:highlight w:val="none"/>
        </w:rPr>
      </w:pPr>
    </w:p>
    <w:p w14:paraId="47E9BA60">
      <w:pPr>
        <w:rPr>
          <w:rFonts w:ascii="宋体" w:hAnsi="宋体" w:cs="宋体"/>
          <w:color w:val="auto"/>
          <w:spacing w:val="6"/>
          <w:szCs w:val="21"/>
          <w:highlight w:val="none"/>
        </w:rPr>
      </w:pPr>
    </w:p>
    <w:p w14:paraId="1230EBD3">
      <w:pPr>
        <w:pStyle w:val="13"/>
        <w:rPr>
          <w:rFonts w:ascii="宋体" w:hAnsi="宋体" w:cs="宋体"/>
          <w:color w:val="auto"/>
          <w:spacing w:val="6"/>
          <w:szCs w:val="21"/>
          <w:highlight w:val="none"/>
        </w:rPr>
      </w:pPr>
    </w:p>
    <w:p w14:paraId="3623651C">
      <w:pPr>
        <w:rPr>
          <w:rFonts w:ascii="宋体" w:hAnsi="宋体" w:cs="宋体"/>
          <w:color w:val="auto"/>
          <w:spacing w:val="6"/>
          <w:szCs w:val="21"/>
          <w:highlight w:val="none"/>
        </w:rPr>
      </w:pPr>
    </w:p>
    <w:p w14:paraId="0AFB1CC0">
      <w:pPr>
        <w:pStyle w:val="13"/>
        <w:rPr>
          <w:rFonts w:ascii="宋体" w:hAnsi="宋体" w:cs="宋体"/>
          <w:color w:val="auto"/>
          <w:spacing w:val="6"/>
          <w:szCs w:val="21"/>
          <w:highlight w:val="none"/>
        </w:rPr>
      </w:pPr>
    </w:p>
    <w:p w14:paraId="60BB200B">
      <w:pPr>
        <w:rPr>
          <w:rFonts w:ascii="宋体" w:hAnsi="宋体" w:cs="宋体"/>
          <w:color w:val="auto"/>
          <w:spacing w:val="6"/>
          <w:szCs w:val="21"/>
          <w:highlight w:val="none"/>
        </w:rPr>
      </w:pPr>
    </w:p>
    <w:p w14:paraId="75110C88">
      <w:pPr>
        <w:pStyle w:val="13"/>
        <w:rPr>
          <w:rFonts w:ascii="宋体" w:hAnsi="宋体" w:cs="宋体"/>
          <w:color w:val="auto"/>
          <w:spacing w:val="6"/>
          <w:szCs w:val="21"/>
          <w:highlight w:val="none"/>
        </w:rPr>
      </w:pPr>
    </w:p>
    <w:p w14:paraId="7D79B131">
      <w:pPr>
        <w:jc w:val="left"/>
        <w:rPr>
          <w:rFonts w:hint="eastAsia" w:ascii="宋体" w:hAnsi="宋体" w:cs="宋体"/>
          <w:b/>
          <w:bCs/>
          <w:color w:val="auto"/>
          <w:spacing w:val="6"/>
          <w:szCs w:val="21"/>
          <w:highlight w:val="none"/>
        </w:rPr>
      </w:pPr>
    </w:p>
    <w:p w14:paraId="2F779594">
      <w:pPr>
        <w:jc w:val="left"/>
        <w:rPr>
          <w:rFonts w:hint="eastAsia" w:ascii="宋体" w:hAnsi="宋体" w:eastAsia="宋体" w:cs="宋体"/>
          <w:color w:val="auto"/>
          <w:sz w:val="21"/>
          <w:szCs w:val="21"/>
          <w:highlight w:val="none"/>
        </w:rPr>
      </w:pPr>
      <w:r>
        <w:rPr>
          <w:rFonts w:hint="eastAsia" w:ascii="宋体" w:hAnsi="宋体" w:cs="宋体"/>
          <w:b/>
          <w:bCs/>
          <w:color w:val="auto"/>
          <w:spacing w:val="6"/>
          <w:szCs w:val="21"/>
          <w:highlight w:val="none"/>
        </w:rPr>
        <w:t>附件1</w:t>
      </w:r>
      <w:r>
        <w:rPr>
          <w:rFonts w:hint="eastAsia" w:ascii="宋体" w:hAnsi="宋体" w:cs="宋体"/>
          <w:b/>
          <w:bCs/>
          <w:color w:val="auto"/>
          <w:spacing w:val="6"/>
          <w:szCs w:val="21"/>
          <w:highlight w:val="none"/>
          <w:lang w:val="en-US" w:eastAsia="zh-CN"/>
        </w:rPr>
        <w:t>7</w:t>
      </w:r>
      <w:r>
        <w:rPr>
          <w:rFonts w:hint="eastAsia" w:ascii="宋体" w:hAnsi="宋体" w:cs="宋体"/>
          <w:b/>
          <w:bCs/>
          <w:color w:val="auto"/>
          <w:spacing w:val="6"/>
          <w:szCs w:val="21"/>
          <w:highlight w:val="none"/>
        </w:rPr>
        <w:t>：</w:t>
      </w:r>
      <w:r>
        <w:rPr>
          <w:rFonts w:hint="eastAsia" w:ascii="宋体" w:hAnsi="宋体" w:eastAsia="宋体" w:cs="宋体"/>
          <w:b/>
          <w:color w:val="auto"/>
          <w:sz w:val="21"/>
          <w:szCs w:val="21"/>
          <w:highlight w:val="none"/>
        </w:rPr>
        <w:t>关于符合本国产品标准的声明函（</w:t>
      </w:r>
      <w:r>
        <w:rPr>
          <w:rFonts w:hint="eastAsia" w:ascii="宋体" w:hAnsi="宋体" w:eastAsia="宋体" w:cs="宋体"/>
          <w:b/>
          <w:color w:val="auto"/>
          <w:sz w:val="21"/>
          <w:szCs w:val="21"/>
          <w:highlight w:val="none"/>
          <w:lang w:val="en-US" w:eastAsia="zh-CN"/>
        </w:rPr>
        <w:t>招标编号</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JSZC-320509-ZHHD-G2026-0003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w:t>
      </w:r>
    </w:p>
    <w:p w14:paraId="35143ED1">
      <w:pPr>
        <w:pStyle w:val="27"/>
        <w:spacing w:before="0" w:beforeAutospacing="0" w:after="0" w:afterAutospacing="0" w:line="0" w:lineRule="atLeast"/>
        <w:ind w:firstLine="420"/>
        <w:rPr>
          <w:rFonts w:hint="eastAsia" w:ascii="宋体" w:hAnsi="宋体" w:eastAsia="宋体" w:cs="宋体"/>
          <w:color w:val="auto"/>
          <w:sz w:val="21"/>
          <w:szCs w:val="21"/>
          <w:highlight w:val="none"/>
        </w:rPr>
      </w:pPr>
    </w:p>
    <w:p w14:paraId="57E060AE">
      <w:pPr>
        <w:pStyle w:val="27"/>
        <w:spacing w:before="0" w:beforeAutospacing="0" w:after="0" w:afterAutospacing="0" w:line="0" w:lineRule="atLeast"/>
        <w:ind w:firstLine="42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关于符合本国产品标准的声明函</w:t>
      </w:r>
    </w:p>
    <w:p w14:paraId="44A61692">
      <w:pPr>
        <w:pStyle w:val="27"/>
        <w:spacing w:before="0" w:beforeAutospacing="0" w:after="0" w:afterAutospacing="0" w:line="0" w:lineRule="atLeast"/>
        <w:ind w:firstLine="420"/>
        <w:jc w:val="center"/>
        <w:rPr>
          <w:rFonts w:hint="eastAsia" w:ascii="宋体" w:hAnsi="宋体" w:eastAsia="宋体" w:cs="宋体"/>
          <w:b/>
          <w:color w:val="auto"/>
          <w:sz w:val="21"/>
          <w:szCs w:val="21"/>
          <w:highlight w:val="none"/>
        </w:rPr>
      </w:pPr>
    </w:p>
    <w:p w14:paraId="586B584E">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w:t>
      </w:r>
      <w:r>
        <w:rPr>
          <w:rFonts w:hint="eastAsia" w:ascii="宋体" w:hAnsi="宋体" w:eastAsia="宋体" w:cs="宋体"/>
          <w:color w:val="auto"/>
          <w:sz w:val="21"/>
          <w:szCs w:val="21"/>
          <w:highlight w:val="none"/>
          <w:u w:val="single"/>
        </w:rPr>
        <w:t>（单位）</w:t>
      </w:r>
      <w:r>
        <w:rPr>
          <w:rFonts w:hint="eastAsia" w:ascii="宋体" w:hAnsi="宋体" w:eastAsia="宋体" w:cs="宋体"/>
          <w:color w:val="auto"/>
          <w:sz w:val="21"/>
          <w:szCs w:val="21"/>
          <w:highlight w:val="none"/>
        </w:rPr>
        <w:t>郑重声明，根据《国务院办公厅关于在政府采购中实施本国产品标准及相关政策的通知》（国办发〔2025〕34号）的规定，本公司</w:t>
      </w:r>
      <w:r>
        <w:rPr>
          <w:rFonts w:hint="eastAsia" w:ascii="宋体" w:hAnsi="宋体" w:eastAsia="宋体" w:cs="宋体"/>
          <w:color w:val="auto"/>
          <w:sz w:val="21"/>
          <w:szCs w:val="21"/>
          <w:highlight w:val="none"/>
          <w:u w:val="single"/>
        </w:rPr>
        <w:t>（单位）</w:t>
      </w:r>
      <w:r>
        <w:rPr>
          <w:rFonts w:hint="eastAsia" w:ascii="宋体" w:hAnsi="宋体" w:eastAsia="宋体" w:cs="宋体"/>
          <w:color w:val="auto"/>
          <w:sz w:val="21"/>
          <w:szCs w:val="21"/>
          <w:highlight w:val="none"/>
        </w:rPr>
        <w:t>提供的以下产品属于本国产品。具体情况如下：</w:t>
      </w:r>
    </w:p>
    <w:p w14:paraId="17238F09">
      <w:pPr>
        <w:pStyle w:val="27"/>
        <w:keepNext w:val="0"/>
        <w:keepLines w:val="0"/>
        <w:pageBreakBefore w:val="0"/>
        <w:widowControl w:val="0"/>
        <w:kinsoku/>
        <w:wordWrap/>
        <w:overflowPunct/>
        <w:topLinePunct w:val="0"/>
        <w:autoSpaceDE/>
        <w:autoSpaceDN/>
        <w:bidi w:val="0"/>
        <w:adjustRightInd/>
        <w:snapToGrid/>
        <w:spacing w:before="30" w:beforeAutospacing="0" w:after="3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pict>
          <v:shape id="直接箭头连接符 18" o:spid="_x0000_s2052" o:spt="32" type="#_x0000_t32" style="position:absolute;left:0pt;flip:y;margin-left:421.9pt;margin-top:32.85pt;height:7.7pt;width:15.45pt;z-index:251666432;mso-width-relative:page;mso-height-relative:page;" filled="f" stroked="t" coordsize="21600,21600" o:gfxdata="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nkym62AAAAAkBAAAPAAAAAAAAAAEAIAAA&#10;ACIAAABkcnMvZG93bnJldi54bWxQSwECFAAUAAAACACHTuJAlgpQSwwCAAAJBAAADgAAAAAAAAAB&#10;ACAAAAAnAQAAZHJzL2Uyb0RvYy54bWxQSwUGAAAAAAYABgBZAQAApQU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rPr>
        <w:pict>
          <v:shape id="直接箭头连接符 8" o:spid="_x0000_s2050" o:spt="32" type="#_x0000_t32" style="position:absolute;left:0pt;flip:y;margin-left:60pt;margin-top:58.15pt;height:7.7pt;width:28.7pt;z-index:251665408;mso-width-relative:page;mso-height-relative:page;" filled="f" stroked="t" coordsize="21600,21600" o:gfxdata="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bQJ42AAAAAkBAAAPAAAAAAAAAAEAIAAAACIA&#10;AABkcnMvZG93bnJldi54bWxQSwECFAAUAAAACACHTuJAXw4zVwkCAAAHBAAADgAAAAAAAAABACAA&#10;AAAnAQAAZHJzL2Uyb0RvYy54bWxQSwUGAAAAAAYABgBZAQAAogU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rPr>
        <w:pict>
          <v:shape id="直接箭头连接符 12" o:spid="_x0000_s2053" o:spt="32" type="#_x0000_t32" style="position:absolute;left:0pt;flip:y;margin-left:257.2pt;margin-top:37.1pt;height:8.15pt;width:64.3pt;z-index:251660288;mso-width-relative:page;mso-height-relative:page;" filled="f" stroked="t" coordsize="21600,21600" o:gfxdata="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nsWBn2AAAAAkBAAAPAAAAAAAAAAEAIAAA&#10;ACIAAABkcnMvZG93bnJldi54bWxQSwECFAAUAAAACACHTuJA6A6a9wwCAAAKBAAADgAAAAAAAAAB&#10;ACAAAAAnAQAAZHJzL2Uyb0RvYy54bWxQSwUGAAAAAAYABgBZAQAApQU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rPr>
        <w:pict>
          <v:shape id="直接箭头连接符 9" o:spid="_x0000_s2051" o:spt="32" type="#_x0000_t32" style="position:absolute;left:0pt;flip:y;margin-left:101pt;margin-top:35.6pt;height:10.3pt;width:44.55pt;z-index:251667456;mso-width-relative:page;mso-height-relative:page;" filled="f" stroked="t" coordsize="21600,21600" o:gfxdata="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hHwndUAAAAIAQAADwAAAAAAAAABACAAAAAi&#10;AAAAZHJzL2Rvd25yZXYueG1sUEsBAhQAFAAAAAgAh07iQLOvSOANAgAACAQAAA4AAAAAAAAAAQAg&#10;AAAAJAEAAGRycy9lMm9Eb2MueG1sUEsFBgAAAAAGAAYAWQEAAKMFA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rPr>
        <w:pict>
          <v:shape id="直接箭头连接符 16" o:spid="_x0000_s2054" o:spt="32" type="#_x0000_t32" style="position:absolute;left:0pt;flip:y;margin-left:177.95pt;margin-top:34.55pt;height:6pt;width:64.3pt;z-index:251659264;mso-width-relative:page;mso-height-relative:page;" filled="f" stroked="t" coordsize="21600,21600" o:gfxdata="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Zh2X1wAAAAkBAAAPAAAAAAAAAAEAIAAAACIA&#10;AABkcnMvZG93bnJldi54bWxQSwECFAAUAAAACACHTuJAVq/0+AoCAAAJBAAADgAAAAAAAAABACAA&#10;AAAmAQAAZHJzL2Uyb0RvYy54bWxQSwUGAAAAAAYABgBZAQAAogU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rPr>
        <w:pict>
          <v:shape id="直接箭头连接符 6" o:spid="_x0000_s2055" o:spt="32" type="#_x0000_t32" style="position:absolute;left:0pt;flip:y;margin-left:340.75pt;margin-top:4.5pt;height:7.25pt;width:45.45pt;z-index:251664384;mso-width-relative:page;mso-height-relative:page;" filled="f" stroked="t" coordsize="21600,21600" o:gfxdata="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f8IyA1wAAAAgBAAAPAAAAAAAAAAEAIAAAACIA&#10;AABkcnMvZG93bnJldi54bWxQSwECFAAUAAAACACHTuJACIuDWwoCAAAHBAAADgAAAAAAAAABACAA&#10;AAAmAQAAZHJzL2Uyb0RvYy54bWxQSwUGAAAAAAYABgBZAQAAogU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shd w:val="clear" w:color="auto" w:fill="FFFFFF"/>
        </w:rPr>
        <w:t>1.</w:t>
      </w:r>
      <w:r>
        <w:rPr>
          <w:rStyle w:val="35"/>
          <w:rFonts w:hint="eastAsia" w:ascii="宋体" w:hAnsi="宋体" w:eastAsia="宋体" w:cs="宋体"/>
          <w:i w:val="0"/>
          <w:color w:val="auto"/>
          <w:sz w:val="21"/>
          <w:szCs w:val="21"/>
          <w:highlight w:val="none"/>
          <w:u w:val="single"/>
          <w:shd w:val="clear" w:color="auto" w:fill="FFFFFF"/>
        </w:rPr>
        <w:t>（产品名称1）</w:t>
      </w:r>
      <w:r>
        <w:rPr>
          <w:rStyle w:val="35"/>
          <w:rFonts w:hint="eastAsia" w:ascii="宋体" w:hAnsi="宋体" w:eastAsia="宋体" w:cs="宋体"/>
          <w:i w:val="0"/>
          <w:color w:val="auto"/>
          <w:sz w:val="21"/>
          <w:szCs w:val="21"/>
          <w:highlight w:val="none"/>
          <w:shd w:val="clear" w:color="auto" w:fill="FFFFFF"/>
          <w:vertAlign w:val="superscript"/>
        </w:rPr>
        <w:t>1</w:t>
      </w:r>
      <w:r>
        <w:rPr>
          <w:rFonts w:hint="eastAsia" w:ascii="宋体" w:hAnsi="宋体" w:eastAsia="宋体" w:cs="宋体"/>
          <w:color w:val="auto"/>
          <w:sz w:val="21"/>
          <w:szCs w:val="21"/>
          <w:highlight w:val="none"/>
          <w:shd w:val="clear" w:color="auto" w:fill="FFFFFF"/>
        </w:rPr>
        <w:t>，生产厂为</w:t>
      </w:r>
      <w:r>
        <w:rPr>
          <w:rStyle w:val="35"/>
          <w:rFonts w:hint="eastAsia" w:ascii="宋体" w:hAnsi="宋体" w:eastAsia="宋体" w:cs="宋体"/>
          <w:i w:val="0"/>
          <w:color w:val="auto"/>
          <w:sz w:val="21"/>
          <w:szCs w:val="21"/>
          <w:highlight w:val="none"/>
          <w:u w:val="single"/>
          <w:shd w:val="clear" w:color="auto" w:fill="FFFFFF"/>
        </w:rPr>
        <w:t>（厂名）</w:t>
      </w:r>
      <w:r>
        <w:rPr>
          <w:rStyle w:val="35"/>
          <w:rFonts w:hint="eastAsia" w:ascii="宋体" w:hAnsi="宋体" w:eastAsia="宋体" w:cs="宋体"/>
          <w:i w:val="0"/>
          <w:color w:val="auto"/>
          <w:sz w:val="21"/>
          <w:szCs w:val="21"/>
          <w:highlight w:val="none"/>
          <w:shd w:val="clear" w:color="auto" w:fill="FFFFFF"/>
          <w:vertAlign w:val="superscript"/>
        </w:rPr>
        <w:t>2</w:t>
      </w:r>
      <w:r>
        <w:rPr>
          <w:rFonts w:hint="eastAsia" w:ascii="宋体" w:hAnsi="宋体" w:eastAsia="宋体" w:cs="宋体"/>
          <w:color w:val="auto"/>
          <w:sz w:val="21"/>
          <w:szCs w:val="21"/>
          <w:highlight w:val="none"/>
          <w:shd w:val="clear" w:color="auto" w:fill="FFFFFF"/>
        </w:rPr>
        <w:t>，厂址为</w:t>
      </w:r>
      <w:r>
        <w:rPr>
          <w:rStyle w:val="35"/>
          <w:rFonts w:hint="eastAsia" w:ascii="宋体" w:hAnsi="宋体" w:eastAsia="宋体" w:cs="宋体"/>
          <w:i w:val="0"/>
          <w:color w:val="auto"/>
          <w:sz w:val="21"/>
          <w:szCs w:val="21"/>
          <w:highlight w:val="none"/>
          <w:u w:val="single"/>
          <w:shd w:val="clear" w:color="auto" w:fill="FFFFFF"/>
        </w:rPr>
        <w:t>（生产厂址）</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shd w:val="clear" w:color="auto" w:fill="FFFFFF"/>
        </w:rPr>
        <w:t xml:space="preserve"> </w:t>
      </w:r>
      <w:r>
        <w:rPr>
          <w:rStyle w:val="35"/>
          <w:rFonts w:hint="eastAsia" w:ascii="宋体" w:hAnsi="宋体" w:eastAsia="宋体" w:cs="宋体"/>
          <w:i w:val="0"/>
          <w:color w:val="auto"/>
          <w:sz w:val="21"/>
          <w:szCs w:val="21"/>
          <w:highlight w:val="none"/>
          <w:u w:val="single"/>
          <w:shd w:val="clear" w:color="auto" w:fill="FFFFFF"/>
        </w:rPr>
        <w:t xml:space="preserve">（产品名称1） </w:t>
      </w:r>
      <w:r>
        <w:rPr>
          <w:rFonts w:hint="eastAsia" w:ascii="宋体" w:hAnsi="宋体" w:eastAsia="宋体" w:cs="宋体"/>
          <w:color w:val="auto"/>
          <w:sz w:val="21"/>
          <w:szCs w:val="21"/>
          <w:highlight w:val="none"/>
          <w:shd w:val="clear" w:color="auto" w:fill="FFFFFF"/>
        </w:rPr>
        <w:t>的中国境内生产的组件成本占比≥</w:t>
      </w:r>
      <w:r>
        <w:rPr>
          <w:rStyle w:val="35"/>
          <w:rFonts w:hint="eastAsia" w:ascii="宋体" w:hAnsi="宋体" w:eastAsia="宋体" w:cs="宋体"/>
          <w:i w:val="0"/>
          <w:color w:val="auto"/>
          <w:sz w:val="21"/>
          <w:szCs w:val="21"/>
          <w:highlight w:val="none"/>
          <w:u w:val="single"/>
          <w:shd w:val="clear" w:color="auto" w:fill="FFFFFF"/>
        </w:rPr>
        <w:t>（规定比例）</w:t>
      </w:r>
      <w:r>
        <w:rPr>
          <w:rStyle w:val="35"/>
          <w:rFonts w:hint="eastAsia" w:ascii="宋体" w:hAnsi="宋体" w:eastAsia="宋体" w:cs="宋体"/>
          <w:i w:val="0"/>
          <w:color w:val="auto"/>
          <w:sz w:val="21"/>
          <w:szCs w:val="21"/>
          <w:highlight w:val="none"/>
          <w:shd w:val="clear" w:color="auto" w:fill="FFFFFF"/>
          <w:vertAlign w:val="superscript"/>
        </w:rPr>
        <w:t>3</w:t>
      </w:r>
      <w:r>
        <w:rPr>
          <w:rFonts w:hint="eastAsia" w:ascii="宋体" w:hAnsi="宋体" w:eastAsia="宋体" w:cs="宋体"/>
          <w:color w:val="auto"/>
          <w:sz w:val="21"/>
          <w:szCs w:val="21"/>
          <w:highlight w:val="none"/>
          <w:shd w:val="clear" w:color="auto" w:fill="FFFFFF"/>
        </w:rPr>
        <w:t>。</w:t>
      </w:r>
      <w:r>
        <w:rPr>
          <w:rStyle w:val="35"/>
          <w:rFonts w:hint="eastAsia" w:ascii="宋体" w:hAnsi="宋体" w:eastAsia="宋体" w:cs="宋体"/>
          <w:i w:val="0"/>
          <w:color w:val="auto"/>
          <w:sz w:val="21"/>
          <w:szCs w:val="21"/>
          <w:highlight w:val="none"/>
          <w:u w:val="single"/>
          <w:shd w:val="clear" w:color="auto" w:fill="FFFFFF"/>
        </w:rPr>
        <w:t>（产品名称1）</w:t>
      </w:r>
      <w:r>
        <w:rPr>
          <w:rFonts w:hint="eastAsia" w:ascii="宋体" w:hAnsi="宋体" w:eastAsia="宋体" w:cs="宋体"/>
          <w:color w:val="auto"/>
          <w:sz w:val="21"/>
          <w:szCs w:val="21"/>
          <w:highlight w:val="none"/>
          <w:shd w:val="clear" w:color="auto" w:fill="FFFFFF"/>
        </w:rPr>
        <w:t>的</w:t>
      </w:r>
      <w:r>
        <w:rPr>
          <w:rStyle w:val="35"/>
          <w:rFonts w:hint="eastAsia" w:ascii="宋体" w:hAnsi="宋体" w:eastAsia="宋体" w:cs="宋体"/>
          <w:i w:val="0"/>
          <w:color w:val="auto"/>
          <w:sz w:val="21"/>
          <w:szCs w:val="21"/>
          <w:highlight w:val="none"/>
          <w:u w:val="single"/>
          <w:shd w:val="clear" w:color="auto" w:fill="FFFFFF"/>
        </w:rPr>
        <w:t>（关键组件）</w:t>
      </w:r>
      <w:r>
        <w:rPr>
          <w:rStyle w:val="35"/>
          <w:rFonts w:hint="eastAsia" w:ascii="宋体" w:hAnsi="宋体" w:eastAsia="宋体" w:cs="宋体"/>
          <w:i w:val="0"/>
          <w:color w:val="auto"/>
          <w:sz w:val="21"/>
          <w:szCs w:val="21"/>
          <w:highlight w:val="none"/>
          <w:shd w:val="clear" w:color="auto" w:fill="FFFFFF"/>
          <w:vertAlign w:val="superscript"/>
        </w:rPr>
        <w:t>4</w:t>
      </w:r>
      <w:r>
        <w:rPr>
          <w:rFonts w:hint="eastAsia" w:ascii="宋体" w:hAnsi="宋体" w:eastAsia="宋体" w:cs="宋体"/>
          <w:color w:val="auto"/>
          <w:sz w:val="21"/>
          <w:szCs w:val="21"/>
          <w:highlight w:val="none"/>
          <w:shd w:val="clear" w:color="auto" w:fill="FFFFFF"/>
        </w:rPr>
        <w:t>在中国境内生产。</w:t>
      </w:r>
      <w:r>
        <w:rPr>
          <w:rStyle w:val="35"/>
          <w:rFonts w:hint="eastAsia" w:ascii="宋体" w:hAnsi="宋体" w:eastAsia="宋体" w:cs="宋体"/>
          <w:i w:val="0"/>
          <w:color w:val="auto"/>
          <w:sz w:val="21"/>
          <w:szCs w:val="21"/>
          <w:highlight w:val="none"/>
          <w:u w:val="single"/>
          <w:shd w:val="clear" w:color="auto" w:fill="FFFFFF"/>
        </w:rPr>
        <w:t>（产品名称1）</w:t>
      </w:r>
      <w:r>
        <w:rPr>
          <w:rFonts w:hint="eastAsia" w:ascii="宋体" w:hAnsi="宋体" w:eastAsia="宋体" w:cs="宋体"/>
          <w:color w:val="auto"/>
          <w:sz w:val="21"/>
          <w:szCs w:val="21"/>
          <w:highlight w:val="none"/>
          <w:shd w:val="clear" w:color="auto" w:fill="FFFFFF"/>
        </w:rPr>
        <w:t>的</w:t>
      </w:r>
      <w:r>
        <w:rPr>
          <w:rStyle w:val="35"/>
          <w:rFonts w:hint="eastAsia" w:ascii="宋体" w:hAnsi="宋体" w:eastAsia="宋体" w:cs="宋体"/>
          <w:i w:val="0"/>
          <w:color w:val="auto"/>
          <w:sz w:val="21"/>
          <w:szCs w:val="21"/>
          <w:highlight w:val="none"/>
          <w:u w:val="single"/>
          <w:shd w:val="clear" w:color="auto" w:fill="FFFFFF"/>
        </w:rPr>
        <w:t>（关键工序）</w:t>
      </w:r>
      <w:r>
        <w:rPr>
          <w:rStyle w:val="35"/>
          <w:rFonts w:hint="eastAsia" w:ascii="宋体" w:hAnsi="宋体" w:eastAsia="宋体" w:cs="宋体"/>
          <w:i w:val="0"/>
          <w:color w:val="auto"/>
          <w:sz w:val="21"/>
          <w:szCs w:val="21"/>
          <w:highlight w:val="none"/>
          <w:shd w:val="clear" w:color="auto" w:fill="FFFFFF"/>
          <w:vertAlign w:val="superscript"/>
        </w:rPr>
        <w:t>5</w:t>
      </w:r>
      <w:r>
        <w:rPr>
          <w:rFonts w:hint="eastAsia" w:ascii="宋体" w:hAnsi="宋体" w:eastAsia="宋体" w:cs="宋体"/>
          <w:color w:val="auto"/>
          <w:sz w:val="21"/>
          <w:szCs w:val="21"/>
          <w:highlight w:val="none"/>
          <w:shd w:val="clear" w:color="auto" w:fill="FFFFFF"/>
        </w:rPr>
        <w:t>在中国境内完成。</w:t>
      </w:r>
    </w:p>
    <w:p w14:paraId="577D1D8B">
      <w:pPr>
        <w:pStyle w:val="27"/>
        <w:keepNext w:val="0"/>
        <w:keepLines w:val="0"/>
        <w:pageBreakBefore w:val="0"/>
        <w:widowControl w:val="0"/>
        <w:kinsoku/>
        <w:wordWrap/>
        <w:overflowPunct/>
        <w:topLinePunct w:val="0"/>
        <w:autoSpaceDE/>
        <w:autoSpaceDN/>
        <w:bidi w:val="0"/>
        <w:adjustRightInd/>
        <w:snapToGrid/>
        <w:spacing w:before="30" w:beforeAutospacing="0" w:after="3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pict>
          <v:shape id="直接箭头连接符 10" o:spid="_x0000_s2057" o:spt="32" type="#_x0000_t32" style="position:absolute;left:0pt;flip:y;margin-left:323.5pt;margin-top:5.6pt;height:8.85pt;width:33.45pt;z-index:251670528;mso-width-relative:page;mso-height-relative:page;" filled="f" stroked="t" coordsize="21600,21600" o:gfxdata="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THm6tYAAAAIAQAADwAAAAAAAAABACAAAAAi&#10;AAAAZHJzL2Rvd25yZXYueG1sUEsBAhQAFAAAAAgAh07iQLHh0l4MAgAACgQAAA4AAAAAAAAAAQAg&#10;AAAAJQEAAGRycy9lMm9Eb2MueG1sUEsFBgAAAAAGAAYAWQEAAKMFA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rPr>
        <w:pict>
          <v:shape id="直接箭头连接符 11" o:spid="_x0000_s2056" o:spt="32" type="#_x0000_t32" style="position:absolute;left:0pt;flip:y;margin-left:2.75pt;margin-top:58.15pt;height:7.7pt;width:56.55pt;z-index:251668480;mso-width-relative:page;mso-height-relative:page;" filled="f" stroked="t" coordsize="21600,21600" o:gfxdata="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CfaK1wAAAAgBAAAPAAAAAAAAAAEAIAAA&#10;ACIAAABkcnMvZG93bnJldi54bWxQSwECFAAUAAAACACHTuJAjBUjbA0CAAAJBAAADgAAAAAAAAAB&#10;ACAAAAAmAQAAZHJzL2Uyb0RvYy54bWxQSwUGAAAAAAYABgBZAQAApQU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rPr>
        <w:pict>
          <v:shape id="直接箭头连接符 17" o:spid="_x0000_s2058" o:spt="32" type="#_x0000_t32" style="position:absolute;left:0pt;flip:y;margin-left:404.1pt;margin-top:29.85pt;height:11.6pt;width:36.4pt;z-index:251669504;mso-width-relative:page;mso-height-relative:page;" filled="f" stroked="t" coordsize="21600,21600" o:gfxdata="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xXsK/XAAAACQEAAA8AAAAAAAAAAQAg&#10;AAAAIgAAAGRycy9kb3ducmV2LnhtbFBLAQIUABQAAAAIAIdO4kAUFY8RDwIAAAoEAAAOAAAAAAAA&#10;AAEAIAAAACYBAABkcnMvZTJvRG9jLnhtbFBLBQYAAAAABgAGAFkBAACnBQ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rPr>
        <w:pict>
          <v:shape id="直接箭头连接符 13" o:spid="_x0000_s2059" o:spt="32" type="#_x0000_t32" style="position:absolute;left:0pt;flip:y;margin-left:244.85pt;margin-top:29.35pt;height:9.45pt;width:66.9pt;z-index:251663360;mso-width-relative:page;mso-height-relative:page;" filled="f" stroked="t" coordsize="21600,21600" o:gfxdata="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Tetf1wAAAAkBAAAPAAAAAAAAAAEAIAAA&#10;ACIAAABkcnMvZG93bnJldi54bWxQSwECFAAUAAAACACHTuJA3C6X6Q0CAAAKBAAADgAAAAAAAAAB&#10;ACAAAAAmAQAAZHJzL2Uyb0RvYy54bWxQSwUGAAAAAAYABgBZAQAApQU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rPr>
        <w:pict>
          <v:shape id="直接箭头连接符 14" o:spid="_x0000_s2060" o:spt="32" type="#_x0000_t32" style="position:absolute;left:0pt;flip:y;margin-left:167.4pt;margin-top:32.7pt;height:9.9pt;width:66.45pt;z-index:251662336;mso-width-relative:page;mso-height-relative:page;" filled="f" stroked="t" coordsize="21600,21600" o:gfxdata="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1NWAA2AAAAAkBAAAPAAAAAAAAAAEA&#10;IAAAACIAAABkcnMvZG93bnJldi54bWxQSwECFAAUAAAACACHTuJAYmA1Bw8CAAAKBAAADgAAAAAA&#10;AAABACAAAAAnAQAAZHJzL2Uyb0RvYy54bWxQSwUGAAAAAAYABgBZAQAAqAU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rPr>
        <w:pict>
          <v:shape id="直接箭头连接符 7" o:spid="_x0000_s2061" o:spt="32" type="#_x0000_t32" style="position:absolute;left:0pt;flip:y;margin-left:80pt;margin-top:33.35pt;height:9.45pt;width:69pt;z-index:251661312;mso-width-relative:page;mso-height-relative:page;" filled="f" stroked="t" coordsize="21600,21600" o:gfxdata="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HAg6TXAAAACQEAAA8AAAAAAAAAAQAgAAAA&#10;IgAAAGRycy9kb3ducmV2LnhtbFBLAQIUABQAAAAIAIdO4kBIL0NQDAIAAAgEAAAOAAAAAAAAAAEA&#10;IAAAACYBAABkcnMvZTJvRG9jLnhtbFBLBQYAAAAABgAGAFkBAACkBQAAAAA=&#10;">
            <v:path arrowok="t"/>
            <v:fill on="f" focussize="0,0"/>
            <v:stroke color="#000000" joinstyle="round"/>
            <v:imagedata o:title=""/>
            <o:lock v:ext="edit" aspectratio="f"/>
          </v:shape>
        </w:pict>
      </w:r>
      <w:r>
        <w:rPr>
          <w:rFonts w:hint="eastAsia" w:ascii="宋体" w:hAnsi="宋体" w:eastAsia="宋体" w:cs="宋体"/>
          <w:color w:val="auto"/>
          <w:sz w:val="21"/>
          <w:szCs w:val="21"/>
          <w:highlight w:val="none"/>
          <w:shd w:val="clear" w:color="auto" w:fill="FFFFFF"/>
        </w:rPr>
        <w:t>2.</w:t>
      </w:r>
      <w:r>
        <w:rPr>
          <w:rStyle w:val="35"/>
          <w:rFonts w:hint="eastAsia" w:ascii="宋体" w:hAnsi="宋体" w:eastAsia="宋体" w:cs="宋体"/>
          <w:i w:val="0"/>
          <w:color w:val="auto"/>
          <w:sz w:val="21"/>
          <w:szCs w:val="21"/>
          <w:highlight w:val="none"/>
          <w:u w:val="single"/>
          <w:shd w:val="clear" w:color="auto" w:fill="FFFFFF"/>
        </w:rPr>
        <w:t>（产品名称2）</w:t>
      </w:r>
      <w:r>
        <w:rPr>
          <w:rFonts w:hint="eastAsia" w:ascii="宋体" w:hAnsi="宋体" w:eastAsia="宋体" w:cs="宋体"/>
          <w:color w:val="auto"/>
          <w:sz w:val="21"/>
          <w:szCs w:val="21"/>
          <w:highlight w:val="none"/>
          <w:shd w:val="clear" w:color="auto" w:fill="FFFFFF"/>
        </w:rPr>
        <w:t>，生产厂为</w:t>
      </w:r>
      <w:r>
        <w:rPr>
          <w:rStyle w:val="35"/>
          <w:rFonts w:hint="eastAsia" w:ascii="宋体" w:hAnsi="宋体" w:eastAsia="宋体" w:cs="宋体"/>
          <w:i w:val="0"/>
          <w:color w:val="auto"/>
          <w:sz w:val="21"/>
          <w:szCs w:val="21"/>
          <w:highlight w:val="none"/>
          <w:u w:val="single"/>
          <w:shd w:val="clear" w:color="auto" w:fill="FFFFFF"/>
        </w:rPr>
        <w:t>（厂名）</w:t>
      </w:r>
      <w:r>
        <w:rPr>
          <w:rFonts w:hint="eastAsia" w:ascii="宋体" w:hAnsi="宋体" w:eastAsia="宋体" w:cs="宋体"/>
          <w:color w:val="auto"/>
          <w:sz w:val="21"/>
          <w:szCs w:val="21"/>
          <w:highlight w:val="none"/>
          <w:shd w:val="clear" w:color="auto" w:fill="FFFFFF"/>
        </w:rPr>
        <w:t>，厂址为</w:t>
      </w:r>
      <w:r>
        <w:rPr>
          <w:rStyle w:val="35"/>
          <w:rFonts w:hint="eastAsia" w:ascii="宋体" w:hAnsi="宋体" w:eastAsia="宋体" w:cs="宋体"/>
          <w:i w:val="0"/>
          <w:color w:val="auto"/>
          <w:sz w:val="21"/>
          <w:szCs w:val="21"/>
          <w:highlight w:val="none"/>
          <w:u w:val="single"/>
          <w:shd w:val="clear" w:color="auto" w:fill="FFFFFF"/>
        </w:rPr>
        <w:t>（生产厂址）</w:t>
      </w:r>
      <w:r>
        <w:rPr>
          <w:rFonts w:hint="eastAsia" w:ascii="宋体" w:hAnsi="宋体" w:eastAsia="宋体" w:cs="宋体"/>
          <w:color w:val="auto"/>
          <w:sz w:val="21"/>
          <w:szCs w:val="21"/>
          <w:highlight w:val="none"/>
          <w:shd w:val="clear" w:color="auto" w:fill="FFFFFF"/>
        </w:rPr>
        <w:t>。</w:t>
      </w:r>
      <w:r>
        <w:rPr>
          <w:rStyle w:val="35"/>
          <w:rFonts w:hint="eastAsia" w:ascii="宋体" w:hAnsi="宋体" w:eastAsia="宋体" w:cs="宋体"/>
          <w:i w:val="0"/>
          <w:color w:val="auto"/>
          <w:sz w:val="21"/>
          <w:szCs w:val="21"/>
          <w:highlight w:val="none"/>
          <w:u w:val="single"/>
          <w:shd w:val="clear" w:color="auto" w:fill="FFFFFF"/>
        </w:rPr>
        <w:t>（产品名称2）</w:t>
      </w:r>
      <w:r>
        <w:rPr>
          <w:rFonts w:hint="eastAsia" w:ascii="宋体" w:hAnsi="宋体" w:eastAsia="宋体" w:cs="宋体"/>
          <w:color w:val="auto"/>
          <w:sz w:val="21"/>
          <w:szCs w:val="21"/>
          <w:highlight w:val="none"/>
          <w:shd w:val="clear" w:color="auto" w:fill="FFFFFF"/>
        </w:rPr>
        <w:t>的中国境内生产的组件成本占比≥</w:t>
      </w:r>
      <w:r>
        <w:rPr>
          <w:rStyle w:val="35"/>
          <w:rFonts w:hint="eastAsia" w:ascii="宋体" w:hAnsi="宋体" w:eastAsia="宋体" w:cs="宋体"/>
          <w:i w:val="0"/>
          <w:color w:val="auto"/>
          <w:sz w:val="21"/>
          <w:szCs w:val="21"/>
          <w:highlight w:val="none"/>
          <w:u w:val="single"/>
          <w:shd w:val="clear" w:color="auto" w:fill="FFFFFF"/>
        </w:rPr>
        <w:t>（规定比例）</w:t>
      </w:r>
      <w:r>
        <w:rPr>
          <w:rFonts w:hint="eastAsia" w:ascii="宋体" w:hAnsi="宋体" w:eastAsia="宋体" w:cs="宋体"/>
          <w:color w:val="auto"/>
          <w:sz w:val="21"/>
          <w:szCs w:val="21"/>
          <w:highlight w:val="none"/>
          <w:shd w:val="clear" w:color="auto" w:fill="FFFFFF"/>
        </w:rPr>
        <w:t>。</w:t>
      </w:r>
      <w:r>
        <w:rPr>
          <w:rStyle w:val="35"/>
          <w:rFonts w:hint="eastAsia" w:ascii="宋体" w:hAnsi="宋体" w:eastAsia="宋体" w:cs="宋体"/>
          <w:i w:val="0"/>
          <w:color w:val="auto"/>
          <w:sz w:val="21"/>
          <w:szCs w:val="21"/>
          <w:highlight w:val="none"/>
          <w:u w:val="single"/>
          <w:shd w:val="clear" w:color="auto" w:fill="FFFFFF"/>
        </w:rPr>
        <w:t>（产品名称2）</w:t>
      </w:r>
      <w:r>
        <w:rPr>
          <w:rFonts w:hint="eastAsia" w:ascii="宋体" w:hAnsi="宋体" w:eastAsia="宋体" w:cs="宋体"/>
          <w:color w:val="auto"/>
          <w:sz w:val="21"/>
          <w:szCs w:val="21"/>
          <w:highlight w:val="none"/>
          <w:shd w:val="clear" w:color="auto" w:fill="FFFFFF"/>
        </w:rPr>
        <w:t>的</w:t>
      </w:r>
      <w:r>
        <w:rPr>
          <w:rStyle w:val="35"/>
          <w:rFonts w:hint="eastAsia" w:ascii="宋体" w:hAnsi="宋体" w:eastAsia="宋体" w:cs="宋体"/>
          <w:i w:val="0"/>
          <w:color w:val="auto"/>
          <w:sz w:val="21"/>
          <w:szCs w:val="21"/>
          <w:highlight w:val="none"/>
          <w:u w:val="single"/>
          <w:shd w:val="clear" w:color="auto" w:fill="FFFFFF"/>
        </w:rPr>
        <w:t>（关键组件）</w:t>
      </w:r>
      <w:r>
        <w:rPr>
          <w:rFonts w:hint="eastAsia" w:ascii="宋体" w:hAnsi="宋体" w:eastAsia="宋体" w:cs="宋体"/>
          <w:color w:val="auto"/>
          <w:sz w:val="21"/>
          <w:szCs w:val="21"/>
          <w:highlight w:val="none"/>
          <w:shd w:val="clear" w:color="auto" w:fill="FFFFFF"/>
        </w:rPr>
        <w:t>在中国境内生产。</w:t>
      </w:r>
      <w:r>
        <w:rPr>
          <w:rStyle w:val="35"/>
          <w:rFonts w:hint="eastAsia" w:ascii="宋体" w:hAnsi="宋体" w:eastAsia="宋体" w:cs="宋体"/>
          <w:i w:val="0"/>
          <w:color w:val="auto"/>
          <w:sz w:val="21"/>
          <w:szCs w:val="21"/>
          <w:highlight w:val="none"/>
          <w:u w:val="single"/>
          <w:shd w:val="clear" w:color="auto" w:fill="FFFFFF"/>
        </w:rPr>
        <w:t>（产品名称1）</w:t>
      </w:r>
      <w:r>
        <w:rPr>
          <w:rFonts w:hint="eastAsia" w:ascii="宋体" w:hAnsi="宋体" w:eastAsia="宋体" w:cs="宋体"/>
          <w:color w:val="auto"/>
          <w:sz w:val="21"/>
          <w:szCs w:val="21"/>
          <w:highlight w:val="none"/>
          <w:shd w:val="clear" w:color="auto" w:fill="FFFFFF"/>
        </w:rPr>
        <w:t>的</w:t>
      </w:r>
      <w:r>
        <w:rPr>
          <w:rStyle w:val="35"/>
          <w:rFonts w:hint="eastAsia" w:ascii="宋体" w:hAnsi="宋体" w:eastAsia="宋体" w:cs="宋体"/>
          <w:i w:val="0"/>
          <w:color w:val="auto"/>
          <w:sz w:val="21"/>
          <w:szCs w:val="21"/>
          <w:highlight w:val="none"/>
          <w:u w:val="single"/>
          <w:shd w:val="clear" w:color="auto" w:fill="FFFFFF"/>
        </w:rPr>
        <w:t>（关键工序）</w:t>
      </w:r>
      <w:r>
        <w:rPr>
          <w:rFonts w:hint="eastAsia" w:ascii="宋体" w:hAnsi="宋体" w:eastAsia="宋体" w:cs="宋体"/>
          <w:color w:val="auto"/>
          <w:sz w:val="21"/>
          <w:szCs w:val="21"/>
          <w:highlight w:val="none"/>
          <w:shd w:val="clear" w:color="auto" w:fill="FFFFFF"/>
        </w:rPr>
        <w:t>在中国境内完成。</w:t>
      </w:r>
    </w:p>
    <w:p w14:paraId="6F1AB43F">
      <w:pPr>
        <w:pStyle w:val="27"/>
        <w:keepNext w:val="0"/>
        <w:keepLines w:val="0"/>
        <w:pageBreakBefore w:val="0"/>
        <w:widowControl w:val="0"/>
        <w:kinsoku/>
        <w:wordWrap/>
        <w:overflowPunct/>
        <w:topLinePunct w:val="0"/>
        <w:autoSpaceDE/>
        <w:autoSpaceDN/>
        <w:bidi w:val="0"/>
        <w:adjustRightInd/>
        <w:snapToGrid/>
        <w:spacing w:before="30" w:beforeAutospacing="0" w:after="3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p>
    <w:p w14:paraId="6740BEDA">
      <w:pPr>
        <w:pStyle w:val="27"/>
        <w:keepNext w:val="0"/>
        <w:keepLines w:val="0"/>
        <w:pageBreakBefore w:val="0"/>
        <w:widowControl w:val="0"/>
        <w:kinsoku/>
        <w:wordWrap/>
        <w:overflowPunct/>
        <w:topLinePunct w:val="0"/>
        <w:autoSpaceDE/>
        <w:autoSpaceDN/>
        <w:bidi w:val="0"/>
        <w:adjustRightInd/>
        <w:snapToGrid/>
        <w:spacing w:before="30" w:beforeAutospacing="0" w:after="3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本公司（单位）对上述声明内容的真实性负责。如有虚假，愿承担相应法律责任。</w:t>
      </w:r>
    </w:p>
    <w:p w14:paraId="25CB346A">
      <w:pPr>
        <w:pStyle w:val="27"/>
        <w:spacing w:before="30" w:beforeAutospacing="0" w:after="30" w:afterAutospacing="0" w:line="0" w:lineRule="atLeast"/>
        <w:rPr>
          <w:rFonts w:hint="eastAsia" w:ascii="宋体" w:hAnsi="宋体" w:eastAsia="宋体" w:cs="宋体"/>
          <w:color w:val="auto"/>
          <w:sz w:val="21"/>
          <w:szCs w:val="21"/>
          <w:highlight w:val="none"/>
        </w:rPr>
      </w:pPr>
    </w:p>
    <w:p w14:paraId="0CAB788A">
      <w:pPr>
        <w:pStyle w:val="27"/>
        <w:spacing w:before="30" w:beforeAutospacing="0" w:after="30" w:afterAutospacing="0" w:line="0" w:lineRule="atLeast"/>
        <w:ind w:right="480"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公司（单位）名称（盖章）：　        </w:t>
      </w:r>
    </w:p>
    <w:p w14:paraId="5B9335B4">
      <w:pPr>
        <w:pStyle w:val="27"/>
        <w:spacing w:before="30" w:beforeAutospacing="0" w:after="30" w:afterAutospacing="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xml:space="preserve">                                日期：　   年　  月　  日         </w:t>
      </w:r>
    </w:p>
    <w:p w14:paraId="67021B28">
      <w:pPr>
        <w:pStyle w:val="27"/>
        <w:spacing w:before="30" w:beforeAutospacing="0" w:after="30" w:afterAutospacing="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__________________</w:t>
      </w:r>
    </w:p>
    <w:p w14:paraId="62F96073">
      <w:pPr>
        <w:pStyle w:val="27"/>
        <w:spacing w:before="30" w:beforeAutospacing="0" w:after="30" w:afterAutospacing="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1.产品如有型号，请在“产品名称”栏一并填写。</w:t>
      </w:r>
    </w:p>
    <w:p w14:paraId="4A209579">
      <w:pPr>
        <w:pStyle w:val="27"/>
        <w:spacing w:before="30" w:beforeAutospacing="0" w:after="30" w:afterAutospacing="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2.生产厂名与厂址应与生产厂营业执照载明的相关信息保持一致。</w:t>
      </w:r>
    </w:p>
    <w:p w14:paraId="7FBA537F">
      <w:pPr>
        <w:pStyle w:val="27"/>
        <w:spacing w:before="30" w:beforeAutospacing="0" w:after="30" w:afterAutospacing="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3.该产品的中国境内生产的组件成本占比相关要求实施前，“规定比例”栏可不填，下同。</w:t>
      </w:r>
    </w:p>
    <w:p w14:paraId="38D586B7">
      <w:pPr>
        <w:pStyle w:val="27"/>
        <w:spacing w:before="30" w:beforeAutospacing="0" w:after="30" w:afterAutospacing="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4.该产品的关键组件要求实施前，“关键组件”栏可不填，下同。</w:t>
      </w:r>
    </w:p>
    <w:p w14:paraId="37028656">
      <w:pPr>
        <w:pStyle w:val="27"/>
        <w:spacing w:before="30" w:beforeAutospacing="0" w:after="30" w:afterAutospacing="0" w:line="0" w:lineRule="atLeas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5.该产品的关键工序要求实施前，“关键工序”栏可不填，下同。</w:t>
      </w:r>
    </w:p>
    <w:p w14:paraId="479AB87B">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eastAsia="宋体" w:cs="宋体"/>
          <w:color w:val="auto"/>
          <w:sz w:val="21"/>
          <w:szCs w:val="21"/>
          <w:highlight w:val="none"/>
          <w:shd w:val="clear" w:color="auto" w:fill="FFFFFF"/>
        </w:rPr>
        <w:t>6.用斜线划除的地方无需填写。</w:t>
      </w:r>
    </w:p>
    <w:p w14:paraId="2B1B43E9">
      <w:pPr>
        <w:adjustRightInd w:val="0"/>
        <w:snapToGrid w:val="0"/>
        <w:spacing w:line="360" w:lineRule="auto"/>
        <w:jc w:val="left"/>
        <w:rPr>
          <w:rFonts w:hint="eastAsia" w:ascii="宋体" w:hAnsi="宋体" w:cs="宋体"/>
          <w:color w:val="auto"/>
          <w:spacing w:val="6"/>
          <w:szCs w:val="21"/>
          <w:highlight w:val="none"/>
        </w:rPr>
      </w:pPr>
    </w:p>
    <w:p w14:paraId="5D41BF55">
      <w:pPr>
        <w:adjustRightInd w:val="0"/>
        <w:snapToGrid w:val="0"/>
        <w:spacing w:line="360" w:lineRule="auto"/>
        <w:jc w:val="left"/>
        <w:rPr>
          <w:rFonts w:hint="eastAsia" w:ascii="宋体" w:hAnsi="宋体" w:cs="宋体"/>
          <w:color w:val="auto"/>
          <w:spacing w:val="6"/>
          <w:szCs w:val="21"/>
          <w:highlight w:val="none"/>
        </w:rPr>
      </w:pPr>
    </w:p>
    <w:p w14:paraId="1071779E">
      <w:pPr>
        <w:adjustRightInd w:val="0"/>
        <w:snapToGrid w:val="0"/>
        <w:spacing w:line="360" w:lineRule="auto"/>
        <w:jc w:val="left"/>
        <w:rPr>
          <w:rFonts w:hint="eastAsia" w:ascii="宋体" w:hAnsi="宋体" w:cs="宋体"/>
          <w:color w:val="auto"/>
          <w:spacing w:val="6"/>
          <w:szCs w:val="21"/>
          <w:highlight w:val="none"/>
        </w:rPr>
      </w:pPr>
    </w:p>
    <w:p w14:paraId="071436FA">
      <w:pPr>
        <w:adjustRightInd w:val="0"/>
        <w:snapToGrid w:val="0"/>
        <w:spacing w:line="360" w:lineRule="auto"/>
        <w:jc w:val="left"/>
        <w:rPr>
          <w:rFonts w:hint="eastAsia" w:ascii="宋体" w:hAnsi="宋体" w:cs="宋体"/>
          <w:color w:val="auto"/>
          <w:spacing w:val="6"/>
          <w:szCs w:val="21"/>
          <w:highlight w:val="none"/>
        </w:rPr>
      </w:pPr>
    </w:p>
    <w:p w14:paraId="55E01D2B">
      <w:pPr>
        <w:adjustRightInd w:val="0"/>
        <w:snapToGrid w:val="0"/>
        <w:spacing w:line="360" w:lineRule="auto"/>
        <w:jc w:val="left"/>
        <w:rPr>
          <w:rFonts w:hint="eastAsia" w:ascii="宋体" w:hAnsi="宋体" w:cs="宋体"/>
          <w:color w:val="auto"/>
          <w:spacing w:val="6"/>
          <w:szCs w:val="21"/>
          <w:highlight w:val="none"/>
        </w:rPr>
      </w:pPr>
    </w:p>
    <w:p w14:paraId="56B4B0AB">
      <w:pPr>
        <w:adjustRightInd w:val="0"/>
        <w:snapToGrid w:val="0"/>
        <w:spacing w:line="360" w:lineRule="auto"/>
        <w:jc w:val="left"/>
        <w:rPr>
          <w:rFonts w:hint="eastAsia" w:ascii="宋体" w:hAnsi="宋体" w:cs="宋体"/>
          <w:color w:val="auto"/>
          <w:spacing w:val="6"/>
          <w:szCs w:val="21"/>
          <w:highlight w:val="none"/>
        </w:rPr>
      </w:pPr>
    </w:p>
    <w:p w14:paraId="7EC77DB3">
      <w:pPr>
        <w:adjustRightInd w:val="0"/>
        <w:snapToGrid w:val="0"/>
        <w:spacing w:line="360" w:lineRule="auto"/>
        <w:jc w:val="left"/>
        <w:rPr>
          <w:rFonts w:hint="eastAsia" w:ascii="宋体" w:hAnsi="宋体" w:cs="宋体"/>
          <w:color w:val="auto"/>
          <w:spacing w:val="6"/>
          <w:szCs w:val="21"/>
          <w:highlight w:val="none"/>
        </w:rPr>
      </w:pPr>
    </w:p>
    <w:p w14:paraId="7331662D">
      <w:pPr>
        <w:adjustRightInd w:val="0"/>
        <w:snapToGrid w:val="0"/>
        <w:spacing w:line="360" w:lineRule="auto"/>
        <w:jc w:val="left"/>
        <w:rPr>
          <w:rFonts w:hint="eastAsia" w:ascii="宋体" w:hAnsi="宋体" w:cs="宋体"/>
          <w:color w:val="auto"/>
          <w:spacing w:val="6"/>
          <w:szCs w:val="21"/>
          <w:highlight w:val="none"/>
        </w:rPr>
      </w:pPr>
    </w:p>
    <w:p w14:paraId="2B97BB6C">
      <w:pPr>
        <w:adjustRightInd w:val="0"/>
        <w:snapToGrid w:val="0"/>
        <w:spacing w:line="360" w:lineRule="auto"/>
        <w:jc w:val="left"/>
        <w:rPr>
          <w:rFonts w:hint="eastAsia" w:ascii="宋体" w:hAnsi="宋体" w:cs="宋体"/>
          <w:color w:val="auto"/>
          <w:spacing w:val="6"/>
          <w:szCs w:val="21"/>
          <w:highlight w:val="none"/>
        </w:rPr>
      </w:pPr>
    </w:p>
    <w:p w14:paraId="3D363103">
      <w:pPr>
        <w:adjustRightInd w:val="0"/>
        <w:snapToGrid w:val="0"/>
        <w:spacing w:line="360" w:lineRule="auto"/>
        <w:jc w:val="left"/>
        <w:rPr>
          <w:rFonts w:hint="eastAsia" w:ascii="宋体" w:hAnsi="宋体" w:cs="宋体"/>
          <w:color w:val="auto"/>
          <w:spacing w:val="6"/>
          <w:szCs w:val="21"/>
          <w:highlight w:val="none"/>
        </w:rPr>
      </w:pPr>
    </w:p>
    <w:p w14:paraId="75EB99A3">
      <w:pPr>
        <w:adjustRightInd w:val="0"/>
        <w:snapToGrid w:val="0"/>
        <w:spacing w:line="360" w:lineRule="auto"/>
        <w:jc w:val="left"/>
        <w:rPr>
          <w:rFonts w:hint="eastAsia" w:ascii="宋体" w:hAnsi="宋体" w:cs="宋体"/>
          <w:color w:val="auto"/>
          <w:spacing w:val="6"/>
          <w:szCs w:val="21"/>
          <w:highlight w:val="none"/>
        </w:rPr>
      </w:pPr>
    </w:p>
    <w:p w14:paraId="4339057D">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pacing w:val="6"/>
          <w:szCs w:val="21"/>
          <w:highlight w:val="none"/>
        </w:rPr>
        <w:t>附件1</w:t>
      </w:r>
      <w:r>
        <w:rPr>
          <w:rFonts w:hint="eastAsia" w:ascii="宋体" w:hAnsi="宋体" w:cs="宋体"/>
          <w:b/>
          <w:bCs/>
          <w:color w:val="auto"/>
          <w:spacing w:val="6"/>
          <w:szCs w:val="21"/>
          <w:highlight w:val="none"/>
          <w:lang w:val="en-US" w:eastAsia="zh-CN"/>
        </w:rPr>
        <w:t>8</w:t>
      </w:r>
      <w:r>
        <w:rPr>
          <w:rFonts w:hint="eastAsia" w:ascii="宋体" w:hAnsi="宋体" w:cs="宋体"/>
          <w:b/>
          <w:bCs/>
          <w:color w:val="auto"/>
          <w:spacing w:val="6"/>
          <w:szCs w:val="21"/>
          <w:highlight w:val="none"/>
        </w:rPr>
        <w:t>：政府采购合同信用融资政策告知函（本附件无需签章放置投标文件中）</w:t>
      </w:r>
    </w:p>
    <w:p w14:paraId="75F26C46">
      <w:pPr>
        <w:adjustRightInd w:val="0"/>
        <w:snapToGrid w:val="0"/>
        <w:spacing w:line="360" w:lineRule="auto"/>
        <w:rPr>
          <w:rFonts w:ascii="宋体" w:hAnsi="宋体" w:cs="宋体"/>
          <w:b/>
          <w:color w:val="auto"/>
          <w:szCs w:val="21"/>
          <w:highlight w:val="none"/>
        </w:rPr>
      </w:pPr>
    </w:p>
    <w:p w14:paraId="4335FE04">
      <w:pPr>
        <w:adjustRightInd w:val="0"/>
        <w:snapToGrid w:val="0"/>
        <w:spacing w:line="360" w:lineRule="auto"/>
        <w:jc w:val="center"/>
        <w:rPr>
          <w:rFonts w:ascii="宋体" w:hAnsi="宋体" w:cs="宋体"/>
          <w:b/>
          <w:color w:val="auto"/>
          <w:szCs w:val="21"/>
          <w:highlight w:val="none"/>
        </w:rPr>
      </w:pPr>
      <w:r>
        <w:rPr>
          <w:rFonts w:hint="eastAsia" w:ascii="宋体" w:hAnsi="宋体" w:cs="宋体"/>
          <w:b/>
          <w:bCs/>
          <w:color w:val="auto"/>
          <w:spacing w:val="6"/>
          <w:szCs w:val="21"/>
          <w:highlight w:val="none"/>
        </w:rPr>
        <w:t>政府采购合同信用融资政策告知函</w:t>
      </w:r>
    </w:p>
    <w:p w14:paraId="66F4384D">
      <w:pPr>
        <w:adjustRightInd w:val="0"/>
        <w:snapToGrid w:val="0"/>
        <w:spacing w:line="360" w:lineRule="auto"/>
        <w:rPr>
          <w:rFonts w:ascii="宋体" w:hAnsi="宋体" w:cs="宋体"/>
          <w:b/>
          <w:color w:val="auto"/>
          <w:szCs w:val="21"/>
          <w:highlight w:val="none"/>
        </w:rPr>
      </w:pPr>
    </w:p>
    <w:p w14:paraId="575D4870">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各政府采购供应商:</w:t>
      </w:r>
    </w:p>
    <w:p w14:paraId="60DBEDE5">
      <w:pPr>
        <w:adjustRightInd w:val="0"/>
        <w:snapToGrid w:val="0"/>
        <w:spacing w:line="360" w:lineRule="auto"/>
        <w:ind w:firstLine="420"/>
        <w:rPr>
          <w:rFonts w:ascii="宋体" w:hAnsi="宋体" w:cs="宋体"/>
          <w:color w:val="auto"/>
          <w:szCs w:val="21"/>
          <w:highlight w:val="none"/>
        </w:rPr>
      </w:pPr>
    </w:p>
    <w:p w14:paraId="17C1DDD5">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欢迎贵公司参加苏州市政府采购活动！</w:t>
      </w:r>
    </w:p>
    <w:p w14:paraId="5AA85F2B">
      <w:pPr>
        <w:pStyle w:val="13"/>
        <w:rPr>
          <w:color w:val="auto"/>
          <w:highlight w:val="non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sz w:val="21"/>
          <w:szCs w:val="21"/>
          <w:highlight w:val="none"/>
        </w:rPr>
        <w:t>政府采购合同信用融资是江苏省、苏州市为支持中小企业发展，缓解中小企业融资难题推出的一项融资服务举措。若贵公司经评审最终成为本次政府采购项目的合格中标(成交)供应商，可向金融机构申请贷款，无需抵押、担保，金融机构将根据江苏省财政厅 中国人民银行南京分行《关于深入推进政府采购线上合同信用融资工作的通知》(苏财购〔2021〕82号)及苏州市财政局、人民银行苏州市分行相关文件要求，按照双方自愿的原则提供便捷、优惠的贷款服务。</w:t>
      </w:r>
    </w:p>
    <w:bookmarkEnd w:id="50"/>
    <w:bookmarkEnd w:id="51"/>
    <w:bookmarkEnd w:id="52"/>
    <w:bookmarkEnd w:id="53"/>
    <w:p w14:paraId="56CE9B36">
      <w:pPr>
        <w:pStyle w:val="22"/>
        <w:pageBreakBefore/>
        <w:tabs>
          <w:tab w:val="right" w:leader="dot" w:pos="8302"/>
        </w:tabs>
        <w:spacing w:line="360" w:lineRule="auto"/>
        <w:ind w:firstLine="640"/>
        <w:jc w:val="center"/>
        <w:rPr>
          <w:rStyle w:val="33"/>
          <w:rFonts w:ascii="宋体" w:hAnsi="宋体" w:cs="宋体"/>
          <w:color w:val="auto"/>
          <w:sz w:val="32"/>
          <w:szCs w:val="32"/>
          <w:highlight w:val="none"/>
        </w:rPr>
      </w:pPr>
      <w:r>
        <w:rPr>
          <w:rStyle w:val="33"/>
          <w:rFonts w:hint="eastAsia" w:ascii="宋体" w:hAnsi="宋体" w:cs="宋体"/>
          <w:color w:val="auto"/>
          <w:sz w:val="32"/>
          <w:szCs w:val="32"/>
          <w:highlight w:val="none"/>
        </w:rPr>
        <w:t>第四章 招标书</w:t>
      </w:r>
    </w:p>
    <w:p w14:paraId="33545B7D">
      <w:pPr>
        <w:spacing w:line="360" w:lineRule="auto"/>
        <w:ind w:firstLine="420" w:firstLineChars="200"/>
        <w:rPr>
          <w:rFonts w:ascii="宋体" w:hAnsi="宋体" w:cs="宋体"/>
          <w:color w:val="auto"/>
          <w:highlight w:val="none"/>
          <w:lang w:val="zh-CN"/>
        </w:rPr>
      </w:pPr>
      <w:bookmarkStart w:id="54" w:name="XTDLJG_1"/>
      <w:r>
        <w:rPr>
          <w:rFonts w:hint="eastAsia" w:ascii="宋体" w:hAnsi="宋体" w:cs="宋体"/>
          <w:color w:val="auto"/>
          <w:szCs w:val="21"/>
          <w:highlight w:val="none"/>
          <w:lang w:val="zh-CN"/>
        </w:rPr>
        <w:t>受</w:t>
      </w:r>
      <w:r>
        <w:rPr>
          <w:rFonts w:hint="eastAsia" w:ascii="宋体" w:hAnsi="宋体" w:cs="宋体"/>
          <w:bCs/>
          <w:color w:val="auto"/>
          <w:szCs w:val="21"/>
          <w:highlight w:val="none"/>
          <w:lang w:eastAsia="zh-CN"/>
        </w:rPr>
        <w:t>江苏省汾湖高新技术产业开发区管理委员会</w:t>
      </w:r>
      <w:r>
        <w:rPr>
          <w:rFonts w:hint="eastAsia" w:ascii="宋体" w:hAnsi="宋体" w:cs="宋体"/>
          <w:color w:val="auto"/>
          <w:szCs w:val="21"/>
          <w:highlight w:val="none"/>
          <w:lang w:val="zh-CN"/>
        </w:rPr>
        <w:t>的委托，苏州中合惠德项目管理有限公司作为招标代理机构，就其委托的</w:t>
      </w:r>
      <w:r>
        <w:rPr>
          <w:rFonts w:hint="eastAsia" w:ascii="宋体" w:hAnsi="宋体" w:cs="宋体"/>
          <w:color w:val="auto"/>
          <w:highlight w:val="none"/>
          <w:lang w:eastAsia="zh-CN"/>
        </w:rPr>
        <w:t>消防器材采购</w:t>
      </w:r>
      <w:r>
        <w:rPr>
          <w:rFonts w:hint="eastAsia" w:ascii="宋体" w:hAnsi="宋体" w:cs="宋体"/>
          <w:color w:val="auto"/>
          <w:szCs w:val="21"/>
          <w:highlight w:val="none"/>
          <w:lang w:val="zh-CN"/>
        </w:rPr>
        <w:t>的政府采购进行国内公开招标。</w:t>
      </w:r>
    </w:p>
    <w:p w14:paraId="5666FECB">
      <w:pPr>
        <w:pStyle w:val="3"/>
        <w:numPr>
          <w:ilvl w:val="1"/>
          <w:numId w:val="0"/>
        </w:numPr>
        <w:adjustRightInd/>
        <w:snapToGrid/>
        <w:spacing w:before="0" w:after="0"/>
        <w:rPr>
          <w:rFonts w:ascii="宋体" w:hAnsi="宋体" w:cs="宋体"/>
          <w:color w:val="auto"/>
          <w:kern w:val="2"/>
          <w:sz w:val="21"/>
          <w:szCs w:val="21"/>
          <w:highlight w:val="none"/>
        </w:rPr>
      </w:pPr>
      <w:r>
        <w:rPr>
          <w:rFonts w:hint="eastAsia" w:ascii="宋体" w:hAnsi="宋体" w:cs="宋体"/>
          <w:color w:val="auto"/>
          <w:kern w:val="2"/>
          <w:sz w:val="21"/>
          <w:szCs w:val="21"/>
          <w:highlight w:val="none"/>
        </w:rPr>
        <w:t>一、招标编号：</w:t>
      </w:r>
      <w:r>
        <w:rPr>
          <w:rFonts w:hint="eastAsia" w:ascii="宋体" w:hAnsi="宋体" w:cs="宋体"/>
          <w:b w:val="0"/>
          <w:bCs w:val="0"/>
          <w:color w:val="auto"/>
          <w:kern w:val="2"/>
          <w:sz w:val="21"/>
          <w:szCs w:val="21"/>
          <w:highlight w:val="none"/>
          <w:lang w:eastAsia="zh-CN"/>
        </w:rPr>
        <w:t>JSZC-320509-ZHHD-G2026-0003</w:t>
      </w:r>
      <w:r>
        <w:rPr>
          <w:rFonts w:hint="eastAsia" w:ascii="宋体" w:hAnsi="宋体" w:cs="宋体"/>
          <w:b w:val="0"/>
          <w:bCs w:val="0"/>
          <w:color w:val="auto"/>
          <w:kern w:val="2"/>
          <w:sz w:val="21"/>
          <w:szCs w:val="21"/>
          <w:highlight w:val="none"/>
        </w:rPr>
        <w:t>号</w:t>
      </w:r>
    </w:p>
    <w:p w14:paraId="16D6EA13">
      <w:pPr>
        <w:spacing w:line="360" w:lineRule="auto"/>
        <w:rPr>
          <w:rFonts w:hint="eastAsia" w:ascii="宋体" w:hAnsi="宋体" w:cs="宋体"/>
          <w:color w:val="auto"/>
          <w:highlight w:val="none"/>
          <w:lang w:val="zh-CN"/>
        </w:rPr>
      </w:pPr>
      <w:r>
        <w:rPr>
          <w:rFonts w:hint="eastAsia" w:ascii="宋体" w:hAnsi="宋体" w:cs="宋体"/>
          <w:b/>
          <w:color w:val="auto"/>
          <w:highlight w:val="none"/>
          <w:lang w:val="en-US" w:eastAsia="zh-CN"/>
        </w:rPr>
        <w:t>二、</w:t>
      </w:r>
      <w:r>
        <w:rPr>
          <w:rFonts w:hint="eastAsia" w:ascii="宋体" w:hAnsi="宋体" w:cs="宋体"/>
          <w:b/>
          <w:color w:val="auto"/>
          <w:highlight w:val="none"/>
        </w:rPr>
        <w:t>项目名称</w:t>
      </w:r>
      <w:r>
        <w:rPr>
          <w:rFonts w:hint="eastAsia" w:ascii="宋体" w:hAnsi="宋体" w:cs="宋体"/>
          <w:color w:val="auto"/>
          <w:highlight w:val="none"/>
          <w:lang w:val="zh-CN"/>
        </w:rPr>
        <w:t>：消防器材采购</w:t>
      </w:r>
    </w:p>
    <w:p w14:paraId="65084C87">
      <w:pPr>
        <w:spacing w:line="360" w:lineRule="auto"/>
        <w:rPr>
          <w:rFonts w:hint="eastAsia" w:ascii="宋体" w:hAnsi="宋体" w:cs="宋体"/>
          <w:color w:val="auto"/>
          <w:highlight w:val="none"/>
          <w:lang w:val="zh-CN"/>
        </w:rPr>
      </w:pPr>
      <w:r>
        <w:rPr>
          <w:rFonts w:hint="eastAsia" w:ascii="宋体" w:hAnsi="宋体" w:cs="宋体"/>
          <w:b/>
          <w:bCs/>
          <w:color w:val="auto"/>
          <w:highlight w:val="none"/>
          <w:lang w:val="en-US" w:eastAsia="zh-CN"/>
        </w:rPr>
        <w:t>三、</w:t>
      </w:r>
      <w:r>
        <w:rPr>
          <w:rFonts w:hint="eastAsia" w:ascii="宋体" w:hAnsi="宋体" w:cs="宋体"/>
          <w:b/>
          <w:bCs/>
          <w:color w:val="auto"/>
          <w:highlight w:val="none"/>
          <w:lang w:val="zh-CN"/>
        </w:rPr>
        <w:t>预算金额：</w:t>
      </w:r>
      <w:r>
        <w:rPr>
          <w:rFonts w:hint="eastAsia" w:ascii="宋体" w:hAnsi="宋体" w:cs="宋体"/>
          <w:color w:val="auto"/>
          <w:highlight w:val="none"/>
          <w:lang w:val="zh-CN"/>
        </w:rPr>
        <w:t>人民币壹佰壹拾壹万肆仟叁佰整（¥：1114300.00）</w:t>
      </w:r>
    </w:p>
    <w:p w14:paraId="25B20200">
      <w:pPr>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最高限价：</w:t>
      </w:r>
      <w:r>
        <w:rPr>
          <w:rFonts w:hint="eastAsia" w:ascii="宋体" w:hAnsi="宋体" w:cs="宋体"/>
          <w:color w:val="auto"/>
          <w:szCs w:val="21"/>
          <w:highlight w:val="none"/>
        </w:rPr>
        <w:t>人民币</w:t>
      </w:r>
      <w:r>
        <w:rPr>
          <w:rFonts w:hint="eastAsia" w:ascii="宋体" w:hAnsi="宋体" w:cs="宋体"/>
          <w:color w:val="auto"/>
          <w:szCs w:val="21"/>
          <w:highlight w:val="none"/>
          <w:lang w:val="en-US" w:eastAsia="zh-CN"/>
        </w:rPr>
        <w:t>壹佰壹拾壹万肆仟叁佰</w:t>
      </w:r>
      <w:r>
        <w:rPr>
          <w:rFonts w:hint="eastAsia" w:ascii="宋体" w:hAnsi="宋体" w:cs="宋体"/>
          <w:color w:val="auto"/>
          <w:szCs w:val="21"/>
          <w:highlight w:val="none"/>
        </w:rPr>
        <w:t>整（¥：</w:t>
      </w:r>
      <w:r>
        <w:rPr>
          <w:rFonts w:hint="eastAsia" w:ascii="宋体" w:hAnsi="宋体" w:cs="宋体"/>
          <w:color w:val="auto"/>
          <w:szCs w:val="21"/>
          <w:highlight w:val="none"/>
          <w:lang w:val="en-US" w:eastAsia="zh-CN"/>
        </w:rPr>
        <w:t>1114300</w:t>
      </w:r>
      <w:r>
        <w:rPr>
          <w:rFonts w:hint="eastAsia" w:ascii="宋体" w:hAnsi="宋体" w:cs="宋体"/>
          <w:color w:val="auto"/>
          <w:szCs w:val="21"/>
          <w:highlight w:val="none"/>
        </w:rPr>
        <w:t>.00）</w:t>
      </w:r>
    </w:p>
    <w:p w14:paraId="43BEC775">
      <w:pPr>
        <w:kinsoku w:val="0"/>
        <w:overflowPunct w:val="0"/>
        <w:autoSpaceDE w:val="0"/>
        <w:autoSpaceDN w:val="0"/>
        <w:adjustRightInd w:val="0"/>
        <w:snapToGrid w:val="0"/>
        <w:spacing w:line="360" w:lineRule="auto"/>
        <w:textAlignment w:val="baseline"/>
        <w:rPr>
          <w:rFonts w:hint="default" w:ascii="宋体" w:hAnsi="宋体" w:eastAsia="宋体" w:cs="宋体"/>
          <w:b/>
          <w:bCs/>
          <w:color w:val="auto"/>
          <w:szCs w:val="21"/>
          <w:highlight w:val="none"/>
          <w:lang w:val="en-US" w:eastAsia="zh-CN"/>
        </w:rPr>
      </w:pPr>
      <w:r>
        <w:rPr>
          <w:rFonts w:hint="eastAsia" w:ascii="宋体" w:hAnsi="宋体"/>
          <w:b/>
          <w:bCs/>
          <w:snapToGrid w:val="0"/>
          <w:color w:val="auto"/>
          <w:kern w:val="0"/>
          <w:szCs w:val="21"/>
          <w:highlight w:val="none"/>
        </w:rPr>
        <w:t>四、采购清单及产品具体技术要求</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1769"/>
        <w:gridCol w:w="869"/>
        <w:gridCol w:w="625"/>
        <w:gridCol w:w="4646"/>
      </w:tblGrid>
      <w:tr w14:paraId="42026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1E0487AB">
            <w:pPr>
              <w:widowControl/>
              <w:jc w:val="center"/>
              <w:rPr>
                <w:rFonts w:ascii="宋体" w:hAnsi="宋体" w:cs="宋体"/>
                <w:color w:val="auto"/>
                <w:sz w:val="21"/>
                <w:szCs w:val="21"/>
                <w:highlight w:val="none"/>
              </w:rPr>
            </w:pPr>
            <w:r>
              <w:rPr>
                <w:rFonts w:hint="eastAsia" w:ascii="宋体" w:hAnsi="宋体" w:cs="宋体"/>
                <w:b/>
                <w:bCs/>
                <w:color w:val="auto"/>
                <w:sz w:val="21"/>
                <w:szCs w:val="21"/>
                <w:highlight w:val="none"/>
              </w:rPr>
              <w:t>序号</w:t>
            </w:r>
          </w:p>
        </w:tc>
        <w:tc>
          <w:tcPr>
            <w:tcW w:w="1769" w:type="dxa"/>
            <w:noWrap/>
            <w:vAlign w:val="center"/>
          </w:tcPr>
          <w:p w14:paraId="042C9EB2">
            <w:pPr>
              <w:widowControl/>
              <w:jc w:val="center"/>
              <w:rPr>
                <w:rFonts w:ascii="宋体" w:hAnsi="宋体" w:cs="宋体"/>
                <w:color w:val="auto"/>
                <w:sz w:val="21"/>
                <w:szCs w:val="21"/>
                <w:highlight w:val="none"/>
              </w:rPr>
            </w:pPr>
            <w:r>
              <w:rPr>
                <w:rFonts w:hint="eastAsia" w:ascii="宋体" w:hAnsi="宋体" w:cs="宋体"/>
                <w:b/>
                <w:bCs/>
                <w:color w:val="auto"/>
                <w:sz w:val="21"/>
                <w:szCs w:val="21"/>
                <w:highlight w:val="none"/>
              </w:rPr>
              <w:t>标的物名称</w:t>
            </w:r>
          </w:p>
        </w:tc>
        <w:tc>
          <w:tcPr>
            <w:tcW w:w="869" w:type="dxa"/>
            <w:noWrap/>
            <w:vAlign w:val="center"/>
          </w:tcPr>
          <w:p w14:paraId="7ECAA07D">
            <w:pPr>
              <w:widowControl/>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单位</w:t>
            </w:r>
          </w:p>
        </w:tc>
        <w:tc>
          <w:tcPr>
            <w:tcW w:w="625" w:type="dxa"/>
            <w:noWrap/>
            <w:vAlign w:val="center"/>
          </w:tcPr>
          <w:p w14:paraId="347CA4F1">
            <w:pPr>
              <w:widowControl/>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数量</w:t>
            </w:r>
          </w:p>
        </w:tc>
        <w:tc>
          <w:tcPr>
            <w:tcW w:w="4646" w:type="dxa"/>
            <w:noWrap/>
            <w:vAlign w:val="center"/>
          </w:tcPr>
          <w:p w14:paraId="369DD982">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技术要求</w:t>
            </w:r>
          </w:p>
        </w:tc>
      </w:tr>
      <w:tr w14:paraId="3DDD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7E39A602">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769" w:type="dxa"/>
            <w:noWrap/>
            <w:vAlign w:val="center"/>
          </w:tcPr>
          <w:p w14:paraId="5F1C699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消防头盔</w:t>
            </w:r>
          </w:p>
        </w:tc>
        <w:tc>
          <w:tcPr>
            <w:tcW w:w="869" w:type="dxa"/>
            <w:noWrap/>
            <w:vAlign w:val="center"/>
          </w:tcPr>
          <w:p w14:paraId="1A55816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顶</w:t>
            </w:r>
          </w:p>
        </w:tc>
        <w:tc>
          <w:tcPr>
            <w:tcW w:w="625" w:type="dxa"/>
            <w:noWrap/>
            <w:vAlign w:val="center"/>
          </w:tcPr>
          <w:p w14:paraId="687E631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646" w:type="dxa"/>
            <w:noWrap/>
            <w:vAlign w:val="top"/>
          </w:tcPr>
          <w:p w14:paraId="2AA55360">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1.整体要求</w:t>
            </w:r>
          </w:p>
          <w:p w14:paraId="602CADCF">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1.1产品应符合国家XF44-2015《消防头盔》标准要求，提供国家级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检验机构出具的检测报告。</w:t>
            </w:r>
          </w:p>
          <w:p w14:paraId="63331546">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2.外观及材质：</w:t>
            </w:r>
          </w:p>
          <w:p w14:paraId="6EAA9192">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2.1盔型组成：半盔式，由帽壳、缓冲层、佩戴装置、面罩、披肩等构成；颜色：根据采购人要求。</w:t>
            </w:r>
          </w:p>
          <w:p w14:paraId="4B1D179A">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2.2材质：帽壳应采用碳纤维复合材料制成。面罩应采用透明、耐冲击、耐热、防雾和耐刮擦的材料制成，开合过程应能随意保持定位；</w:t>
            </w:r>
          </w:p>
          <w:p w14:paraId="39980476">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2.3披肩：为装卸式，应采用铝箔复合防水层、芳纶阻燃面料、抗热辐射性能面料的三层结构制成，可完全覆盖消防员肩部与颈部，脱卸方便；</w:t>
            </w:r>
          </w:p>
          <w:p w14:paraId="38E76ED7">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2.4滑轨：盔体两侧设黑色多功能模块化滑轨，应采用耐高温阻燃材质。</w:t>
            </w:r>
          </w:p>
          <w:p w14:paraId="5A58C847">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3.技术性能</w:t>
            </w:r>
          </w:p>
          <w:p w14:paraId="3B27A082">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3.1冲击吸收性能：经高温、低温、浸水、辐射热预处理后头模所受到的最大冲击力应≤3000N；帽壳不应有碎片脱落，帽托不应有损坏或断裂，帽箍与帽壳的连接机构不应有损坏或断裂。</w:t>
            </w:r>
          </w:p>
          <w:p w14:paraId="1D6BC9F8">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3.2抗冲击加速度性能：</w:t>
            </w:r>
          </w:p>
          <w:p w14:paraId="4D73D29C">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帽壳顶部最大冲击加速度：≤140gn；</w:t>
            </w:r>
          </w:p>
          <w:p w14:paraId="4E3077A2">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帽壳前部最大冲击加速度：≤340gn；加速度&gt;150gn，其持续时间：≤5.5ms，加速度&gt;200g，其持续时间：≤2.5ms。</w:t>
            </w:r>
          </w:p>
          <w:p w14:paraId="15170F87">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帽壳侧部最大冲击加速度：≤340gn；加速度&gt;150gn，其持续时间：≤5.5ms，加速度&gt;200g，其持续时间：2.5ms。</w:t>
            </w:r>
          </w:p>
          <w:p w14:paraId="6EEBA824">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帽壳后部最大冲击加速度：≤340gn；加速度&gt;150gn，其持续时间：≤5.5ms，加速度&gt;200g，其持续时间：2.5ms。</w:t>
            </w:r>
          </w:p>
          <w:p w14:paraId="784AB85C">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3.3耐穿透性能：钢锥不应穿透头盔与头模产生接触。                                                                                                                                       3.4耐燃烧性能：火源离开帽壳后，帽壳火焰应在5s内自熄。不应有火焰烧透到帽壳内部的迹象。</w:t>
            </w:r>
          </w:p>
          <w:p w14:paraId="13A70617">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▲3.5阻燃性能：</w:t>
            </w:r>
          </w:p>
          <w:p w14:paraId="2C4011C0">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下颏带损毁长度：≤25mm，续燃时间：≤1s；不应有熔融、滴落现象。</w:t>
            </w:r>
          </w:p>
          <w:p w14:paraId="5D74CC4D">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披肩损毁长度：≤26mm，续燃时间：≤1s；不应有熔融、滴落现象。</w:t>
            </w:r>
          </w:p>
          <w:p w14:paraId="48F1EA82">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面罩续燃时间：≤1s；不应有熔融、滴落现象。</w:t>
            </w:r>
          </w:p>
          <w:p w14:paraId="4BDE3DEE">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3.6耐热性能：</w:t>
            </w:r>
          </w:p>
          <w:p w14:paraId="3EC71EE4">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帽壳不得触及头模，且应无明显变形。</w:t>
            </w:r>
          </w:p>
          <w:p w14:paraId="528BCF29">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帽箍、帽托、缓冲层、下颏带和披肩均应无明显变形和损坏。</w:t>
            </w:r>
          </w:p>
          <w:p w14:paraId="53CC203D">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帽箍调节装置、下颏带锁紧装置、附件和五金件应保持其原有功能。</w:t>
            </w:r>
          </w:p>
          <w:p w14:paraId="6D9B0359">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3.7电绝缘性能：帽壳泄露电流:≤2.5mA；</w:t>
            </w:r>
          </w:p>
          <w:p w14:paraId="0C66584F">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3.8侧向刚性：帽壳最大变形：≤18mm，卸载后残余变形：≤3mm，帽壳不应有片脱落；</w:t>
            </w:r>
          </w:p>
          <w:p w14:paraId="56240CFE">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3.9下颏带抗拉强度：延伸长度≤20mm；下颏带不应出现断裂、连接件脱落及搭扣松脱现象。</w:t>
            </w:r>
          </w:p>
          <w:p w14:paraId="4744BE37">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3.10头盔佩戴装置稳定性：头盔不应从头模上脱落。</w:t>
            </w:r>
          </w:p>
          <w:p w14:paraId="4B3877B0">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3.11面罩抗冲击性能：不应出现破碎现象。</w:t>
            </w:r>
          </w:p>
          <w:p w14:paraId="750BEFFA">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3.12面罩抗高速粒子冲击性能：不应出现破碎现象。</w:t>
            </w:r>
          </w:p>
          <w:p w14:paraId="5DA09B3E">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3.13面罩透光率：面罩透光率≥80%（浅色）；</w:t>
            </w:r>
          </w:p>
          <w:p w14:paraId="45CFB061">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3.14披肩防水性能：耐静水压＞17kPa；</w:t>
            </w:r>
          </w:p>
          <w:p w14:paraId="25825D22">
            <w:pP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3.15质量：半盔式（不包括披肩及附件）：≤1100g。</w:t>
            </w:r>
          </w:p>
        </w:tc>
      </w:tr>
      <w:tr w14:paraId="29FBF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51010067">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769" w:type="dxa"/>
            <w:noWrap/>
            <w:vAlign w:val="center"/>
          </w:tcPr>
          <w:p w14:paraId="6983A76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消防员灭火防护头套</w:t>
            </w:r>
          </w:p>
        </w:tc>
        <w:tc>
          <w:tcPr>
            <w:tcW w:w="869" w:type="dxa"/>
            <w:noWrap/>
            <w:vAlign w:val="center"/>
          </w:tcPr>
          <w:p w14:paraId="3D64B17A">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625" w:type="dxa"/>
            <w:noWrap/>
            <w:vAlign w:val="center"/>
          </w:tcPr>
          <w:p w14:paraId="7EAD739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646" w:type="dxa"/>
            <w:noWrap/>
            <w:vAlign w:val="top"/>
          </w:tcPr>
          <w:p w14:paraId="01D53713">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1、结构组成：采用芳纶等本质阻燃材料制成，原材料采用原浆染色，洗涤不脱色。</w:t>
            </w:r>
          </w:p>
          <w:p w14:paraId="6DD86ED5">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2、主要应用场景：主要用于消防灭火作业时头部、侧面及颈部保护，免受火焰或高温烫伤。</w:t>
            </w:r>
          </w:p>
          <w:p w14:paraId="00220E74">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3、符合国家 XF869-2010《消防员灭火防护头套》标准要求。</w:t>
            </w:r>
          </w:p>
          <w:p w14:paraId="3CA55458">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检验机构出具的检验报告（报告内体现参照该标准检验）。</w:t>
            </w:r>
          </w:p>
          <w:p w14:paraId="1F60B379">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5、保护区域：头套前部与防护服领口内重叠的长度＞200mm,头套后部与防护服领口内重叠的长度＞200mm，头套侧部与防护服领口内重叠的长度＞130mm。</w:t>
            </w:r>
          </w:p>
          <w:p w14:paraId="089C8076">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6、面部开口边缘与呼吸防护装具面罩重叠长度＞10mm。</w:t>
            </w:r>
          </w:p>
          <w:p w14:paraId="4268C1B1">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7、面料性能：</w:t>
            </w:r>
          </w:p>
          <w:p w14:paraId="1BFCC610">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1）阻燃性能：经向续燃时间0s，损毁长度8mm，无熔融、滴落现象；纬向续燃时间0s，纬向损毁长度7mm，无熔融、滴落现象。</w:t>
            </w:r>
          </w:p>
          <w:p w14:paraId="61D18F0F">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2）经 260℃热稳定性能试验后沿经、纬方向尺寸变化率为4.4%，试样表面无变色、熔融和滴落等明显变化。</w:t>
            </w:r>
          </w:p>
          <w:p w14:paraId="7DDC2F28">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3）水洗尺寸变化率直向2.9%，横向 1.0%。</w:t>
            </w:r>
          </w:p>
          <w:p w14:paraId="7C33CFA5">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4）单位面积质量：两层或两层以上256g/㎡。</w:t>
            </w:r>
          </w:p>
          <w:p w14:paraId="02154B00">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5）面料抗起球等级4级。</w:t>
            </w:r>
          </w:p>
          <w:p w14:paraId="23D96A05">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6）甲醛含量：未检出。</w:t>
            </w:r>
          </w:p>
          <w:p w14:paraId="22B42D87">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7）PH 值6.</w:t>
            </w:r>
            <w:r>
              <w:rPr>
                <w:rFonts w:hint="eastAsia" w:ascii="宋体" w:hAnsi="宋体" w:cs="宋体"/>
                <w:b w:val="0"/>
                <w:bCs w:val="0"/>
                <w:color w:val="auto"/>
                <w:sz w:val="21"/>
                <w:szCs w:val="21"/>
                <w:highlight w:val="none"/>
                <w:lang w:val="en-US" w:eastAsia="zh-CN"/>
              </w:rPr>
              <w:t>5-7.5</w:t>
            </w:r>
            <w:r>
              <w:rPr>
                <w:rFonts w:hint="eastAsia" w:ascii="宋体" w:hAnsi="宋体" w:cs="宋体"/>
                <w:b w:val="0"/>
                <w:bCs w:val="0"/>
                <w:color w:val="auto"/>
                <w:sz w:val="21"/>
                <w:szCs w:val="21"/>
                <w:highlight w:val="none"/>
              </w:rPr>
              <w:t>。</w:t>
            </w:r>
          </w:p>
          <w:p w14:paraId="6AB6FB2B">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8、缝纫线耐高温性能：无熔融、炭化的现象。</w:t>
            </w:r>
          </w:p>
          <w:p w14:paraId="5C9EE871">
            <w:pP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9、整体性能：1）接缝强力916.7N。2）面部开口尺寸稳定性2.0%。3）针距密度：缝制明暗线每3cm12 针。4）质量</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15</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g</w:t>
            </w:r>
          </w:p>
        </w:tc>
      </w:tr>
      <w:tr w14:paraId="22D0A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374CE50C">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769" w:type="dxa"/>
            <w:noWrap/>
            <w:vAlign w:val="center"/>
          </w:tcPr>
          <w:p w14:paraId="35AC81E4">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消防手套</w:t>
            </w:r>
          </w:p>
        </w:tc>
        <w:tc>
          <w:tcPr>
            <w:tcW w:w="869" w:type="dxa"/>
            <w:noWrap/>
            <w:vAlign w:val="center"/>
          </w:tcPr>
          <w:p w14:paraId="3CA5541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625" w:type="dxa"/>
            <w:noWrap/>
            <w:vAlign w:val="center"/>
          </w:tcPr>
          <w:p w14:paraId="3B00B1E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646" w:type="dxa"/>
            <w:noWrap/>
            <w:vAlign w:val="top"/>
          </w:tcPr>
          <w:p w14:paraId="2707448E">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1.满足XF 7－2004《消防手套》标准，提供国家级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p>
          <w:p w14:paraId="2B166585">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2.消防用灭火防护手套，形状手指部分自然弯曲，符合人体工程学。外层手掌材料采用牛皮，手背材料采用芳纶双面格子布，防水材料采用防水透气膜，隔热层材料采用芳纶抗静电针织布。</w:t>
            </w:r>
          </w:p>
          <w:p w14:paraId="0E9B244C">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3.阻燃性能外层：手套掌心面、背面：经、纬向续燃时间≤0s；阴燃时间≤0s；损毁长度≤10mm；无熔融、滴落。</w:t>
            </w:r>
          </w:p>
          <w:p w14:paraId="26C2A186">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4.阻燃性能隔热层：手套掌心面、背面：经、纬向续燃时间≤0s、阴燃时间≤0s，损毁长度≤30mm，无熔融，滴落。</w:t>
            </w:r>
          </w:p>
          <w:p w14:paraId="12309102">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5.整体热防护性能：掌心面≥120cal/c㎡，背面：≥60al/c㎡。</w:t>
            </w:r>
          </w:p>
          <w:p w14:paraId="21EB5A88">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6.耐热性能：手套收缩率 长度方向上≤1.0%  宽度方向上≤1.0% 无熔融，无滴落。衬里收缩率经向≤1.0%；纬向≤1.0% 无熔融，无滴落。</w:t>
            </w:r>
          </w:p>
          <w:p w14:paraId="4D4E67F2">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7.耐磨性能 (循环次数)：掌心面、背面均≥2000次。</w:t>
            </w:r>
          </w:p>
          <w:p w14:paraId="5C4983D0">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8.割破力：掌心面、背面均≥15N。 </w:t>
            </w:r>
          </w:p>
          <w:p w14:paraId="2F1B0B95">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9.撕破强力： 掌心面≥290N ；背面≥400N</w:t>
            </w:r>
          </w:p>
          <w:p w14:paraId="4BB0649F">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10.刺穿力：掌心面≥150N 背面≥120N</w:t>
            </w:r>
          </w:p>
          <w:p w14:paraId="3AFE0AA6">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11.耐静水压性能:手套防水层和其线缝在静水压7kPa下 ,试验5min后，无水滴。整体防水性能：应无渗透。</w:t>
            </w:r>
          </w:p>
          <w:p w14:paraId="4DB58D7B">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12.灵巧性能：≥4级。</w:t>
            </w:r>
          </w:p>
          <w:p w14:paraId="7501549A">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13.握紧性能：拉重力比≥80%。</w:t>
            </w:r>
          </w:p>
          <w:p w14:paraId="5872E080">
            <w:pP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14.穿戴性能：穿戴时间≤2s。</w:t>
            </w:r>
          </w:p>
        </w:tc>
      </w:tr>
      <w:tr w14:paraId="2FA2D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4BB18F75">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769" w:type="dxa"/>
            <w:noWrap/>
            <w:vAlign w:val="center"/>
          </w:tcPr>
          <w:p w14:paraId="6966DF0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消防员灭火防护靴</w:t>
            </w:r>
          </w:p>
        </w:tc>
        <w:tc>
          <w:tcPr>
            <w:tcW w:w="869" w:type="dxa"/>
            <w:noWrap/>
            <w:vAlign w:val="center"/>
          </w:tcPr>
          <w:p w14:paraId="443E4D69">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625" w:type="dxa"/>
            <w:noWrap/>
            <w:vAlign w:val="center"/>
          </w:tcPr>
          <w:p w14:paraId="4295248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4646" w:type="dxa"/>
            <w:noWrap/>
            <w:vAlign w:val="top"/>
          </w:tcPr>
          <w:p w14:paraId="432DA81B">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1、满足消防员灭火防护胶靴XF 6－2004标准,提供国家级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p>
          <w:p w14:paraId="32E6D200">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靴头采用铝包头材质防砸性能更强、更结实，靴面和外底采用天然橡胶材质，靴底采用凯夫拉中底加天然阻燃橡胶、硅胶鞋垫3mm，靴口设有阻燃绑带可以自行调节收紧，靴帮由外到里分为天然阻燃橡胶、防切割层采用防切割布和舒适层采用牛勃朗内里共三层结构。</w:t>
            </w:r>
          </w:p>
          <w:p w14:paraId="7F4EC1C1">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3、质量≤1.8kg</w:t>
            </w:r>
          </w:p>
          <w:p w14:paraId="3ACAE444">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4、靴底耐油性能体积变化（%）：-2%~10%</w:t>
            </w:r>
          </w:p>
          <w:p w14:paraId="79016F63">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5、防砸性能：静压力试验后的靴头间隙高度≥25mm；冲击试验后的靴头间隙高度(mm)≥22mm</w:t>
            </w:r>
          </w:p>
          <w:p w14:paraId="1DAD3C33">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6、抗刺穿性能：靴底抗刺穿力≥1800N</w:t>
            </w:r>
          </w:p>
          <w:p w14:paraId="7DD9E48F">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7、电绝缘性能:击穿电压≥5000V、泄漏电流＜0.1mA</w:t>
            </w:r>
          </w:p>
          <w:p w14:paraId="5BBB863C">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8、隔热性能：靴底内表面温升≤10℃</w:t>
            </w:r>
          </w:p>
          <w:p w14:paraId="0ABD4B3C">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9、抗辐射热渗透性能≤7℃</w:t>
            </w:r>
          </w:p>
          <w:p w14:paraId="2D470884">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10、在防水性能试验时没有出现渗水现象</w:t>
            </w:r>
          </w:p>
          <w:p w14:paraId="010519A1">
            <w:pP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11、防滑性能始滑角≥15°</w:t>
            </w:r>
          </w:p>
        </w:tc>
      </w:tr>
      <w:tr w14:paraId="12CD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54AF2930">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769" w:type="dxa"/>
            <w:noWrap/>
            <w:vAlign w:val="center"/>
          </w:tcPr>
          <w:p w14:paraId="79F4808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消防安全腰带</w:t>
            </w:r>
          </w:p>
        </w:tc>
        <w:tc>
          <w:tcPr>
            <w:tcW w:w="869" w:type="dxa"/>
            <w:noWrap/>
            <w:vAlign w:val="center"/>
          </w:tcPr>
          <w:p w14:paraId="79D17B44">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625" w:type="dxa"/>
            <w:noWrap/>
            <w:vAlign w:val="center"/>
          </w:tcPr>
          <w:p w14:paraId="0CC5D03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646" w:type="dxa"/>
            <w:noWrap/>
            <w:vAlign w:val="top"/>
          </w:tcPr>
          <w:p w14:paraId="2BD1331B">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1、结构组成：安全腰带由织带、带扣、D 型环和移动板组成。</w:t>
            </w:r>
          </w:p>
          <w:p w14:paraId="04915FB8">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2、主要应用场景：供消防员在灭火救援、抢险救灾或日常训练中防止坠落用，也可用于紧急情况下的逃生自救。</w:t>
            </w:r>
          </w:p>
          <w:p w14:paraId="6D99432B">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3、符合《XF494-2004 消防用防坠落装备》标准。</w:t>
            </w:r>
          </w:p>
          <w:p w14:paraId="63D531FD">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p>
          <w:p w14:paraId="7CCCA249">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5、采用尼龙和热锻铝合金材质，采取固定与移动相结合的D型环设计，主体颜色为藏蓝色。</w:t>
            </w:r>
          </w:p>
          <w:p w14:paraId="35AB1442">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6、款式：插扦改良式。</w:t>
            </w:r>
          </w:p>
          <w:p w14:paraId="16F62FBF">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7、织带。尼龙66材质，织带为整根，没有接缝，具有一定硬度，末端收尾为整烫圆弧型。</w:t>
            </w:r>
          </w:p>
          <w:p w14:paraId="501446D9">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8、带扣。热锻铝7075合金材质。</w:t>
            </w:r>
          </w:p>
          <w:p w14:paraId="7B5837FC">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9、扦针：</w:t>
            </w:r>
          </w:p>
          <w:p w14:paraId="3922B14A">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9.1不锈钢420材质，双扦针。</w:t>
            </w:r>
          </w:p>
          <w:p w14:paraId="7DDA4109">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9.2直径应与带扣、扦针孔适配。</w:t>
            </w:r>
          </w:p>
          <w:p w14:paraId="7E78A596">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10、D型环：</w:t>
            </w:r>
          </w:p>
          <w:p w14:paraId="7BD879B8">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10.1热锻铝7075合金材质，配置两个D型环。</w:t>
            </w:r>
          </w:p>
          <w:p w14:paraId="503A60DE">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10.2其中一个D型环采用缝合固定，距带扣100mm±2处；</w:t>
            </w:r>
          </w:p>
          <w:p w14:paraId="54D24688">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10.3另一个D型环采用移动板和D型环组合结构，可自由调节。</w:t>
            </w:r>
          </w:p>
          <w:p w14:paraId="739745E0">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11、扦针孔。优质不锈钢材质，直径12±1mm，距带尾部200mm±4处成双排六列型式向前等距排列。</w:t>
            </w:r>
          </w:p>
          <w:p w14:paraId="7FBED693">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12、收带扣、移动板、缝线为尼龙66材质。</w:t>
            </w:r>
          </w:p>
          <w:p w14:paraId="67E6FCB4">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13、织带：藏蓝色，色差：≥3级；带扣、D型环：铝本色；保护盖、移动板、收带扣：黑色；缝线：颜色为灰色。</w:t>
            </w:r>
          </w:p>
          <w:p w14:paraId="38C535A3">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14、正立方向静拉力：≥13KN。</w:t>
            </w:r>
          </w:p>
          <w:p w14:paraId="0B184442">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15、腰带质量</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kg。</w:t>
            </w:r>
          </w:p>
          <w:p w14:paraId="4E657DBE">
            <w:pP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16、说明书或单独电子档有此项装备基础数据如：名称，产地，品牌型号，保质期，出厂时间，使用范围，性能参数，组成部分，注意事项及维护保养。</w:t>
            </w:r>
          </w:p>
        </w:tc>
      </w:tr>
      <w:tr w14:paraId="5E44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141A10E2">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769" w:type="dxa"/>
            <w:noWrap/>
            <w:vAlign w:val="center"/>
          </w:tcPr>
          <w:p w14:paraId="46D41E22">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绳包</w:t>
            </w:r>
          </w:p>
        </w:tc>
        <w:tc>
          <w:tcPr>
            <w:tcW w:w="869" w:type="dxa"/>
            <w:noWrap/>
            <w:vAlign w:val="center"/>
          </w:tcPr>
          <w:p w14:paraId="35AFBF7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4AE295C4">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646" w:type="dxa"/>
            <w:noWrap/>
            <w:vAlign w:val="top"/>
          </w:tcPr>
          <w:p w14:paraId="3B26C653">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1、表面层采用芳纶阻燃格子布，阻燃性能：径向纬向续燃时间均≤0s，径向损毁长度≤60mm，纬向损毁长度≤50mm，提供国家级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p>
          <w:p w14:paraId="1BCC9183">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2、包的正反面有黄银黄反光条，整体采用魔术贴和金属扣双重设计，解决了在救援过程中方便快速拿取物品的同时里面的东西不容易洒落。</w:t>
            </w:r>
          </w:p>
          <w:p w14:paraId="4FECDAC0">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3、背包可容纳一组自救安全绳和排绳器，背面有两个魔术贴挂点可以挂腰斧。</w:t>
            </w:r>
          </w:p>
          <w:p w14:paraId="1AA977B3">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4、背包正面有两个小口袋可以放一些小配件。</w:t>
            </w:r>
          </w:p>
          <w:p w14:paraId="225AE742">
            <w:pPr>
              <w:numPr>
                <w:ilvl w:val="0"/>
                <w:numId w:val="0"/>
              </w:numP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5、背包底部设有三个排水孔。</w:t>
            </w:r>
          </w:p>
        </w:tc>
      </w:tr>
      <w:tr w14:paraId="656E3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232BF826">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769" w:type="dxa"/>
            <w:noWrap/>
            <w:vAlign w:val="center"/>
          </w:tcPr>
          <w:p w14:paraId="6AECFC8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正压式消防空气呼吸器</w:t>
            </w:r>
          </w:p>
        </w:tc>
        <w:tc>
          <w:tcPr>
            <w:tcW w:w="869" w:type="dxa"/>
            <w:noWrap/>
            <w:vAlign w:val="center"/>
          </w:tcPr>
          <w:p w14:paraId="044CDF39">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25" w:type="dxa"/>
            <w:noWrap/>
            <w:vAlign w:val="center"/>
          </w:tcPr>
          <w:p w14:paraId="59C3F50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646" w:type="dxa"/>
            <w:noWrap/>
            <w:vAlign w:val="top"/>
          </w:tcPr>
          <w:p w14:paraId="4D4F3E6F">
            <w:pPr>
              <w:numPr>
                <w:ilvl w:val="0"/>
                <w:numId w:val="0"/>
              </w:numP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符合国家XF124-2013《正压式消防空气呼吸器》标准要求，并提供国家级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cs="宋体"/>
                <w:b w:val="0"/>
                <w:bCs w:val="0"/>
                <w:color w:val="auto"/>
                <w:sz w:val="21"/>
                <w:szCs w:val="21"/>
                <w:highlight w:val="none"/>
                <w:lang w:eastAsia="zh-CN"/>
              </w:rPr>
              <w:t>。</w:t>
            </w:r>
          </w:p>
          <w:p w14:paraId="50C00D11">
            <w:pPr>
              <w:numPr>
                <w:ilvl w:val="0"/>
                <w:numId w:val="0"/>
              </w:numP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提供</w:t>
            </w:r>
            <w:r>
              <w:rPr>
                <w:rFonts w:hint="eastAsia" w:ascii="宋体" w:hAnsi="宋体" w:cs="宋体"/>
                <w:b/>
                <w:bCs/>
                <w:color w:val="auto"/>
                <w:sz w:val="21"/>
                <w:szCs w:val="21"/>
                <w:highlight w:val="none"/>
              </w:rPr>
              <w:t>应急管理部消防产品合格评定中心出具的3C认证证书。</w:t>
            </w:r>
          </w:p>
          <w:p w14:paraId="616CBA7D">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、投标产品主要组成部件，如：全面罩、供气阀、减压阀、警报器、背架、压力平视装置等主要部件应为同一品牌。</w:t>
            </w:r>
          </w:p>
          <w:p w14:paraId="51AAF316">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、▲气瓶阀配备限流装置，可以避免气瓶阀意外断裂时，大流量高压气体不受控制的释放而产生的气瓶冲击危险（提供证明材料）。</w:t>
            </w:r>
          </w:p>
          <w:p w14:paraId="71CF05EF">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全面罩具有球形大视野面屏，总视野保留率大于83%，双目视野保留率大于65%，面罩透光率大于93%，具有本质防雾功能。头网采用凯芙拉材料，本质阻燃、耐切割、抗撕拉，采用五点式收紧结构，与面部贴合更紧密，在进行整机气密性能试验后，压力表的压力指示在1分钟内下降0MPa，。配有颈部挂带，方便舒适。面罩应具有阻燃性能，其续燃时间为0秒。需在高低温条件下呼吸顺畅，面罩呼吸腔体内应保持正压。耐高温性能，高温试验后，各零部件应无异常变形、黏连、脱胶等现象，在呼吸频率为40次/分钟，呼吸流量100L/min，呼气阻力应不大于500Pa。耐低温性能，低温试验后，各零部件应无开裂、异常收缩、发脆等现象，呼气阻力不应大于400Pa。</w:t>
            </w:r>
          </w:p>
          <w:p w14:paraId="4B693360">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动态呼吸阻力：在气瓶压力30MPa～2MPa，呼气量40×2.5 L/min时，吸气阻力≤80Pa，呼气阻力≤480Pa；在气瓶压力2MPa～1MPa，呼气量25×2 L/min时，吸气阻力≤80Pa，呼气阻力≤360Pa。</w:t>
            </w:r>
          </w:p>
          <w:p w14:paraId="489FC432">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耐辐射热性能：在气密性能试验后，其压力表的压力指示值在1 min内的下降0 MPa；气瓶压力30MPa～2MPa呼吸量40×2.5 L/min时，吸气阻力≤70Pa，呼气阻力≤340Pa。</w:t>
            </w:r>
          </w:p>
          <w:p w14:paraId="62E6C517">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面罩配有HUD压力平视显示装置，配置方式：内置，传输方式：无线。通过压力传感器采集气瓶内的气体压力，将信号用无线发射的方式发送到安装在面罩内侧的接收端上，信号具有唯一性，设计有配对按钮。防爆等级：Exia IIC T4 Ga ，防护等级：IP67；工作温度-35℃～+60℃；发射端及显示端均采用碱性干电池。（提供防爆合格证</w:t>
            </w:r>
            <w:r>
              <w:rPr>
                <w:rFonts w:hint="default" w:ascii="宋体" w:hAnsi="宋体" w:cs="宋体"/>
                <w:b w:val="0"/>
                <w:bCs w:val="0"/>
                <w:color w:val="auto"/>
                <w:sz w:val="21"/>
                <w:szCs w:val="21"/>
                <w:highlight w:val="none"/>
                <w:lang w:val="en-US"/>
              </w:rPr>
              <w:t>及检测报告复印件</w:t>
            </w:r>
            <w:r>
              <w:rPr>
                <w:rFonts w:hint="eastAsia" w:ascii="宋体" w:hAnsi="宋体" w:cs="宋体"/>
                <w:b w:val="0"/>
                <w:bCs w:val="0"/>
                <w:color w:val="auto"/>
                <w:sz w:val="21"/>
                <w:szCs w:val="21"/>
                <w:highlight w:val="none"/>
              </w:rPr>
              <w:t>）</w:t>
            </w:r>
          </w:p>
          <w:p w14:paraId="18231EC4">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供气阀为单手握式，体积小不影响下视野。供气阀与面罩分体式，便于分别维护保养。供气阀与面罩连接方式为360度快速插拔。供气阀与中压管可自由连接、拆卸并带有自锁功能。供气阀需具有吸气自动开启装置首次呼吸自动激活，具有节气开关和强制供气按钮。供气阀应具有阻燃性能，其续燃时间为0秒。</w:t>
            </w:r>
          </w:p>
          <w:p w14:paraId="478EF3DC">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8</w:t>
            </w:r>
            <w:r>
              <w:rPr>
                <w:rFonts w:hint="eastAsia" w:ascii="宋体" w:hAnsi="宋体" w:cs="宋体"/>
                <w:b w:val="0"/>
                <w:bCs w:val="0"/>
                <w:color w:val="auto"/>
                <w:sz w:val="21"/>
                <w:szCs w:val="21"/>
                <w:highlight w:val="none"/>
              </w:rPr>
              <w:t xml:space="preserve">、减压器额定输入压力30MPa，内置安全阀装置，减压器输出压力值应在0.7MPa以上。减压阀与高、中压管接口可360°旋转。高、中压管隐藏于气瓶与背板之间，防止意外刮伤。 </w:t>
            </w:r>
          </w:p>
          <w:p w14:paraId="2BE0EDD3">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9</w:t>
            </w:r>
            <w:r>
              <w:rPr>
                <w:rFonts w:hint="eastAsia" w:ascii="宋体" w:hAnsi="宋体" w:cs="宋体"/>
                <w:b w:val="0"/>
                <w:bCs w:val="0"/>
                <w:color w:val="auto"/>
                <w:sz w:val="21"/>
                <w:szCs w:val="21"/>
                <w:highlight w:val="none"/>
              </w:rPr>
              <w:t>、报警哨与压力表一体化设计，置于胸前，报警压力5.5±0.5MPa，报警声≥90dB，压力表的连接为活动式（可360°旋转），表盘荧光显示，便于黑暗中读取数据。从警报启动至气瓶压力下降至1Mpa为止，警报器平均耗气量≤1.2L/min。</w:t>
            </w:r>
          </w:p>
          <w:p w14:paraId="58505ACD">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10</w:t>
            </w:r>
            <w:r>
              <w:rPr>
                <w:rFonts w:hint="eastAsia" w:ascii="宋体" w:hAnsi="宋体" w:cs="宋体"/>
                <w:b w:val="0"/>
                <w:bCs w:val="0"/>
                <w:color w:val="auto"/>
                <w:sz w:val="21"/>
                <w:szCs w:val="21"/>
                <w:highlight w:val="none"/>
              </w:rPr>
              <w:t>、配有自锁式快速救援接口（Y型三通），置于使用者胸前，可使呼吸器扩展为两人同时使用，可实现队员之间的互救及对被困人员的他救。</w:t>
            </w:r>
          </w:p>
          <w:p w14:paraId="7AA0E82D">
            <w:pPr>
              <w:numPr>
                <w:ilvl w:val="0"/>
                <w:numId w:val="0"/>
              </w:num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气瓶总成：工作压力30MPa,气瓶容积6.8L；气瓶阀为右手设计，接口螺纹：G5/8，并带有双面带表压力显示，需采用大三角形整体按压式设计，以便于戴消防手套时操作。同时带有自锁结构，避免因使用过程中不慎碰撞或误操作关闭瓶阀。</w:t>
            </w:r>
          </w:p>
          <w:p w14:paraId="74F0B4FB">
            <w:pPr>
              <w:numPr>
                <w:ilvl w:val="0"/>
                <w:numId w:val="0"/>
              </w:numP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、整机佩戴质量≤11kg。整套用便携方便的拉杆箱包装，方便携带。</w:t>
            </w:r>
          </w:p>
        </w:tc>
      </w:tr>
      <w:tr w14:paraId="769A6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3BC1AA67">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769" w:type="dxa"/>
            <w:noWrap/>
            <w:vAlign w:val="center"/>
          </w:tcPr>
          <w:p w14:paraId="0A91017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消防员呼救器</w:t>
            </w:r>
          </w:p>
        </w:tc>
        <w:tc>
          <w:tcPr>
            <w:tcW w:w="869" w:type="dxa"/>
            <w:noWrap/>
            <w:vAlign w:val="center"/>
          </w:tcPr>
          <w:p w14:paraId="543C492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5D8E344C">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646" w:type="dxa"/>
            <w:noWrap/>
            <w:vAlign w:val="top"/>
          </w:tcPr>
          <w:p w14:paraId="43D4E7BE">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 1、技术性能符合GB27900-2011《消防员呼救器》要求，提供国家级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cs="宋体"/>
                <w:b w:val="0"/>
                <w:bCs w:val="0"/>
                <w:color w:val="auto"/>
                <w:sz w:val="21"/>
                <w:szCs w:val="21"/>
                <w:highlight w:val="none"/>
                <w:lang w:eastAsia="zh-CN"/>
              </w:rPr>
              <w:t>。</w:t>
            </w:r>
          </w:p>
          <w:p w14:paraId="75AB19A2">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 2、</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提供</w:t>
            </w:r>
            <w:r>
              <w:rPr>
                <w:rFonts w:hint="eastAsia" w:ascii="宋体" w:hAnsi="宋体" w:cs="宋体"/>
                <w:b/>
                <w:bCs/>
                <w:color w:val="auto"/>
                <w:sz w:val="21"/>
                <w:szCs w:val="21"/>
                <w:highlight w:val="none"/>
              </w:rPr>
              <w:t>应急管理部消防产品合格评定中心出具的3C认证证书。</w:t>
            </w:r>
          </w:p>
          <w:p w14:paraId="3EC4E8A0">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使用可标注姓名的身份铭牌开机、关机，队员内攻时身份铭牌保存于后场，实现内攻身份快速登记；</w:t>
            </w:r>
          </w:p>
          <w:p w14:paraId="31CE9826">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、连续开机时间≥200小时，连续报警时间≥800分钟，质量≤220g；</w:t>
            </w:r>
          </w:p>
          <w:p w14:paraId="2F4BFF77">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、0度角发光亮度：≥800cd/m</w:t>
            </w:r>
            <w:r>
              <w:rPr>
                <w:rFonts w:hint="eastAsia" w:ascii="宋体" w:hAnsi="宋体" w:cs="宋体"/>
                <w:b w:val="0"/>
                <w:bCs w:val="0"/>
                <w:color w:val="auto"/>
                <w:sz w:val="21"/>
                <w:szCs w:val="21"/>
                <w:highlight w:val="none"/>
                <w:vertAlign w:val="superscript"/>
              </w:rPr>
              <w:t>2</w:t>
            </w:r>
          </w:p>
          <w:p w14:paraId="0641C877">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、具有高亮辅助照明灯、温度传感器；</w:t>
            </w:r>
          </w:p>
          <w:p w14:paraId="3550F6C9">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、可通过蓝牙连接手机APP小程序，设置环境温度报警阈值等参数；</w:t>
            </w:r>
          </w:p>
          <w:p w14:paraId="28B3A2EA">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8</w:t>
            </w:r>
            <w:r>
              <w:rPr>
                <w:rFonts w:hint="eastAsia" w:ascii="宋体" w:hAnsi="宋体" w:cs="宋体"/>
                <w:b w:val="0"/>
                <w:bCs w:val="0"/>
                <w:color w:val="auto"/>
                <w:sz w:val="21"/>
                <w:szCs w:val="21"/>
                <w:highlight w:val="none"/>
              </w:rPr>
              <w:t>、具备个人黑匣子功能，所有报警事件均被记录，可供分析；</w:t>
            </w:r>
          </w:p>
          <w:p w14:paraId="0CB86E76">
            <w:pP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9</w:t>
            </w:r>
            <w:r>
              <w:rPr>
                <w:rFonts w:hint="eastAsia" w:ascii="宋体" w:hAnsi="宋体" w:cs="宋体"/>
                <w:b w:val="0"/>
                <w:bCs w:val="0"/>
                <w:color w:val="auto"/>
                <w:sz w:val="21"/>
                <w:szCs w:val="21"/>
                <w:highlight w:val="none"/>
              </w:rPr>
              <w:t>、防爆性能：≥Ex ia IIC T3 Ga，提供防爆合格证</w:t>
            </w:r>
            <w:r>
              <w:rPr>
                <w:rFonts w:hint="default" w:ascii="宋体" w:hAnsi="宋体" w:cs="宋体"/>
                <w:b w:val="0"/>
                <w:bCs w:val="0"/>
                <w:color w:val="auto"/>
                <w:sz w:val="21"/>
                <w:szCs w:val="21"/>
                <w:highlight w:val="none"/>
                <w:lang w:val="en-US"/>
              </w:rPr>
              <w:t>及检测报告复印件</w:t>
            </w:r>
            <w:r>
              <w:rPr>
                <w:rFonts w:hint="eastAsia" w:ascii="宋体" w:hAnsi="宋体" w:cs="宋体"/>
                <w:b w:val="0"/>
                <w:bCs w:val="0"/>
                <w:color w:val="auto"/>
                <w:sz w:val="21"/>
                <w:szCs w:val="21"/>
                <w:highlight w:val="none"/>
              </w:rPr>
              <w:t>。</w:t>
            </w:r>
          </w:p>
        </w:tc>
      </w:tr>
      <w:tr w14:paraId="5C722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6F577090">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769" w:type="dxa"/>
            <w:noWrap/>
            <w:vAlign w:val="center"/>
          </w:tcPr>
          <w:p w14:paraId="65BBE2B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安全钩</w:t>
            </w:r>
          </w:p>
        </w:tc>
        <w:tc>
          <w:tcPr>
            <w:tcW w:w="869" w:type="dxa"/>
            <w:noWrap/>
            <w:vAlign w:val="center"/>
          </w:tcPr>
          <w:p w14:paraId="675C9B1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2EFEF6D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46" w:type="dxa"/>
            <w:noWrap/>
            <w:vAlign w:val="center"/>
          </w:tcPr>
          <w:p w14:paraId="2098BB1D">
            <w:pPr>
              <w:widowControl/>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符合XF 494-2004《消防用防坠落装备》的标准要求。安全螺环，旋紧式开口，钢质。主要用于消防队员在近火场由楼上下滑自救或抢险被救人员和物资的防护装置。提供国家级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p>
          <w:p w14:paraId="6ED89299">
            <w:pPr>
              <w:widowControl/>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安全钩由铝和钢两种材料制作，具有强度高，延伸率小，抗冲击性能好等特点。安全钩为手锁式设计。（无棱角、毛刺、不会有裂纹、明显压痕和划伤等缺陷，其边缘呈弧形。）</w:t>
            </w:r>
          </w:p>
          <w:p w14:paraId="5F2B8116">
            <w:pPr>
              <w:widowControl/>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钢质安全钩：</w:t>
            </w:r>
          </w:p>
          <w:p w14:paraId="69F5AB44">
            <w:pPr>
              <w:widowControl/>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在开口闭合状态时，轻型消防安全钩长轴的破断强度32.51kN；</w:t>
            </w:r>
          </w:p>
          <w:p w14:paraId="50520E99">
            <w:pPr>
              <w:widowControl/>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在打开状态时，轻型消防安全钩长轴的破断强度8.34kN；</w:t>
            </w:r>
          </w:p>
          <w:p w14:paraId="003C3668">
            <w:pPr>
              <w:widowControl/>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短轴方向下，轻型消防安全钩的破断强度12.25kN；</w:t>
            </w:r>
          </w:p>
          <w:p w14:paraId="33D90EA2">
            <w:pPr>
              <w:widowControl/>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安全钩具有耐腐蚀性能。</w:t>
            </w:r>
          </w:p>
          <w:p w14:paraId="7916A2F7">
            <w:pPr>
              <w:widowControl/>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尺寸：110×59mm</w:t>
            </w:r>
          </w:p>
          <w:p w14:paraId="521A4155">
            <w:pPr>
              <w:widowControl/>
              <w:jc w:val="lef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质量：</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16</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g</w:t>
            </w:r>
          </w:p>
        </w:tc>
      </w:tr>
      <w:tr w14:paraId="76A1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68A41277">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769" w:type="dxa"/>
            <w:noWrap/>
            <w:vAlign w:val="center"/>
          </w:tcPr>
          <w:p w14:paraId="513C5F6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消防轻型安全绳</w:t>
            </w:r>
          </w:p>
        </w:tc>
        <w:tc>
          <w:tcPr>
            <w:tcW w:w="869" w:type="dxa"/>
            <w:noWrap/>
            <w:vAlign w:val="center"/>
          </w:tcPr>
          <w:p w14:paraId="4C40E41C">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根</w:t>
            </w:r>
          </w:p>
        </w:tc>
        <w:tc>
          <w:tcPr>
            <w:tcW w:w="625" w:type="dxa"/>
            <w:noWrap/>
            <w:vAlign w:val="center"/>
          </w:tcPr>
          <w:p w14:paraId="3075133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646" w:type="dxa"/>
            <w:noWrap/>
            <w:vAlign w:val="top"/>
          </w:tcPr>
          <w:p w14:paraId="26B22C15">
            <w:pPr>
              <w:widowControl/>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1、产品符合 XF494-2023《消防用防坠落装备》 要求，并提供国家级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p>
          <w:p w14:paraId="249BEAC3">
            <w:pPr>
              <w:widowControl/>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2、安全绳的直径为9.5mm±0.5mm。</w:t>
            </w:r>
          </w:p>
          <w:p w14:paraId="065B4F60">
            <w:pPr>
              <w:widowControl/>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3、破断强度：≥25kN，经耐高温性能试验后，安全绳未出现熔融、焦化现象。</w:t>
            </w:r>
          </w:p>
          <w:p w14:paraId="17E1E35F">
            <w:pPr>
              <w:widowControl/>
              <w:jc w:val="lef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4、延伸率：当承重达到最小破断强度的10%时，延伸率&gt;1%且&lt;4%。</w:t>
            </w:r>
          </w:p>
        </w:tc>
      </w:tr>
      <w:tr w14:paraId="32C93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3C1E7C2C">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769" w:type="dxa"/>
            <w:noWrap/>
            <w:vAlign w:val="center"/>
          </w:tcPr>
          <w:p w14:paraId="4A6FCDA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消防腰斧</w:t>
            </w:r>
          </w:p>
        </w:tc>
        <w:tc>
          <w:tcPr>
            <w:tcW w:w="869" w:type="dxa"/>
            <w:noWrap/>
            <w:vAlign w:val="center"/>
          </w:tcPr>
          <w:p w14:paraId="062D79D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25" w:type="dxa"/>
            <w:noWrap/>
            <w:vAlign w:val="center"/>
          </w:tcPr>
          <w:p w14:paraId="25186E64">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646" w:type="dxa"/>
            <w:noWrap/>
            <w:vAlign w:val="center"/>
          </w:tcPr>
          <w:p w14:paraId="0255DBE6">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符合XF 630-2023《消防腰斧》标准要求。腰斧为不锈钢一体浇铸而成，具备能砍、能凿、能撬、能割等性能。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1.腰斧各刃部及撬口均经热处理，硬度＞52HRC，平刃能砍断直径5mm的Q235A圆钢</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2.尖刃能凿击1.5mm的Q235A钢平板，无缺刃、卷边和裂纹等损伤。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3.消防腰斧的斧柄能承受850N的载荷，斧柄不应出现弯曲、断裂等损伤。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4.消防腰斧的斧柄抓握区域的绝缘电阻应＞10MΩ。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5.消防腰斧的斧头与斧柄连接牢固，在施加12.5kN拉力时，斧头与斧柄未拉脱。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6.斧柄套附着性能，在施加750N拆卸力时，柄套与斧柄未松脱。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具备抗冲击、耐腐蚀性能。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斧头材质：3cr13不锈钢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斧柄材质：3cr13不锈钢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斧柄套材质：PP+TPR</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尺寸：285mm*160mm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质量：0.79±0.05kg</w:t>
            </w:r>
          </w:p>
        </w:tc>
      </w:tr>
      <w:tr w14:paraId="191F1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629CC44D">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769" w:type="dxa"/>
            <w:noWrap/>
            <w:vAlign w:val="center"/>
          </w:tcPr>
          <w:p w14:paraId="6F56DB83">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消防员灭火防护服</w:t>
            </w:r>
          </w:p>
        </w:tc>
        <w:tc>
          <w:tcPr>
            <w:tcW w:w="869" w:type="dxa"/>
            <w:noWrap/>
            <w:vAlign w:val="center"/>
          </w:tcPr>
          <w:p w14:paraId="17529FD4">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25" w:type="dxa"/>
            <w:noWrap/>
            <w:vAlign w:val="center"/>
          </w:tcPr>
          <w:p w14:paraId="2261954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4646" w:type="dxa"/>
            <w:noWrap/>
            <w:vAlign w:val="center"/>
          </w:tcPr>
          <w:p w14:paraId="51BC7D64">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1、符合XF10-2014《消防员灭火防护服》标准。</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结构：由外层、防水透气隔热层、舒适层三层结构组成，具备阻燃、防水、透气、隔热等性能。外层采用芳纶面料，防水透气隔热层采用PTFE防水透气层，舒适层采用芳粘混纺面料，并配备救生拖拉带。款式符合国家消防救援局《关于规范防护服款式标识有关事项的通知》的最新统型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▲3、整体热防护性能TPP值≥32cal/cm</w:t>
            </w:r>
            <w:r>
              <w:rPr>
                <w:rFonts w:hint="eastAsia" w:ascii="宋体" w:hAnsi="宋体" w:eastAsia="宋体" w:cs="宋体"/>
                <w:i w:val="0"/>
                <w:iCs w:val="0"/>
                <w:color w:val="auto"/>
                <w:kern w:val="0"/>
                <w:sz w:val="22"/>
                <w:szCs w:val="22"/>
                <w:highlight w:val="none"/>
                <w:u w:val="none"/>
                <w:vertAlign w:val="superscript"/>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4、整套服装重量≤2.55Kg。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5、阻燃性能：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1）外层面料：经、纬向续燃时间0秒，经、纬向损毁长度≤30mm，无熔融、滴落现象。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2）防水透气隔热层：经、纬向续燃时间0秒，经、纬向损毁长度≤35mm，无熔融、滴落现象。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3）舒适层：经、纬向续燃时间0秒，经、纬向损毁长度≤40mm，无熔融、滴落现象。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4）反光标志带：经、纬向续燃时间0秒，经、纬向损毁长度≤30mm，无熔融、滴落现象。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5）外层加强材料：经、纬向续燃时间0秒，经、纬向损毁长度≤30mm，无熔融、滴落现象。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6、力学性能：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1）外层面料断裂强力：经向≥1000N，纬向≥950N。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2）撕破强力：经向≥200N，纬向≥150N。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3）舒适层断裂强力：经向≥350N，纬向≥550N。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4）外层接缝断裂强力：经、纬向均≥850N。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5）救生拖拉带断裂强力：经、纬向≥7600N。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7、透湿性能：防水透气层透湿率≥8200g/(m</w:t>
            </w:r>
            <w:r>
              <w:rPr>
                <w:rFonts w:hint="eastAsia" w:ascii="宋体" w:hAnsi="宋体" w:eastAsia="宋体" w:cs="宋体"/>
                <w:i w:val="0"/>
                <w:iCs w:val="0"/>
                <w:color w:val="auto"/>
                <w:kern w:val="0"/>
                <w:sz w:val="22"/>
                <w:szCs w:val="22"/>
                <w:highlight w:val="none"/>
                <w:u w:val="none"/>
                <w:vertAlign w:val="superscript"/>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·24h)。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8、外层表面抗湿性能：≥4级。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▲9、热稳定性：外层、外层加强材料经、纬向尺寸变化率≤1%；防水透气层经、纬向尺寸变化率≤2%，舒适层经、纬向尺寸变化率≤3%。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10、缩水率：外层经向≤1%、纬向≤1.5%；防水透气层经、纬向≤2%；舒适层经向≤1.5%、纬向≤2%。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11、针距密度：明暗线≥13针/3cm。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12、救生拖拉带：展开时间≤4s，拖动距离≥2.5m。</w:t>
            </w:r>
          </w:p>
        </w:tc>
      </w:tr>
      <w:tr w14:paraId="6E0E8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46B648B0">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1769" w:type="dxa"/>
            <w:noWrap/>
            <w:vAlign w:val="center"/>
          </w:tcPr>
          <w:p w14:paraId="00F5B4A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佩戴式防爆照明灯</w:t>
            </w:r>
          </w:p>
        </w:tc>
        <w:tc>
          <w:tcPr>
            <w:tcW w:w="869" w:type="dxa"/>
            <w:noWrap/>
            <w:vAlign w:val="center"/>
          </w:tcPr>
          <w:p w14:paraId="71BB4543">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42D5F91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646" w:type="dxa"/>
            <w:noWrap/>
            <w:vAlign w:val="center"/>
          </w:tcPr>
          <w:p w14:paraId="16BF49D6">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额定电压 DC3.7V, 额定容量 1900mAh</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额定功率（LED） 3W,光源（LED）平均使用寿命 ≥100000h</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连续放电时间  4h（强光）/8h（工作光）/16h（频闪）,  充电时间 4h</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电池使用寿命 ≥1000（循环）,外形尺寸</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×120mm(直径×长度)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重量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0.1</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kg ,外壳防护等级 IP68</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防爆标志：Ex ib ⅡC T4 Gb</w:t>
            </w:r>
            <w:r>
              <w:rPr>
                <w:rFonts w:hint="eastAsia" w:ascii="宋体" w:hAnsi="宋体" w:cs="宋体"/>
                <w:i w:val="0"/>
                <w:iCs w:val="0"/>
                <w:color w:val="auto"/>
                <w:kern w:val="0"/>
                <w:sz w:val="22"/>
                <w:szCs w:val="22"/>
                <w:highlight w:val="none"/>
                <w:u w:val="none"/>
                <w:lang w:val="en-US" w:eastAsia="zh-CN" w:bidi="ar"/>
              </w:rPr>
              <w:t>。</w:t>
            </w:r>
          </w:p>
        </w:tc>
      </w:tr>
      <w:tr w14:paraId="1C8A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4D5665B6">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1769" w:type="dxa"/>
            <w:noWrap/>
            <w:vAlign w:val="center"/>
          </w:tcPr>
          <w:p w14:paraId="2E4B0C6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过滤式消防自救呼吸器</w:t>
            </w:r>
          </w:p>
        </w:tc>
        <w:tc>
          <w:tcPr>
            <w:tcW w:w="869" w:type="dxa"/>
            <w:noWrap/>
            <w:vAlign w:val="center"/>
          </w:tcPr>
          <w:p w14:paraId="42B6986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06AC5067">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46" w:type="dxa"/>
            <w:noWrap/>
            <w:vAlign w:val="center"/>
          </w:tcPr>
          <w:p w14:paraId="69A9B6C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符合标GB21976.7-2012规定。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1、名称:过滤式消防自救呼吸器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、保质期:3年</w:t>
            </w:r>
          </w:p>
          <w:p w14:paraId="79C9698D">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防护时间≥30min，防毒、防火、防热辐射、防烟多种保护。</w:t>
            </w:r>
          </w:p>
          <w:p w14:paraId="050F178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密封性好、适用于成年人各种面形。</w:t>
            </w:r>
          </w:p>
          <w:p w14:paraId="760D290F">
            <w:pPr>
              <w:keepNext w:val="0"/>
              <w:keepLines w:val="0"/>
              <w:widowControl/>
              <w:numPr>
                <w:ilvl w:val="0"/>
                <w:numId w:val="0"/>
              </w:numPr>
              <w:suppressLineNumbers w:val="0"/>
              <w:jc w:val="left"/>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5、防护对象:一氧化碳(CO)、氰化氢(HCN)、氮气(NH3)、毒烟、毒雾。本消防呼吸器有特殊药剂成份.</w:t>
            </w:r>
            <w:r>
              <w:rPr>
                <w:rFonts w:hint="eastAsia" w:ascii="宋体" w:hAnsi="宋体" w:cs="宋体"/>
                <w:i w:val="0"/>
                <w:iCs w:val="0"/>
                <w:color w:val="auto"/>
                <w:kern w:val="0"/>
                <w:sz w:val="22"/>
                <w:szCs w:val="22"/>
                <w:highlight w:val="none"/>
                <w:u w:val="none"/>
                <w:lang w:val="en-US" w:eastAsia="zh-CN" w:bidi="ar"/>
              </w:rPr>
              <w:t>用</w:t>
            </w:r>
            <w:r>
              <w:rPr>
                <w:rFonts w:hint="eastAsia" w:ascii="宋体" w:hAnsi="宋体" w:eastAsia="宋体" w:cs="宋体"/>
                <w:i w:val="0"/>
                <w:iCs w:val="0"/>
                <w:color w:val="auto"/>
                <w:kern w:val="0"/>
                <w:sz w:val="22"/>
                <w:szCs w:val="22"/>
                <w:highlight w:val="none"/>
                <w:u w:val="none"/>
                <w:lang w:val="en-US" w:eastAsia="zh-CN" w:bidi="ar"/>
              </w:rPr>
              <w:t>于综合防毒等。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滤烟性能≥95%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吸气阻力≤800pa;呼气阻力≤300pa.</w:t>
            </w:r>
          </w:p>
        </w:tc>
      </w:tr>
      <w:tr w14:paraId="5DFB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48D8768C">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1769" w:type="dxa"/>
            <w:noWrap/>
            <w:vAlign w:val="center"/>
          </w:tcPr>
          <w:p w14:paraId="09AF5D4A">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抢险救援头盔</w:t>
            </w:r>
          </w:p>
        </w:tc>
        <w:tc>
          <w:tcPr>
            <w:tcW w:w="869" w:type="dxa"/>
            <w:noWrap/>
            <w:vAlign w:val="center"/>
          </w:tcPr>
          <w:p w14:paraId="4EE51879">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266D96F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46" w:type="dxa"/>
            <w:noWrap/>
            <w:vAlign w:val="center"/>
          </w:tcPr>
          <w:p w14:paraId="2C4A0971">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1、产品应符合XF633-2006《消防员抢险救援服装》标准，</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2、产品外观及材质要求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2.1材质：盔壳应采用碳纤维复合材料制成；缓冲层应采用EPP、高性能PA材质制成；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2.2产品组成：头盔由盔壳、滑轨、佩戴装置、下颌带、缓冲层、舒适衬垫等组成，盔体两侧采用多功能模块化滑轨设计，配有照明灯安装装置；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3、产品技术要求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3.1冲击吸收性能：高温、低温、浸水预处理后头模所受冲击力≤2200N；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3.2耐穿透性能：钢锥不应与头模建立电接触；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▲3.3阻燃性能：火源离开帽壳后，离火自熄时间≤2s；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3.4热稳定性能：救援头盔在180℃的烘箱中，保持5min后，其边沿应无变形；硬质附件应保持功能完好；反光材料表面应无炭化、脱落现象；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3.5电绝缘性能：帽壳的泄漏电流≤1mA；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3.6侧向刚性：帽壳的最大变形值≤15mm、卸载后的变形≤2mm；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3.7下颏带抗拉强度：下颏带未发生断裂、滑脱，其延伸长度≤16mm；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3.8产品质量≤750g；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3.9耐化学品性能：帽壳不应出现大于10mm的损坏及穿透现象；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3.10耐熔融金属飞溅性能：帽壳未被穿透；不应出现大于10mm的损坏变形；帽壳续燃时间小于5s。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3.11侧向冲击性能：加速度峰值≤150gn；加速度超过150gn时的累计时间≤1ms；加速度超过200gn时的累计时间≤1ms；壳体无碎片脱落。所有部件未与壳体分离。</w:t>
            </w:r>
          </w:p>
        </w:tc>
      </w:tr>
      <w:tr w14:paraId="069F8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58888C0A">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1769" w:type="dxa"/>
            <w:noWrap/>
            <w:vAlign w:val="center"/>
          </w:tcPr>
          <w:p w14:paraId="2AFDD4FE">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抢险救援手套</w:t>
            </w:r>
          </w:p>
        </w:tc>
        <w:tc>
          <w:tcPr>
            <w:tcW w:w="869" w:type="dxa"/>
            <w:noWrap/>
            <w:vAlign w:val="center"/>
          </w:tcPr>
          <w:p w14:paraId="50998D32">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625" w:type="dxa"/>
            <w:noWrap/>
            <w:vAlign w:val="center"/>
          </w:tcPr>
          <w:p w14:paraId="3D7C6177">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46" w:type="dxa"/>
            <w:noWrap/>
            <w:vAlign w:val="center"/>
          </w:tcPr>
          <w:p w14:paraId="286653E3">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 产品符合 XF 633《消防员抢险救援防护服装》标准要求。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 耐磨性能：掌心面材料在9 KPa 压力下，经 8000 次循环摩擦后，不被磨穿。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 抗切割性能：掌心面和背面材料的割破力大于 5N。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4、抗机械刺穿性能：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掌心面抗刺穿力：最薄部位137N ,加强部位242N，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背面抗刺穿力：最薄部位107N ,加强部位126N，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5、阻燃性能：本体防护层面料、袖筒防护层面料和外层加强材料经过 5 次洗涤后进行阻燃性能试验，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掌心面材料：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牛皮：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经向续燃时间0s，损耗长度12mm，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纬向续燃时间0s，损耗长度12mm，均无熔融、滴落现象；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加强材料：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经向续燃时间0s，损耗长度11mm，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纬向续燃时间0s，损耗长度11mm，均无熔融、滴落现象；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背面（袖筒）材料：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经向续燃时间0s，损耗长度15mm，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纬向续燃时间0s，损耗长度13mm，均无熔融、滴落现象；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6、热稳定性能：整只抢险救援手套在（180±5）℃试验温度下保持 5 min，表面无明显变化，且无熔融、熔滴和剥离现象，其在长度方向上2.1%；宽度方向上2.3%，能保持正常穿戴。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7、灵巧性能：徒手控制百分比：108.4%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8、抓握性能：戴手套与未戴手套的拉重力比87.6%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9、穿戴性能：穿戴时间</w:t>
            </w:r>
            <w:r>
              <w:rPr>
                <w:rFonts w:hint="eastAsia" w:ascii="宋体" w:hAnsi="宋体" w:cs="宋体"/>
                <w:i w:val="0"/>
                <w:iCs w:val="0"/>
                <w:color w:val="auto"/>
                <w:kern w:val="0"/>
                <w:sz w:val="22"/>
                <w:szCs w:val="22"/>
                <w:highlight w:val="none"/>
                <w:u w:val="none"/>
                <w:lang w:val="en-US" w:eastAsia="zh-CN" w:bidi="ar"/>
              </w:rPr>
              <w:t>小于</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 外观质量：抢险救援手套的外观质量符合以下：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10.1 缝线顺直平伏、针距匀称、松紧适宜，无跳针、开线、断线；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10.2 无橡筋断裂、长短不一、纹路歪斜、前后松紧不一以及拇指部位不正；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10.3 标签位置正确，标志准确清晰。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（二）款式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 抢险救援手套为五指分离式，手套本体环形延伸，袖筒长度超出腕骨不少于25mm，手套口的设计能限制杂物进入手套内，手套与抢险救援服的袖口配合穿戴。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 抢险救援手套主体颜色为橘红色和黑色，黑色潘通色号为 PANTONE 19-4003 TCX Black Onyx，橘红色潘通色号为 PANTONE 17-1456 TCX Tigerlily。</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 手掌结构符合以下：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3.1 分为内层、外层和加强层三层结构设计，在食指指尖增设触屏功能。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3.2内层采用克重为（210±20）g 芳纶针织布，颜色为黄色</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3.3 外层采用优质反绒头层牛皮，牛皮厚度为（1.0±0.2）mm，颜色为黑色，手掌指尖一片式翻转手指背，牛皮覆盖手指指甲、小指、食指外侧面和虎口部 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3.4 加强层采用克重为（280±20）g 芳纶耐磨布，颜色为黑色，设置于手掌面和虎口处，手掌加强层内侧设置厚度为 3mm 的缓冲海绵。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 手背结构符合以下：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4.1 手背由芳纶双面针织布和 TPR 防撞条组成。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4.2 芳纶双面针织布外面为橘红色，内面为黄色，克重（380±20）g。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4.3 TPR 防撞条设置在手背、中指、无名指和小指部位，能覆盖手背关节部位和手指指甲以下关节部位，防撞条为整体一片式，关节部位采用分离式设计， 便于手背关节部位弯曲，颜色为黑色、橘红色和灰色三色组合。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4.4 食指设计银色反光标记，手背下方设计宽度为 1cm 的银色反光条。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4.5 手指夹条采用牢固舒适的黑色芳纶针织布，夹条上方采用黑色芳纶耐磨布补强。大拇指手背内层采用克重为（210±20）g 芳纶针织布，颜色为黄色，外层采用牢固舒适的黑色毛巾布。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 袖口结构符合以下：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5.1 袖口为圆形设计，袖口外侧采用克重（380±20）g 橘红色芳纶双面针织布，袖口内侧采用橘红色亲肤舒适的松紧带材料包裹，袖口边缘采用黑色超纤包边处理。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5.2 袖口外侧采用魔术贴收紧，魔术贴一片式翻转设计，魔术贴表面为 TPR 材质，设置于袖口外侧，颜色为黑色、橘红色和灰色三色组合，刻有“应急消防” 字样，字体为简粗平黑，颜色为橘红色，每个字大小 8mm×8mm，字间距1mm，位置居中。内面为毛面，刺面缝于袖口内侧。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5.3 小指侧下方三角形开口采用黑色芳纶针织布，可有效防止碎屑瓦砾等小颗粒物进入。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 缝线采用芳纶缝线，规格为30支3股，颜色为黑色和橘红色。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 挂环采用高强度布制纤维材料，设置在手腕内侧袖口处。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 每只手套有永久性的布标标签。标志上的文字大小不小于 2mm。文字和图形采用白底黑字的形式。布标尺寸为 25×70mm（内布标误差长±5mm，宽±3mm），对折后居中缝于手背内扣收缩袖口处。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 消防员抢险救援手套基础规格为4 种尺寸（S-XL），每种型号需求按照使用单位需求加工制作。</w:t>
            </w:r>
          </w:p>
        </w:tc>
      </w:tr>
      <w:tr w14:paraId="5FE51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26338C00">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1769" w:type="dxa"/>
            <w:noWrap/>
            <w:vAlign w:val="center"/>
          </w:tcPr>
          <w:p w14:paraId="222EBE6A">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抢险救援靴</w:t>
            </w:r>
          </w:p>
        </w:tc>
        <w:tc>
          <w:tcPr>
            <w:tcW w:w="869" w:type="dxa"/>
            <w:noWrap/>
            <w:vAlign w:val="center"/>
          </w:tcPr>
          <w:p w14:paraId="4536811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625" w:type="dxa"/>
            <w:noWrap/>
            <w:vAlign w:val="center"/>
          </w:tcPr>
          <w:p w14:paraId="57733549">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646" w:type="dxa"/>
            <w:noWrap/>
            <w:vAlign w:val="center"/>
          </w:tcPr>
          <w:p w14:paraId="35055358">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 1、技术性能符合《消防员抢险救援防护靴试验大纲》标准要求，</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2、主体为黑色；鞋带、靴底和“中国消防救援”标志为橘红色，符合抢险救援防护靴款式标识统型要求。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3、消防员抢险救援靴主体结构：从靴内后跟中央起至靴口最低处的高度≤150mm；靴内侧设有拉链。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4、鞋底采用连帮注射工艺。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5、低腰款设计，消防员抢险救援靴41码质量为≤1.2kg。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6、靴帮抗剌穿性能≥120N。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7、靴底抗刺穿性能≥1100N。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8、阻燃性能:损毁长度＜1mm,离火自熄时间0s，且不产生熔融、熔滴或剥离等现象。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9、热稳定性能:任何部件不产生熔滴，所有硬质附件应保持性能完好。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10、隔热性能:靴底内表面的温升≤16℃。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11、靴帮抗辐射热渗透性能：内表面温升≤19℃。</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12、电绝缘性能:击穿电压＞5000V，泄漏电流≤0.08。</w:t>
            </w:r>
          </w:p>
        </w:tc>
      </w:tr>
      <w:tr w14:paraId="72527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45A505EC">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1769" w:type="dxa"/>
            <w:noWrap/>
            <w:vAlign w:val="center"/>
          </w:tcPr>
          <w:p w14:paraId="1B8560A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抢险救援腰带</w:t>
            </w:r>
          </w:p>
        </w:tc>
        <w:tc>
          <w:tcPr>
            <w:tcW w:w="869" w:type="dxa"/>
            <w:noWrap/>
            <w:vAlign w:val="center"/>
          </w:tcPr>
          <w:p w14:paraId="1DBF57AE">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625" w:type="dxa"/>
            <w:noWrap/>
            <w:vAlign w:val="center"/>
          </w:tcPr>
          <w:p w14:paraId="056642A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646" w:type="dxa"/>
            <w:noWrap/>
            <w:vAlign w:val="center"/>
          </w:tcPr>
          <w:p w14:paraId="38830213">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抢险救援腰带是用织带制作。用于抢险救援时对腰部位置系紧作用。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织带拉力kN ≥12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织带宽度mm ≤50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腰带规格：长度×宽度×厚度≤1200×50×</w:t>
            </w:r>
            <w:r>
              <w:rPr>
                <w:rFonts w:hint="eastAsia" w:ascii="宋体" w:hAnsi="宋体" w:cs="宋体"/>
                <w:i w:val="0"/>
                <w:iCs w:val="0"/>
                <w:color w:val="auto"/>
                <w:kern w:val="0"/>
                <w:sz w:val="22"/>
                <w:szCs w:val="22"/>
                <w:highlight w:val="none"/>
                <w:u w:val="none"/>
                <w:lang w:val="en-US" w:eastAsia="zh-CN" w:bidi="ar"/>
              </w:rPr>
              <w:t>3.0</w:t>
            </w:r>
            <w:r>
              <w:rPr>
                <w:rFonts w:hint="eastAsia" w:ascii="宋体" w:hAnsi="宋体" w:eastAsia="宋体" w:cs="宋体"/>
                <w:i w:val="0"/>
                <w:iCs w:val="0"/>
                <w:color w:val="auto"/>
                <w:kern w:val="0"/>
                <w:sz w:val="22"/>
                <w:szCs w:val="22"/>
                <w:highlight w:val="none"/>
                <w:u w:val="none"/>
                <w:lang w:val="en-US" w:eastAsia="zh-CN" w:bidi="ar"/>
              </w:rPr>
              <w:t>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质量kg ≤0.15</w:t>
            </w:r>
          </w:p>
        </w:tc>
      </w:tr>
      <w:tr w14:paraId="30390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2F6B567A">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1769" w:type="dxa"/>
            <w:noWrap/>
            <w:vAlign w:val="center"/>
          </w:tcPr>
          <w:p w14:paraId="4C73D71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抢险救援服</w:t>
            </w:r>
          </w:p>
        </w:tc>
        <w:tc>
          <w:tcPr>
            <w:tcW w:w="869" w:type="dxa"/>
            <w:noWrap/>
            <w:vAlign w:val="center"/>
          </w:tcPr>
          <w:p w14:paraId="2A2CF03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25" w:type="dxa"/>
            <w:noWrap/>
            <w:vAlign w:val="center"/>
          </w:tcPr>
          <w:p w14:paraId="594F9853">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46" w:type="dxa"/>
            <w:noWrap/>
            <w:vAlign w:val="center"/>
          </w:tcPr>
          <w:p w14:paraId="6B3DC424">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1、材料：芳纶永久阻燃面料。应具有防静电、阻燃、轻便、抗拉力强等性能。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2、款式外观：符合国家消防救援局《关于规范防护服款式标识有关事项的通知》相关要求。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3、技术性能符合XF633-2006《消防员抢险救援防护服装》标准要求，</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4、技术性能：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1）阻燃性能：面料经、纬向损毁长度≤50mm；续燃时间≤0s，且不应有熔融、滴落现象。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2）断裂强力：面料经向断裂强力≥1100N；纬向断裂强力≥1100N。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3）撕破强力：面料经向撕破强力≥140N、纬向撕破强力≥120N。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4）热稳定性能：面料经向尺寸变化率≤0.5%，纬向尺寸变化率≤0.5%，且试样表面应无明显变化。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5）色牢度：面料的耐水摩擦色牢度≥4级、耐洗色牢度≥4级。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6）色差（成衣）：≥4级。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7）针距密度：各部位明暗线每3cm≥14针，包缝线每3cm≥14针。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8）接缝断裂强力：外层面料接缝断裂强力≥1300N。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9）防静电性能（成衣）：带电荷量≤0.2μC。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10）表面抗湿性能：≥4级。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11）成衣质量：≤1.</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kg/套。</w:t>
            </w:r>
          </w:p>
        </w:tc>
      </w:tr>
      <w:tr w14:paraId="690A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55A29C28">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20</w:t>
            </w:r>
          </w:p>
        </w:tc>
        <w:tc>
          <w:tcPr>
            <w:tcW w:w="1769" w:type="dxa"/>
            <w:noWrap/>
            <w:vAlign w:val="center"/>
          </w:tcPr>
          <w:p w14:paraId="529359D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灭火器</w:t>
            </w:r>
          </w:p>
        </w:tc>
        <w:tc>
          <w:tcPr>
            <w:tcW w:w="869" w:type="dxa"/>
            <w:noWrap/>
            <w:vAlign w:val="center"/>
          </w:tcPr>
          <w:p w14:paraId="0041E19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659B0017">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646" w:type="dxa"/>
            <w:noWrap/>
            <w:vAlign w:val="center"/>
          </w:tcPr>
          <w:p w14:paraId="6656BB4A">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1.灭火器的名称:手提式干粉灭火器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2.主要组分及含量:干粉灭火剂、ABC-NUPO,(75%)+(NL),S0,(15%)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3.灭火器灭火级别和灭火种类:1A 21B C E</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4.灭火器标准号:GB 4351-2023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5.灭火器使用温度范围:-20°C~60°C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6.灭火器驱动气体名称、含量及20°C时的压力:空气、1.2MPa(20°C）</w:t>
            </w:r>
          </w:p>
        </w:tc>
      </w:tr>
      <w:tr w14:paraId="3DB2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2CC7D007">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1769" w:type="dxa"/>
            <w:noWrap/>
            <w:vAlign w:val="center"/>
          </w:tcPr>
          <w:p w14:paraId="7F902BC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灭火毯</w:t>
            </w:r>
          </w:p>
        </w:tc>
        <w:tc>
          <w:tcPr>
            <w:tcW w:w="869" w:type="dxa"/>
            <w:noWrap/>
            <w:vAlign w:val="center"/>
          </w:tcPr>
          <w:p w14:paraId="3AA31E0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56AF5D5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646" w:type="dxa"/>
            <w:noWrap/>
            <w:vAlign w:val="center"/>
          </w:tcPr>
          <w:p w14:paraId="42953B12">
            <w:pPr>
              <w:keepNext w:val="0"/>
              <w:keepLines w:val="0"/>
              <w:widowControl/>
              <w:suppressLineNumbers w:val="0"/>
              <w:jc w:val="left"/>
              <w:textAlignment w:val="center"/>
              <w:rPr>
                <w:rFonts w:hint="eastAsia" w:ascii="宋体" w:hAnsi="宋体" w:eastAsia="宋体" w:cs="宋体"/>
                <w:color w:val="auto"/>
                <w:sz w:val="21"/>
                <w:szCs w:val="21"/>
                <w:highlight w:val="none"/>
                <w:lang w:eastAsia="zh-CN"/>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灭火毯采用玻璃纤维制成，具有防火、阻燃、耐高温等特点，用于火场救生和重要物品保护，也可用于扑灭火源、火灾逃生和隔离浓烟之用。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断裂强力：经向≥3000N、纬向≥1600N；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阻燃性能：手持件续燃时间0s；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操作性能：取出所有力≤38N、取出展开时间≤4S；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绝缘性能  绝缘电阻：≥29MΩ；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符合XF1205-2014《灭火毯》标准。</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cs="宋体"/>
                <w:b w:val="0"/>
                <w:bCs w:val="0"/>
                <w:color w:val="auto"/>
                <w:sz w:val="21"/>
                <w:szCs w:val="21"/>
                <w:highlight w:val="none"/>
                <w:lang w:eastAsia="zh-CN"/>
              </w:rPr>
              <w:t>。</w:t>
            </w:r>
          </w:p>
        </w:tc>
      </w:tr>
      <w:tr w14:paraId="29FB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613" w:type="dxa"/>
            <w:noWrap/>
            <w:vAlign w:val="center"/>
          </w:tcPr>
          <w:p w14:paraId="4B2BEBE0">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1769" w:type="dxa"/>
            <w:noWrap/>
            <w:vAlign w:val="center"/>
          </w:tcPr>
          <w:p w14:paraId="3F245BE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多功能水枪</w:t>
            </w:r>
          </w:p>
        </w:tc>
        <w:tc>
          <w:tcPr>
            <w:tcW w:w="869" w:type="dxa"/>
            <w:noWrap/>
            <w:vAlign w:val="center"/>
          </w:tcPr>
          <w:p w14:paraId="2237BCBE">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1292111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46" w:type="dxa"/>
            <w:noWrap/>
            <w:vAlign w:val="center"/>
          </w:tcPr>
          <w:p w14:paraId="5B472C5A">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1、符合GB8181-2005《消防水枪》标准；</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2、流量范围四档位：I档≥2.59L/s、II档≥5.22L/s、III档≥6.60L/s、IV≥8.20L/s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3、标准压力： 0.6Mpa,喷雾流量：≥8.2L/s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4、射程≥32米 ,最大喷雾角：0~120°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5、水枪操作力矩≤15N·m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枪头采用塑料涡轮齿，喷雾时可产生极细小的水珠,枪头喷射模式可通过旋转枪头调节直流，开花，喷雾,枪体配有4档位流量调节圈，可调节出水流量大小,高压冲洗档位，可随时清除枪膛内杂物,水带防缠绕接口,根据人体力学设计的手枪式握柄和水枪开关，便于控制喷射方向，后坐力小，单人即可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7、重量≤2KG</w:t>
            </w:r>
          </w:p>
        </w:tc>
      </w:tr>
      <w:tr w14:paraId="28CB6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4EE6EDAC">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23</w:t>
            </w:r>
          </w:p>
        </w:tc>
        <w:tc>
          <w:tcPr>
            <w:tcW w:w="1769" w:type="dxa"/>
            <w:noWrap/>
            <w:vAlign w:val="center"/>
          </w:tcPr>
          <w:p w14:paraId="7048D1A9">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40水枪</w:t>
            </w:r>
          </w:p>
        </w:tc>
        <w:tc>
          <w:tcPr>
            <w:tcW w:w="869" w:type="dxa"/>
            <w:noWrap/>
            <w:vAlign w:val="center"/>
          </w:tcPr>
          <w:p w14:paraId="67A3B1C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6827F73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46" w:type="dxa"/>
            <w:noWrap/>
            <w:vAlign w:val="center"/>
          </w:tcPr>
          <w:p w14:paraId="34BFFCAB">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1、符合GB8181-2005《消防水枪》标准；</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2、流量范围两档位：II档≥2.4L/s 、I档≥3.9L/s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3、标准压力： 0.6Mpa,喷雾流量：≥3.9L/s 射程≥26.1m ，最大喷雾角：0~120°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4、水枪操作力矩≤7.6N·m。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枪头采用金属涡轮齿喷雾时可产生极细小的水珠,枪头喷射模式可通过旋转枪头调节直流，开花，喷雾,枪体配有2档位流量调节圈，可调节出水流量大小,高压冲洗档位，可随时清除枪膛内杂物,水带防缠绕接口,根据人体力学设计的手枪式握柄和水枪开关，便于控制喷射方向，后坐力小，单人即可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6、重量≤1.</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KG。</w:t>
            </w:r>
          </w:p>
        </w:tc>
      </w:tr>
      <w:tr w14:paraId="4F4D9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center"/>
          </w:tcPr>
          <w:p w14:paraId="7B3256B5">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24</w:t>
            </w:r>
          </w:p>
        </w:tc>
        <w:tc>
          <w:tcPr>
            <w:tcW w:w="1769" w:type="dxa"/>
            <w:noWrap/>
            <w:vAlign w:val="center"/>
          </w:tcPr>
          <w:p w14:paraId="1AADEF4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直流水枪</w:t>
            </w:r>
          </w:p>
        </w:tc>
        <w:tc>
          <w:tcPr>
            <w:tcW w:w="869" w:type="dxa"/>
            <w:noWrap/>
            <w:vAlign w:val="center"/>
          </w:tcPr>
          <w:p w14:paraId="0D2FB93C">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7841A14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46" w:type="dxa"/>
            <w:noWrap/>
            <w:vAlign w:val="center"/>
          </w:tcPr>
          <w:p w14:paraId="50C331FA">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该直流水枪为全铝合金材质的开关式水枪，喷射的水流为柱状，射程远、流量大、冲击力强，用于扑救一般固体物质火灾，以及灭火时的辅助冷却等。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1、符合GB8181-2005《消防水枪》标准；</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2、直流射程≥28m；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3、额定喷射压力：≥0.35MPa,额定流量≥7.3L/s；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4、水枪操作力矩≤7.5N·m；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5、手柄指向出水口是“开”，手柄垂直水枪轴线是“关”，并且这两个位置有限位功能；接口公称直径：65mm；</w:t>
            </w:r>
          </w:p>
        </w:tc>
      </w:tr>
      <w:tr w14:paraId="20CD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67B16C10">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25</w:t>
            </w:r>
          </w:p>
        </w:tc>
        <w:tc>
          <w:tcPr>
            <w:tcW w:w="1769" w:type="dxa"/>
            <w:noWrap/>
            <w:vAlign w:val="center"/>
          </w:tcPr>
          <w:p w14:paraId="72E35053">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三分分水器（40分水3个）</w:t>
            </w:r>
          </w:p>
        </w:tc>
        <w:tc>
          <w:tcPr>
            <w:tcW w:w="869" w:type="dxa"/>
            <w:noWrap/>
            <w:vAlign w:val="center"/>
          </w:tcPr>
          <w:p w14:paraId="1970BE5E">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2217B53C">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46" w:type="dxa"/>
            <w:noWrap/>
            <w:vAlign w:val="center"/>
          </w:tcPr>
          <w:p w14:paraId="7E2BFE2C">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1、符合XF868-2010《分水器和集水器》标准，</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2、分水器由铝合金铸造而成，有一个进水口,三个出水口,可以随时关闭,控制水流,便于增加和调换支线水带.主要用于铺设消防水带用,是从水带干线分出水带支线的消防器材。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主要材料为铝镁合金,由本体,锻压接口等组成。本体材质：铝合金ZL104，接口材质铝合金6061。本体表面经过喷塑处理，接口金色阳极氧化处理，T字型提手采用不锈钢材质，不易损坏，手柄采用锻造工艺，表面黑色氧化处理，锤击敲打而不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4、工作压力：2.5Mpa，进水口径：80mm，出水口径：3×40mm，阀门开启力≤62N</w:t>
            </w:r>
          </w:p>
        </w:tc>
      </w:tr>
      <w:tr w14:paraId="790A8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49C76E07">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26</w:t>
            </w:r>
          </w:p>
        </w:tc>
        <w:tc>
          <w:tcPr>
            <w:tcW w:w="1769" w:type="dxa"/>
            <w:noWrap/>
            <w:vAlign w:val="center"/>
          </w:tcPr>
          <w:p w14:paraId="3A8B1F3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机动消防泵（手抬泵）</w:t>
            </w:r>
          </w:p>
        </w:tc>
        <w:tc>
          <w:tcPr>
            <w:tcW w:w="869" w:type="dxa"/>
            <w:noWrap/>
            <w:vAlign w:val="center"/>
          </w:tcPr>
          <w:p w14:paraId="54F35AEA">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25" w:type="dxa"/>
            <w:noWrap/>
            <w:vAlign w:val="center"/>
          </w:tcPr>
          <w:p w14:paraId="075A16C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46" w:type="dxa"/>
            <w:noWrap/>
            <w:vAlign w:val="center"/>
          </w:tcPr>
          <w:p w14:paraId="4A9598E6">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一、基本描述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1、结构组成：由汽油机，单级离心泵，引水装置，手抬框架，吸水管等组成。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w:t>
            </w:r>
            <w:r>
              <w:rPr>
                <w:rFonts w:hint="eastAsia" w:ascii="宋体" w:hAnsi="宋体" w:cs="宋体"/>
                <w:i w:val="0"/>
                <w:iCs w:val="0"/>
                <w:color w:val="auto"/>
                <w:kern w:val="0"/>
                <w:sz w:val="22"/>
                <w:szCs w:val="22"/>
                <w:highlight w:val="none"/>
                <w:u w:val="none"/>
                <w:lang w:val="en-US" w:eastAsia="zh-CN" w:bidi="ar"/>
              </w:rPr>
              <w:t>技术要求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▲1、符合GB6245-2006《消防泵》标准</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、外观质量：所有铸件外表面没有明显结巴、气泡、沙眼等缺陷。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、机械密封性能试验：泵体及部件没有渗漏、冒汗等缺陷。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、主要技术参数要求：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.1 工况1：吸深3m时，流量不小于20L/s，出口压力不小于0.6MPa。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.2 工况2：吸深7m时，流量不小于10L/s，出口压力不小于0.6MPa。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、真空密封性能：泵进行真空密封性能试验时，1min内的真空降落值不大于1kPa。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、引水装置性能：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.1 引水装置产生的最大真空度为不小于85kPa。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.2 引水时间不大于10s。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、发动机类型：卧式，双缸，水冷，二冲程，冷却水还流式汽油机；燃油采用自动混合比例供应。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、起动方式：绳拉式手动起动或电起动，自动反冲系统。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9</w:t>
            </w:r>
            <w:r>
              <w:rPr>
                <w:rFonts w:hint="eastAsia" w:ascii="宋体" w:hAnsi="宋体" w:eastAsia="宋体" w:cs="宋体"/>
                <w:i w:val="0"/>
                <w:iCs w:val="0"/>
                <w:color w:val="auto"/>
                <w:kern w:val="0"/>
                <w:sz w:val="22"/>
                <w:szCs w:val="22"/>
                <w:highlight w:val="none"/>
                <w:u w:val="none"/>
                <w:lang w:val="en-US" w:eastAsia="zh-CN" w:bidi="ar"/>
              </w:rPr>
              <w:t>、发动机主轴转速≥5000rpm，输出功率≥33KW。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、水泵：单泵单程离心泵，进水口尺寸约80mm，出水口尺寸约65mm（快速接口），配备快速球阀出水开关，出水口阀门可转动180°。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11</w:t>
            </w:r>
            <w:r>
              <w:rPr>
                <w:rFonts w:hint="eastAsia" w:ascii="宋体" w:hAnsi="宋体" w:eastAsia="宋体" w:cs="宋体"/>
                <w:i w:val="0"/>
                <w:iCs w:val="0"/>
                <w:color w:val="auto"/>
                <w:kern w:val="0"/>
                <w:sz w:val="22"/>
                <w:szCs w:val="22"/>
                <w:highlight w:val="none"/>
                <w:u w:val="none"/>
                <w:lang w:val="en-US" w:eastAsia="zh-CN" w:bidi="ar"/>
              </w:rPr>
              <w:t>、真空泵：碳纤维活片无油式真空泵，手动操作吸水，最大吸程≥7m。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12</w:t>
            </w:r>
            <w:r>
              <w:rPr>
                <w:rFonts w:hint="eastAsia" w:ascii="宋体" w:hAnsi="宋体" w:eastAsia="宋体" w:cs="宋体"/>
                <w:i w:val="0"/>
                <w:iCs w:val="0"/>
                <w:color w:val="auto"/>
                <w:kern w:val="0"/>
                <w:sz w:val="22"/>
                <w:szCs w:val="22"/>
                <w:highlight w:val="none"/>
                <w:u w:val="none"/>
                <w:lang w:val="en-US" w:eastAsia="zh-CN" w:bidi="ar"/>
              </w:rPr>
              <w:t>、最大工作压力≥1.0MPa。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13</w:t>
            </w:r>
            <w:r>
              <w:rPr>
                <w:rFonts w:hint="eastAsia" w:ascii="宋体" w:hAnsi="宋体" w:eastAsia="宋体" w:cs="宋体"/>
                <w:i w:val="0"/>
                <w:iCs w:val="0"/>
                <w:color w:val="auto"/>
                <w:kern w:val="0"/>
                <w:sz w:val="22"/>
                <w:szCs w:val="22"/>
                <w:highlight w:val="none"/>
                <w:u w:val="none"/>
                <w:lang w:val="en-US" w:eastAsia="zh-CN" w:bidi="ar"/>
              </w:rPr>
              <w:t>、油箱容积：≥18L。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14</w:t>
            </w:r>
            <w:r>
              <w:rPr>
                <w:rFonts w:hint="eastAsia" w:ascii="宋体" w:hAnsi="宋体" w:eastAsia="宋体" w:cs="宋体"/>
                <w:i w:val="0"/>
                <w:iCs w:val="0"/>
                <w:color w:val="auto"/>
                <w:kern w:val="0"/>
                <w:sz w:val="22"/>
                <w:szCs w:val="22"/>
                <w:highlight w:val="none"/>
                <w:u w:val="none"/>
                <w:lang w:val="en-US" w:eastAsia="zh-CN" w:bidi="ar"/>
              </w:rPr>
              <w:t>、照明装置：射灯，12V。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15</w:t>
            </w:r>
            <w:r>
              <w:rPr>
                <w:rFonts w:hint="eastAsia" w:ascii="宋体" w:hAnsi="宋体" w:eastAsia="宋体" w:cs="宋体"/>
                <w:i w:val="0"/>
                <w:iCs w:val="0"/>
                <w:color w:val="auto"/>
                <w:kern w:val="0"/>
                <w:sz w:val="22"/>
                <w:szCs w:val="22"/>
                <w:highlight w:val="none"/>
                <w:u w:val="none"/>
                <w:lang w:val="en-US" w:eastAsia="zh-CN" w:bidi="ar"/>
              </w:rPr>
              <w:t>、整机体积：≤700mm×620mm×730mm。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、重量（含燃油和机油）：≤105KG。</w:t>
            </w:r>
          </w:p>
        </w:tc>
      </w:tr>
      <w:tr w14:paraId="3795B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1E673C9B">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27</w:t>
            </w:r>
          </w:p>
        </w:tc>
        <w:tc>
          <w:tcPr>
            <w:tcW w:w="1769" w:type="dxa"/>
            <w:noWrap/>
            <w:vAlign w:val="center"/>
          </w:tcPr>
          <w:p w14:paraId="1DF32DDA">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手台泵吸水管</w:t>
            </w:r>
          </w:p>
        </w:tc>
        <w:tc>
          <w:tcPr>
            <w:tcW w:w="869" w:type="dxa"/>
            <w:noWrap/>
            <w:vAlign w:val="center"/>
          </w:tcPr>
          <w:p w14:paraId="1AF5017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根</w:t>
            </w:r>
          </w:p>
        </w:tc>
        <w:tc>
          <w:tcPr>
            <w:tcW w:w="625" w:type="dxa"/>
            <w:noWrap/>
            <w:vAlign w:val="center"/>
          </w:tcPr>
          <w:p w14:paraId="6DE8AFC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46" w:type="dxa"/>
            <w:noWrap/>
            <w:vAlign w:val="center"/>
          </w:tcPr>
          <w:p w14:paraId="12DD5D41">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吸水管参数: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1、材质：轻型橡胶 + 纤维增强，内置螺旋细钢丝（轻型），负压不瘪、柔软易盘卷；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2、口径:≥ DN80 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3、长度≥7m / 根，配滤水器，以及仿藤材质过滤篓1个；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4、接口与现有手抬泵接口相匹配。</w:t>
            </w:r>
          </w:p>
        </w:tc>
      </w:tr>
      <w:tr w14:paraId="5409F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788204DD">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28</w:t>
            </w:r>
          </w:p>
        </w:tc>
        <w:tc>
          <w:tcPr>
            <w:tcW w:w="1769" w:type="dxa"/>
            <w:noWrap/>
            <w:vAlign w:val="center"/>
          </w:tcPr>
          <w:p w14:paraId="04C7C257">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背负式机动消防泵</w:t>
            </w:r>
            <w:r>
              <w:rPr>
                <w:rFonts w:hint="eastAsia" w:ascii="宋体" w:hAnsi="宋体" w:cs="宋体"/>
                <w:b/>
                <w:bCs/>
                <w:i w:val="0"/>
                <w:iCs w:val="0"/>
                <w:color w:val="auto"/>
                <w:kern w:val="0"/>
                <w:sz w:val="22"/>
                <w:szCs w:val="22"/>
                <w:highlight w:val="none"/>
                <w:u w:val="none"/>
                <w:lang w:val="en-US" w:eastAsia="zh-CN" w:bidi="ar"/>
              </w:rPr>
              <w:t>（核心产品）</w:t>
            </w:r>
          </w:p>
        </w:tc>
        <w:tc>
          <w:tcPr>
            <w:tcW w:w="869" w:type="dxa"/>
            <w:noWrap/>
            <w:vAlign w:val="center"/>
          </w:tcPr>
          <w:p w14:paraId="46BC507C">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25" w:type="dxa"/>
            <w:noWrap/>
            <w:vAlign w:val="center"/>
          </w:tcPr>
          <w:p w14:paraId="6F64956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46" w:type="dxa"/>
            <w:noWrap/>
            <w:vAlign w:val="center"/>
          </w:tcPr>
          <w:p w14:paraId="56E9C95E">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1、单缸二冲程水冷与空气复合冷却的汽油发动机；标示参数：功率≥12Hp/12000r/min，排量≥118cc，综合油耗≤2.5L/h。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▲2、三级离心泵，框架、叶轮、轴承材质为不锈钢。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3、进水口具备直径40mm、50mm 双尺寸接口。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4、泵在横向、纵向倾斜90°的条件下，在额定工况下，各连续运转1h，泵应能正常工作。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5、最大流量≥335L/min。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▲6、最大压力≥2.85MPa。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▲7、最大扬程≥290m。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8、吸水深度≥7m。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▲9、启动电源：具备两个USB接口，一个Type-C接口，一个汽车启动应急输出口，一体式指南针一个，显示屏幕一个（可显示电量百分比），具备应急照明灯功能、应急爆闪功能 （SOS）、红蓝警示光功能，具备磁力感应功能，尾部带破窗器。重量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500g。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▲10、启动方式：手拉启动、储能式一键式电启动、无接触感应控制启停 、遥控启动。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▲11、水泵结构：水泵具有防反转保护结构，轴承具有末端滑动支撑。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12、发动机冷却方式闭路循环、强制水冷循环系统(水冷缸头)和自然风冷复合冷却方式。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13、保护系统：发动机带有高温自动保护装置、启动过流自动保护功能、无水保护功能、超速保护功能。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14、最大射程≥35m。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15、化油器内置燃油过滤器，油泵中装有滤网。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16、外挂油箱，设置独立加油口，可实现不停机加油。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17、配备全方位保护框架，具有减震支撑结构，可以使水泵在各个方向都可存放。设备设有便于提拿的把手，可立 、可卧、可侧方位存放。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18、长×宽×高：400mm×320mm×170mm（±5%）。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19、重量≤1</w:t>
            </w:r>
            <w:r>
              <w:rPr>
                <w:rFonts w:hint="eastAsia" w:ascii="宋体" w:hAnsi="宋体" w:cs="宋体"/>
                <w:i w:val="0"/>
                <w:iCs w:val="0"/>
                <w:color w:val="auto"/>
                <w:kern w:val="0"/>
                <w:sz w:val="22"/>
                <w:szCs w:val="22"/>
                <w:highlight w:val="none"/>
                <w:u w:val="none"/>
                <w:lang w:val="en-US" w:eastAsia="zh-CN" w:bidi="ar"/>
              </w:rPr>
              <w:t>3.0</w:t>
            </w:r>
            <w:r>
              <w:rPr>
                <w:rFonts w:hint="eastAsia" w:ascii="宋体" w:hAnsi="宋体" w:eastAsia="宋体" w:cs="宋体"/>
                <w:i w:val="0"/>
                <w:iCs w:val="0"/>
                <w:color w:val="auto"/>
                <w:kern w:val="0"/>
                <w:sz w:val="22"/>
                <w:szCs w:val="22"/>
                <w:highlight w:val="none"/>
                <w:u w:val="none"/>
                <w:lang w:val="en-US" w:eastAsia="zh-CN" w:bidi="ar"/>
              </w:rPr>
              <w:t>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水泵主机一台、主机隔热背包一个、附件背包一套、3米进水管一根、油箱一个、吸油管一根、启动电源一个，直流水枪一把，雾枪一把，三通分水器一个，单向阀一个，止水钳一把，水带扳手一把，手动引水泵一个。</w:t>
            </w:r>
          </w:p>
        </w:tc>
      </w:tr>
      <w:tr w14:paraId="3CBDF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04572588">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29</w:t>
            </w:r>
          </w:p>
        </w:tc>
        <w:tc>
          <w:tcPr>
            <w:tcW w:w="1769" w:type="dxa"/>
            <w:noWrap/>
            <w:vAlign w:val="center"/>
          </w:tcPr>
          <w:p w14:paraId="66686F6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移动式消防炮</w:t>
            </w:r>
          </w:p>
        </w:tc>
        <w:tc>
          <w:tcPr>
            <w:tcW w:w="869" w:type="dxa"/>
            <w:noWrap/>
            <w:vAlign w:val="center"/>
          </w:tcPr>
          <w:p w14:paraId="62CC85A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25" w:type="dxa"/>
            <w:noWrap/>
            <w:vAlign w:val="center"/>
          </w:tcPr>
          <w:p w14:paraId="12CFF2D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46" w:type="dxa"/>
            <w:noWrap/>
            <w:vAlign w:val="center"/>
          </w:tcPr>
          <w:p w14:paraId="7B3B3403">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1、符合GB19156-2019《消防炮》</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2、额定工作压力：≤0.8Mpa,工作压力范围0.8MPa-1.0MPa；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3、流量：≥40.3L/S,射程≥65.5m；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4、喷雾角(°)≥120,俯仰角(°)：≥+30～+70,水炮可调角度±20°；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5、可连接2条65水带接口，重量≤11.5KG,水炮进水口含有单向阀，可以使用单条水带。</w:t>
            </w:r>
          </w:p>
        </w:tc>
      </w:tr>
      <w:tr w14:paraId="6D1D4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4DF03398">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30</w:t>
            </w:r>
          </w:p>
        </w:tc>
        <w:tc>
          <w:tcPr>
            <w:tcW w:w="1769" w:type="dxa"/>
            <w:noWrap/>
            <w:vAlign w:val="center"/>
          </w:tcPr>
          <w:p w14:paraId="50897FBA">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移动式排烟机</w:t>
            </w:r>
          </w:p>
        </w:tc>
        <w:tc>
          <w:tcPr>
            <w:tcW w:w="869" w:type="dxa"/>
            <w:noWrap/>
            <w:vAlign w:val="center"/>
          </w:tcPr>
          <w:p w14:paraId="2A2BAEF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25" w:type="dxa"/>
            <w:noWrap/>
            <w:vAlign w:val="center"/>
          </w:tcPr>
          <w:p w14:paraId="12B201A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46" w:type="dxa"/>
            <w:noWrap/>
            <w:vAlign w:val="center"/>
          </w:tcPr>
          <w:p w14:paraId="5A3809BC">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发动机型式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四冲程、单缸、风冷汽油机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功率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3.6KW  (165cc)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额定转速≦3600r/min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风扇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42Cm*7个叶片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 xml:space="preserve">PPV风量 </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9000~12000m³/h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 xml:space="preserve">质量≤30kg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体积</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≤L350×B700×H</w:t>
            </w:r>
            <w:r>
              <w:rPr>
                <w:rFonts w:hint="eastAsia" w:ascii="宋体" w:hAnsi="宋体" w:cs="宋体"/>
                <w:i w:val="0"/>
                <w:iCs w:val="0"/>
                <w:color w:val="auto"/>
                <w:kern w:val="0"/>
                <w:sz w:val="22"/>
                <w:szCs w:val="22"/>
                <w:highlight w:val="none"/>
                <w:u w:val="none"/>
                <w:lang w:val="en-US" w:eastAsia="zh-CN" w:bidi="ar"/>
              </w:rPr>
              <w:t>80</w:t>
            </w:r>
            <w:r>
              <w:rPr>
                <w:rFonts w:hint="eastAsia" w:ascii="宋体" w:hAnsi="宋体" w:eastAsia="宋体" w:cs="宋体"/>
                <w:i w:val="0"/>
                <w:iCs w:val="0"/>
                <w:color w:val="auto"/>
                <w:kern w:val="0"/>
                <w:sz w:val="22"/>
                <w:szCs w:val="22"/>
                <w:highlight w:val="none"/>
                <w:u w:val="none"/>
                <w:lang w:val="en-US" w:eastAsia="zh-CN" w:bidi="ar"/>
              </w:rPr>
              <w:t>0mm</w:t>
            </w:r>
          </w:p>
        </w:tc>
      </w:tr>
      <w:tr w14:paraId="64758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0397ED00">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1769" w:type="dxa"/>
            <w:noWrap/>
            <w:vAlign w:val="center"/>
          </w:tcPr>
          <w:p w14:paraId="291DBA52">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6米拉梯</w:t>
            </w:r>
          </w:p>
        </w:tc>
        <w:tc>
          <w:tcPr>
            <w:tcW w:w="869" w:type="dxa"/>
            <w:noWrap/>
            <w:vAlign w:val="center"/>
          </w:tcPr>
          <w:p w14:paraId="2591FA7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25" w:type="dxa"/>
            <w:noWrap/>
            <w:vAlign w:val="center"/>
          </w:tcPr>
          <w:p w14:paraId="2E49BC6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46" w:type="dxa"/>
            <w:noWrap/>
            <w:vAlign w:val="center"/>
          </w:tcPr>
          <w:p w14:paraId="7C13380F">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符合XF137-2007《消防梯》标准要求，</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并取得自愿性认证。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1.工作高度：6±0.2m。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2.最小梯宽：300±3mm。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3.梯蹬间距：280±2mm。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4.整梯质量：≤28kg。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5.水平弯曲残余变形比值：≤0.10％。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6.梯蹬剪切强度：梯蹬与侧板的连接处和梯蹬本身无任何断裂现象。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7.拉梯进行单撑脚载荷试验后，撑脚及联接件没有松动、损伤及变形。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梯蹬与侧板紧密吻合，无松动和加楔。金属零件和竹质零件紧密粘合，无补塞。紧固件垂直旋紧，没有突出的钉头锋口和毛刺等缺陷。铆钉紧固并呈平整半圆头。消防梯外表面光滑无毛刺，表面涂有不导电的涂料保护，竹表面呈桔黄色，金属零件镀锌并涂有黑色磁漆。涂料表面光亮，色泽均匀，无漏涂、流痕和影响外表面质量的缺陷。拉梯的撑脚采用优质金属制造，工作时能可靠支撑在梯蹬上。拉梯在展开和缩合的过程中，其限位装置牢固可靠</w:t>
            </w:r>
          </w:p>
        </w:tc>
      </w:tr>
      <w:tr w14:paraId="0F944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4DB22EF1">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32</w:t>
            </w:r>
          </w:p>
        </w:tc>
        <w:tc>
          <w:tcPr>
            <w:tcW w:w="1769" w:type="dxa"/>
            <w:noWrap/>
            <w:vAlign w:val="center"/>
          </w:tcPr>
          <w:p w14:paraId="0F538D2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单杠梯</w:t>
            </w:r>
          </w:p>
        </w:tc>
        <w:tc>
          <w:tcPr>
            <w:tcW w:w="869" w:type="dxa"/>
            <w:noWrap/>
            <w:vAlign w:val="center"/>
          </w:tcPr>
          <w:p w14:paraId="6E313DC9">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25" w:type="dxa"/>
            <w:noWrap/>
            <w:vAlign w:val="center"/>
          </w:tcPr>
          <w:p w14:paraId="45E3C6F7">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46" w:type="dxa"/>
            <w:noWrap/>
            <w:vAlign w:val="center"/>
          </w:tcPr>
          <w:p w14:paraId="245D8367">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符合XF137-2007《消防梯》标准要求，</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并取得自愿性认证。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1.工作高度：3±0.1m。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2.最小梯宽：250±2mm。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3.梯蹬间距：340±2mm。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4.整梯质量：≤8.85kg。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5.梯节扭转角：≤10°。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6.水平弯曲残余变形比值：≤0.15％。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7.梯蹬弯曲残余变形比值：≤0.24％。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8.侧板悬臂弯曲最大变形值：≤1.3mm。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9.侧板摇摆残余变形比值：≤0.18％。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10.梯蹬剪切强度：梯蹬与侧板的连接处和梯蹬本身无任何断裂现象。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11.消防梯在进行翘曲试验后，任一梯脚均不离地。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梯蹬与侧板紧密吻合，无松动和加楔，金属梯蹬设有防滑措施。金属零件和竹质零件紧密粘合，无补塞。紧固件垂直旋紧，没有突出的钉头锋口和毛刺等缺陷。铆钉紧固并呈平整半圆头。消防梯外表面光滑无毛刺，表面涂有不导电的涂料保护，竹表面呈桔黄色，金属零件镀锌并涂有黑色磁漆。涂料表面光亮，色泽均匀，无漏涂、流痕和影响外表面质量的缺陷。单杆梯展开后，目测梯蹬与侧板的夹角为直角，折合后两侧板无翘曲和歪斜。</w:t>
            </w:r>
          </w:p>
        </w:tc>
      </w:tr>
      <w:tr w14:paraId="4A384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48103EA5">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33</w:t>
            </w:r>
          </w:p>
        </w:tc>
        <w:tc>
          <w:tcPr>
            <w:tcW w:w="1769" w:type="dxa"/>
            <w:noWrap/>
            <w:vAlign w:val="center"/>
          </w:tcPr>
          <w:p w14:paraId="619B0AC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消火栓扳手</w:t>
            </w:r>
          </w:p>
        </w:tc>
        <w:tc>
          <w:tcPr>
            <w:tcW w:w="869" w:type="dxa"/>
            <w:noWrap/>
            <w:vAlign w:val="center"/>
          </w:tcPr>
          <w:p w14:paraId="3891EFC3">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625" w:type="dxa"/>
            <w:noWrap/>
            <w:vAlign w:val="center"/>
          </w:tcPr>
          <w:p w14:paraId="4009732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46" w:type="dxa"/>
            <w:noWrap/>
            <w:vAlign w:val="center"/>
          </w:tcPr>
          <w:p w14:paraId="3EF24D04">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消防扳手可用于日常应急消防、便于辅助消防栓的正常开启及使用。扳手本身采用红色防锈涂层，防锈耐用。使用方便、快捷。</w:t>
            </w:r>
          </w:p>
        </w:tc>
      </w:tr>
      <w:tr w14:paraId="0805A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68910BEA">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34</w:t>
            </w:r>
          </w:p>
        </w:tc>
        <w:tc>
          <w:tcPr>
            <w:tcW w:w="1769" w:type="dxa"/>
            <w:noWrap/>
            <w:vAlign w:val="center"/>
          </w:tcPr>
          <w:p w14:paraId="5B54D54E">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65×20M水带</w:t>
            </w:r>
          </w:p>
        </w:tc>
        <w:tc>
          <w:tcPr>
            <w:tcW w:w="869" w:type="dxa"/>
            <w:noWrap/>
            <w:vAlign w:val="center"/>
          </w:tcPr>
          <w:p w14:paraId="16F270D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625" w:type="dxa"/>
            <w:noWrap/>
            <w:vAlign w:val="center"/>
          </w:tcPr>
          <w:p w14:paraId="111C21B3">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4646" w:type="dxa"/>
            <w:noWrap/>
            <w:vAlign w:val="center"/>
          </w:tcPr>
          <w:p w14:paraId="12CFE781">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符合GB6246-2011《有衬里消防水带性能要求和实验方法》标准。水带在端部附近中心线两侧有印产品名称、设计工作压力、规格（公称内径及长度）、经线、纬线及衬里材质、生产厂名、注册商标、生产日期。织物层编织均匀、表面整洁，无跳双径、断双径、跳纬及划伤。厚度均匀，表面光洁平整，无折皱和其他缺陷。聚氨脂材料制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内径：63.5mm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长度：20m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单位长度质量:274g/m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爆破压力:5.32MPa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延伸率:2.9%</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膨胀率:4.6%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附着强度:55.8N/25mm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9.</w:t>
            </w:r>
            <w:r>
              <w:rPr>
                <w:rFonts w:hint="eastAsia" w:ascii="宋体" w:hAnsi="宋体" w:eastAsia="宋体" w:cs="宋体"/>
                <w:i w:val="0"/>
                <w:iCs w:val="0"/>
                <w:color w:val="auto"/>
                <w:kern w:val="0"/>
                <w:sz w:val="22"/>
                <w:szCs w:val="22"/>
                <w:highlight w:val="none"/>
                <w:u w:val="none"/>
                <w:lang w:val="en-US" w:eastAsia="zh-CN" w:bidi="ar"/>
              </w:rPr>
              <w:t>扯断伸长率：402.1%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扯断强度：49MPa</w:t>
            </w:r>
          </w:p>
        </w:tc>
      </w:tr>
      <w:tr w14:paraId="01B65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1493734E">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35</w:t>
            </w:r>
          </w:p>
        </w:tc>
        <w:tc>
          <w:tcPr>
            <w:tcW w:w="1769" w:type="dxa"/>
            <w:noWrap/>
            <w:vAlign w:val="center"/>
          </w:tcPr>
          <w:p w14:paraId="2068096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40×20M水带</w:t>
            </w:r>
          </w:p>
        </w:tc>
        <w:tc>
          <w:tcPr>
            <w:tcW w:w="869" w:type="dxa"/>
            <w:noWrap/>
            <w:vAlign w:val="center"/>
          </w:tcPr>
          <w:p w14:paraId="7C0BB0E2">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625" w:type="dxa"/>
            <w:noWrap/>
            <w:vAlign w:val="center"/>
          </w:tcPr>
          <w:p w14:paraId="17E2F35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46" w:type="dxa"/>
            <w:noWrap/>
            <w:vAlign w:val="center"/>
          </w:tcPr>
          <w:p w14:paraId="4724CD73">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符合GB6246-2011《有衬里消防水带性能要求和实验方法》标准。水带在端部附近中心线两侧有印产品名称、设计工作压力、规格（公称内径及长度）、经线、纬线及衬里材质、生产厂名、注册商标、生产日期。织物层编织均匀、表面整洁，无跳双径、断双径、跳纬及划伤。厚度均匀，表面光洁平整，无折皱和其他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内径：38.0mm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长度：20m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单位长度质量：174g/m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爆破压力：7.92MPa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延伸率：1.9%</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膨胀率：5.5%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附着强度：42.9N/25mm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9.</w:t>
            </w:r>
            <w:r>
              <w:rPr>
                <w:rFonts w:hint="eastAsia" w:ascii="宋体" w:hAnsi="宋体" w:eastAsia="宋体" w:cs="宋体"/>
                <w:i w:val="0"/>
                <w:iCs w:val="0"/>
                <w:color w:val="auto"/>
                <w:kern w:val="0"/>
                <w:sz w:val="22"/>
                <w:szCs w:val="22"/>
                <w:highlight w:val="none"/>
                <w:u w:val="none"/>
                <w:lang w:val="en-US" w:eastAsia="zh-CN" w:bidi="ar"/>
              </w:rPr>
              <w:t>扯断伸长率：481.2%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扯断强度：49MPa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11.</w:t>
            </w:r>
            <w:r>
              <w:rPr>
                <w:rFonts w:hint="eastAsia" w:ascii="宋体" w:hAnsi="宋体" w:eastAsia="宋体" w:cs="宋体"/>
                <w:i w:val="0"/>
                <w:iCs w:val="0"/>
                <w:color w:val="auto"/>
                <w:kern w:val="0"/>
                <w:sz w:val="22"/>
                <w:szCs w:val="22"/>
                <w:highlight w:val="none"/>
                <w:u w:val="none"/>
                <w:lang w:val="en-US" w:eastAsia="zh-CN" w:bidi="ar"/>
              </w:rPr>
              <w:t>热空气气老化: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附着强度 织物层与村里（%）：108.7</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爆破压力（%）：94.5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耐磨次数：100</w:t>
            </w:r>
          </w:p>
        </w:tc>
      </w:tr>
      <w:tr w14:paraId="457D6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73E1CF4B">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36</w:t>
            </w:r>
          </w:p>
        </w:tc>
        <w:tc>
          <w:tcPr>
            <w:tcW w:w="1769" w:type="dxa"/>
            <w:noWrap/>
            <w:vAlign w:val="center"/>
          </w:tcPr>
          <w:p w14:paraId="126B86D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80×20M水带</w:t>
            </w:r>
          </w:p>
        </w:tc>
        <w:tc>
          <w:tcPr>
            <w:tcW w:w="869" w:type="dxa"/>
            <w:noWrap/>
            <w:vAlign w:val="center"/>
          </w:tcPr>
          <w:p w14:paraId="575B12A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625" w:type="dxa"/>
            <w:noWrap/>
            <w:vAlign w:val="center"/>
          </w:tcPr>
          <w:p w14:paraId="6ECB080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4646" w:type="dxa"/>
            <w:noWrap/>
            <w:vAlign w:val="center"/>
          </w:tcPr>
          <w:p w14:paraId="03BC14EF">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符合GB6246-2011《有衬里消防水带性能要求和实验方法》标准。水带在端部附近中心线两侧有印产品名称、设计工作压力、规格（公称内径及长度）、经线、纬线及衬里材质、生产厂名、注册商标、生产日期。织物层编织均匀、表面整洁，无跳双径、断双径、跳纬及划伤。厚度均匀，表面光洁平整，无折皱和其他缺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内径：76.0mm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长度：20m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单位长度质量：292g/m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爆破压力：5.04MPa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延伸率：3.5%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膨胀率：4.7%</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附着强度：56.7N/25mm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9.</w:t>
            </w:r>
            <w:r>
              <w:rPr>
                <w:rFonts w:hint="eastAsia" w:ascii="宋体" w:hAnsi="宋体" w:eastAsia="宋体" w:cs="宋体"/>
                <w:i w:val="0"/>
                <w:iCs w:val="0"/>
                <w:color w:val="auto"/>
                <w:kern w:val="0"/>
                <w:sz w:val="22"/>
                <w:szCs w:val="22"/>
                <w:highlight w:val="none"/>
                <w:u w:val="none"/>
                <w:lang w:val="en-US" w:eastAsia="zh-CN" w:bidi="ar"/>
              </w:rPr>
              <w:t>扯断伸长率：406.6%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扯断强度：49.2MPa</w:t>
            </w:r>
          </w:p>
        </w:tc>
      </w:tr>
      <w:tr w14:paraId="5C801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40825D1E">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37</w:t>
            </w:r>
          </w:p>
        </w:tc>
        <w:tc>
          <w:tcPr>
            <w:tcW w:w="1769" w:type="dxa"/>
            <w:noWrap/>
            <w:vAlign w:val="center"/>
          </w:tcPr>
          <w:p w14:paraId="4D31E002">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65母口—65卡扣</w:t>
            </w:r>
          </w:p>
        </w:tc>
        <w:tc>
          <w:tcPr>
            <w:tcW w:w="869" w:type="dxa"/>
            <w:noWrap/>
            <w:vAlign w:val="center"/>
          </w:tcPr>
          <w:p w14:paraId="651C993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3E7DF3A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46" w:type="dxa"/>
            <w:noWrap/>
            <w:vAlign w:val="center"/>
          </w:tcPr>
          <w:p w14:paraId="4A8E716F">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1.满足GB12514.1-2005消防接口通用技术条件要求，各类接口的基本尺寸应符合相应标准的要求。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2.该产品由铝合金铸造而成，具有重量轻、强度高、耐腐蚀、连接灵活等特点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3.工作压力≥1.6MPa。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4.在1.5倍公称压力下，不应出现裂缝或断裂现象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5.适用介质：水、泡沫混合液。</w:t>
            </w:r>
          </w:p>
        </w:tc>
      </w:tr>
      <w:tr w14:paraId="1F01C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67FFE844">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38</w:t>
            </w:r>
          </w:p>
        </w:tc>
        <w:tc>
          <w:tcPr>
            <w:tcW w:w="1769" w:type="dxa"/>
            <w:noWrap/>
            <w:vAlign w:val="center"/>
          </w:tcPr>
          <w:p w14:paraId="7D7B3384">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80卡扣-80母口</w:t>
            </w:r>
          </w:p>
        </w:tc>
        <w:tc>
          <w:tcPr>
            <w:tcW w:w="869" w:type="dxa"/>
            <w:noWrap/>
            <w:vAlign w:val="center"/>
          </w:tcPr>
          <w:p w14:paraId="79D9593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633D48D9">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46" w:type="dxa"/>
            <w:noWrap/>
            <w:vAlign w:val="center"/>
          </w:tcPr>
          <w:p w14:paraId="4364641B">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1.满足GB12514.1-2005消防接口通用技术条件要求，各类接口的基本尺寸应符合相应标准的要求。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2.该产品由铝合金铸造而成，具有重量轻、强度高、耐腐蚀、连接灵活等特点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3.工作压力≥1.6MPa。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4.在1.5倍公称压力下，不应出现裂缝或断裂现象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5.适用介质：水、泡沫混合液。</w:t>
            </w:r>
          </w:p>
        </w:tc>
      </w:tr>
      <w:tr w14:paraId="1A45D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2997D86F">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39</w:t>
            </w:r>
          </w:p>
        </w:tc>
        <w:tc>
          <w:tcPr>
            <w:tcW w:w="1769" w:type="dxa"/>
            <w:noWrap/>
            <w:vAlign w:val="center"/>
          </w:tcPr>
          <w:p w14:paraId="562D832A">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65卡扣-80母口</w:t>
            </w:r>
          </w:p>
        </w:tc>
        <w:tc>
          <w:tcPr>
            <w:tcW w:w="869" w:type="dxa"/>
            <w:noWrap/>
            <w:vAlign w:val="center"/>
          </w:tcPr>
          <w:p w14:paraId="2F82CC62">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0BE26C1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46" w:type="dxa"/>
            <w:noWrap/>
            <w:vAlign w:val="center"/>
          </w:tcPr>
          <w:p w14:paraId="3A52450A">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1.满足GB12514.1-2005消防接口通用技术条件要求，各类接口的基本尺寸应符合相应标准的要求。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2.该产品由铝合金铸造而成，具有重量轻、强度高、耐腐蚀、连接灵活等特点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3.工作压力≥1.6MPa。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4.在1.5倍公称压力下，不应出现裂缝或断裂现象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5.适用介质：水、泡沫混合液。</w:t>
            </w:r>
          </w:p>
        </w:tc>
      </w:tr>
      <w:tr w14:paraId="7F989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1CC5D9F7">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40</w:t>
            </w:r>
          </w:p>
        </w:tc>
        <w:tc>
          <w:tcPr>
            <w:tcW w:w="1769" w:type="dxa"/>
            <w:noWrap/>
            <w:vAlign w:val="center"/>
          </w:tcPr>
          <w:p w14:paraId="79563DC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80卡扣-65母口</w:t>
            </w:r>
          </w:p>
        </w:tc>
        <w:tc>
          <w:tcPr>
            <w:tcW w:w="869" w:type="dxa"/>
            <w:noWrap/>
            <w:vAlign w:val="center"/>
          </w:tcPr>
          <w:p w14:paraId="732EB60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01F0D23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46" w:type="dxa"/>
            <w:noWrap/>
            <w:vAlign w:val="center"/>
          </w:tcPr>
          <w:p w14:paraId="201E95EF">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1.满足GB12514.1-2005消防接口通用技术条件要求，各类接口的基本尺寸应符合相应标准的要求。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2.该产品由铝合金铸造而成，具有重量轻、强度高、耐腐蚀、连接灵活等特点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3.工作压力≥1.6MPa。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4.在1.5倍公称压力下，不应出现裂缝或断裂现象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5.适用介质：水、泡沫混合液。</w:t>
            </w:r>
          </w:p>
        </w:tc>
      </w:tr>
      <w:tr w14:paraId="5E421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4818F49F">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41</w:t>
            </w:r>
          </w:p>
        </w:tc>
        <w:tc>
          <w:tcPr>
            <w:tcW w:w="1769" w:type="dxa"/>
            <w:noWrap/>
            <w:vAlign w:val="center"/>
          </w:tcPr>
          <w:p w14:paraId="50EA2907">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65公口-80母口</w:t>
            </w:r>
          </w:p>
        </w:tc>
        <w:tc>
          <w:tcPr>
            <w:tcW w:w="869" w:type="dxa"/>
            <w:noWrap/>
            <w:vAlign w:val="center"/>
          </w:tcPr>
          <w:p w14:paraId="393F53C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0ADE236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46" w:type="dxa"/>
            <w:noWrap/>
            <w:vAlign w:val="center"/>
          </w:tcPr>
          <w:p w14:paraId="7F798D54">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1.满足GB12514.1-2005消防接口通用技术条件要求，各类接口的基本尺寸应符合相应标准的要求。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2.该产品由铝合金铸造而成，具有重量轻、强度高、耐腐蚀、连接灵活等特点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3.工作压力≥1.6MPa。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4.在1.5倍公称压力下，不应出现裂缝或断裂现象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5.适用介质：水、泡沫混合液。</w:t>
            </w:r>
          </w:p>
        </w:tc>
      </w:tr>
      <w:tr w14:paraId="31AD3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169BE33A">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42</w:t>
            </w:r>
          </w:p>
        </w:tc>
        <w:tc>
          <w:tcPr>
            <w:tcW w:w="1769" w:type="dxa"/>
            <w:noWrap/>
            <w:vAlign w:val="center"/>
          </w:tcPr>
          <w:p w14:paraId="16FEB21E">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异形接口</w:t>
            </w:r>
          </w:p>
        </w:tc>
        <w:tc>
          <w:tcPr>
            <w:tcW w:w="869" w:type="dxa"/>
            <w:noWrap/>
            <w:vAlign w:val="center"/>
          </w:tcPr>
          <w:p w14:paraId="2648841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0F2D2CF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46" w:type="dxa"/>
            <w:noWrap/>
            <w:vAlign w:val="center"/>
          </w:tcPr>
          <w:p w14:paraId="5E707B75">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1.满足GB12514.1-2005消防接口通用技术条件要求，各类接口的基本尺寸应符合相应标准的要求。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2.该产品由铝合金铸造而成，具有重量轻、强度高、耐腐蚀、连接灵活等特点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3.工作压力≥1.6MPa。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4.在1.5倍公称压力下，不应出现裂缝或断裂现象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5.适用介质：水、泡沫混合液。</w:t>
            </w:r>
          </w:p>
        </w:tc>
      </w:tr>
      <w:tr w14:paraId="5C860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15E31A7F">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43</w:t>
            </w:r>
          </w:p>
        </w:tc>
        <w:tc>
          <w:tcPr>
            <w:tcW w:w="1769" w:type="dxa"/>
            <w:noWrap/>
            <w:vAlign w:val="center"/>
          </w:tcPr>
          <w:p w14:paraId="093DB52C">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40卡扣-65卡扣</w:t>
            </w:r>
          </w:p>
        </w:tc>
        <w:tc>
          <w:tcPr>
            <w:tcW w:w="869" w:type="dxa"/>
            <w:noWrap/>
            <w:vAlign w:val="center"/>
          </w:tcPr>
          <w:p w14:paraId="3A66CE9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1937670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46" w:type="dxa"/>
            <w:noWrap/>
            <w:vAlign w:val="center"/>
          </w:tcPr>
          <w:p w14:paraId="37EF9AE2">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1.满足GB12514.1-2005消防接口通用技术条件要求，各类接口的基本尺寸应符合相应标准的要求。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2.该产品由铝合金铸造而成，具有重量轻、强度高、耐腐蚀、连接灵活等特点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3.工作压力≥1.6MPa。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4.在1.5倍公称压力下，不应出现裂缝或断裂现象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5.适用介质：水、泡沫混合液。</w:t>
            </w:r>
          </w:p>
        </w:tc>
      </w:tr>
      <w:tr w14:paraId="727FB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37D8E4B3">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44</w:t>
            </w:r>
          </w:p>
        </w:tc>
        <w:tc>
          <w:tcPr>
            <w:tcW w:w="1769" w:type="dxa"/>
            <w:noWrap/>
            <w:vAlign w:val="center"/>
          </w:tcPr>
          <w:p w14:paraId="710A2062">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40卡扣-65母口</w:t>
            </w:r>
          </w:p>
        </w:tc>
        <w:tc>
          <w:tcPr>
            <w:tcW w:w="869" w:type="dxa"/>
            <w:noWrap/>
            <w:vAlign w:val="center"/>
          </w:tcPr>
          <w:p w14:paraId="4B47B31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35CE0414">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46" w:type="dxa"/>
            <w:noWrap/>
            <w:vAlign w:val="center"/>
          </w:tcPr>
          <w:p w14:paraId="37FE6CF6">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1.满足GB12514.1-2005消防接口通用技术条件要求，各类接口的基本尺寸应符合相应标准的要求。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2.该产品由铝合金铸造而成，具有重量轻、强度高、耐腐蚀、连接灵活等特点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3.工作压力≥1.6MPa。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4.在1.5倍公称压力下，不应出现裂缝或断裂现象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5.适用介质：水、泡沫混合液。</w:t>
            </w:r>
          </w:p>
        </w:tc>
      </w:tr>
      <w:tr w14:paraId="291BA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6AE9B360">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45</w:t>
            </w:r>
          </w:p>
        </w:tc>
        <w:tc>
          <w:tcPr>
            <w:tcW w:w="1769" w:type="dxa"/>
            <w:noWrap/>
            <w:vAlign w:val="center"/>
          </w:tcPr>
          <w:p w14:paraId="4A3425D9">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40卡扣-65公口</w:t>
            </w:r>
          </w:p>
        </w:tc>
        <w:tc>
          <w:tcPr>
            <w:tcW w:w="869" w:type="dxa"/>
            <w:noWrap/>
            <w:vAlign w:val="center"/>
          </w:tcPr>
          <w:p w14:paraId="3268604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50D5830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46" w:type="dxa"/>
            <w:noWrap/>
            <w:vAlign w:val="center"/>
          </w:tcPr>
          <w:p w14:paraId="6B873E74">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1.满足GB12514.1-2005消防接口通用技术条件要求，各类接口的基本尺寸应符合相应标准的要求。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2.该产品由铝合金铸造而成，具有重量轻、强度高、耐腐蚀、连接灵活等特点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3.工作压力≥1.6MPa。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4.在1.5倍公称压力下，不应出现裂缝或断裂现象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5.适用介质：水、泡沫混合液。</w:t>
            </w:r>
          </w:p>
        </w:tc>
      </w:tr>
      <w:tr w14:paraId="507E1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76BDE016">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46</w:t>
            </w:r>
          </w:p>
        </w:tc>
        <w:tc>
          <w:tcPr>
            <w:tcW w:w="1769" w:type="dxa"/>
            <w:noWrap/>
            <w:vAlign w:val="center"/>
          </w:tcPr>
          <w:p w14:paraId="3480143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漏电探测棒</w:t>
            </w:r>
          </w:p>
        </w:tc>
        <w:tc>
          <w:tcPr>
            <w:tcW w:w="869" w:type="dxa"/>
            <w:noWrap/>
            <w:vAlign w:val="center"/>
          </w:tcPr>
          <w:p w14:paraId="1FF735F2">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18963BA9">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46" w:type="dxa"/>
            <w:noWrap/>
            <w:vAlign w:val="center"/>
          </w:tcPr>
          <w:p w14:paraId="480D84BA">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1、外壳采用PC材质与TPE硅胶绝缘材质一体注塑成型；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2、配备OLED彩屏，可实时显示当前工作模式、开机画面、人员信息、照明模式、低/中/高档探测模式、电池图标、漏电图标；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3、采用5000mAh容量锂电池供电，支持Type-C/5V反复充电；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▲4、具有蓝牙APP功能，APP端可以显示设备工作状态、剩余使用时间、当前操作模式及各类图标/符号；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5、前端设有LED照明功能，照明模块可辅助昏暗环境下操作；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6、可实时对高低压交流电进行探测，报警探测距离0m-8m以上，可探知160m以外的传统非屏蔽高压输电线；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7、电压频率范围20-100Hz；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8、可探测不少于120V、220V、380V、7.2kV、46kV；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9、防护等级IP65；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10、尺寸：≤直径</w:t>
            </w:r>
            <w:r>
              <w:rPr>
                <w:rFonts w:hint="eastAsia" w:ascii="宋体" w:hAnsi="宋体" w:cs="宋体"/>
                <w:i w:val="0"/>
                <w:iCs w:val="0"/>
                <w:color w:val="auto"/>
                <w:kern w:val="0"/>
                <w:sz w:val="22"/>
                <w:szCs w:val="22"/>
                <w:highlight w:val="none"/>
                <w:u w:val="none"/>
                <w:lang w:val="en-US" w:eastAsia="zh-CN" w:bidi="ar"/>
              </w:rPr>
              <w:t>40</w:t>
            </w:r>
            <w:r>
              <w:rPr>
                <w:rFonts w:hint="eastAsia" w:ascii="宋体" w:hAnsi="宋体" w:eastAsia="宋体" w:cs="宋体"/>
                <w:i w:val="0"/>
                <w:iCs w:val="0"/>
                <w:color w:val="auto"/>
                <w:kern w:val="0"/>
                <w:sz w:val="22"/>
                <w:szCs w:val="22"/>
                <w:highlight w:val="none"/>
                <w:u w:val="none"/>
                <w:lang w:val="en-US" w:eastAsia="zh-CN" w:bidi="ar"/>
              </w:rPr>
              <w:t>mm×长度5</w:t>
            </w:r>
            <w:r>
              <w:rPr>
                <w:rFonts w:hint="eastAsia" w:ascii="宋体" w:hAnsi="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mm;</w:t>
            </w:r>
          </w:p>
        </w:tc>
      </w:tr>
      <w:tr w14:paraId="568AC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0B4B6C83">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47</w:t>
            </w:r>
          </w:p>
        </w:tc>
        <w:tc>
          <w:tcPr>
            <w:tcW w:w="1769" w:type="dxa"/>
            <w:noWrap/>
            <w:vAlign w:val="center"/>
          </w:tcPr>
          <w:p w14:paraId="37B48C1E">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消防用红外热像仪</w:t>
            </w:r>
            <w:r>
              <w:rPr>
                <w:rFonts w:hint="eastAsia" w:ascii="宋体" w:hAnsi="宋体" w:cs="宋体"/>
                <w:b/>
                <w:bCs/>
                <w:i w:val="0"/>
                <w:iCs w:val="0"/>
                <w:color w:val="auto"/>
                <w:kern w:val="0"/>
                <w:sz w:val="22"/>
                <w:szCs w:val="22"/>
                <w:highlight w:val="none"/>
                <w:u w:val="none"/>
                <w:lang w:val="en-US" w:eastAsia="zh-CN" w:bidi="ar"/>
              </w:rPr>
              <w:t>（核心产品）</w:t>
            </w:r>
          </w:p>
        </w:tc>
        <w:tc>
          <w:tcPr>
            <w:tcW w:w="869" w:type="dxa"/>
            <w:noWrap/>
            <w:vAlign w:val="center"/>
          </w:tcPr>
          <w:p w14:paraId="526F0727">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25" w:type="dxa"/>
            <w:noWrap/>
            <w:vAlign w:val="center"/>
          </w:tcPr>
          <w:p w14:paraId="2D6952A9">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46" w:type="dxa"/>
            <w:noWrap/>
            <w:vAlign w:val="center"/>
          </w:tcPr>
          <w:p w14:paraId="37955296">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1.▲产品符合XF/T635-2023《消防用红外热像仪》、</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GB/T 10125-2021《人造气氛腐蚀试验 盐雾试验》等标准的要求，</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2.测温范围：-20℃~1000℃。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3.▲探测距离≥1000m。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4.高温贮存温度：80℃，低温贮存温度：-40℃。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5.抗跌落性能：红外热像仪以三个方向（x、Y、z）从2m高度各自由跌落到混凝土地面一次后，应能正常工作。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6.NETD：≤10mK。</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7.▲防护等级≥IP68。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8.红外镜头直径：≥16mm。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9.重量≤430g。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10.▲红外热像仪工作温度：-40℃-260℃。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11.特定环境温度持续工作时间:85℃时可工作30分钟，150℃可工作20分钟，260℃可工作8分钟。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12.热像仪连续稳定工作时间≥6小时（单块电池）。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13.耐盐雾性能：红外热像仪经历试验周期为96h的盐雾试验，试验后，红外热像仪的功能应正常。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14.一体化开模设计，内设中空导流层（中空5mm，内部有导流槽），整机只有3个超大按键按钮，戴手套仍可轻松、准确按压，按键功能可通过在热像仪主机上进行更，热像仪主机底部有金属挂点。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15.屏幕：2.8英寸＜屏幕尺寸＜3.5英寸。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16.具备激光指示功能。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17.▲具备激光测距功能。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18.▲具备TRP数字增强技术。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19.▲热像仪内置LED照明系统，开机、关机状态下均可开启或关闭，LED灯直径≥12mm，深度≥11m。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20.具备激光指示、红外、可见光、画中画、双光融合功能。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21.▲热像仪主机具备AP和STA两种Wifi功能。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22.▲拍照照片≥25万张，录像视频≥240个小时（直接录制成MP4或AVI或其他格式），热像仪上有录像回放和图片查看模式及菜单，可在热像仪上查看或删除录像和图片。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23.热像仪具备TYPE-C接口，可对热像仪进行充电、数据传输、UVC投屏，热像仪主机具备双排3点式充电触点。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热像仪屏幕上的实时画面可通过WiFi传输至APP，APP内画面允许投屏到其他设备或平台。APP内可对热像仪上的录像和照片进行播放、查看、删除、下载至手机相册等。APP内可更改热像仪的发射率、距离、温度单位（摄氏度℃，华氏度℉，开式度K）。APP内可开启和关闭热像仪的最高温度点、最低温度点、中心温点、分析框，操作结果可同步显示在热像仪屏幕和APP画面内。APP内可释放热像仪挡板进行测温校准。APP内可更改热像仪画面模式。APP内可控制热像仪进行拍照和录像，并保存文件。APP内可查看热像仪的设备详情（如设备名称、型号、序列号、应用程序版本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25.红外热像仪具有13种画面模式：红外（基本消防模式，流畅模式，白热模式，黑热模式，火灾模式，搜救模式，热检测模式，冷检测模式，检查模式，彩虹模式）、可见光、画中画、双光融合，画面模式以中文文字形式显示在热像仪屏幕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26.在高温火场环境中，使用流畅模式（混合增益技术），热像仪画面流畅不卡顿，高低温物体清晰可见。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27.车载充电器具备DC输入接口（接口清晰雕刻正负极，触点可旋转，通电亮蓝灯）、具备TYPE-C接口，具备两个4针串接线缆接口（接口清晰雕刻针脚序号，同型号充电器可串接在一起），具备双排3点式充电触点。重量＜160g，热像仪主机可完美贴合固定在车载充电器内，固定后不晃动、不掉落。红灯常亮代表正在充电，绿灯常亮代表已充满，红绿灯交替闪烁代表充电异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28.伸缩扣：260℃可工作5分钟。伸缩扣最大自由回缩力，垂直挂载时，挂载物重量≤2kg，挂绳拉出后仍可自由回缩；垂直挂载时，挂载物重量≥2kg，挂绳会跟随挂载物自由下落，无法保持在挂钩主体内（挂绳仓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29.报警功能：具有低电量报警功能。具有环境温度超温报警功能，可设置报警阈值，超温后，中心框温度数值由绿色转变成红色。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30.静电放电抗扰度：（1）放电电压:接触放电试验电压8kV,空气放电试验电压 15 kV（2）放电极性:正、负（3）放电间隔:≥1s（4）每点放电次数:10。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31.电磁辐射抗扰度：（1）场强：10 V/m(3 m法）（2）频率范围：80MHz~1000MHz （3）扫频速率／十倍频程每秒:≤1.5×10</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³（4）调制幅度：80%（1kHz，正弦）。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32.抗冲击性能：(1)加速度:30g(2)波形:半正弦波(3)持续时间:11 ms(4)冲击方向数:6(5)每方向冲击数:3次。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33.配件：车载充电器（含壁挂式固定器），电源转接模块（串接线缆），5A@250Y保险丝线缆，可替换插头，USB连接线，点烟器（USB-A接口，具备指示灯），金属固定支架，M5、M2.5螺钉。</w:t>
            </w:r>
          </w:p>
        </w:tc>
      </w:tr>
      <w:tr w14:paraId="63B5C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76636577">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48</w:t>
            </w:r>
          </w:p>
        </w:tc>
        <w:tc>
          <w:tcPr>
            <w:tcW w:w="1769" w:type="dxa"/>
            <w:noWrap/>
            <w:vAlign w:val="center"/>
          </w:tcPr>
          <w:p w14:paraId="7567B67E">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测温仪</w:t>
            </w:r>
          </w:p>
        </w:tc>
        <w:tc>
          <w:tcPr>
            <w:tcW w:w="869" w:type="dxa"/>
            <w:noWrap/>
            <w:vAlign w:val="center"/>
          </w:tcPr>
          <w:p w14:paraId="40E2CB3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25" w:type="dxa"/>
            <w:noWrap/>
            <w:vAlign w:val="center"/>
          </w:tcPr>
          <w:p w14:paraId="341F085C">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46" w:type="dxa"/>
            <w:noWrap/>
            <w:vAlign w:val="center"/>
          </w:tcPr>
          <w:p w14:paraId="40F28A02">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1、测量温度范围-30°至+500°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2、测量精度-50°至1100°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3、辐射率等级≥0.95,0.85,0.75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4、距离靶面比12:1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5、屏显尺寸≥36毫米x25毫米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6、亮屏显示器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7、激光等级2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8、激光类型650nm.&lt;1mW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9、重量≤0.3kg</w:t>
            </w:r>
          </w:p>
        </w:tc>
      </w:tr>
      <w:tr w14:paraId="3135D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40CB863F">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49</w:t>
            </w:r>
          </w:p>
        </w:tc>
        <w:tc>
          <w:tcPr>
            <w:tcW w:w="1769" w:type="dxa"/>
            <w:noWrap/>
            <w:vAlign w:val="center"/>
          </w:tcPr>
          <w:p w14:paraId="78BFDBFE">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有毒气体探测仪</w:t>
            </w:r>
          </w:p>
        </w:tc>
        <w:tc>
          <w:tcPr>
            <w:tcW w:w="869" w:type="dxa"/>
            <w:noWrap/>
            <w:vAlign w:val="center"/>
          </w:tcPr>
          <w:p w14:paraId="18F5897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25" w:type="dxa"/>
            <w:noWrap/>
            <w:vAlign w:val="center"/>
          </w:tcPr>
          <w:p w14:paraId="2360AC9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46" w:type="dxa"/>
            <w:noWrap/>
            <w:vAlign w:val="center"/>
          </w:tcPr>
          <w:p w14:paraId="3CABD3BD">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1、测量范围:二氧化硫、一氧化碳、硫化氢、甲烷等4种有毒有害气体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2、分辨率:二氧化硫0.1ppm、一氧化碳 1ppm、甲烷0.1%LEL、硫化氢0.1ppm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3、误差:≤土5%；重复性:≤士2%；零点漂移:≤士2% (F. S/年)；恢复时间:≤30秒；响应时间≤20秒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4、电池容量:≥2800Ah锂离子充电电池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5、工作温度≥-10℃-55℃；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6、采用自然扩散和泵吸式气体检测方式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7、相对湿度:&lt;95%RH (非凝露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8、采用≥2.0英寸高清彩屏，120度宽广可视角；三按键操作方式，操作简便、直观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▲9、防爆等级≥Ex ib IIC T4 Gb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10传感器寿命:≥2年:产品质保标定2年</w:t>
            </w:r>
          </w:p>
        </w:tc>
      </w:tr>
      <w:tr w14:paraId="75C5D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37BAA300">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50</w:t>
            </w:r>
          </w:p>
        </w:tc>
        <w:tc>
          <w:tcPr>
            <w:tcW w:w="1769" w:type="dxa"/>
            <w:noWrap/>
            <w:vAlign w:val="center"/>
          </w:tcPr>
          <w:p w14:paraId="12F9852E">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可燃气体检测仪</w:t>
            </w:r>
          </w:p>
        </w:tc>
        <w:tc>
          <w:tcPr>
            <w:tcW w:w="869" w:type="dxa"/>
            <w:noWrap/>
            <w:vAlign w:val="center"/>
          </w:tcPr>
          <w:p w14:paraId="525773FC">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25" w:type="dxa"/>
            <w:noWrap/>
            <w:vAlign w:val="center"/>
          </w:tcPr>
          <w:p w14:paraId="19BA76A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46" w:type="dxa"/>
            <w:noWrap/>
            <w:vAlign w:val="center"/>
          </w:tcPr>
          <w:p w14:paraId="1052607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结构组成：产品由主机、鳄鱼夹、显示屏和充电器组成；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2、主要应用场景：主要用于救援现场的可燃气体检测包括不限于甲烷、丙烷，异丁烷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3、可燃气：量程：3~100%LEL；示值误差：&lt;±5%FS ，响应时间 ≤18s；</w:t>
            </w:r>
          </w:p>
          <w:p w14:paraId="3E8DA90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4、采样方式：扩散检测；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5、重量：≤135g(含电池）；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6、显示屏：LCD液晶显示；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7、工作温度：≥-10℃ ~ 55℃；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8、工作湿度： ≥ 10%-90%相对湿度；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9、报警方式：声报警≥80dB@30cm，声光报警，振动报警；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10、数据记录：≥1000组记录；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11、仪器具备振动、跌落试验，试验后应能正常工作和无机械损伤和紧固部位松动现象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12、传感器原理：催化原理或优于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防护等级：≥IP66；</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型式器具批准证书</w:t>
            </w:r>
            <w:r>
              <w:rPr>
                <w:rFonts w:hint="eastAsia" w:ascii="宋体" w:hAnsi="宋体" w:cs="宋体"/>
                <w:i w:val="0"/>
                <w:iCs w:val="0"/>
                <w:color w:val="auto"/>
                <w:kern w:val="0"/>
                <w:sz w:val="22"/>
                <w:szCs w:val="22"/>
                <w:highlight w:val="none"/>
                <w:u w:val="none"/>
                <w:lang w:val="en-US" w:eastAsia="zh-CN" w:bidi="ar"/>
              </w:rPr>
              <w:t>；</w:t>
            </w:r>
          </w:p>
          <w:p w14:paraId="257933E5">
            <w:pPr>
              <w:keepNext w:val="0"/>
              <w:keepLines w:val="0"/>
              <w:widowControl/>
              <w:numPr>
                <w:ilvl w:val="0"/>
                <w:numId w:val="0"/>
              </w:numPr>
              <w:suppressLineNumbers w:val="0"/>
              <w:jc w:val="left"/>
              <w:textAlignment w:val="center"/>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val="en-US" w:eastAsia="zh-CN"/>
              </w:rPr>
              <w:t>14、提供</w:t>
            </w:r>
            <w:r>
              <w:rPr>
                <w:rFonts w:hint="eastAsia" w:ascii="宋体" w:hAnsi="宋体" w:cs="宋体"/>
                <w:b w:val="0"/>
                <w:bCs w:val="0"/>
                <w:color w:val="auto"/>
                <w:sz w:val="21"/>
                <w:szCs w:val="21"/>
                <w:highlight w:val="none"/>
              </w:rPr>
              <w:t>应急管理部消防产品合格评定中心出具的3C认证证书或提供国家级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p>
        </w:tc>
      </w:tr>
      <w:tr w14:paraId="0FA9A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276BE8BC">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51</w:t>
            </w:r>
          </w:p>
        </w:tc>
        <w:tc>
          <w:tcPr>
            <w:tcW w:w="1769" w:type="dxa"/>
            <w:noWrap/>
            <w:vAlign w:val="center"/>
          </w:tcPr>
          <w:p w14:paraId="6B7AC5C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断线钳、铁锤、撬棒、消防斧等简易破拆工具</w:t>
            </w:r>
          </w:p>
        </w:tc>
        <w:tc>
          <w:tcPr>
            <w:tcW w:w="869" w:type="dxa"/>
            <w:noWrap/>
            <w:vAlign w:val="center"/>
          </w:tcPr>
          <w:p w14:paraId="486A185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25" w:type="dxa"/>
            <w:noWrap/>
            <w:vAlign w:val="center"/>
          </w:tcPr>
          <w:p w14:paraId="6169475E">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646" w:type="dxa"/>
            <w:noWrap/>
            <w:vAlign w:val="center"/>
          </w:tcPr>
          <w:p w14:paraId="3B4A9C15">
            <w:pP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断线钳：尺寸：24寸；重量：≤3Kg；可以剪断8mm以下钢筋；特性：剪刃口硬度HRC55-60， 剪柄(橡胶)耐电压20KV；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消防斧：斧头材质高碳工具钢锻打而成, 经热处理高频淬火硬度(HRC)48-55保证强度。斧柄采用TPR（热塑性橡胶材料）+PVC+玻璃纤维棒芯复合型手柄，柄芯采用玻璃纤维棒以保证强度，斧柄表面采用PVC制成绝缘轻便强度高，韧性好，外表包裹一层TPR经人体工程学设计防滑不震手，更环保，因材料特殊性永不折断，具备砍，剁，锤等功能。▲</w:t>
            </w:r>
            <w:r>
              <w:rPr>
                <w:rFonts w:hint="eastAsia" w:ascii="宋体" w:hAnsi="宋体" w:cs="宋体"/>
                <w:b w:val="0"/>
                <w:bCs w:val="0"/>
                <w:color w:val="auto"/>
                <w:sz w:val="21"/>
                <w:szCs w:val="21"/>
                <w:highlight w:val="none"/>
                <w:lang w:val="en-US" w:eastAsia="zh-CN"/>
              </w:rPr>
              <w:t>提供</w:t>
            </w:r>
            <w:r>
              <w:rPr>
                <w:rFonts w:hint="eastAsia" w:ascii="宋体" w:hAnsi="宋体" w:cs="宋体"/>
                <w:b w:val="0"/>
                <w:bCs w:val="0"/>
                <w:color w:val="auto"/>
                <w:sz w:val="21"/>
                <w:szCs w:val="21"/>
                <w:highlight w:val="none"/>
              </w:rPr>
              <w:t>应急管理部消防产品合格评定中心出具的3C认证证书或提供国家级或国家认可的第三方检测检验机构出具的检验报告。</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消防撬棍为六棱棍；可以凿撬抬起钉子等多用；还可以用于火场撬门破窗翘起被压物品方便救援；材质:高碳钢；表面喷漆处理；全长:≥920mm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消防锤头部采用高碳钢，经过整体锻打一次成型，锤柄采用TPR（热塑性橡胶材料）+PVC+玻璃纤维棒芯复合型手柄，柄芯采用玻璃纤维棒以保证强度，锤柄表面采用PVC制成绝缘轻便强度高，韧性好，外表包裹一层TPR经人体工程学设计防滑不震手，更环保，因材料特殊性永不折断，经过特殊热处理淬火工艺在应急救援中可以砸锁、破门、破坏石膏、复合板等墙体。</w:t>
            </w:r>
          </w:p>
        </w:tc>
      </w:tr>
      <w:tr w14:paraId="6D117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05DDB14E">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52</w:t>
            </w:r>
          </w:p>
        </w:tc>
        <w:tc>
          <w:tcPr>
            <w:tcW w:w="1769" w:type="dxa"/>
            <w:noWrap/>
            <w:vAlign w:val="center"/>
          </w:tcPr>
          <w:p w14:paraId="53B05E2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多功能挠钩</w:t>
            </w:r>
          </w:p>
        </w:tc>
        <w:tc>
          <w:tcPr>
            <w:tcW w:w="869" w:type="dxa"/>
            <w:noWrap/>
            <w:vAlign w:val="center"/>
          </w:tcPr>
          <w:p w14:paraId="2AD462FC">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25" w:type="dxa"/>
            <w:noWrap/>
            <w:vAlign w:val="center"/>
          </w:tcPr>
          <w:p w14:paraId="74CD2A9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46" w:type="dxa"/>
            <w:noWrap/>
            <w:vAlign w:val="center"/>
          </w:tcPr>
          <w:p w14:paraId="3D177324">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1.产品应符合GB32459-2015《消防应急救援装备 手动破拆工具通用技术条件》标准。</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2.采用多节组合式，可快速拆卸，更换不同工具头，具有锁扣。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3.配备挠钩、消防锤、爪耙、撑顶器、消防锯、消防剪、消防斧、攀高钩、探路棒、水平和标高仪等工具头。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4.所有工具头及连接点坚固耐用，表面光滑。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5.手柄杆做绝缘处理。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6.挠钩：破拆吊顶、钩拉电线等。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7.消防锤：可敲碎普通建筑窗户玻璃，可临时作为无火花工具使用。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8.爪耙：现场倒塌物、障碍物、有毒有害物质的清理，以及灾后垃圾的清理。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9.撑顶器：用于临时支撑易坍塌的危险场所的门框、窗户和其它构件。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10.消防锯：锯断一些一定高度的易坠落物、易坍塌物和构件。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11.消防剪：用于灾害现场的电线、树枝、连接线等剪切。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12.消防斧：可劈可撬，可以劈开门、窗、以及一些木质障碍物，也可撬开地板、箱、柜、门窗。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13.攀高钩：攀爬、登高使用。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14.水平和标高仪：单杆长≥1m，通过组合连接，可以在现场迅速地测量水平距离、标高、坑或涵洞深度。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15.探路棒：可以作为火灾、浓烟、洼地、水坑等场所灭火救援的探路工具。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16.产品需提供铝合金箱。</w:t>
            </w:r>
          </w:p>
        </w:tc>
      </w:tr>
      <w:tr w14:paraId="194E7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05D6C7F9">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53</w:t>
            </w:r>
          </w:p>
        </w:tc>
        <w:tc>
          <w:tcPr>
            <w:tcW w:w="1769" w:type="dxa"/>
            <w:noWrap/>
            <w:vAlign w:val="center"/>
          </w:tcPr>
          <w:p w14:paraId="084A9B7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电动破拆工具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（剪扩器）</w:t>
            </w:r>
          </w:p>
        </w:tc>
        <w:tc>
          <w:tcPr>
            <w:tcW w:w="869" w:type="dxa"/>
            <w:noWrap/>
            <w:vAlign w:val="center"/>
          </w:tcPr>
          <w:p w14:paraId="52DDA11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25" w:type="dxa"/>
            <w:noWrap/>
            <w:vAlign w:val="center"/>
          </w:tcPr>
          <w:p w14:paraId="43B47EC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46" w:type="dxa"/>
            <w:noWrap/>
            <w:vAlign w:val="center"/>
          </w:tcPr>
          <w:p w14:paraId="7D2FFFBA">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检测依据：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1.1、GB/T 4208-2017 外壳防护等级(IP代码)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color w:val="auto"/>
                <w:sz w:val="21"/>
                <w:szCs w:val="21"/>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1.2、参考 GB/T 17906-2021 消防应急救援装备 液压破拆工具通用技术条件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▲二、检测报告要求：</w:t>
            </w:r>
            <w:r>
              <w:rPr>
                <w:rFonts w:hint="eastAsia" w:ascii="宋体" w:hAnsi="宋体" w:cs="宋体"/>
                <w:b w:val="0"/>
                <w:bCs w:val="0"/>
                <w:color w:val="auto"/>
                <w:sz w:val="21"/>
                <w:szCs w:val="21"/>
                <w:highlight w:val="none"/>
              </w:rPr>
              <w:t>提供国家级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p>
          <w:p w14:paraId="0343D79B">
            <w:pPr>
              <w:keepNext w:val="0"/>
              <w:keepLines w:val="0"/>
              <w:widowControl/>
              <w:numPr>
                <w:ilvl w:val="0"/>
                <w:numId w:val="0"/>
              </w:numPr>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三、技术参数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2.1、额定工作压力：72MPa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▲2.2、最小扩张力(测力点距离扩张臂顶端 25mm 处）≥51kN，扩张力(测力点距离扩张臂顶端 110mm 处)≥65kN，理论最大扩张力≥982kN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2.3、扩张距离≥370mm，剪切刀刃开口距离≥270mm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2.4、牵引距离（不含牵引套具)≥275mm，最大牵引力≥71kN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2.5、剪切能力≥ф36mm(Q235圆钢)、≥20mmx50mm(Q235板材）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2.6、质量(不含电池)(kg）：</w:t>
            </w:r>
            <w:r>
              <w:rPr>
                <w:rFonts w:hint="eastAsia" w:ascii="宋体" w:hAnsi="宋体" w:cs="宋体"/>
                <w:i w:val="0"/>
                <w:iCs w:val="0"/>
                <w:color w:val="auto"/>
                <w:kern w:val="0"/>
                <w:sz w:val="22"/>
                <w:szCs w:val="22"/>
                <w:highlight w:val="none"/>
                <w:u w:val="none"/>
                <w:lang w:val="en-US" w:eastAsia="zh-CN" w:bidi="ar"/>
              </w:rPr>
              <w:t>≤20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▲2.7、外壳防护等级(机身)：IP68(水深5m)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2.8、理论最大剪切力≥1145kN，挤压力≥80kN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▲2.9、锂电池：防护等级IP68(水深5m)，电池容量≥28V 5.6Ah、质量≤1.</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2.10、控制板功能：集中式中央控制面板集电控开关、电量显示、功率负载、照明、方向指示等功能。电量低于20%时显示电量报警(红灯闪烁提醒);超负载警报提示红、黄、绿灯同时闪烁提醒);LED照明灯与破拆工具的液压系统使用同电源，不单独安装电池</w:t>
            </w:r>
          </w:p>
        </w:tc>
      </w:tr>
      <w:tr w14:paraId="5BC2C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35F18E95">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54</w:t>
            </w:r>
          </w:p>
        </w:tc>
        <w:tc>
          <w:tcPr>
            <w:tcW w:w="1769" w:type="dxa"/>
            <w:noWrap/>
            <w:vAlign w:val="center"/>
          </w:tcPr>
          <w:p w14:paraId="21079C5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无齿锯</w:t>
            </w:r>
          </w:p>
        </w:tc>
        <w:tc>
          <w:tcPr>
            <w:tcW w:w="869" w:type="dxa"/>
            <w:noWrap/>
            <w:vAlign w:val="center"/>
          </w:tcPr>
          <w:p w14:paraId="6E0201C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25" w:type="dxa"/>
            <w:noWrap/>
            <w:vAlign w:val="center"/>
          </w:tcPr>
          <w:p w14:paraId="752F999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46" w:type="dxa"/>
            <w:noWrap/>
            <w:vAlign w:val="center"/>
          </w:tcPr>
          <w:p w14:paraId="31068AFF">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适用于切割金属和混凝土材料的手持切割机，可以用水冲洗，适合各种恶劣环境中使用，符合GB/T5392-2017要求。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1.风冷二冲程发动机，功率大，重量轻，5级过滤系统，超长耐用，模块化设计，维护和更换零件简便；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2.功率≥3.7 KW；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3.锯片尺寸≥φ350mm；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4.切深≥125mm；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5.重量≤11Kg；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6.排量≥74CC；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7.配同品牌金属砂锯片1片，可以切割钢筋混凝土、金属、木材、橡胶、PVC、玻璃幕墙，以及高铁、地铁、飞机等符合材质；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8.提供国家级或国家认可的第三方检测检验机构出具的检测检验报告（报告应完整有效）。</w:t>
            </w:r>
          </w:p>
        </w:tc>
      </w:tr>
      <w:tr w14:paraId="47DF7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261506A8">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55</w:t>
            </w:r>
          </w:p>
        </w:tc>
        <w:tc>
          <w:tcPr>
            <w:tcW w:w="1769" w:type="dxa"/>
            <w:noWrap/>
            <w:vAlign w:val="center"/>
          </w:tcPr>
          <w:p w14:paraId="54336DF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通用安全绳</w:t>
            </w:r>
          </w:p>
        </w:tc>
        <w:tc>
          <w:tcPr>
            <w:tcW w:w="869" w:type="dxa"/>
            <w:noWrap/>
            <w:vAlign w:val="center"/>
          </w:tcPr>
          <w:p w14:paraId="553AB7F2">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7F4756C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46" w:type="dxa"/>
            <w:noWrap/>
            <w:vAlign w:val="center"/>
          </w:tcPr>
          <w:p w14:paraId="4A687591">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1.符合XF 494-2023《消防用防坠落装备》和TFRI-ZY-16:2020《消防产品自愿性认证实施规则消防员个人防护装备产品》的标准要求。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2.消防安全绳为连续结构，主承重部分由连续锦纶6业丝纤维制成。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3.安全绳采用包芯绳结构。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4.安全绳表面没有任何机械损伤现象，整绳粗细均匀、结构一致。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5.安全绳的两端裹以透明套管，没留有散丝。其中一端采用绳环结构，用细绳扎缝，缝合长度符合轻型安全绳50 mm以上，通用型安全绳100 mm以上的要求，并在扎缝处热封，外裹透明套管。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6.直径：16mm±0.5mm。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7.整体破断强度≥20kN,最大破断强度是55.53kN。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8.当承重达到最小破断强度的10%时，安全绳的延伸率是2.4%。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9.经 204℃±5℃的耐高温性能试验后，安全绳不出现融熔、焦化现象。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10.经抗滑移性能试验后，绳皮（护套）沿绳芯正反两方向的纵向滑移量是3mm。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11.标志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11.1在消防用防坠落装备的明显部位上设置永久性标志，且至少包括下列内容：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a)生产者和/或生产企业名称，采用五种方式之一表示，包括中文全称、英文或拼音全称、中文简称、英文或拼音简称、注册商标图案；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b)产品名称及型号；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c)生产日期或批号(前六位为生产年、月)；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d)产品执行标准的代号；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e)法律法规要求标注的其他内容。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11.2安全绳的绳芯内应编入一根宽度不小于2mm、贯穿全绳的信息条，其上至少包括生产者和/或生产企业名称，采用以下两种方式之一表示：中文全称、英文或拼音全称。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11.3安全绳的永久性标志设置在绳索任一端部的透明套管内。</w:t>
            </w:r>
          </w:p>
        </w:tc>
      </w:tr>
      <w:tr w14:paraId="7D1B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52379F75">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56</w:t>
            </w:r>
          </w:p>
        </w:tc>
        <w:tc>
          <w:tcPr>
            <w:tcW w:w="1769" w:type="dxa"/>
            <w:noWrap/>
            <w:vAlign w:val="center"/>
          </w:tcPr>
          <w:p w14:paraId="26E1ADB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发光导向绳</w:t>
            </w:r>
          </w:p>
        </w:tc>
        <w:tc>
          <w:tcPr>
            <w:tcW w:w="869" w:type="dxa"/>
            <w:noWrap/>
            <w:vAlign w:val="center"/>
          </w:tcPr>
          <w:p w14:paraId="61AB6D5C">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18213E0C">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46" w:type="dxa"/>
            <w:noWrap/>
            <w:vAlign w:val="center"/>
          </w:tcPr>
          <w:p w14:paraId="2E06435D">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1.符合GB26783-2011《消防救生照明线》标准和具有</w:t>
            </w:r>
            <w:r>
              <w:rPr>
                <w:rFonts w:hint="eastAsia" w:ascii="宋体" w:hAnsi="宋体" w:cs="宋体"/>
                <w:b w:val="0"/>
                <w:bCs w:val="0"/>
                <w:color w:val="auto"/>
                <w:sz w:val="21"/>
                <w:szCs w:val="21"/>
                <w:highlight w:val="none"/>
              </w:rPr>
              <w:t>国家级</w:t>
            </w:r>
            <w:r>
              <w:rPr>
                <w:rFonts w:hint="eastAsia" w:ascii="宋体" w:hAnsi="宋体" w:cs="宋体"/>
                <w:color w:val="auto"/>
                <w:sz w:val="21"/>
                <w:szCs w:val="21"/>
                <w:highlight w:val="none"/>
              </w:rPr>
              <w:t>或国家认可的第三方检测</w:t>
            </w:r>
            <w:r>
              <w:rPr>
                <w:rFonts w:hint="eastAsia" w:ascii="宋体" w:hAnsi="宋体" w:cs="宋体"/>
                <w:b w:val="0"/>
                <w:bCs w:val="0"/>
                <w:color w:val="auto"/>
                <w:sz w:val="21"/>
                <w:szCs w:val="21"/>
                <w:highlight w:val="none"/>
              </w:rPr>
              <w:t>检验机构出具的检验报告</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2.发光亮度：≥13 cd/m²；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3.闪烁频率：1.1Hz；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4.质量：≤4.03kg；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5.绝缘电阻：≥50MΩ；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6.最高表面温度：≤25℃；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7.连续工作时间：常亮≥8h，闪烁型≥16h。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8.产品有铭牌，清楚标记以下内容：产品名称、产品型号、工作电压和最大工作电流、制造厂名、制造日期、防爆标志、执行标准代号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9.长度100米</w:t>
            </w:r>
          </w:p>
        </w:tc>
      </w:tr>
      <w:tr w14:paraId="5650C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49EAA71C">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57</w:t>
            </w:r>
          </w:p>
        </w:tc>
        <w:tc>
          <w:tcPr>
            <w:tcW w:w="1769" w:type="dxa"/>
            <w:noWrap/>
            <w:vAlign w:val="center"/>
          </w:tcPr>
          <w:p w14:paraId="3DB6834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移车器</w:t>
            </w:r>
          </w:p>
        </w:tc>
        <w:tc>
          <w:tcPr>
            <w:tcW w:w="869" w:type="dxa"/>
            <w:noWrap/>
            <w:vAlign w:val="center"/>
          </w:tcPr>
          <w:p w14:paraId="51AE03F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22E154D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46" w:type="dxa"/>
            <w:noWrap/>
            <w:vAlign w:val="center"/>
          </w:tcPr>
          <w:p w14:paraId="720D35F6">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类型:杠杆齿轮式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规格:</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长550宽600高250mm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滚简:高硬度金属滚简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重量/台:</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kg/台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承重(4台):</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链条类型:高强度国标链条(质保10年)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主架材质:国标碳钢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适用轮胎:23寸及以下(84cm 以下)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9.</w:t>
            </w:r>
            <w:r>
              <w:rPr>
                <w:rFonts w:hint="eastAsia" w:ascii="宋体" w:hAnsi="宋体" w:eastAsia="宋体" w:cs="宋体"/>
                <w:i w:val="0"/>
                <w:iCs w:val="0"/>
                <w:color w:val="auto"/>
                <w:kern w:val="0"/>
                <w:sz w:val="22"/>
                <w:szCs w:val="22"/>
                <w:highlight w:val="none"/>
                <w:u w:val="none"/>
                <w:lang w:val="en-US" w:eastAsia="zh-CN" w:bidi="ar"/>
              </w:rPr>
              <w:t>适用车型:大型轿车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大型 SUV</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大型 12 座客车及以下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行走速度:s5km/h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11.</w:t>
            </w:r>
            <w:r>
              <w:rPr>
                <w:rFonts w:hint="eastAsia" w:ascii="宋体" w:hAnsi="宋体" w:eastAsia="宋体" w:cs="宋体"/>
                <w:i w:val="0"/>
                <w:iCs w:val="0"/>
                <w:color w:val="auto"/>
                <w:kern w:val="0"/>
                <w:sz w:val="22"/>
                <w:szCs w:val="22"/>
                <w:highlight w:val="none"/>
                <w:u w:val="none"/>
                <w:lang w:val="en-US" w:eastAsia="zh-CN" w:bidi="ar"/>
              </w:rPr>
              <w:t>提升速度:0.003m/s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12.</w:t>
            </w:r>
            <w:r>
              <w:rPr>
                <w:rFonts w:hint="eastAsia" w:ascii="宋体" w:hAnsi="宋体" w:eastAsia="宋体" w:cs="宋体"/>
                <w:i w:val="0"/>
                <w:iCs w:val="0"/>
                <w:color w:val="auto"/>
                <w:kern w:val="0"/>
                <w:sz w:val="22"/>
                <w:szCs w:val="22"/>
                <w:highlight w:val="none"/>
                <w:u w:val="none"/>
                <w:lang w:val="en-US" w:eastAsia="zh-CN" w:bidi="ar"/>
              </w:rPr>
              <w:t>下降速度:0.08m/s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13.</w:t>
            </w:r>
            <w:r>
              <w:rPr>
                <w:rFonts w:hint="eastAsia" w:ascii="宋体" w:hAnsi="宋体" w:eastAsia="宋体" w:cs="宋体"/>
                <w:i w:val="0"/>
                <w:iCs w:val="0"/>
                <w:color w:val="auto"/>
                <w:kern w:val="0"/>
                <w:sz w:val="22"/>
                <w:szCs w:val="22"/>
                <w:highlight w:val="none"/>
                <w:u w:val="none"/>
                <w:lang w:val="en-US" w:eastAsia="zh-CN" w:bidi="ar"/>
              </w:rPr>
              <w:t>最大爬坡度:3%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14.</w:t>
            </w:r>
            <w:r>
              <w:rPr>
                <w:rFonts w:hint="eastAsia" w:ascii="宋体" w:hAnsi="宋体" w:eastAsia="宋体" w:cs="宋体"/>
                <w:i w:val="0"/>
                <w:iCs w:val="0"/>
                <w:color w:val="auto"/>
                <w:kern w:val="0"/>
                <w:sz w:val="22"/>
                <w:szCs w:val="22"/>
                <w:highlight w:val="none"/>
                <w:u w:val="none"/>
                <w:lang w:val="en-US" w:eastAsia="zh-CN" w:bidi="ar"/>
              </w:rPr>
              <w:t>脚轮材质:全新料尼龙轮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15.</w:t>
            </w:r>
            <w:r>
              <w:rPr>
                <w:rFonts w:hint="eastAsia" w:ascii="宋体" w:hAnsi="宋体" w:eastAsia="宋体" w:cs="宋体"/>
                <w:i w:val="0"/>
                <w:iCs w:val="0"/>
                <w:color w:val="auto"/>
                <w:kern w:val="0"/>
                <w:sz w:val="22"/>
                <w:szCs w:val="22"/>
                <w:highlight w:val="none"/>
                <w:u w:val="none"/>
                <w:lang w:val="en-US" w:eastAsia="zh-CN" w:bidi="ar"/>
              </w:rPr>
              <w:t>脚轮类型:360“万向轮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16.</w:t>
            </w:r>
            <w:r>
              <w:rPr>
                <w:rFonts w:hint="eastAsia" w:ascii="宋体" w:hAnsi="宋体" w:eastAsia="宋体" w:cs="宋体"/>
                <w:i w:val="0"/>
                <w:iCs w:val="0"/>
                <w:color w:val="auto"/>
                <w:kern w:val="0"/>
                <w:sz w:val="22"/>
                <w:szCs w:val="22"/>
                <w:highlight w:val="none"/>
                <w:u w:val="none"/>
                <w:lang w:val="en-US" w:eastAsia="zh-CN" w:bidi="ar"/>
              </w:rPr>
              <w:t>脚轮直径:100mm*4个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17.</w:t>
            </w:r>
            <w:r>
              <w:rPr>
                <w:rFonts w:hint="eastAsia" w:ascii="宋体" w:hAnsi="宋体" w:eastAsia="宋体" w:cs="宋体"/>
                <w:i w:val="0"/>
                <w:iCs w:val="0"/>
                <w:color w:val="auto"/>
                <w:kern w:val="0"/>
                <w:sz w:val="22"/>
                <w:szCs w:val="22"/>
                <w:highlight w:val="none"/>
                <w:u w:val="none"/>
                <w:lang w:val="en-US" w:eastAsia="zh-CN" w:bidi="ar"/>
              </w:rPr>
              <w:t>表面处理:静电粉末喷涂工艺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18.</w:t>
            </w:r>
            <w:r>
              <w:rPr>
                <w:rFonts w:hint="eastAsia" w:ascii="宋体" w:hAnsi="宋体" w:eastAsia="宋体" w:cs="宋体"/>
                <w:i w:val="0"/>
                <w:iCs w:val="0"/>
                <w:color w:val="auto"/>
                <w:kern w:val="0"/>
                <w:sz w:val="22"/>
                <w:szCs w:val="22"/>
                <w:highlight w:val="none"/>
                <w:u w:val="none"/>
                <w:lang w:val="en-US" w:eastAsia="zh-CN" w:bidi="ar"/>
              </w:rPr>
              <w:t>杠杆齿轮式移车器组成部件: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万向脚轮，止轮臂，高强度链条，脚踏板，安全插销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备注:1人可推动，最佳操作人数 3-4人</w:t>
            </w:r>
          </w:p>
        </w:tc>
      </w:tr>
      <w:tr w14:paraId="0AB97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7B727679">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58</w:t>
            </w:r>
          </w:p>
        </w:tc>
        <w:tc>
          <w:tcPr>
            <w:tcW w:w="1769" w:type="dxa"/>
            <w:noWrap/>
            <w:vAlign w:val="center"/>
          </w:tcPr>
          <w:p w14:paraId="2ACD34F3">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警戒带</w:t>
            </w:r>
          </w:p>
        </w:tc>
        <w:tc>
          <w:tcPr>
            <w:tcW w:w="869" w:type="dxa"/>
            <w:noWrap/>
            <w:vAlign w:val="center"/>
          </w:tcPr>
          <w:p w14:paraId="24775BF3">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6DC951F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646" w:type="dxa"/>
            <w:noWrap/>
            <w:vAlign w:val="center"/>
          </w:tcPr>
          <w:p w14:paraId="37BFDEFF">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用于划定事故现场的警戒区。</w:t>
            </w:r>
          </w:p>
          <w:p w14:paraId="54D38718">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警示带印有“消防救援”字样，每盘长度不小于100米，宽不小于40毫米。</w:t>
            </w:r>
          </w:p>
          <w:p w14:paraId="1B49D3B0">
            <w:pPr>
              <w:keepNext w:val="0"/>
              <w:keepLines w:val="0"/>
              <w:widowControl/>
              <w:numPr>
                <w:ilvl w:val="0"/>
                <w:numId w:val="0"/>
              </w:numPr>
              <w:suppressLineNumbers w:val="0"/>
              <w:ind w:leftChars="0"/>
              <w:jc w:val="left"/>
              <w:textAlignment w:val="cente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使用方便，不会污染现场环境，色泽鲜艳。</w:t>
            </w:r>
          </w:p>
        </w:tc>
      </w:tr>
      <w:tr w14:paraId="02530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5109F8B7">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59</w:t>
            </w:r>
          </w:p>
        </w:tc>
        <w:tc>
          <w:tcPr>
            <w:tcW w:w="1769" w:type="dxa"/>
            <w:noWrap/>
            <w:vAlign w:val="center"/>
          </w:tcPr>
          <w:p w14:paraId="2C859E41">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锥形事故标志柱/警 戒标志杆☆</w:t>
            </w:r>
          </w:p>
        </w:tc>
        <w:tc>
          <w:tcPr>
            <w:tcW w:w="869" w:type="dxa"/>
            <w:noWrap/>
            <w:vAlign w:val="center"/>
          </w:tcPr>
          <w:p w14:paraId="07D0D17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0331EC44">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646" w:type="dxa"/>
            <w:noWrap/>
            <w:vAlign w:val="center"/>
          </w:tcPr>
          <w:p w14:paraId="1F246DED">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用于事故现场的道路警戒、阻拦或分割车流和引导交通。</w:t>
            </w:r>
          </w:p>
          <w:p w14:paraId="0A1095BE">
            <w:pPr>
              <w:keepNext w:val="0"/>
              <w:keepLines w:val="0"/>
              <w:widowControl/>
              <w:numPr>
                <w:ilvl w:val="0"/>
                <w:numId w:val="7"/>
              </w:numPr>
              <w:suppressLineNumbers w:val="0"/>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通常是橡胶制品，不怕撞击，耐轧压，能迅速回弹，不伤车伤人。</w:t>
            </w:r>
          </w:p>
          <w:p w14:paraId="227BB64E">
            <w:pPr>
              <w:keepNext w:val="0"/>
              <w:keepLines w:val="0"/>
              <w:widowControl/>
              <w:numPr>
                <w:ilvl w:val="0"/>
                <w:numId w:val="0"/>
              </w:numPr>
              <w:suppressLineNumbers w:val="0"/>
              <w:ind w:leftChars="0"/>
              <w:jc w:val="left"/>
              <w:textAlignment w:val="cente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高度≥70cm，重量:≤ 3kg，能耐撞击、耐碾压、耐水和灰尘。</w:t>
            </w:r>
          </w:p>
        </w:tc>
      </w:tr>
      <w:tr w14:paraId="6E599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606DD5C1">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60</w:t>
            </w:r>
          </w:p>
        </w:tc>
        <w:tc>
          <w:tcPr>
            <w:tcW w:w="1769" w:type="dxa"/>
            <w:noWrap/>
            <w:vAlign w:val="center"/>
          </w:tcPr>
          <w:p w14:paraId="0B90BF2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扩音器</w:t>
            </w:r>
          </w:p>
        </w:tc>
        <w:tc>
          <w:tcPr>
            <w:tcW w:w="869" w:type="dxa"/>
            <w:noWrap/>
            <w:vAlign w:val="center"/>
          </w:tcPr>
          <w:p w14:paraId="099F5A69">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0B639B4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46" w:type="dxa"/>
            <w:noWrap/>
            <w:vAlign w:val="center"/>
          </w:tcPr>
          <w:p w14:paraId="76F34CE7">
            <w:pPr>
              <w:keepNext w:val="0"/>
              <w:keepLines w:val="0"/>
              <w:widowControl/>
              <w:numPr>
                <w:ilvl w:val="0"/>
                <w:numId w:val="8"/>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产品材质:ABS新料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录音时长:350秒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功率:35W频率响应:80Hz-15KHz</w:t>
            </w:r>
          </w:p>
          <w:p w14:paraId="59124345">
            <w:pPr>
              <w:keepNext w:val="0"/>
              <w:keepLines w:val="0"/>
              <w:widowControl/>
              <w:numPr>
                <w:ilvl w:val="0"/>
                <w:numId w:val="0"/>
              </w:numPr>
              <w:suppressLineNumbers w:val="0"/>
              <w:jc w:val="left"/>
              <w:textAlignment w:val="cente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产品特点:强劲穿透手持喊话器，800米传输距离，穿透力强，传播更广更远。350秒录音循环播放，让你一次录个够。原声保真还原真实音质。75度可折叠手柄，不占空间随心放。大容量双锂电池循环充电强力续航。可插U盘TF卡蓝牙功能，可警报音乐。</w:t>
            </w:r>
          </w:p>
        </w:tc>
      </w:tr>
      <w:tr w14:paraId="50268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36C4E3B3">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61</w:t>
            </w:r>
          </w:p>
        </w:tc>
        <w:tc>
          <w:tcPr>
            <w:tcW w:w="1769" w:type="dxa"/>
            <w:noWrap/>
            <w:vAlign w:val="center"/>
          </w:tcPr>
          <w:p w14:paraId="128E84ED">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基地台</w:t>
            </w:r>
          </w:p>
        </w:tc>
        <w:tc>
          <w:tcPr>
            <w:tcW w:w="869" w:type="dxa"/>
            <w:noWrap/>
            <w:vAlign w:val="center"/>
          </w:tcPr>
          <w:p w14:paraId="22DCA80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51D0835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46" w:type="dxa"/>
            <w:noWrap/>
            <w:vAlign w:val="center"/>
          </w:tcPr>
          <w:p w14:paraId="5953A685">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1、符合GA/T 1255-2016警用数字集群（PDT）通信系统射频设备技术要求和测试方法，具有中华人民共和国工业和信息化颁发的无线电发射设备型号核准证，提供权威机构出具的检验报告。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2、通过国军标（GJB150A-2009）和IP54工业防护标准，提供第三方检测机构出具的有效检验报告。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3、支持显示中文/英文操作界面，1.8英寸彩色显示屏和全数字键盘。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4、信道数量不少于1024个，区域数量不少于248个，支持12.5/20/25KHz。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5、工作频率：350-400MHz。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6、支持单北斗定位模块。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7、支持一键呼叫功能包含文本消息、语音呼叫和补充业务。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8、支持工作模式：数字集群、模拟集群、数字常规、模拟常规模式，手动切换模式时，切换过程中无需重启对讲机。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9、支持漫游功能，设置为漫游的对讲机在通常情况下首先锁定在本中转台，一旦接收到的本中转台的信道弱于设定值时，终端会自动搜索信号更强的中转台信号，并且自动进行信号判断，自动切换并且锁定。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10、支持双声码器选择，双声码如：AMBE++和NVOC，同时支持在菜单中切换声码器。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11、支持公安部一所硬件加密，保障用户更高的通信保密性。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12、支持发射中断功能，使用发射中断后，高级别对讲机具有更高的管理权限。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13、支持模拟扰频和数字加密，数字加密最大满足256位。</w:t>
            </w:r>
          </w:p>
        </w:tc>
      </w:tr>
      <w:tr w14:paraId="45C4B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70D17E93">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62</w:t>
            </w:r>
          </w:p>
        </w:tc>
        <w:tc>
          <w:tcPr>
            <w:tcW w:w="1769" w:type="dxa"/>
            <w:noWrap/>
            <w:vAlign w:val="center"/>
          </w:tcPr>
          <w:p w14:paraId="1E5DFC4F">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车载电台</w:t>
            </w:r>
          </w:p>
        </w:tc>
        <w:tc>
          <w:tcPr>
            <w:tcW w:w="869" w:type="dxa"/>
            <w:noWrap/>
            <w:vAlign w:val="center"/>
          </w:tcPr>
          <w:p w14:paraId="3EE99C7B">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1AAD7088">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46" w:type="dxa"/>
            <w:noWrap/>
            <w:vAlign w:val="center"/>
          </w:tcPr>
          <w:p w14:paraId="777FDB89">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1、符合GA/T 1255-2016警用数字集群（PDT）通信系统射频设备技术要求和测试方法，具有中华人民共和国工业和信息化颁发的无线电发射设备型号核准证，提供权威机构出具的检验报告。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2、通过国军标（GJB150A-2009）和IP54工业防护标准，提供第三方检测机构出具的有效检验报告。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3、支持显示中文/英文操作界面，1彩色显示屏和全数字键盘。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4、信道数量不少于1000个，区域数量不少于240个，支持12.5/20/25KHz。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5、工作频率：350-400MHz。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6、支持单北斗定位模块。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7、支持一键呼叫功能包含文本消息、语音呼叫和补充业务。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8、支持工作模式：数字集群、模拟集群、数字常规、模拟常规模式，手动切换模式时，切换过程中无需重启对讲机。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9、支持漫游功能，设置为漫游的对讲机在通常情况下首先锁定在本中转台，一旦接收到的本中转台的信道弱于设定值时，终端会自动搜索信号更强的中转台信号，并且自动进行信号判断，自动切换并且锁定。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10、支持双声码器选择，双声码如：AMBE++和NVOC，同时支持在菜单中切换声码器。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11、支持公安部一所硬件加密，保障用户更高的通信保密性。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12、支持发射中断功能，使用发射中断后，高级别对讲机具有更高的管理权限。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13、支持模拟扰频和数字加密，数字加密最大满足230位。</w:t>
            </w:r>
          </w:p>
        </w:tc>
      </w:tr>
      <w:tr w14:paraId="7CFDD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10E2541D">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63</w:t>
            </w:r>
          </w:p>
        </w:tc>
        <w:tc>
          <w:tcPr>
            <w:tcW w:w="1769" w:type="dxa"/>
            <w:noWrap/>
            <w:vAlign w:val="center"/>
          </w:tcPr>
          <w:p w14:paraId="078870E5">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公网集群电台</w:t>
            </w:r>
          </w:p>
        </w:tc>
        <w:tc>
          <w:tcPr>
            <w:tcW w:w="869" w:type="dxa"/>
            <w:noWrap/>
            <w:vAlign w:val="center"/>
          </w:tcPr>
          <w:p w14:paraId="5EB6863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4E4A77B2">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46" w:type="dxa"/>
            <w:noWrap/>
            <w:vAlign w:val="center"/>
          </w:tcPr>
          <w:p w14:paraId="0D6AA655">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1.具有中华人民共和国工业和信息化部颁发的无线电发射设备型号核准证，提供国家级或国家认可的第三方检测检验机构出具的检验报告；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2.符合GA/T 1255-2016警用数字集群（PDT）通信系统射频设备技术要求和测试方法；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3.工作频段：350～400MHz；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4.支持PDT集群、PDT常规、模拟MPT1327集群、模拟常规和中继（可选）五种工作模式；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▲5.通过国家电气产品防爆认证，手持台防爆等级应达到：气体防爆级别：Ex ib IIB T4 Gb以上；粉尘防爆级别：Ex ib IIC T130℃ Db以上</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提供国家级或国家认可的第三方检测检验机构出具的检验报告；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.发射功率：1W～3.5W可调；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7</w:t>
            </w:r>
            <w:r>
              <w:rPr>
                <w:rFonts w:hint="eastAsia" w:ascii="宋体" w:hAnsi="宋体" w:eastAsia="宋体" w:cs="宋体"/>
                <w:i w:val="0"/>
                <w:iCs w:val="0"/>
                <w:color w:val="auto"/>
                <w:kern w:val="0"/>
                <w:sz w:val="22"/>
                <w:szCs w:val="22"/>
                <w:highlight w:val="none"/>
                <w:u w:val="none"/>
                <w:lang w:val="en-US" w:eastAsia="zh-CN" w:bidi="ar"/>
              </w:rPr>
              <w:t>.按照消防三级组网要求预设频率、一键选频功能；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8</w:t>
            </w:r>
            <w:r>
              <w:rPr>
                <w:rFonts w:hint="eastAsia" w:ascii="宋体" w:hAnsi="宋体" w:eastAsia="宋体" w:cs="宋体"/>
                <w:i w:val="0"/>
                <w:iCs w:val="0"/>
                <w:color w:val="auto"/>
                <w:kern w:val="0"/>
                <w:sz w:val="22"/>
                <w:szCs w:val="22"/>
                <w:highlight w:val="none"/>
                <w:u w:val="none"/>
                <w:lang w:val="en-US" w:eastAsia="zh-CN" w:bidi="ar"/>
              </w:rPr>
              <w:t>.显示屏≥2.0英寸，键盘按键：尺寸≥10×8mm；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9</w:t>
            </w:r>
            <w:r>
              <w:rPr>
                <w:rFonts w:hint="eastAsia" w:ascii="宋体" w:hAnsi="宋体" w:eastAsia="宋体" w:cs="宋体"/>
                <w:i w:val="0"/>
                <w:iCs w:val="0"/>
                <w:color w:val="auto"/>
                <w:kern w:val="0"/>
                <w:sz w:val="22"/>
                <w:szCs w:val="22"/>
                <w:highlight w:val="none"/>
                <w:u w:val="none"/>
                <w:lang w:val="en-US" w:eastAsia="zh-CN" w:bidi="ar"/>
              </w:rPr>
              <w:t>.防护等级≥IP68，提供国家级或国家认可的第三方检测检验机构出具的检验报告；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0</w:t>
            </w:r>
            <w:r>
              <w:rPr>
                <w:rFonts w:hint="eastAsia" w:ascii="宋体" w:hAnsi="宋体" w:eastAsia="宋体" w:cs="宋体"/>
                <w:i w:val="0"/>
                <w:iCs w:val="0"/>
                <w:color w:val="auto"/>
                <w:kern w:val="0"/>
                <w:sz w:val="22"/>
                <w:szCs w:val="22"/>
                <w:highlight w:val="none"/>
                <w:u w:val="none"/>
                <w:lang w:val="en-US" w:eastAsia="zh-CN" w:bidi="ar"/>
              </w:rPr>
              <w:t>.电池：按百分比显示剩余电池电量；电池容量≥2600mAh；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.工作时间≥12小时；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.工作温度≥－20℃～55℃；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.内置蓝牙模块，蓝牙版本≥5.0；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.仅支持单北斗模式；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.数字声码器：AMBE++/NVOC双模声码器，两种模式可在终端本地菜单中切换；</w:t>
            </w:r>
          </w:p>
        </w:tc>
      </w:tr>
      <w:tr w14:paraId="4C3DA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3" w:type="dxa"/>
            <w:noWrap/>
            <w:vAlign w:val="bottom"/>
          </w:tcPr>
          <w:p w14:paraId="22AD150F">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64</w:t>
            </w:r>
          </w:p>
        </w:tc>
        <w:tc>
          <w:tcPr>
            <w:tcW w:w="1769" w:type="dxa"/>
            <w:noWrap/>
            <w:vAlign w:val="center"/>
          </w:tcPr>
          <w:p w14:paraId="60D6897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手提式照明灯</w:t>
            </w:r>
          </w:p>
        </w:tc>
        <w:tc>
          <w:tcPr>
            <w:tcW w:w="869" w:type="dxa"/>
            <w:noWrap/>
            <w:vAlign w:val="center"/>
          </w:tcPr>
          <w:p w14:paraId="642F1140">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25" w:type="dxa"/>
            <w:noWrap/>
            <w:vAlign w:val="center"/>
          </w:tcPr>
          <w:p w14:paraId="0ED88C46">
            <w:pPr>
              <w:keepNext w:val="0"/>
              <w:keepLines w:val="0"/>
              <w:widowControl/>
              <w:suppressLineNumbers w:val="0"/>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46" w:type="dxa"/>
            <w:noWrap/>
            <w:vAlign w:val="center"/>
          </w:tcPr>
          <w:p w14:paraId="4D5D7951">
            <w:pPr>
              <w:keepNext w:val="0"/>
              <w:keepLines w:val="0"/>
              <w:widowControl/>
              <w:suppressLineNumbers w:val="0"/>
              <w:jc w:val="left"/>
              <w:textAlignment w:val="center"/>
              <w:rPr>
                <w:rFonts w:ascii="宋体" w:hAnsi="宋体" w:cs="宋体"/>
                <w:b/>
                <w:bCs/>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额定电压  DC11.1V,额定容量  4000mAh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额定功率（LED） 3×3W, 光源（LED）平均使用寿命 ≥100000h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连续放电时间 5h（强光）/10h（工作光）/20h（频闪）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充电时间  6h（正常使用后）/ 8h（电池耗尽后）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电池使用寿命  ≥1000（循环）,外形尺寸</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70×1</w:t>
            </w:r>
            <w:r>
              <w:rPr>
                <w:rFonts w:hint="eastAsia" w:ascii="宋体" w:hAnsi="宋体" w:cs="宋体"/>
                <w:i w:val="0"/>
                <w:iCs w:val="0"/>
                <w:color w:val="auto"/>
                <w:kern w:val="0"/>
                <w:sz w:val="22"/>
                <w:szCs w:val="22"/>
                <w:highlight w:val="none"/>
                <w:u w:val="none"/>
                <w:lang w:val="en-US" w:eastAsia="zh-CN" w:bidi="ar"/>
              </w:rPr>
              <w:t>70</w:t>
            </w:r>
            <w:r>
              <w:rPr>
                <w:rFonts w:hint="eastAsia" w:ascii="宋体" w:hAnsi="宋体" w:eastAsia="宋体" w:cs="宋体"/>
                <w:i w:val="0"/>
                <w:iCs w:val="0"/>
                <w:color w:val="auto"/>
                <w:kern w:val="0"/>
                <w:sz w:val="22"/>
                <w:szCs w:val="22"/>
                <w:highlight w:val="none"/>
                <w:u w:val="none"/>
                <w:lang w:val="en-US" w:eastAsia="zh-CN" w:bidi="ar"/>
              </w:rPr>
              <w:t>mm（直径×长）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重量</w:t>
            </w:r>
            <w:r>
              <w:rPr>
                <w:rFonts w:hint="eastAsia" w:ascii="宋体" w:hAnsi="宋体" w:cs="宋体"/>
                <w:i w:val="0"/>
                <w:iCs w:val="0"/>
                <w:color w:val="auto"/>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kg,  外壳防护等级  IP68(1.5米)  防爆标志：Ex dia ⅡC T6  Gb</w:t>
            </w:r>
          </w:p>
        </w:tc>
      </w:tr>
    </w:tbl>
    <w:p w14:paraId="3C5F8ACF">
      <w:pPr>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baseline"/>
        <w:rPr>
          <w:rFonts w:hint="eastAsia" w:ascii="宋体" w:hAnsi="宋体"/>
          <w:b/>
          <w:bCs/>
          <w:snapToGrid w:val="0"/>
          <w:color w:val="auto"/>
          <w:kern w:val="0"/>
          <w:szCs w:val="21"/>
          <w:highlight w:val="none"/>
          <w:lang w:val="en-US" w:eastAsia="zh-CN"/>
        </w:rPr>
      </w:pPr>
    </w:p>
    <w:p w14:paraId="5A468C1E">
      <w:pPr>
        <w:kinsoku w:val="0"/>
        <w:overflowPunct w:val="0"/>
        <w:autoSpaceDE w:val="0"/>
        <w:autoSpaceDN w:val="0"/>
        <w:adjustRightInd w:val="0"/>
        <w:snapToGrid w:val="0"/>
        <w:spacing w:line="360" w:lineRule="auto"/>
        <w:textAlignment w:val="baseline"/>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以上技术参数中加“</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”条款为必须满足项，否则为无效投标。</w:t>
      </w:r>
    </w:p>
    <w:p w14:paraId="0D9E9A8F">
      <w:pPr>
        <w:kinsoku w:val="0"/>
        <w:overflowPunct w:val="0"/>
        <w:autoSpaceDE w:val="0"/>
        <w:autoSpaceDN w:val="0"/>
        <w:adjustRightInd w:val="0"/>
        <w:snapToGrid w:val="0"/>
        <w:spacing w:line="360" w:lineRule="auto"/>
        <w:ind w:firstLine="422" w:firstLineChars="200"/>
        <w:textAlignment w:val="baseline"/>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上述所有技术参数中涉及的型号仅为参考型号，投标人可以投其他型号，但所投产品的功能及技术参数应等于或高于参考型号的要求。</w:t>
      </w:r>
    </w:p>
    <w:p w14:paraId="6C509C49">
      <w:pPr>
        <w:spacing w:line="360" w:lineRule="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五、投标货物要求及相关说明：</w:t>
      </w:r>
    </w:p>
    <w:p w14:paraId="0EE8E97D">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（一）货物要求</w:t>
      </w:r>
    </w:p>
    <w:p w14:paraId="5A1D68F2">
      <w:pPr>
        <w:spacing w:line="360" w:lineRule="auto"/>
        <w:ind w:firstLine="420" w:firstLineChars="200"/>
        <w:rPr>
          <w:rFonts w:ascii="宋体" w:hAnsi="宋体"/>
          <w:b/>
          <w:bCs/>
          <w:snapToGrid w:val="0"/>
          <w:color w:val="auto"/>
          <w:kern w:val="0"/>
          <w:szCs w:val="21"/>
          <w:highlight w:val="none"/>
        </w:rPr>
      </w:pPr>
      <w:r>
        <w:rPr>
          <w:rFonts w:hint="eastAsia" w:ascii="宋体" w:hAnsi="宋体"/>
          <w:snapToGrid w:val="0"/>
          <w:color w:val="auto"/>
          <w:kern w:val="0"/>
          <w:szCs w:val="21"/>
          <w:highlight w:val="none"/>
        </w:rPr>
        <w:t>1、</w:t>
      </w:r>
      <w:r>
        <w:rPr>
          <w:rFonts w:hint="eastAsia" w:ascii="宋体" w:hAnsi="宋体"/>
          <w:b/>
          <w:bCs/>
          <w:snapToGrid w:val="0"/>
          <w:color w:val="auto"/>
          <w:kern w:val="0"/>
          <w:szCs w:val="21"/>
          <w:highlight w:val="none"/>
        </w:rPr>
        <w:t>投标消防产品必须符合国家标准；没有国家标准的，必须符合行业标准。依法实行强制性产品认证的消防产品，必须由具有法定资质的认证机构按照国家标准、行业标准的强制性要求认证合格。新研制的尚未制定国家标准、行业标准的消防产品，应当按照国务院产品质量监督部门会同国务院应急管理部门规定的办法，经技术鉴定符合消防安全要求。注：如有最新标准或规范，按最新标准或规范执行。</w:t>
      </w:r>
    </w:p>
    <w:p w14:paraId="687D5DB2">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投标单位</w:t>
      </w:r>
      <w:r>
        <w:rPr>
          <w:rFonts w:hint="eastAsia" w:ascii="宋体" w:hAnsi="宋体"/>
          <w:snapToGrid w:val="0"/>
          <w:color w:val="auto"/>
          <w:kern w:val="0"/>
          <w:szCs w:val="21"/>
          <w:highlight w:val="none"/>
        </w:rPr>
        <w:t>所供</w:t>
      </w:r>
      <w:r>
        <w:rPr>
          <w:rFonts w:hint="eastAsia" w:ascii="宋体" w:hAnsi="宋体"/>
          <w:snapToGrid w:val="0"/>
          <w:color w:val="auto"/>
          <w:kern w:val="0"/>
          <w:szCs w:val="21"/>
          <w:highlight w:val="none"/>
          <w:lang w:val="en-US" w:eastAsia="zh-CN"/>
        </w:rPr>
        <w:t>的</w:t>
      </w:r>
      <w:r>
        <w:rPr>
          <w:rFonts w:hint="eastAsia" w:ascii="宋体" w:hAnsi="宋体"/>
          <w:snapToGrid w:val="0"/>
          <w:color w:val="auto"/>
          <w:kern w:val="0"/>
          <w:szCs w:val="21"/>
          <w:highlight w:val="none"/>
        </w:rPr>
        <w:t>装备保证是全新的、未使用过的，完全符合合同规定的质量、规格型号和性能要求。</w:t>
      </w:r>
      <w:r>
        <w:rPr>
          <w:rFonts w:hint="eastAsia" w:ascii="宋体" w:hAnsi="宋体"/>
          <w:snapToGrid w:val="0"/>
          <w:color w:val="auto"/>
          <w:kern w:val="0"/>
          <w:szCs w:val="21"/>
          <w:highlight w:val="none"/>
          <w:lang w:val="en-US" w:eastAsia="zh-CN"/>
        </w:rPr>
        <w:t>并</w:t>
      </w:r>
      <w:r>
        <w:rPr>
          <w:rFonts w:hint="eastAsia" w:ascii="宋体" w:hAnsi="宋体"/>
          <w:snapToGrid w:val="0"/>
          <w:color w:val="auto"/>
          <w:kern w:val="0"/>
          <w:szCs w:val="21"/>
          <w:highlight w:val="none"/>
        </w:rPr>
        <w:t>保证所提供的装备经正确安装、正常运转和保养，在其使用寿命期内应符合合同约定的性能，并且确保通过各项检验和测试。在装备质量保证期内，</w:t>
      </w:r>
      <w:r>
        <w:rPr>
          <w:rFonts w:hint="eastAsia" w:ascii="宋体" w:hAnsi="宋体"/>
          <w:snapToGrid w:val="0"/>
          <w:color w:val="auto"/>
          <w:kern w:val="0"/>
          <w:szCs w:val="21"/>
          <w:highlight w:val="none"/>
          <w:lang w:val="en-US" w:eastAsia="zh-CN"/>
        </w:rPr>
        <w:t>投标单位</w:t>
      </w:r>
      <w:r>
        <w:rPr>
          <w:rFonts w:hint="eastAsia" w:ascii="宋体" w:hAnsi="宋体"/>
          <w:snapToGrid w:val="0"/>
          <w:color w:val="auto"/>
          <w:kern w:val="0"/>
          <w:szCs w:val="21"/>
          <w:highlight w:val="none"/>
        </w:rPr>
        <w:t>应对由于设计、工艺、材料和配套件缺陷所产生的任何不足或故障负责。(如因装备质量缺陷等问题导致消防员在使用过程中发生伤亡的，由供应商负责一切后果，并承担法律责任）。</w:t>
      </w:r>
    </w:p>
    <w:p w14:paraId="0819999D">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3、本次采购的供货范围，除包括上述货物外，还应包括货物使用所必需的配件。</w:t>
      </w:r>
    </w:p>
    <w:p w14:paraId="7BD84169">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4、消防器材应携带永久性标签或标识，标签或标识内容包含厂家名称、规格型号、执行标准、生</w:t>
      </w:r>
    </w:p>
    <w:p w14:paraId="479ECAFB">
      <w:pPr>
        <w:spacing w:line="360" w:lineRule="auto"/>
        <w:rPr>
          <w:rFonts w:ascii="宋体" w:hAnsi="宋体"/>
          <w:b w:val="0"/>
          <w:bCs w:val="0"/>
          <w:snapToGrid w:val="0"/>
          <w:color w:val="auto"/>
          <w:kern w:val="0"/>
          <w:szCs w:val="21"/>
          <w:highlight w:val="none"/>
        </w:rPr>
      </w:pPr>
      <w:r>
        <w:rPr>
          <w:rFonts w:hint="eastAsia" w:ascii="宋体" w:hAnsi="宋体"/>
          <w:snapToGrid w:val="0"/>
          <w:color w:val="auto"/>
          <w:kern w:val="0"/>
          <w:szCs w:val="21"/>
          <w:highlight w:val="none"/>
        </w:rPr>
        <w:t>产日期等装备主要参数</w:t>
      </w:r>
      <w:r>
        <w:rPr>
          <w:rFonts w:hint="eastAsia" w:ascii="宋体" w:hAnsi="宋体"/>
          <w:b w:val="0"/>
          <w:bCs w:val="0"/>
          <w:snapToGrid w:val="0"/>
          <w:color w:val="auto"/>
          <w:kern w:val="0"/>
          <w:szCs w:val="21"/>
          <w:highlight w:val="none"/>
        </w:rPr>
        <w:t>。</w:t>
      </w:r>
    </w:p>
    <w:p w14:paraId="10040C8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（二）特别说明</w:t>
      </w:r>
    </w:p>
    <w:p w14:paraId="3E49679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1、“采购清单及技术要求”及相关要求是投标单位投标报价的基础，投标单位不得对“采购清单及技术要求”序号进行任何修改。</w:t>
      </w:r>
    </w:p>
    <w:p w14:paraId="561C0DC8">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2、投标单位应对 “采购清单及技术要求”中的所有货物进行报价。</w:t>
      </w:r>
    </w:p>
    <w:p w14:paraId="4B2BBC6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3、投标单位根据按照采购文件提供的技术响应表格式对技术指标逐条进行应答，如果以其中某些条款不响应时，应在文件中逐条列出，未列出的视同响应。</w:t>
      </w:r>
    </w:p>
    <w:p w14:paraId="27804669">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4、投标单位应明确所投货物的型号、规格和外形、尺寸、安装尺寸、重量及一些必须说明的技术参数，以及使用的材料的清单，同时明确生产厂家、型号规格等，并提供详细的技术参数及性能说明书。</w:t>
      </w:r>
    </w:p>
    <w:p w14:paraId="0A256AA9">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5、采购单位有权不定期对成交标的物的生产过程等进行查看,如果发现中标单位存在违反本次采购标的物要求的,采购单位有权终止合同履行,相关损失由中标单位承担。</w:t>
      </w:r>
    </w:p>
    <w:p w14:paraId="0A234FEC">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（三）包装和装运</w:t>
      </w:r>
    </w:p>
    <w:p w14:paraId="30B109EB">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1、包装必须与运输方式相适应，包装方式的确定由中标单位负责；由于不适当的包装而造成货物在运输过程中有任何损坏由中标单位负责。</w:t>
      </w:r>
    </w:p>
    <w:p w14:paraId="17DE4188">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2、包装应足以承受整个过程中的运输、转运、装卸、储存等，充分考虑到运输途中的各种情况（如暴露于恶劣气候等）和苏州地区的气候特点。</w:t>
      </w:r>
    </w:p>
    <w:p w14:paraId="26259721">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（四）安装、检验与质量保证</w:t>
      </w:r>
    </w:p>
    <w:p w14:paraId="5776F943">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1、安装</w:t>
      </w:r>
    </w:p>
    <w:p w14:paraId="4228441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1.1如有需要安装的货物，中标单位必须派技术人员到现场安装，并检查安装质量。</w:t>
      </w:r>
    </w:p>
    <w:p w14:paraId="0C8D7D3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1.2中标单位应负责现场安装人员的安全管理并提供安装中全部所需的工具。</w:t>
      </w:r>
    </w:p>
    <w:p w14:paraId="60413B1B">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2、验收依据</w:t>
      </w:r>
    </w:p>
    <w:p w14:paraId="02CF2325">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2.1招标文件、中标单位的响应文件、双方签订的合同文件及其附件。</w:t>
      </w:r>
    </w:p>
    <w:p w14:paraId="6B545BA6">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2.2中国政府颁布的相关国家标准和行业标准。</w:t>
      </w:r>
    </w:p>
    <w:p w14:paraId="2CBA1743">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3、如双方对验收结果有分歧，则以苏州市技术质量监督局的检验结果为准，检验费用由有过失的一方支付。</w:t>
      </w:r>
    </w:p>
    <w:p w14:paraId="6D0BA83C">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4、质量保证</w:t>
      </w:r>
    </w:p>
    <w:p w14:paraId="3453A9AB">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4.1中标单位保证合同货物是全新的，配件为原装的，完全符合国家有关质量标准和合同规定的质量、规格和性能的要求，并有货物“合格证”或“产品质量保证书”，严禁提供假冒伪劣货物，一经发现，采购单位有权解除本合同，且因此而产生的一切费用和责任由中标单位承担。</w:t>
      </w:r>
    </w:p>
    <w:p w14:paraId="5D705B58">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4.2 履行中标单位在其响应文件中的服务承诺。</w:t>
      </w:r>
    </w:p>
    <w:p w14:paraId="363B20B1">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4.3若货物验收时货物质量不能满足要求，采购单位有权要求更换，同时有权提出索赔，所产生的一切费用（含所有检验费用）由中标单位承担。</w:t>
      </w:r>
    </w:p>
    <w:p w14:paraId="58D3A4D1">
      <w:pPr>
        <w:spacing w:line="360" w:lineRule="auto"/>
        <w:ind w:firstLine="210" w:firstLineChars="100"/>
        <w:rPr>
          <w:rFonts w:ascii="宋体" w:hAnsi="宋体"/>
          <w:snapToGrid w:val="0"/>
          <w:color w:val="auto"/>
          <w:kern w:val="0"/>
          <w:szCs w:val="21"/>
          <w:highlight w:val="none"/>
        </w:rPr>
      </w:pPr>
      <w:r>
        <w:rPr>
          <w:rFonts w:hint="eastAsia" w:ascii="宋体" w:hAnsi="宋体"/>
          <w:snapToGrid w:val="0"/>
          <w:color w:val="auto"/>
          <w:kern w:val="0"/>
          <w:szCs w:val="21"/>
          <w:highlight w:val="none"/>
        </w:rPr>
        <w:t>（五）售后服务</w:t>
      </w:r>
    </w:p>
    <w:p w14:paraId="431187D0">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1、中标单位货物经过双方检验认可后，签署验收报告，免费质量保证期不低于</w:t>
      </w:r>
      <w:r>
        <w:rPr>
          <w:rFonts w:hint="eastAsia" w:ascii="宋体" w:hAnsi="宋体"/>
          <w:snapToGrid w:val="0"/>
          <w:color w:val="auto"/>
          <w:kern w:val="0"/>
          <w:szCs w:val="21"/>
          <w:highlight w:val="none"/>
          <w:lang w:val="en-US" w:eastAsia="zh-CN"/>
        </w:rPr>
        <w:t>一</w:t>
      </w:r>
      <w:r>
        <w:rPr>
          <w:rFonts w:hint="eastAsia" w:ascii="宋体" w:hAnsi="宋体"/>
          <w:snapToGrid w:val="0"/>
          <w:color w:val="auto"/>
          <w:kern w:val="0"/>
          <w:szCs w:val="21"/>
          <w:highlight w:val="none"/>
        </w:rPr>
        <w:t>年（招标文件具体技术要求另有说明的除外），质量保证期自货物验收合格之日起算，由中标单位提供货物保修文件。</w:t>
      </w:r>
    </w:p>
    <w:p w14:paraId="3624325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在质保期内出现质量问题，中标单位需在2小时内响应，12小时内赶到现场提供免费服务,并在3天内完成修复或更换，无法修复或经过两次修复仍出现质量问题，予以换货，造成采购单位的损失，由中标单位负责，采购单位应尽快以书面形式或口头通知中标单位，并向中标单位提出索赔。如中标单位在接到通知后3天内没有答复或处理问题，则视为中标单位承认质量问题并承担由此而发生的一切费用。</w:t>
      </w:r>
    </w:p>
    <w:p w14:paraId="44D0020B">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3、中标单位须提供全面使用、维护培训。</w:t>
      </w:r>
    </w:p>
    <w:p w14:paraId="4F8E6EF4">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4、质保期满以后，卖方应按同类货物的优惠价格提供保修服务。</w:t>
      </w:r>
    </w:p>
    <w:p w14:paraId="5276CB82">
      <w:pPr>
        <w:spacing w:line="360" w:lineRule="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六、综合说明其他要求</w:t>
      </w:r>
    </w:p>
    <w:p w14:paraId="4E3EE071">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1、投标单位所投产品应明确所投产品的品牌、型号、规格和外形、尺寸及一些必须说明的技术参数，以及设备配置清单，同时明确生产厂家、型号规格等，并提供详细的技术参数。</w:t>
      </w:r>
    </w:p>
    <w:p w14:paraId="556083BF">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2、投标单位根据招标文件中提出的全部技术规格与要求选择配置并列出所投设备的技术规格，如果以其中某些条款不响应时，应在投标文件中逐条列出，未列出的视同响应。</w:t>
      </w:r>
    </w:p>
    <w:p w14:paraId="57EFF194">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3、投标总报价一次报定，包括所有货物和服务、配件、辅材以及相关的备件、专用工具、运输、装卸、人工、安装、调试、培训、保险、检验检测、专利技术、技术支持、利润、税金、政策性文件规定及合同包含的所有风险、责任等各项应有费用。 </w:t>
      </w:r>
    </w:p>
    <w:p w14:paraId="1E5DFC7B">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w:t>
      </w:r>
      <w:r>
        <w:rPr>
          <w:rFonts w:hint="eastAsia" w:ascii="宋体" w:hAnsi="宋体" w:cs="宋体"/>
          <w:color w:val="auto"/>
          <w:szCs w:val="21"/>
          <w:highlight w:val="none"/>
        </w:rPr>
        <w:t>交货期：自合同签订生效后</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天内完成全部采购内容的供货安装调试并交付正常使用，具体根据采购单位要求。</w:t>
      </w:r>
    </w:p>
    <w:p w14:paraId="5F683D40">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5、交货地点：具体按照采购单位要求。</w:t>
      </w:r>
    </w:p>
    <w:p w14:paraId="23279B5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6、凡涉及招标文件的补充说明和修改，均以招标代理机构发布的通知为准。</w:t>
      </w:r>
    </w:p>
    <w:p w14:paraId="3F5D41BB">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7、知识产权：供方应保证采购人免除且供方承担由于采购人在其本国使用该设备或设备任何一部分时而引起第三方提出的侵犯专利权、商标权或工业设计权的起诉、行动、行政程序索赔、请求等以及采购人为此而产生的损失和损害、费用和支出（包括律师费）。</w:t>
      </w:r>
    </w:p>
    <w:p w14:paraId="68345181">
      <w:pPr>
        <w:spacing w:line="360" w:lineRule="auto"/>
        <w:rPr>
          <w:rFonts w:ascii="宋体" w:hAnsi="宋体"/>
          <w:b/>
          <w:bCs/>
          <w:color w:val="auto"/>
          <w:szCs w:val="21"/>
          <w:highlight w:val="none"/>
        </w:rPr>
      </w:pPr>
      <w:r>
        <w:rPr>
          <w:rFonts w:hint="eastAsia" w:ascii="宋体" w:hAnsi="宋体"/>
          <w:b/>
          <w:bCs/>
          <w:snapToGrid w:val="0"/>
          <w:color w:val="auto"/>
          <w:kern w:val="0"/>
          <w:szCs w:val="21"/>
          <w:highlight w:val="none"/>
        </w:rPr>
        <w:t>八</w:t>
      </w:r>
      <w:r>
        <w:rPr>
          <w:rFonts w:hint="eastAsia" w:ascii="宋体" w:hAnsi="宋体"/>
          <w:b/>
          <w:bCs/>
          <w:color w:val="auto"/>
          <w:szCs w:val="21"/>
          <w:highlight w:val="none"/>
        </w:rPr>
        <w:t>、政策执行</w:t>
      </w:r>
    </w:p>
    <w:p w14:paraId="6B00BE9A">
      <w:pPr>
        <w:spacing w:line="360" w:lineRule="auto"/>
        <w:ind w:firstLine="420" w:firstLineChars="200"/>
        <w:rPr>
          <w:rFonts w:ascii="宋体" w:hAnsi="宋体"/>
          <w:snapToGrid w:val="0"/>
          <w:color w:val="auto"/>
          <w:kern w:val="0"/>
          <w:szCs w:val="21"/>
          <w:highlight w:val="none"/>
        </w:rPr>
      </w:pPr>
      <w:r>
        <w:rPr>
          <w:rFonts w:hint="eastAsia" w:ascii="宋体" w:hAnsi="宋体"/>
          <w:color w:val="auto"/>
          <w:szCs w:val="21"/>
          <w:highlight w:val="none"/>
        </w:rPr>
        <w:t>1、</w:t>
      </w:r>
      <w:r>
        <w:rPr>
          <w:rFonts w:hint="eastAsia"/>
          <w:b/>
          <w:bCs/>
          <w:color w:val="auto"/>
          <w:szCs w:val="21"/>
          <w:highlight w:val="none"/>
        </w:rPr>
        <w:t>本次招标</w:t>
      </w:r>
      <w:r>
        <w:rPr>
          <w:rFonts w:hint="eastAsia"/>
          <w:b/>
          <w:bCs/>
          <w:color w:val="auto"/>
          <w:szCs w:val="21"/>
          <w:highlight w:val="none"/>
          <w:lang w:val="en-US" w:eastAsia="zh-CN"/>
        </w:rPr>
        <w:t>均</w:t>
      </w:r>
      <w:r>
        <w:rPr>
          <w:rFonts w:hint="eastAsia"/>
          <w:b/>
          <w:bCs/>
          <w:color w:val="auto"/>
          <w:szCs w:val="21"/>
          <w:highlight w:val="none"/>
        </w:rPr>
        <w:t>不接受进口产品投标。</w:t>
      </w:r>
      <w:r>
        <w:rPr>
          <w:rFonts w:hint="eastAsia"/>
          <w:color w:val="auto"/>
          <w:szCs w:val="21"/>
          <w:highlight w:val="none"/>
        </w:rPr>
        <w:t>进口产品的定义为：指通过中国海关报关验收进入中国境内且产自境外的产品，具体按照苏财购〔2008〕14号江苏省财政厅转发财政部</w:t>
      </w:r>
      <w:r>
        <w:rPr>
          <w:rFonts w:hint="eastAsia" w:ascii="宋体" w:hAnsi="宋体"/>
          <w:snapToGrid w:val="0"/>
          <w:color w:val="auto"/>
          <w:kern w:val="0"/>
          <w:szCs w:val="21"/>
          <w:highlight w:val="none"/>
        </w:rPr>
        <w:t>办公厅关于政府采购进口产品管理有关问题的通知的规定。</w:t>
      </w:r>
    </w:p>
    <w:p w14:paraId="030AB3B0">
      <w:pPr>
        <w:tabs>
          <w:tab w:val="left" w:pos="567"/>
        </w:tabs>
        <w:spacing w:line="360" w:lineRule="auto"/>
        <w:ind w:firstLine="420"/>
        <w:rPr>
          <w:rFonts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中、小、微企业</w:t>
      </w:r>
      <w:r>
        <w:rPr>
          <w:rFonts w:hint="eastAsia" w:ascii="宋体" w:hAnsi="宋体" w:cs="宋体"/>
          <w:b/>
          <w:bCs/>
          <w:color w:val="auto"/>
          <w:szCs w:val="21"/>
          <w:highlight w:val="none"/>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w:t>
      </w:r>
    </w:p>
    <w:p w14:paraId="4EA16F7A">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根据《政府采购促进中小企业发展管理办法》（财库〔2020〕46号）、《关于做好政府采购支持企业发展有关事项的通知》（苏财购〔2020〕52号）及《关于印发&lt;苏州市政府采购促进中小企业发展实施意见&gt;的通知》（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hint="eastAsia" w:ascii="宋体" w:hAnsi="宋体" w:cs="宋体"/>
          <w:color w:val="auto"/>
          <w:szCs w:val="21"/>
          <w:highlight w:val="none"/>
        </w:rPr>
        <w:t>小型企业和微型企业的投标报价扣除20%后参与评审。</w:t>
      </w:r>
      <w:r>
        <w:rPr>
          <w:rFonts w:hint="eastAsia" w:ascii="宋体" w:hAnsi="宋体" w:cs="宋体"/>
          <w:b/>
          <w:color w:val="auto"/>
          <w:highlight w:val="none"/>
        </w:rPr>
        <w:t>《中小企业声明函》中所填的行业应与本采购标的对应的中小企业划分标准所属行业一致，未提交声明函或所提交的声明函中行业与本采购标的对应的中小企业划分标准所属行业不一致不享受相关政策。</w:t>
      </w:r>
    </w:p>
    <w:p w14:paraId="5744300A">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政府采购活动中，供应商提供的服务符合下列情形的，享受《政府采购促进中小企业发展管理办法》规定的中小企业扶持政策：在服务采购项目中，服务由中小企业承接，即提供服务的人员为中小企业依照《中华人民共和国劳动合同法》订立劳动合同的从业人员。</w:t>
      </w:r>
      <w:r>
        <w:rPr>
          <w:rFonts w:hint="eastAsia" w:ascii="宋体" w:hAnsi="宋体" w:cs="宋体"/>
          <w:b/>
          <w:color w:val="auto"/>
          <w:szCs w:val="21"/>
          <w:highlight w:val="none"/>
        </w:rPr>
        <w:t>服务类项目中供应商若使用退休人员，将不享受相关扶持政策。</w:t>
      </w:r>
    </w:p>
    <w:p w14:paraId="1134FE50">
      <w:pPr>
        <w:tabs>
          <w:tab w:val="left" w:pos="567"/>
        </w:tabs>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根据《政府采购促进中小企业发展管理办法》（财库〔2020〕46号）及《中小企业划型标准规定》（工信部联企业〔2011〕300号），本采购项目对应的中小企业划分标准所属行业为：工业。</w:t>
      </w:r>
    </w:p>
    <w:p w14:paraId="24AF07C3">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3、残疾人福利性单位</w:t>
      </w:r>
      <w:r>
        <w:rPr>
          <w:rFonts w:hint="eastAsia" w:ascii="宋体" w:hAnsi="宋体" w:cs="宋体"/>
          <w:b/>
          <w:bCs/>
          <w:color w:val="auto"/>
          <w:szCs w:val="21"/>
          <w:highlight w:val="none"/>
        </w:rPr>
        <w:t>（若为专门面向中小企业采购的项目或者采购包，不再执行价格评审优惠的扶持政策）</w:t>
      </w:r>
    </w:p>
    <w:p w14:paraId="3A00A33E">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促进残疾人就业政府采购政策的通知》（财库〔2017〕141号）的相关规定，在政府采购活动中残疾人福利性单位视同小型、微型企业，享受预留份额、评审中价格扣除（其投标报价扣除20%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p>
    <w:p w14:paraId="48396BDA">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4、监狱企业</w:t>
      </w:r>
      <w:r>
        <w:rPr>
          <w:rFonts w:hint="eastAsia" w:ascii="宋体" w:hAnsi="宋体" w:cs="宋体"/>
          <w:b/>
          <w:bCs/>
          <w:color w:val="auto"/>
          <w:szCs w:val="21"/>
          <w:highlight w:val="none"/>
        </w:rPr>
        <w:t>（若为专门面向中小企业采购的项目或者采购包，不再执行价格评审优惠的扶持政策）</w:t>
      </w:r>
    </w:p>
    <w:p w14:paraId="1E81AC97">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政府采购支持监狱企业发展有关问题的通知》（财库〔2014〕68号）的相关规定，在政府采购活动中，监狱企业视同小型、微型企业，享受预留份额、评审中价格扣除（其投标报价扣除20%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p>
    <w:p w14:paraId="312DE15A">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6%的价格扣除，用扣除后的价格参与评审。</w:t>
      </w:r>
    </w:p>
    <w:p w14:paraId="39F95A67">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6、绿色采购</w:t>
      </w:r>
    </w:p>
    <w:p w14:paraId="712D1414">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1）根据《关于调整优化节能产品、环境标志产品政府采购执行机制的通知》（财库〔2019〕9号）等相关文件的规定，</w:t>
      </w:r>
      <w:r>
        <w:rPr>
          <w:rFonts w:hint="eastAsia" w:ascii="宋体" w:hAnsi="宋体" w:cs="宋体"/>
          <w:b/>
          <w:color w:val="auto"/>
          <w:szCs w:val="21"/>
          <w:highlight w:val="none"/>
        </w:rPr>
        <w:t>对属于《节能产品政府采购品目清单》中强制采购范围内产品的，供应商须提供由国家确定的认证机构出具的、处于有效期之内的节能产品认证证书，上述品目清单可通过“中国政府采购网”（http://www.ccgp.gov.cn）查询,并在投标文件中提供由国家确定的认证机构出具的、处于有效期之内的节能产品认证证书复印件，否则视为未实质性响应。</w:t>
      </w:r>
    </w:p>
    <w:p w14:paraId="7692A8B2">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7C7AF977">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14:paraId="158A3A32">
      <w:pPr>
        <w:tabs>
          <w:tab w:val="left" w:pos="567"/>
        </w:tabs>
        <w:spacing w:line="360" w:lineRule="auto"/>
        <w:ind w:firstLine="420"/>
        <w:rPr>
          <w:rFonts w:hint="default" w:ascii="宋体" w:hAnsi="宋体" w:cs="宋体"/>
          <w:b/>
          <w:bCs/>
          <w:color w:val="auto"/>
          <w:highlight w:val="none"/>
          <w:lang w:val="en-US" w:eastAsia="zh-CN"/>
        </w:rPr>
      </w:pPr>
      <w:r>
        <w:rPr>
          <w:rFonts w:hint="eastAsia" w:ascii="宋体" w:hAnsi="宋体" w:cs="宋体"/>
          <w:color w:val="auto"/>
          <w:highlight w:val="none"/>
        </w:rPr>
        <w:t>7、</w:t>
      </w:r>
      <w:r>
        <w:rPr>
          <w:rFonts w:hint="eastAsia" w:ascii="宋体" w:hAnsi="宋体" w:cs="宋体"/>
          <w:b/>
          <w:bCs/>
          <w:color w:val="auto"/>
          <w:highlight w:val="none"/>
          <w:lang w:val="en-US" w:eastAsia="zh-CN"/>
        </w:rPr>
        <w:t>异常低价审查</w:t>
      </w:r>
    </w:p>
    <w:p w14:paraId="206DF662">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一</w:t>
      </w:r>
      <w:r>
        <w:rPr>
          <w:rFonts w:hint="eastAsia" w:ascii="宋体" w:hAnsi="宋体" w:cs="宋体"/>
          <w:color w:val="auto"/>
          <w:highlight w:val="none"/>
          <w:lang w:eastAsia="zh-CN"/>
        </w:rPr>
        <w:t>）按照财政部发布的《关于推动解决政府采购异常低价问题的通知》（ 财库〔2026〕2号）</w:t>
      </w:r>
      <w:r>
        <w:rPr>
          <w:rFonts w:hint="eastAsia" w:ascii="宋体" w:hAnsi="宋体" w:cs="宋体"/>
          <w:color w:val="auto"/>
          <w:highlight w:val="none"/>
        </w:rPr>
        <w:t>文，政府采购评审中出现下列情形之一的，评审委员会应当启动异常低价投标（响应）审查程序：</w:t>
      </w:r>
    </w:p>
    <w:p w14:paraId="6941D0D2">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A、评审过程中出现下列情形之一的，评审委员会应当启动异常低价投标（响应）审查程序：</w:t>
      </w:r>
    </w:p>
    <w:p w14:paraId="02D2399F">
      <w:pPr>
        <w:tabs>
          <w:tab w:val="left" w:pos="567"/>
        </w:tabs>
        <w:spacing w:line="360" w:lineRule="auto"/>
        <w:ind w:firstLine="420"/>
        <w:rPr>
          <w:rFonts w:hint="eastAsia" w:ascii="宋体" w:hAnsi="宋体" w:cs="宋体"/>
          <w:color w:val="auto"/>
          <w:highlight w:val="none"/>
        </w:rPr>
      </w:pPr>
      <w:r>
        <w:rPr>
          <w:rFonts w:hint="eastAsia" w:ascii="宋体" w:hAnsi="宋体" w:cs="宋体"/>
          <w:color w:val="auto"/>
          <w:highlight w:val="none"/>
        </w:rPr>
        <w:t>1.投标（响应）报价低于全部通过符合性审查供应商投标（响应）报价平均值</w:t>
      </w:r>
      <w:r>
        <w:rPr>
          <w:rFonts w:hint="eastAsia" w:ascii="宋体" w:hAnsi="宋体" w:cs="宋体"/>
          <w:color w:val="auto"/>
          <w:highlight w:val="none"/>
          <w:lang w:val="en-US" w:eastAsia="zh-CN"/>
        </w:rPr>
        <w:t>50</w:t>
      </w:r>
      <w:r>
        <w:rPr>
          <w:rFonts w:hint="eastAsia" w:ascii="宋体" w:hAnsi="宋体" w:cs="宋体"/>
          <w:color w:val="auto"/>
          <w:highlight w:val="none"/>
        </w:rPr>
        <w:t>%的，即投标（响应）报价&lt;全部通过符合性审查供应商投标（响应）报价平均值×</w:t>
      </w:r>
      <w:r>
        <w:rPr>
          <w:rFonts w:hint="eastAsia" w:ascii="宋体" w:hAnsi="宋体" w:cs="宋体"/>
          <w:color w:val="auto"/>
          <w:highlight w:val="none"/>
          <w:lang w:val="en-US" w:eastAsia="zh-CN"/>
        </w:rPr>
        <w:t>50</w:t>
      </w:r>
      <w:r>
        <w:rPr>
          <w:rFonts w:hint="eastAsia" w:ascii="宋体" w:hAnsi="宋体" w:cs="宋体"/>
          <w:color w:val="auto"/>
          <w:highlight w:val="none"/>
        </w:rPr>
        <w:t>%；</w:t>
      </w:r>
    </w:p>
    <w:p w14:paraId="6B88FE45">
      <w:pPr>
        <w:tabs>
          <w:tab w:val="left" w:pos="567"/>
        </w:tabs>
        <w:spacing w:line="360" w:lineRule="auto"/>
        <w:ind w:firstLine="420"/>
        <w:rPr>
          <w:rFonts w:hint="eastAsia" w:ascii="宋体" w:hAnsi="宋体" w:cs="宋体"/>
          <w:color w:val="auto"/>
          <w:highlight w:val="none"/>
        </w:rPr>
      </w:pPr>
      <w:r>
        <w:rPr>
          <w:rFonts w:hint="eastAsia" w:ascii="宋体" w:hAnsi="宋体" w:cs="宋体"/>
          <w:color w:val="auto"/>
          <w:highlight w:val="none"/>
        </w:rPr>
        <w:t>2.投标（响应）报价低于通过符合性审查的次低报价供应商投标（响应）报价</w:t>
      </w:r>
      <w:r>
        <w:rPr>
          <w:rFonts w:hint="eastAsia" w:ascii="宋体" w:hAnsi="宋体" w:cs="宋体"/>
          <w:color w:val="auto"/>
          <w:highlight w:val="none"/>
          <w:lang w:val="en-US" w:eastAsia="zh-CN"/>
        </w:rPr>
        <w:t>50</w:t>
      </w:r>
      <w:r>
        <w:rPr>
          <w:rFonts w:hint="eastAsia" w:ascii="宋体" w:hAnsi="宋体" w:cs="宋体"/>
          <w:color w:val="auto"/>
          <w:highlight w:val="none"/>
        </w:rPr>
        <w:t>%的，即投标（响应）报价&lt;通过符合性审查的次低报价供应商投标（响应）报价×</w:t>
      </w:r>
      <w:r>
        <w:rPr>
          <w:rFonts w:hint="eastAsia" w:ascii="宋体" w:hAnsi="宋体" w:cs="宋体"/>
          <w:color w:val="auto"/>
          <w:highlight w:val="none"/>
          <w:lang w:val="en-US" w:eastAsia="zh-CN"/>
        </w:rPr>
        <w:t>50</w:t>
      </w:r>
      <w:r>
        <w:rPr>
          <w:rFonts w:hint="eastAsia" w:ascii="宋体" w:hAnsi="宋体" w:cs="宋体"/>
          <w:color w:val="auto"/>
          <w:highlight w:val="none"/>
        </w:rPr>
        <w:t>%；</w:t>
      </w:r>
    </w:p>
    <w:p w14:paraId="60F84CF2">
      <w:pPr>
        <w:tabs>
          <w:tab w:val="left" w:pos="567"/>
        </w:tabs>
        <w:spacing w:line="360" w:lineRule="auto"/>
        <w:ind w:firstLine="420"/>
        <w:rPr>
          <w:rFonts w:hint="eastAsia" w:ascii="宋体" w:hAnsi="宋体" w:cs="宋体"/>
          <w:color w:val="auto"/>
          <w:highlight w:val="none"/>
        </w:rPr>
      </w:pPr>
      <w:r>
        <w:rPr>
          <w:rFonts w:hint="eastAsia" w:ascii="宋体" w:hAnsi="宋体" w:cs="宋体"/>
          <w:color w:val="auto"/>
          <w:highlight w:val="none"/>
        </w:rPr>
        <w:t>3.投标（响应）报价低于采购项目最高限价</w:t>
      </w:r>
      <w:r>
        <w:rPr>
          <w:rFonts w:hint="eastAsia" w:ascii="宋体" w:hAnsi="宋体" w:cs="宋体"/>
          <w:color w:val="auto"/>
          <w:highlight w:val="none"/>
          <w:lang w:val="en-US" w:eastAsia="zh-CN"/>
        </w:rPr>
        <w:t>45</w:t>
      </w:r>
      <w:r>
        <w:rPr>
          <w:rFonts w:hint="eastAsia" w:ascii="宋体" w:hAnsi="宋体" w:cs="宋体"/>
          <w:color w:val="auto"/>
          <w:highlight w:val="none"/>
        </w:rPr>
        <w:t>%的，即投标（响应）报价&lt;采购项目最高限价×</w:t>
      </w:r>
      <w:r>
        <w:rPr>
          <w:rFonts w:hint="eastAsia" w:ascii="宋体" w:hAnsi="宋体" w:cs="宋体"/>
          <w:color w:val="auto"/>
          <w:highlight w:val="none"/>
          <w:lang w:val="en-US" w:eastAsia="zh-CN"/>
        </w:rPr>
        <w:t>45</w:t>
      </w:r>
      <w:r>
        <w:rPr>
          <w:rFonts w:hint="eastAsia" w:ascii="宋体" w:hAnsi="宋体" w:cs="宋体"/>
          <w:color w:val="auto"/>
          <w:highlight w:val="none"/>
        </w:rPr>
        <w:t>%；</w:t>
      </w:r>
    </w:p>
    <w:p w14:paraId="371B4A44">
      <w:pPr>
        <w:tabs>
          <w:tab w:val="left" w:pos="567"/>
        </w:tabs>
        <w:spacing w:line="360" w:lineRule="auto"/>
        <w:ind w:firstLine="420"/>
        <w:rPr>
          <w:rFonts w:hint="eastAsia" w:ascii="宋体" w:hAnsi="宋体" w:cs="宋体"/>
          <w:color w:val="auto"/>
          <w:highlight w:val="none"/>
        </w:rPr>
      </w:pPr>
      <w:r>
        <w:rPr>
          <w:rFonts w:hint="eastAsia" w:ascii="宋体" w:hAnsi="宋体" w:cs="宋体"/>
          <w:color w:val="auto"/>
          <w:highlight w:val="none"/>
        </w:rPr>
        <w:t>4.评审委员会基于专业判断，认为供应商报价过低，有可能影响产品质量或者不能诚信履约的其他情形。</w:t>
      </w:r>
    </w:p>
    <w:p w14:paraId="60CE0561">
      <w:pPr>
        <w:tabs>
          <w:tab w:val="left" w:pos="567"/>
        </w:tabs>
        <w:spacing w:line="360" w:lineRule="auto"/>
        <w:ind w:firstLine="42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二</w:t>
      </w:r>
      <w:r>
        <w:rPr>
          <w:rFonts w:hint="eastAsia" w:ascii="宋体" w:hAnsi="宋体" w:cs="宋体"/>
          <w:color w:val="auto"/>
          <w:highlight w:val="none"/>
          <w:lang w:eastAsia="zh-CN"/>
        </w:rPr>
        <w:t>）</w:t>
      </w:r>
      <w:r>
        <w:rPr>
          <w:rFonts w:hint="eastAsia" w:ascii="宋体" w:hAnsi="宋体" w:cs="宋体"/>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620D155">
      <w:pPr>
        <w:numPr>
          <w:ilvl w:val="0"/>
          <w:numId w:val="9"/>
        </w:num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AC168B">
      <w:pPr>
        <w:tabs>
          <w:tab w:val="left" w:pos="567"/>
        </w:tabs>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8、政府采购中实施本国产品标准及相关政策</w:t>
      </w:r>
    </w:p>
    <w:p w14:paraId="2DA6F4CF">
      <w:pPr>
        <w:tabs>
          <w:tab w:val="left" w:pos="567"/>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8.1.本项目对采购本国产品给予政策支持：</w:t>
      </w:r>
    </w:p>
    <w:p w14:paraId="7853E51C">
      <w:pPr>
        <w:tabs>
          <w:tab w:val="left" w:pos="567"/>
        </w:tabs>
        <w:spacing w:line="360" w:lineRule="auto"/>
        <w:ind w:firstLine="210" w:firstLineChars="100"/>
        <w:rPr>
          <w:rFonts w:ascii="宋体" w:hAnsi="宋体" w:cs="宋体"/>
          <w:color w:val="auto"/>
          <w:highlight w:val="none"/>
        </w:rPr>
      </w:pPr>
      <w:r>
        <w:rPr>
          <w:rFonts w:hint="eastAsia" w:ascii="宋体" w:hAnsi="宋体" w:cs="宋体"/>
          <w:color w:val="auto"/>
          <w:highlight w:val="none"/>
        </w:rPr>
        <w:t>（1）本项目政府采购活动中既有本国产品又有非本国产品参与竞争的，依法对本国产品给予价格评审优惠，对本国产品的报价给予20%的价格扣除，用扣除后的价格参与评审。</w:t>
      </w:r>
    </w:p>
    <w:p w14:paraId="5C6EEF6B">
      <w:pPr>
        <w:tabs>
          <w:tab w:val="left" w:pos="567"/>
        </w:tabs>
        <w:spacing w:line="360" w:lineRule="auto"/>
        <w:ind w:firstLine="210" w:firstLineChars="100"/>
        <w:rPr>
          <w:rFonts w:ascii="宋体" w:hAnsi="宋体" w:cs="宋体"/>
          <w:color w:val="auto"/>
          <w:highlight w:val="none"/>
        </w:rPr>
      </w:pPr>
      <w:r>
        <w:rPr>
          <w:rFonts w:hint="eastAsia" w:ascii="宋体" w:hAnsi="宋体" w:cs="宋体"/>
          <w:color w:val="auto"/>
          <w:highlight w:val="none"/>
        </w:rPr>
        <w:t>（2）当采购项目或者采购包中含有多种产品，供应商为该采购项目或者采购包提供的符合本国产品标准的产品成本之和占该供应商提供的全部产品成本之和的比例达到80%以上时（供应商需在“投标文件格式”的“附件：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A7FF8A1">
      <w:pPr>
        <w:tabs>
          <w:tab w:val="left" w:pos="567"/>
        </w:tabs>
        <w:spacing w:line="360" w:lineRule="auto"/>
        <w:ind w:firstLine="210" w:firstLineChars="100"/>
        <w:rPr>
          <w:rFonts w:ascii="宋体" w:hAnsi="宋体" w:cs="宋体"/>
          <w:color w:val="auto"/>
          <w:highlight w:val="none"/>
        </w:rPr>
      </w:pPr>
      <w:r>
        <w:rPr>
          <w:rFonts w:hint="eastAsia" w:ascii="宋体" w:hAnsi="宋体" w:cs="宋体"/>
          <w:color w:val="auto"/>
          <w:highlight w:val="none"/>
        </w:rPr>
        <w:t>（3）供应商需按照招标文件的要求提供《关于符合本国产品标准的声明函》（以下简称《声明函》），如不提供将不享受本国产品价格评审优惠。</w:t>
      </w:r>
    </w:p>
    <w:p w14:paraId="0B480EB4">
      <w:pPr>
        <w:tabs>
          <w:tab w:val="left" w:pos="567"/>
        </w:tabs>
        <w:spacing w:line="360" w:lineRule="auto"/>
        <w:ind w:firstLine="210" w:firstLineChars="100"/>
        <w:rPr>
          <w:rFonts w:ascii="宋体" w:hAnsi="宋体" w:cs="宋体"/>
          <w:color w:val="auto"/>
          <w:highlight w:val="none"/>
        </w:rPr>
      </w:pPr>
      <w:r>
        <w:rPr>
          <w:rFonts w:hint="eastAsia" w:ascii="宋体" w:hAnsi="宋体" w:cs="宋体"/>
          <w:color w:val="auto"/>
          <w:highlight w:val="none"/>
        </w:rPr>
        <w:t>（4）供应商需在《声明函》中逐一、准确填写产品名称、厂名、生产厂址三项信息（《声明函》中用斜线划除的地方无需填写），三项信息中任意一项未填写的视为该项产品不符合本国产品标准，不享受本国产品价格评审优惠。</w:t>
      </w:r>
    </w:p>
    <w:p w14:paraId="1F1DC17F">
      <w:pPr>
        <w:tabs>
          <w:tab w:val="left" w:pos="567"/>
        </w:tabs>
        <w:spacing w:line="360" w:lineRule="auto"/>
        <w:ind w:firstLine="210" w:firstLineChars="100"/>
        <w:rPr>
          <w:rFonts w:ascii="宋体" w:hAnsi="宋体" w:cs="宋体"/>
          <w:color w:val="auto"/>
          <w:highlight w:val="none"/>
        </w:rPr>
      </w:pPr>
      <w:r>
        <w:rPr>
          <w:rFonts w:hint="eastAsia" w:ascii="宋体" w:hAnsi="宋体" w:cs="宋体"/>
          <w:color w:val="auto"/>
          <w:highlight w:val="none"/>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33EB41B">
      <w:pPr>
        <w:tabs>
          <w:tab w:val="left" w:pos="567"/>
        </w:tabs>
        <w:spacing w:line="360" w:lineRule="auto"/>
        <w:ind w:firstLine="210" w:firstLineChars="100"/>
        <w:rPr>
          <w:rFonts w:ascii="宋体" w:hAnsi="宋体" w:cs="宋体"/>
          <w:color w:val="auto"/>
          <w:highlight w:val="none"/>
        </w:rPr>
      </w:pPr>
      <w:r>
        <w:rPr>
          <w:rFonts w:hint="eastAsia" w:ascii="宋体" w:hAnsi="宋体" w:cs="宋体"/>
          <w:color w:val="auto"/>
          <w:highlight w:val="none"/>
        </w:rPr>
        <w:t>8.2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017CDD">
      <w:pPr>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highlight w:val="none"/>
        </w:rPr>
        <w:t>8.3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r>
        <w:rPr>
          <w:rFonts w:hint="eastAsia" w:ascii="宋体" w:hAnsi="宋体"/>
          <w:snapToGrid w:val="0"/>
          <w:color w:val="auto"/>
          <w:kern w:val="0"/>
          <w:szCs w:val="21"/>
          <w:highlight w:val="none"/>
        </w:rPr>
        <w:t>。</w:t>
      </w:r>
    </w:p>
    <w:p w14:paraId="563E22E4">
      <w:pPr>
        <w:tabs>
          <w:tab w:val="left" w:pos="567"/>
        </w:tabs>
        <w:spacing w:line="360" w:lineRule="auto"/>
        <w:ind w:firstLine="420"/>
        <w:rPr>
          <w:rFonts w:ascii="宋体" w:hAnsi="宋体" w:cs="宋体"/>
          <w:color w:val="auto"/>
          <w:szCs w:val="21"/>
          <w:highlight w:val="none"/>
        </w:rPr>
      </w:pPr>
    </w:p>
    <w:bookmarkEnd w:id="54"/>
    <w:p w14:paraId="28FD50EF">
      <w:pPr>
        <w:pageBreakBefore/>
        <w:ind w:firstLine="883"/>
        <w:jc w:val="center"/>
        <w:rPr>
          <w:rFonts w:ascii="宋体" w:hAnsi="宋体"/>
          <w:b/>
          <w:color w:val="auto"/>
          <w:sz w:val="44"/>
          <w:highlight w:val="none"/>
        </w:rPr>
      </w:pPr>
      <w:r>
        <w:rPr>
          <w:rFonts w:hint="eastAsia" w:ascii="宋体" w:hAnsi="宋体"/>
          <w:b/>
          <w:color w:val="auto"/>
          <w:sz w:val="44"/>
          <w:highlight w:val="none"/>
        </w:rPr>
        <w:t>第五章合同一般条款</w:t>
      </w:r>
      <w:bookmarkStart w:id="55" w:name="_Toc13543213"/>
    </w:p>
    <w:p w14:paraId="5F0DFFF9">
      <w:pPr>
        <w:ind w:firstLine="420"/>
        <w:rPr>
          <w:rFonts w:ascii="宋体" w:hAnsi="宋体"/>
          <w:b/>
          <w:color w:val="auto"/>
          <w:highlight w:val="none"/>
        </w:rPr>
      </w:pPr>
    </w:p>
    <w:bookmarkEnd w:id="55"/>
    <w:p w14:paraId="46F370D5">
      <w:pPr>
        <w:spacing w:line="360" w:lineRule="auto"/>
        <w:rPr>
          <w:rFonts w:ascii="宋体" w:hAnsi="宋体"/>
          <w:b/>
          <w:color w:val="auto"/>
          <w:szCs w:val="21"/>
          <w:highlight w:val="none"/>
        </w:rPr>
      </w:pPr>
      <w:bookmarkStart w:id="56" w:name="_Toc13889377"/>
      <w:bookmarkStart w:id="57" w:name="_Toc13642117"/>
      <w:r>
        <w:rPr>
          <w:rFonts w:hint="eastAsia" w:ascii="宋体" w:hAnsi="宋体"/>
          <w:b/>
          <w:color w:val="auto"/>
          <w:szCs w:val="21"/>
          <w:highlight w:val="none"/>
        </w:rPr>
        <w:t>一、合同文件</w:t>
      </w:r>
    </w:p>
    <w:p w14:paraId="6775CBAA">
      <w:pPr>
        <w:spacing w:line="360" w:lineRule="auto"/>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8</w:t>
      </w:r>
      <w:r>
        <w:rPr>
          <w:rFonts w:ascii="宋体" w:hAnsi="宋体"/>
          <w:b/>
          <w:color w:val="auto"/>
          <w:szCs w:val="21"/>
          <w:highlight w:val="none"/>
        </w:rPr>
        <w:t xml:space="preserve">.  </w:t>
      </w:r>
      <w:r>
        <w:rPr>
          <w:rFonts w:hint="eastAsia" w:ascii="宋体" w:hAnsi="宋体"/>
          <w:b/>
          <w:color w:val="auto"/>
          <w:szCs w:val="21"/>
          <w:highlight w:val="none"/>
        </w:rPr>
        <w:t>合同文件适用法律</w:t>
      </w:r>
    </w:p>
    <w:p w14:paraId="32411CC2">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8</w:t>
      </w:r>
      <w:r>
        <w:rPr>
          <w:rFonts w:ascii="宋体" w:hAnsi="宋体"/>
          <w:color w:val="auto"/>
          <w:szCs w:val="21"/>
          <w:highlight w:val="none"/>
        </w:rPr>
        <w:t xml:space="preserve">.1  </w:t>
      </w:r>
      <w:r>
        <w:rPr>
          <w:rFonts w:hint="eastAsia" w:ascii="宋体" w:hAnsi="宋体"/>
          <w:color w:val="auto"/>
          <w:szCs w:val="21"/>
          <w:highlight w:val="none"/>
        </w:rPr>
        <w:t>适用于合同文件的法律是中华人民共和国现行法律、法规及甲方所在地的地方性法规。</w:t>
      </w:r>
    </w:p>
    <w:p w14:paraId="1079534F">
      <w:pPr>
        <w:spacing w:line="360" w:lineRule="auto"/>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9</w:t>
      </w:r>
      <w:r>
        <w:rPr>
          <w:rFonts w:ascii="宋体" w:hAnsi="宋体"/>
          <w:b/>
          <w:color w:val="auto"/>
          <w:szCs w:val="21"/>
          <w:highlight w:val="none"/>
        </w:rPr>
        <w:t xml:space="preserve">.  </w:t>
      </w:r>
      <w:r>
        <w:rPr>
          <w:rFonts w:hint="eastAsia" w:ascii="宋体" w:hAnsi="宋体"/>
          <w:b/>
          <w:color w:val="auto"/>
          <w:szCs w:val="21"/>
          <w:highlight w:val="none"/>
        </w:rPr>
        <w:t>合同文件组成和解释顺序</w:t>
      </w:r>
    </w:p>
    <w:p w14:paraId="67439E07">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  </w:t>
      </w:r>
      <w:r>
        <w:rPr>
          <w:rFonts w:hint="eastAsia" w:ascii="宋体" w:hAnsi="宋体"/>
          <w:color w:val="auto"/>
          <w:szCs w:val="21"/>
          <w:highlight w:val="none"/>
        </w:rPr>
        <w:t>合同文件的组成和解释顺序如下：</w:t>
      </w:r>
    </w:p>
    <w:p w14:paraId="58E9B2E9">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.1.1 </w:t>
      </w:r>
      <w:r>
        <w:rPr>
          <w:rFonts w:hint="eastAsia" w:ascii="宋体" w:hAnsi="宋体"/>
          <w:color w:val="auto"/>
          <w:szCs w:val="21"/>
          <w:highlight w:val="none"/>
        </w:rPr>
        <w:t>合同的特殊性条款</w:t>
      </w:r>
    </w:p>
    <w:p w14:paraId="76AD219C">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.1.2 </w:t>
      </w:r>
      <w:r>
        <w:rPr>
          <w:rFonts w:hint="eastAsia" w:ascii="宋体" w:hAnsi="宋体"/>
          <w:color w:val="auto"/>
          <w:szCs w:val="21"/>
          <w:highlight w:val="none"/>
        </w:rPr>
        <w:t>合同的一般性条款</w:t>
      </w:r>
    </w:p>
    <w:p w14:paraId="0351E901">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.1.3 </w:t>
      </w:r>
      <w:r>
        <w:rPr>
          <w:rFonts w:hint="eastAsia" w:ascii="宋体" w:hAnsi="宋体"/>
          <w:color w:val="auto"/>
          <w:szCs w:val="21"/>
          <w:highlight w:val="none"/>
        </w:rPr>
        <w:t>洽商、变更等明确双方权利义务的纪要、协议</w:t>
      </w:r>
    </w:p>
    <w:p w14:paraId="14BFECB5">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.1.4 </w:t>
      </w:r>
      <w:r>
        <w:rPr>
          <w:rFonts w:hint="eastAsia" w:ascii="宋体" w:hAnsi="宋体"/>
          <w:color w:val="auto"/>
          <w:szCs w:val="21"/>
          <w:highlight w:val="none"/>
        </w:rPr>
        <w:t>中标通知书、投标书和招标文件</w:t>
      </w:r>
    </w:p>
    <w:p w14:paraId="3EFBE394">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.1.5 </w:t>
      </w:r>
      <w:r>
        <w:rPr>
          <w:rFonts w:hint="eastAsia" w:ascii="宋体" w:hAnsi="宋体"/>
          <w:color w:val="auto"/>
          <w:szCs w:val="21"/>
          <w:highlight w:val="none"/>
        </w:rPr>
        <w:t>有关图纸</w:t>
      </w:r>
    </w:p>
    <w:p w14:paraId="00B613DB">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.1.6 </w:t>
      </w:r>
      <w:r>
        <w:rPr>
          <w:rFonts w:hint="eastAsia" w:ascii="宋体" w:hAnsi="宋体"/>
          <w:color w:val="auto"/>
          <w:szCs w:val="21"/>
          <w:highlight w:val="none"/>
        </w:rPr>
        <w:t>标准、规范和其它有关技术资料、技术要求</w:t>
      </w:r>
    </w:p>
    <w:p w14:paraId="0F561E6F">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.2 </w:t>
      </w:r>
      <w:r>
        <w:rPr>
          <w:rFonts w:hint="eastAsia" w:ascii="宋体" w:hAnsi="宋体"/>
          <w:color w:val="auto"/>
          <w:szCs w:val="21"/>
          <w:highlight w:val="none"/>
        </w:rPr>
        <w:t>合同的特殊性条款的效力优于合同的一般性条款的效力</w:t>
      </w:r>
    </w:p>
    <w:p w14:paraId="1D5F2D58">
      <w:pPr>
        <w:spacing w:line="360" w:lineRule="auto"/>
        <w:rPr>
          <w:rFonts w:ascii="宋体" w:hAnsi="宋体"/>
          <w:b/>
          <w:color w:val="auto"/>
          <w:szCs w:val="21"/>
          <w:highlight w:val="none"/>
        </w:rPr>
      </w:pPr>
      <w:r>
        <w:rPr>
          <w:rFonts w:hint="eastAsia" w:ascii="宋体" w:hAnsi="宋体"/>
          <w:b/>
          <w:color w:val="auto"/>
          <w:szCs w:val="21"/>
          <w:highlight w:val="none"/>
        </w:rPr>
        <w:t>40</w:t>
      </w:r>
      <w:r>
        <w:rPr>
          <w:rFonts w:ascii="宋体" w:hAnsi="宋体"/>
          <w:b/>
          <w:color w:val="auto"/>
          <w:szCs w:val="21"/>
          <w:highlight w:val="none"/>
        </w:rPr>
        <w:t xml:space="preserve">. </w:t>
      </w:r>
      <w:r>
        <w:rPr>
          <w:rFonts w:hint="eastAsia" w:ascii="宋体" w:hAnsi="宋体"/>
          <w:b/>
          <w:color w:val="auto"/>
          <w:szCs w:val="21"/>
          <w:highlight w:val="none"/>
        </w:rPr>
        <w:t>合同文件使用文字</w:t>
      </w:r>
    </w:p>
    <w:p w14:paraId="763CFD18">
      <w:pPr>
        <w:pStyle w:val="5"/>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40</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合同文件使用中文书写、解释和说明</w:t>
      </w:r>
    </w:p>
    <w:p w14:paraId="51A8D4E3">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40</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14:paraId="42CB5C88">
      <w:pPr>
        <w:spacing w:line="360" w:lineRule="auto"/>
        <w:rPr>
          <w:rFonts w:ascii="宋体" w:hAnsi="宋体"/>
          <w:b/>
          <w:color w:val="auto"/>
          <w:szCs w:val="21"/>
          <w:highlight w:val="none"/>
        </w:rPr>
      </w:pPr>
      <w:bookmarkStart w:id="58" w:name="_Toc13543214"/>
      <w:r>
        <w:rPr>
          <w:rFonts w:hint="eastAsia" w:ascii="宋体" w:hAnsi="宋体"/>
          <w:b/>
          <w:color w:val="auto"/>
          <w:szCs w:val="21"/>
          <w:highlight w:val="none"/>
        </w:rPr>
        <w:t>二、标的物的一般条款</w:t>
      </w:r>
      <w:bookmarkEnd w:id="58"/>
    </w:p>
    <w:p w14:paraId="0B929DB4">
      <w:pPr>
        <w:spacing w:line="360" w:lineRule="auto"/>
        <w:rPr>
          <w:rFonts w:ascii="宋体" w:hAnsi="宋体"/>
          <w:b/>
          <w:color w:val="auto"/>
          <w:szCs w:val="21"/>
          <w:highlight w:val="none"/>
        </w:rPr>
      </w:pPr>
      <w:r>
        <w:rPr>
          <w:rFonts w:hint="eastAsia" w:ascii="宋体" w:hAnsi="宋体"/>
          <w:b/>
          <w:color w:val="auto"/>
          <w:szCs w:val="21"/>
          <w:highlight w:val="none"/>
        </w:rPr>
        <w:t>41</w:t>
      </w:r>
      <w:r>
        <w:rPr>
          <w:rFonts w:ascii="宋体" w:hAnsi="宋体"/>
          <w:b/>
          <w:color w:val="auto"/>
          <w:szCs w:val="21"/>
          <w:highlight w:val="none"/>
        </w:rPr>
        <w:t xml:space="preserve">.  </w:t>
      </w:r>
      <w:r>
        <w:rPr>
          <w:rFonts w:hint="eastAsia" w:ascii="宋体" w:hAnsi="宋体"/>
          <w:b/>
          <w:color w:val="auto"/>
          <w:szCs w:val="21"/>
          <w:highlight w:val="none"/>
        </w:rPr>
        <w:t>完整物权</w:t>
      </w:r>
    </w:p>
    <w:p w14:paraId="10765AEB">
      <w:pPr>
        <w:spacing w:line="360" w:lineRule="auto"/>
        <w:ind w:firstLine="422"/>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对于出卖的标的物，乙方应当拥有完整物权，并且乙方负有保证第三人不得向甲方主张任何权利（包括知识产权）的义务。</w:t>
      </w:r>
    </w:p>
    <w:p w14:paraId="64BE4388">
      <w:pPr>
        <w:spacing w:line="360" w:lineRule="auto"/>
        <w:rPr>
          <w:rFonts w:ascii="宋体" w:hAnsi="宋体"/>
          <w:b/>
          <w:color w:val="auto"/>
          <w:szCs w:val="21"/>
          <w:highlight w:val="none"/>
        </w:rPr>
      </w:pPr>
      <w:r>
        <w:rPr>
          <w:rFonts w:hint="eastAsia" w:ascii="宋体" w:hAnsi="宋体"/>
          <w:b/>
          <w:color w:val="auto"/>
          <w:szCs w:val="21"/>
          <w:highlight w:val="none"/>
        </w:rPr>
        <w:t>42</w:t>
      </w:r>
      <w:r>
        <w:rPr>
          <w:rFonts w:ascii="宋体" w:hAnsi="宋体"/>
          <w:b/>
          <w:color w:val="auto"/>
          <w:szCs w:val="21"/>
          <w:highlight w:val="none"/>
        </w:rPr>
        <w:t xml:space="preserve">.  </w:t>
      </w:r>
      <w:r>
        <w:rPr>
          <w:rFonts w:hint="eastAsia" w:ascii="宋体" w:hAnsi="宋体"/>
          <w:b/>
          <w:color w:val="auto"/>
          <w:szCs w:val="21"/>
          <w:highlight w:val="none"/>
        </w:rPr>
        <w:t>质量保证</w:t>
      </w:r>
    </w:p>
    <w:p w14:paraId="4E581294">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42</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或材料的缺陷及伴随服务而造成的任何不足或故障负责。</w:t>
      </w:r>
    </w:p>
    <w:p w14:paraId="5B2F44A5">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42</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根据甲方按检验标准或行业标准自己检验的结果或当地技监部门的检验结果，或者在质量保证期内，如果标的物的数量、质量或规格与合同不符或证实标的物是有缺陷的，包括潜在缺陷或使用不符合要求的材料等，甲方应尽快以书面形式通知乙方并提出索赔。</w:t>
      </w:r>
    </w:p>
    <w:p w14:paraId="67F06639">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42</w:t>
      </w:r>
      <w:r>
        <w:rPr>
          <w:rFonts w:ascii="宋体" w:hAnsi="宋体" w:eastAsia="宋体"/>
          <w:color w:val="auto"/>
          <w:sz w:val="21"/>
          <w:szCs w:val="21"/>
          <w:highlight w:val="none"/>
        </w:rPr>
        <w:t>.3</w:t>
      </w:r>
      <w:r>
        <w:rPr>
          <w:rFonts w:hint="eastAsia" w:ascii="宋体" w:hAnsi="宋体" w:eastAsia="宋体"/>
          <w:color w:val="auto"/>
          <w:sz w:val="21"/>
          <w:szCs w:val="21"/>
          <w:highlight w:val="none"/>
        </w:rPr>
        <w:t>除合同特殊条款规定外，合同条款中标的物的质量保证期均自相应批次标的物交货并通过最终验收之日起计算，具体按招标文件中规定的质量保证期为准或中标单位承诺更高于招标要求的质量保证期为准。</w:t>
      </w:r>
    </w:p>
    <w:p w14:paraId="3F6B0E8E">
      <w:pPr>
        <w:spacing w:line="360" w:lineRule="auto"/>
        <w:rPr>
          <w:rFonts w:ascii="宋体" w:hAnsi="宋体"/>
          <w:b/>
          <w:color w:val="auto"/>
          <w:szCs w:val="21"/>
          <w:highlight w:val="none"/>
        </w:rPr>
      </w:pPr>
      <w:r>
        <w:rPr>
          <w:rFonts w:hint="eastAsia" w:ascii="宋体" w:hAnsi="宋体"/>
          <w:b/>
          <w:color w:val="auto"/>
          <w:szCs w:val="21"/>
          <w:highlight w:val="none"/>
        </w:rPr>
        <w:t>43</w:t>
      </w:r>
      <w:r>
        <w:rPr>
          <w:rFonts w:ascii="宋体" w:hAnsi="宋体"/>
          <w:b/>
          <w:color w:val="auto"/>
          <w:szCs w:val="21"/>
          <w:highlight w:val="none"/>
        </w:rPr>
        <w:t xml:space="preserve">.  </w:t>
      </w:r>
      <w:r>
        <w:rPr>
          <w:rFonts w:hint="eastAsia" w:ascii="宋体" w:hAnsi="宋体"/>
          <w:b/>
          <w:color w:val="auto"/>
          <w:szCs w:val="21"/>
          <w:highlight w:val="none"/>
        </w:rPr>
        <w:t>包装</w:t>
      </w:r>
    </w:p>
    <w:p w14:paraId="5D23FBFB">
      <w:pPr>
        <w:pStyle w:val="5"/>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乙方应当按照约定的包装方式交付标的物。对包装方式没有约定或者约定不明确的，应当按照双方补充协议约定的方式包装，或者按照通用的方式包装，没有通用方式的，应当采取足以保护标的物的包装方式。</w:t>
      </w:r>
    </w:p>
    <w:p w14:paraId="0A878B0A">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4</w:t>
      </w:r>
      <w:r>
        <w:rPr>
          <w:rFonts w:ascii="宋体" w:hAnsi="宋体"/>
          <w:b/>
          <w:color w:val="auto"/>
          <w:szCs w:val="21"/>
          <w:highlight w:val="none"/>
        </w:rPr>
        <w:t xml:space="preserve">.  </w:t>
      </w:r>
      <w:r>
        <w:rPr>
          <w:rFonts w:hint="eastAsia" w:ascii="宋体" w:hAnsi="宋体"/>
          <w:b/>
          <w:color w:val="auto"/>
          <w:szCs w:val="21"/>
          <w:highlight w:val="none"/>
        </w:rPr>
        <w:t>伴随服务</w:t>
      </w:r>
    </w:p>
    <w:p w14:paraId="2ED9BCA1">
      <w:pPr>
        <w:pStyle w:val="5"/>
        <w:overflowPunct w:val="0"/>
        <w:spacing w:line="360" w:lineRule="auto"/>
        <w:ind w:firstLineChars="200"/>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乙方除应履行按期按量交付合格标的物的义务之外，还应提供下列服务。</w:t>
      </w:r>
    </w:p>
    <w:p w14:paraId="34E5CBDF">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.1.1  </w:t>
      </w:r>
      <w:r>
        <w:rPr>
          <w:rFonts w:hint="eastAsia" w:ascii="宋体" w:hAnsi="宋体" w:eastAsia="宋体"/>
          <w:color w:val="auto"/>
          <w:sz w:val="21"/>
          <w:szCs w:val="21"/>
          <w:highlight w:val="none"/>
        </w:rPr>
        <w:t>标的物的现场启动、调试、监督；</w:t>
      </w:r>
    </w:p>
    <w:p w14:paraId="0B4E9BA3">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.1.2  </w:t>
      </w:r>
      <w:r>
        <w:rPr>
          <w:rFonts w:hint="eastAsia" w:ascii="宋体" w:hAnsi="宋体" w:eastAsia="宋体"/>
          <w:color w:val="auto"/>
          <w:sz w:val="21"/>
          <w:szCs w:val="21"/>
          <w:highlight w:val="none"/>
        </w:rPr>
        <w:t>提供标的物组装和一般维修所必须的工具；</w:t>
      </w:r>
    </w:p>
    <w:p w14:paraId="6B277CFF">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.1.3  </w:t>
      </w:r>
      <w:r>
        <w:rPr>
          <w:rFonts w:hint="eastAsia" w:ascii="宋体" w:hAnsi="宋体" w:eastAsia="宋体"/>
          <w:color w:val="auto"/>
          <w:sz w:val="21"/>
          <w:szCs w:val="21"/>
          <w:highlight w:val="none"/>
        </w:rPr>
        <w:t>在合同规定的期限内对所提供标的物实行运行监督、维修服务的前提条件是该服务并不能免除乙方在质量保证期内所承担的义务；</w:t>
      </w:r>
    </w:p>
    <w:p w14:paraId="6CB448D8">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.1.4  </w:t>
      </w:r>
      <w:r>
        <w:rPr>
          <w:rFonts w:hint="eastAsia" w:ascii="宋体" w:hAnsi="宋体" w:eastAsia="宋体"/>
          <w:color w:val="auto"/>
          <w:sz w:val="21"/>
          <w:szCs w:val="21"/>
          <w:highlight w:val="none"/>
        </w:rPr>
        <w:t>对甲方技术人员的技术指导或培训。</w:t>
      </w:r>
    </w:p>
    <w:p w14:paraId="0F280269">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除合同另有规定之外，伴随服务的费用均已含在合同价款中，甲方不再另行进行支付。</w:t>
      </w:r>
    </w:p>
    <w:p w14:paraId="3098AA38">
      <w:pPr>
        <w:spacing w:line="360" w:lineRule="auto"/>
        <w:rPr>
          <w:rFonts w:ascii="宋体" w:hAnsi="宋体"/>
          <w:b/>
          <w:color w:val="auto"/>
          <w:szCs w:val="21"/>
          <w:highlight w:val="none"/>
        </w:rPr>
      </w:pPr>
      <w:bookmarkStart w:id="59" w:name="_Toc13543215"/>
      <w:r>
        <w:rPr>
          <w:rFonts w:hint="eastAsia" w:ascii="宋体" w:hAnsi="宋体"/>
          <w:b/>
          <w:color w:val="auto"/>
          <w:szCs w:val="21"/>
          <w:highlight w:val="none"/>
        </w:rPr>
        <w:t>三、标的物的交付、检验和验收</w:t>
      </w:r>
      <w:bookmarkEnd w:id="59"/>
    </w:p>
    <w:p w14:paraId="43A322E7">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5</w:t>
      </w:r>
      <w:r>
        <w:rPr>
          <w:rFonts w:ascii="宋体" w:hAnsi="宋体"/>
          <w:b/>
          <w:color w:val="auto"/>
          <w:szCs w:val="21"/>
          <w:highlight w:val="none"/>
        </w:rPr>
        <w:t xml:space="preserve">.  </w:t>
      </w:r>
      <w:r>
        <w:rPr>
          <w:rFonts w:hint="eastAsia" w:ascii="宋体" w:hAnsi="宋体"/>
          <w:b/>
          <w:color w:val="auto"/>
          <w:szCs w:val="21"/>
          <w:highlight w:val="none"/>
        </w:rPr>
        <w:t>标的物的交付</w:t>
      </w:r>
    </w:p>
    <w:p w14:paraId="13B7DBD6">
      <w:pPr>
        <w:pStyle w:val="5"/>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5</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标的物的所有权自标的物交付时转移。</w:t>
      </w:r>
    </w:p>
    <w:p w14:paraId="6A929839">
      <w:pPr>
        <w:pStyle w:val="5"/>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5</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乙方应当按照约定的期限和约定的地点交付标的物。</w:t>
      </w:r>
    </w:p>
    <w:p w14:paraId="56535EB8">
      <w:pPr>
        <w:pStyle w:val="5"/>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5</w:t>
      </w:r>
      <w:r>
        <w:rPr>
          <w:rFonts w:ascii="宋体" w:hAnsi="宋体" w:eastAsia="宋体"/>
          <w:color w:val="auto"/>
          <w:sz w:val="21"/>
          <w:szCs w:val="21"/>
          <w:highlight w:val="none"/>
        </w:rPr>
        <w:t xml:space="preserve">.3  </w:t>
      </w:r>
      <w:r>
        <w:rPr>
          <w:rFonts w:hint="eastAsia" w:ascii="宋体" w:hAnsi="宋体" w:eastAsia="宋体"/>
          <w:color w:val="auto"/>
          <w:sz w:val="21"/>
          <w:szCs w:val="21"/>
          <w:highlight w:val="none"/>
        </w:rPr>
        <w:t>乙方应当按照约定或者交易习惯向甲方交付提取标的物单证以外的有关单证和资料。</w:t>
      </w:r>
    </w:p>
    <w:p w14:paraId="4072A4D0">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6</w:t>
      </w:r>
      <w:r>
        <w:rPr>
          <w:rFonts w:ascii="宋体" w:hAnsi="宋体"/>
          <w:b/>
          <w:color w:val="auto"/>
          <w:szCs w:val="21"/>
          <w:highlight w:val="none"/>
        </w:rPr>
        <w:t xml:space="preserve">.  </w:t>
      </w:r>
      <w:r>
        <w:rPr>
          <w:rFonts w:hint="eastAsia" w:ascii="宋体" w:hAnsi="宋体"/>
          <w:b/>
          <w:color w:val="auto"/>
          <w:szCs w:val="21"/>
          <w:highlight w:val="none"/>
        </w:rPr>
        <w:t>检验和验收</w:t>
      </w:r>
    </w:p>
    <w:p w14:paraId="10632066">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6</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在交货前，乙方应对标的物的质量、规格、性能、数量等进行详细而全面的检验，并出具一份合格检验证明，合格检验证明作为甲方验收的依据，但不能作为有关标的物质量、规格、数量或性能的最终检验结果。</w:t>
      </w:r>
    </w:p>
    <w:p w14:paraId="24BD0515">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6</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甲方根据合同规定的内容和验收标准进行验收，同时比较乙方出具的检验证明，经检验无误后出具验收合格证明，该证明作为最终付款所需文件的组成部分。</w:t>
      </w:r>
    </w:p>
    <w:p w14:paraId="225735B3">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6</w:t>
      </w:r>
      <w:r>
        <w:rPr>
          <w:rFonts w:ascii="宋体" w:hAnsi="宋体" w:eastAsia="宋体"/>
          <w:color w:val="auto"/>
          <w:sz w:val="21"/>
          <w:szCs w:val="21"/>
          <w:highlight w:val="none"/>
        </w:rPr>
        <w:t xml:space="preserve">.3  </w:t>
      </w:r>
      <w:r>
        <w:rPr>
          <w:rFonts w:hint="eastAsia" w:ascii="宋体" w:hAnsi="宋体" w:eastAsia="宋体"/>
          <w:color w:val="auto"/>
          <w:sz w:val="21"/>
          <w:szCs w:val="21"/>
          <w:highlight w:val="none"/>
        </w:rPr>
        <w:t>验收期限自标的物交付之日起30日内。特殊情况需延长的，双方应在合同的特殊条款中约定。</w:t>
      </w:r>
    </w:p>
    <w:p w14:paraId="31192186">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6</w:t>
      </w:r>
      <w:r>
        <w:rPr>
          <w:rFonts w:ascii="宋体" w:hAnsi="宋体" w:eastAsia="宋体"/>
          <w:color w:val="auto"/>
          <w:sz w:val="21"/>
          <w:szCs w:val="21"/>
          <w:highlight w:val="none"/>
        </w:rPr>
        <w:t xml:space="preserve">.4  </w:t>
      </w:r>
      <w:r>
        <w:rPr>
          <w:rFonts w:hint="eastAsia" w:ascii="宋体" w:hAnsi="宋体" w:eastAsia="宋体"/>
          <w:color w:val="auto"/>
          <w:sz w:val="21"/>
          <w:szCs w:val="21"/>
          <w:highlight w:val="none"/>
        </w:rPr>
        <w:t>如双方对验收结果有分歧，则以苏州市市场监督管理局下属法定检验机构的检验结果为准，检验费用由有过失的一方支付。</w:t>
      </w:r>
    </w:p>
    <w:p w14:paraId="0F13C3D5">
      <w:pPr>
        <w:spacing w:line="360" w:lineRule="auto"/>
        <w:rPr>
          <w:rFonts w:ascii="宋体" w:hAnsi="宋体"/>
          <w:b/>
          <w:color w:val="auto"/>
          <w:szCs w:val="21"/>
          <w:highlight w:val="none"/>
        </w:rPr>
      </w:pPr>
      <w:bookmarkStart w:id="60" w:name="_Toc13543216"/>
      <w:r>
        <w:rPr>
          <w:rFonts w:hint="eastAsia" w:ascii="宋体" w:hAnsi="宋体"/>
          <w:b/>
          <w:color w:val="auto"/>
          <w:szCs w:val="21"/>
          <w:highlight w:val="none"/>
        </w:rPr>
        <w:t>四、对标的物提出异议的时间和办法</w:t>
      </w:r>
      <w:bookmarkEnd w:id="60"/>
    </w:p>
    <w:p w14:paraId="50639457">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7</w:t>
      </w:r>
      <w:r>
        <w:rPr>
          <w:rFonts w:ascii="宋体" w:hAnsi="宋体"/>
          <w:b/>
          <w:color w:val="auto"/>
          <w:szCs w:val="21"/>
          <w:highlight w:val="none"/>
        </w:rPr>
        <w:t xml:space="preserve">.  </w:t>
      </w:r>
      <w:r>
        <w:rPr>
          <w:rFonts w:hint="eastAsia" w:ascii="宋体" w:hAnsi="宋体"/>
          <w:b/>
          <w:color w:val="auto"/>
          <w:szCs w:val="21"/>
          <w:highlight w:val="none"/>
        </w:rPr>
        <w:t>对标的物提出异议的时间和办法</w:t>
      </w:r>
    </w:p>
    <w:p w14:paraId="781D0275">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7</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甲方在验收过程中，应当于双方约定的检验期间内将标的物的数量或质量不符合约定的情形及处理方式以书面形式通知乙方。</w:t>
      </w:r>
    </w:p>
    <w:p w14:paraId="11C46098">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7</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如甲方在验收期满后既不出具验收合格证明又未提出书面异议的视为乙方所交标的物符合合同规定。</w:t>
      </w:r>
    </w:p>
    <w:p w14:paraId="083294A2">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7</w:t>
      </w:r>
      <w:r>
        <w:rPr>
          <w:rFonts w:ascii="宋体" w:hAnsi="宋体" w:eastAsia="宋体"/>
          <w:color w:val="auto"/>
          <w:sz w:val="21"/>
          <w:szCs w:val="21"/>
          <w:highlight w:val="none"/>
        </w:rPr>
        <w:t xml:space="preserve">.3  </w:t>
      </w:r>
      <w:r>
        <w:rPr>
          <w:rFonts w:hint="eastAsia" w:ascii="宋体" w:hAnsi="宋体" w:eastAsia="宋体"/>
          <w:color w:val="auto"/>
          <w:sz w:val="21"/>
          <w:szCs w:val="21"/>
          <w:highlight w:val="none"/>
        </w:rPr>
        <w:t>乙方应在收到甲方书面异议后2天内（双方在合同特殊条款另行规定的除外）负责处理问题，否则将视为默认甲方提出的异议和处理意见。</w:t>
      </w:r>
    </w:p>
    <w:p w14:paraId="132CC74F">
      <w:pPr>
        <w:spacing w:line="360" w:lineRule="auto"/>
        <w:rPr>
          <w:rFonts w:ascii="宋体" w:hAnsi="宋体"/>
          <w:b/>
          <w:color w:val="auto"/>
          <w:szCs w:val="21"/>
          <w:highlight w:val="none"/>
        </w:rPr>
      </w:pPr>
      <w:bookmarkStart w:id="61" w:name="_Toc13543217"/>
      <w:r>
        <w:rPr>
          <w:rFonts w:hint="eastAsia" w:ascii="宋体" w:hAnsi="宋体"/>
          <w:b/>
          <w:color w:val="auto"/>
          <w:szCs w:val="21"/>
          <w:highlight w:val="none"/>
        </w:rPr>
        <w:t>五、合同价款和支付</w:t>
      </w:r>
      <w:bookmarkEnd w:id="61"/>
    </w:p>
    <w:p w14:paraId="3EC5B7FE">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8</w:t>
      </w:r>
      <w:r>
        <w:rPr>
          <w:rFonts w:ascii="宋体" w:hAnsi="宋体"/>
          <w:b/>
          <w:color w:val="auto"/>
          <w:szCs w:val="21"/>
          <w:highlight w:val="none"/>
        </w:rPr>
        <w:t xml:space="preserve">.  </w:t>
      </w:r>
      <w:r>
        <w:rPr>
          <w:rFonts w:hint="eastAsia" w:ascii="宋体" w:hAnsi="宋体"/>
          <w:b/>
          <w:color w:val="auto"/>
          <w:szCs w:val="21"/>
          <w:highlight w:val="none"/>
        </w:rPr>
        <w:t>合同价款和支付</w:t>
      </w:r>
    </w:p>
    <w:p w14:paraId="1A54F950">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本合同的结算货币为人民币，单位元。</w:t>
      </w:r>
    </w:p>
    <w:p w14:paraId="3010A3A3">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乙方应按照双方签订的合同规定交货并在合同特殊条款规定的期限内持下列单据结算货款。</w:t>
      </w:r>
    </w:p>
    <w:p w14:paraId="18FC11BC">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.2.1 </w:t>
      </w:r>
      <w:r>
        <w:rPr>
          <w:rFonts w:hint="eastAsia" w:ascii="宋体" w:hAnsi="宋体" w:eastAsia="宋体"/>
          <w:color w:val="auto"/>
          <w:sz w:val="21"/>
          <w:szCs w:val="21"/>
          <w:highlight w:val="none"/>
        </w:rPr>
        <w:t>正式的发票。</w:t>
      </w:r>
    </w:p>
    <w:p w14:paraId="4B5A06AD">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.2.2 </w:t>
      </w:r>
      <w:r>
        <w:rPr>
          <w:rFonts w:hint="eastAsia" w:ascii="宋体" w:hAnsi="宋体" w:eastAsia="宋体"/>
          <w:color w:val="auto"/>
          <w:sz w:val="21"/>
          <w:szCs w:val="21"/>
          <w:highlight w:val="none"/>
        </w:rPr>
        <w:t>甲方盖章签收后的送货回单和验收合格证明。</w:t>
      </w:r>
    </w:p>
    <w:p w14:paraId="3CFE3138">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.3 </w:t>
      </w:r>
      <w:r>
        <w:rPr>
          <w:rFonts w:hint="eastAsia" w:ascii="宋体" w:hAnsi="宋体" w:eastAsia="宋体"/>
          <w:color w:val="auto"/>
          <w:sz w:val="21"/>
          <w:szCs w:val="21"/>
          <w:highlight w:val="none"/>
        </w:rPr>
        <w:t>甲方应按合同特殊条款规定的期限和方式付款。</w:t>
      </w:r>
    </w:p>
    <w:p w14:paraId="04934EEB">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.4 </w:t>
      </w:r>
      <w:r>
        <w:rPr>
          <w:rFonts w:hint="eastAsia" w:ascii="宋体" w:hAnsi="宋体" w:eastAsia="宋体"/>
          <w:color w:val="auto"/>
          <w:sz w:val="21"/>
          <w:szCs w:val="21"/>
          <w:highlight w:val="none"/>
        </w:rPr>
        <w:t>根据现行税法对甲方征收的与本合同有关的一切税费均由甲方承担；根据现行税法对乙方征收的与本合同有关的一切税费均由乙方承担。</w:t>
      </w:r>
    </w:p>
    <w:p w14:paraId="08312E13">
      <w:pPr>
        <w:spacing w:line="360" w:lineRule="auto"/>
        <w:rPr>
          <w:rFonts w:ascii="宋体" w:hAnsi="宋体"/>
          <w:b/>
          <w:color w:val="auto"/>
          <w:szCs w:val="21"/>
          <w:highlight w:val="none"/>
        </w:rPr>
      </w:pPr>
      <w:bookmarkStart w:id="62" w:name="_Toc13543218"/>
      <w:r>
        <w:rPr>
          <w:rFonts w:hint="eastAsia" w:ascii="宋体" w:hAnsi="宋体"/>
          <w:b/>
          <w:color w:val="auto"/>
          <w:szCs w:val="21"/>
          <w:highlight w:val="none"/>
        </w:rPr>
        <w:t>六、违约责任</w:t>
      </w:r>
      <w:bookmarkEnd w:id="62"/>
    </w:p>
    <w:p w14:paraId="05B4A6EC">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9</w:t>
      </w:r>
      <w:r>
        <w:rPr>
          <w:rFonts w:ascii="宋体" w:hAnsi="宋体"/>
          <w:b/>
          <w:color w:val="auto"/>
          <w:szCs w:val="21"/>
          <w:highlight w:val="none"/>
        </w:rPr>
        <w:t xml:space="preserve">.  </w:t>
      </w:r>
      <w:r>
        <w:rPr>
          <w:rFonts w:hint="eastAsia" w:ascii="宋体" w:hAnsi="宋体"/>
          <w:b/>
          <w:color w:val="auto"/>
          <w:szCs w:val="21"/>
          <w:highlight w:val="none"/>
        </w:rPr>
        <w:t>违约责任</w:t>
      </w:r>
    </w:p>
    <w:p w14:paraId="16BCA21A">
      <w:pPr>
        <w:pStyle w:val="5"/>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合同一方不履行合同义务或者履行合同义务不符合约定的，应当承担继续履行、采取补救措施或者赔偿损失等违约责任。</w:t>
      </w:r>
    </w:p>
    <w:p w14:paraId="233E1FC1">
      <w:pPr>
        <w:spacing w:line="360" w:lineRule="auto"/>
        <w:rPr>
          <w:rFonts w:ascii="宋体" w:hAnsi="宋体"/>
          <w:b/>
          <w:color w:val="auto"/>
          <w:szCs w:val="21"/>
          <w:highlight w:val="none"/>
        </w:rPr>
      </w:pPr>
      <w:r>
        <w:rPr>
          <w:rFonts w:hint="eastAsia" w:ascii="宋体" w:hAnsi="宋体"/>
          <w:b/>
          <w:color w:val="auto"/>
          <w:szCs w:val="21"/>
          <w:highlight w:val="none"/>
        </w:rPr>
        <w:t>50</w:t>
      </w:r>
      <w:r>
        <w:rPr>
          <w:rFonts w:ascii="宋体" w:hAnsi="宋体"/>
          <w:b/>
          <w:color w:val="auto"/>
          <w:szCs w:val="21"/>
          <w:highlight w:val="none"/>
        </w:rPr>
        <w:t xml:space="preserve">.  </w:t>
      </w:r>
      <w:r>
        <w:rPr>
          <w:rFonts w:hint="eastAsia" w:ascii="宋体" w:hAnsi="宋体"/>
          <w:b/>
          <w:color w:val="auto"/>
          <w:szCs w:val="21"/>
          <w:highlight w:val="none"/>
        </w:rPr>
        <w:t>甲方违约责任</w:t>
      </w:r>
    </w:p>
    <w:p w14:paraId="44DC2817">
      <w:pPr>
        <w:autoSpaceDE w:val="0"/>
        <w:autoSpaceDN w:val="0"/>
        <w:adjustRightInd w:val="0"/>
        <w:spacing w:line="360" w:lineRule="auto"/>
        <w:ind w:left="199" w:leftChars="95" w:firstLine="210" w:firstLineChars="100"/>
        <w:jc w:val="left"/>
        <w:rPr>
          <w:rFonts w:ascii="宋体" w:hAnsi="宋体"/>
          <w:color w:val="auto"/>
          <w:szCs w:val="21"/>
          <w:highlight w:val="none"/>
        </w:rPr>
      </w:pPr>
      <w:r>
        <w:rPr>
          <w:rFonts w:hint="eastAsia" w:ascii="宋体" w:hAnsi="宋体"/>
          <w:color w:val="auto"/>
          <w:szCs w:val="21"/>
          <w:highlight w:val="none"/>
        </w:rPr>
        <w:t>50</w:t>
      </w:r>
      <w:r>
        <w:rPr>
          <w:rFonts w:ascii="宋体" w:hAnsi="宋体"/>
          <w:color w:val="auto"/>
          <w:szCs w:val="21"/>
          <w:highlight w:val="none"/>
        </w:rPr>
        <w:t xml:space="preserve">.1  </w:t>
      </w:r>
      <w:r>
        <w:rPr>
          <w:rFonts w:hint="eastAsia" w:ascii="宋体" w:hAnsi="宋体"/>
          <w:color w:val="auto"/>
          <w:szCs w:val="21"/>
          <w:highlight w:val="none"/>
        </w:rPr>
        <w:t>甲方逾期付款的（正当拒付、供方同意延期付款时除外），应按同期银行贷款利率支付拖欠材料款的利息。但乙方不得因拖欠材料款而停止供货。</w:t>
      </w:r>
    </w:p>
    <w:p w14:paraId="24A18142">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50</w:t>
      </w:r>
      <w:r>
        <w:rPr>
          <w:rFonts w:ascii="宋体" w:hAnsi="宋体" w:eastAsia="宋体"/>
          <w:color w:val="auto"/>
          <w:sz w:val="21"/>
          <w:szCs w:val="21"/>
          <w:highlight w:val="none"/>
        </w:rPr>
        <w:t>.</w:t>
      </w:r>
      <w:r>
        <w:rPr>
          <w:rFonts w:hint="eastAsia" w:ascii="宋体" w:hAnsi="宋体" w:eastAsia="宋体"/>
          <w:color w:val="auto"/>
          <w:sz w:val="21"/>
          <w:szCs w:val="21"/>
          <w:highlight w:val="none"/>
        </w:rPr>
        <w:t>2甲方违反合同规定，拒绝接收乙方交付的合格标的物，应当承担乙方由此造成的损失，包括运输部门的罚款。</w:t>
      </w:r>
    </w:p>
    <w:p w14:paraId="3C807DFA">
      <w:pPr>
        <w:spacing w:line="360" w:lineRule="auto"/>
        <w:rPr>
          <w:rFonts w:ascii="宋体" w:hAnsi="宋体"/>
          <w:b/>
          <w:color w:val="auto"/>
          <w:szCs w:val="21"/>
          <w:highlight w:val="none"/>
        </w:rPr>
      </w:pPr>
      <w:r>
        <w:rPr>
          <w:rFonts w:hint="eastAsia" w:ascii="宋体" w:hAnsi="宋体"/>
          <w:b/>
          <w:color w:val="auto"/>
          <w:szCs w:val="21"/>
          <w:highlight w:val="none"/>
        </w:rPr>
        <w:t>51</w:t>
      </w:r>
      <w:r>
        <w:rPr>
          <w:rFonts w:ascii="宋体" w:hAnsi="宋体"/>
          <w:b/>
          <w:color w:val="auto"/>
          <w:szCs w:val="21"/>
          <w:highlight w:val="none"/>
        </w:rPr>
        <w:t xml:space="preserve">.  </w:t>
      </w:r>
      <w:r>
        <w:rPr>
          <w:rFonts w:hint="eastAsia" w:ascii="宋体" w:hAnsi="宋体"/>
          <w:b/>
          <w:color w:val="auto"/>
          <w:szCs w:val="21"/>
          <w:highlight w:val="none"/>
        </w:rPr>
        <w:t>乙方违约责任</w:t>
      </w:r>
    </w:p>
    <w:p w14:paraId="3FDBB30A">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乙方不能交货（逾期超过十五天视为不能交货），或交货不合格从而影响甲方按期正常使用的，甲方有权解除合同，乙方必须承担甲方由此引起的一切额外损失（包括但不限于货物差价、运输费用、建设承包方的窝工损失、设备闲置及其他赔偿要求），赔偿金额不低于合同价格。</w:t>
      </w:r>
    </w:p>
    <w:p w14:paraId="40E70228">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w:t>
      </w:r>
      <w:r>
        <w:rPr>
          <w:rFonts w:ascii="宋体" w:hAnsi="宋体" w:eastAsia="宋体"/>
          <w:color w:val="auto"/>
          <w:sz w:val="21"/>
          <w:szCs w:val="21"/>
          <w:highlight w:val="none"/>
        </w:rPr>
        <w:t>.2  乙方逾期完工</w:t>
      </w:r>
      <w:r>
        <w:rPr>
          <w:rFonts w:hint="eastAsia" w:ascii="宋体" w:hAnsi="宋体" w:eastAsia="宋体"/>
          <w:color w:val="auto"/>
          <w:sz w:val="21"/>
          <w:szCs w:val="21"/>
          <w:highlight w:val="none"/>
        </w:rPr>
        <w:t>（</w:t>
      </w:r>
      <w:r>
        <w:rPr>
          <w:rFonts w:ascii="宋体" w:hAnsi="宋体" w:eastAsia="宋体"/>
          <w:color w:val="auto"/>
          <w:sz w:val="21"/>
          <w:szCs w:val="21"/>
          <w:highlight w:val="none"/>
        </w:rPr>
        <w:t>即项目全部安装调试完成，整体验收合格并提交竣工资料）</w:t>
      </w:r>
      <w:r>
        <w:rPr>
          <w:rFonts w:hint="eastAsia" w:ascii="宋体" w:hAnsi="宋体" w:eastAsia="宋体"/>
          <w:color w:val="auto"/>
          <w:sz w:val="21"/>
          <w:szCs w:val="21"/>
          <w:highlight w:val="none"/>
        </w:rPr>
        <w:t>，应在完工前与甲方协商，甲方仍需求的，乙方应立即完工并应按照逾期完工部分货款的每天千分之四支付逾期完工违约金，同时承担甲方因此遭致的损失费用。甲方原因引起的工期延误甲方应予以顺延工期，但甲方不承担乙方因此可能发生的任何经济损失。</w:t>
      </w:r>
    </w:p>
    <w:p w14:paraId="21794560">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51.3乙方提前交货的，须经甲方同意，接货后，仍可按合同规定的付款时间付款。</w:t>
      </w:r>
    </w:p>
    <w:p w14:paraId="3DF3D24F">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51.4甲方凭乙方出具的检验证明及质量担保书收货后，有权基于公共利益的考虑和对质量担保书的信任立即将相应标的物应用于施工。但在质量保证期限内，已使用的标的物被证明不符合合同规定的要求，则甲方有权选择下列一种方法追究乙方的违约责任：</w:t>
      </w:r>
    </w:p>
    <w:p w14:paraId="118CC1F6">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51.4.1另行采购相应标的物、开挖、重新铺埋等所发生的一切费用均由乙方承担，乙方并应赔偿甲方的其他损失。</w:t>
      </w:r>
    </w:p>
    <w:p w14:paraId="698DB9FC">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51.4.2乙方向甲方一次性赔偿相当于被证明不符合合同规定批次标的物价款的300%的赔偿金。</w:t>
      </w:r>
    </w:p>
    <w:p w14:paraId="562EDB82">
      <w:pPr>
        <w:spacing w:line="360" w:lineRule="auto"/>
        <w:rPr>
          <w:rFonts w:ascii="宋体" w:hAnsi="宋体"/>
          <w:b/>
          <w:color w:val="auto"/>
          <w:szCs w:val="21"/>
          <w:highlight w:val="none"/>
        </w:rPr>
      </w:pPr>
      <w:r>
        <w:rPr>
          <w:rFonts w:hint="eastAsia" w:ascii="宋体" w:hAnsi="宋体"/>
          <w:b/>
          <w:color w:val="auto"/>
          <w:szCs w:val="21"/>
          <w:highlight w:val="none"/>
        </w:rPr>
        <w:t>52</w:t>
      </w:r>
      <w:r>
        <w:rPr>
          <w:rFonts w:ascii="宋体" w:hAnsi="宋体"/>
          <w:b/>
          <w:color w:val="auto"/>
          <w:szCs w:val="21"/>
          <w:highlight w:val="none"/>
        </w:rPr>
        <w:t xml:space="preserve">.  </w:t>
      </w:r>
      <w:r>
        <w:rPr>
          <w:rFonts w:hint="eastAsia" w:ascii="宋体" w:hAnsi="宋体"/>
          <w:b/>
          <w:color w:val="auto"/>
          <w:szCs w:val="21"/>
          <w:highlight w:val="none"/>
        </w:rPr>
        <w:t>不可抗力</w:t>
      </w:r>
    </w:p>
    <w:p w14:paraId="40A5A73D">
      <w:pPr>
        <w:pStyle w:val="5"/>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52</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如果双方中任何一方由于战争，自然灾害、政治原因、禁止性法律规定以及其它经双方同意属于不可抗力的事故，致使合同履行受阻时，履行合同的期限应可延长，延长的期限应不超过14日，延长期内甲方有权另行购买，乙方必须承担甲方包括施工费用在内的所有损失。但由于一方违约或疏忽不属于不可抗力，应按违约责任条款予以处理。</w:t>
      </w:r>
    </w:p>
    <w:p w14:paraId="2918D0B0">
      <w:pPr>
        <w:pStyle w:val="5"/>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52</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受不可抗力影响的一方应在不可抗力发生后以尽快的方式通知另一方，如果不可抗力的时间超过14日，双方有权终止履行合同。</w:t>
      </w:r>
    </w:p>
    <w:p w14:paraId="640D27D4">
      <w:pPr>
        <w:spacing w:line="360" w:lineRule="auto"/>
        <w:rPr>
          <w:rFonts w:ascii="宋体" w:hAnsi="宋体"/>
          <w:b/>
          <w:color w:val="auto"/>
          <w:szCs w:val="21"/>
          <w:highlight w:val="none"/>
        </w:rPr>
      </w:pPr>
      <w:bookmarkStart w:id="63" w:name="_Toc13543219"/>
      <w:r>
        <w:rPr>
          <w:rFonts w:hint="eastAsia" w:ascii="宋体" w:hAnsi="宋体"/>
          <w:b/>
          <w:color w:val="auto"/>
          <w:szCs w:val="21"/>
          <w:highlight w:val="none"/>
        </w:rPr>
        <w:t>七、索赔</w:t>
      </w:r>
      <w:bookmarkEnd w:id="63"/>
    </w:p>
    <w:p w14:paraId="0DD1EC9E">
      <w:pPr>
        <w:spacing w:line="360" w:lineRule="auto"/>
        <w:rPr>
          <w:rFonts w:ascii="宋体" w:hAnsi="宋体"/>
          <w:b/>
          <w:color w:val="auto"/>
          <w:szCs w:val="21"/>
          <w:highlight w:val="none"/>
        </w:rPr>
      </w:pPr>
      <w:r>
        <w:rPr>
          <w:rFonts w:hint="eastAsia" w:ascii="宋体" w:hAnsi="宋体"/>
          <w:b/>
          <w:color w:val="auto"/>
          <w:szCs w:val="21"/>
          <w:highlight w:val="none"/>
        </w:rPr>
        <w:t>53</w:t>
      </w:r>
      <w:r>
        <w:rPr>
          <w:rFonts w:ascii="宋体" w:hAnsi="宋体"/>
          <w:b/>
          <w:color w:val="auto"/>
          <w:szCs w:val="21"/>
          <w:highlight w:val="none"/>
        </w:rPr>
        <w:t xml:space="preserve">.  </w:t>
      </w:r>
      <w:r>
        <w:rPr>
          <w:rFonts w:hint="eastAsia" w:ascii="宋体" w:hAnsi="宋体"/>
          <w:b/>
          <w:color w:val="auto"/>
          <w:szCs w:val="21"/>
          <w:highlight w:val="none"/>
        </w:rPr>
        <w:t>索赔</w:t>
      </w:r>
    </w:p>
    <w:p w14:paraId="413FD220">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甲方有权根据当地产品质量检验机构或其它有权部门出具的检验证书向乙方提出索赔。</w:t>
      </w:r>
    </w:p>
    <w:p w14:paraId="2B1E2397">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在本合同规定的检验期和质量保证期内，如果乙方对甲方提出的索赔或差异有责任，则乙方应按甲方同意的下列一种或多种方式解决索赔事宜：</w:t>
      </w:r>
    </w:p>
    <w:p w14:paraId="14BAC5F6">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 xml:space="preserve">.2.1  </w:t>
      </w:r>
      <w:r>
        <w:rPr>
          <w:rFonts w:hint="eastAsia" w:ascii="宋体" w:hAnsi="宋体" w:eastAsia="宋体"/>
          <w:color w:val="auto"/>
          <w:sz w:val="21"/>
          <w:szCs w:val="21"/>
          <w:highlight w:val="none"/>
        </w:rPr>
        <w:t>乙方同意退货，并按合同规定的货币将货款退还给乙方，并承担由此发生的一切损失和费用，包括利息、银行手续费、运费、保险费、检验费、仓储费、装卸费、工程损失费以及为保护退回标的物所需的其他必要费用。</w:t>
      </w:r>
    </w:p>
    <w:p w14:paraId="22F0C1D3">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 xml:space="preserve">.2.2  </w:t>
      </w:r>
      <w:r>
        <w:rPr>
          <w:rFonts w:hint="eastAsia" w:ascii="宋体" w:hAnsi="宋体" w:eastAsia="宋体"/>
          <w:color w:val="auto"/>
          <w:sz w:val="21"/>
          <w:szCs w:val="21"/>
          <w:highlight w:val="none"/>
        </w:rPr>
        <w:t>根据标的物的低劣程度、损坏程度以及甲方遭受损失的数额，经供需双方可商定降低标的物的价格，对已交付的货款多退少补。</w:t>
      </w:r>
    </w:p>
    <w:p w14:paraId="16F448FB">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.2.3</w:t>
      </w:r>
      <w:r>
        <w:rPr>
          <w:rFonts w:hint="eastAsia" w:ascii="宋体" w:hAnsi="宋体" w:eastAsia="宋体"/>
          <w:color w:val="auto"/>
          <w:sz w:val="21"/>
          <w:szCs w:val="21"/>
          <w:highlight w:val="none"/>
        </w:rPr>
        <w:t>用符合规格、质量和性能要求的标的物来更换有缺陷的部分或修补缺陷部分，乙方应承担一切费用和风险并负担甲方所发生的一切直接费用。同时，供方应按合同规定，相应延长修补或被更换部件或标的物的质量保证期。</w:t>
      </w:r>
    </w:p>
    <w:p w14:paraId="7E84DF2A">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 xml:space="preserve">.3  </w:t>
      </w:r>
      <w:r>
        <w:rPr>
          <w:rFonts w:hint="eastAsia" w:ascii="宋体" w:hAnsi="宋体" w:eastAsia="宋体"/>
          <w:color w:val="auto"/>
          <w:sz w:val="21"/>
          <w:szCs w:val="21"/>
          <w:highlight w:val="none"/>
        </w:rPr>
        <w:t>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00A3617C">
      <w:pPr>
        <w:spacing w:line="360" w:lineRule="auto"/>
        <w:rPr>
          <w:rFonts w:ascii="宋体" w:hAnsi="宋体"/>
          <w:b/>
          <w:color w:val="auto"/>
          <w:szCs w:val="21"/>
          <w:highlight w:val="none"/>
        </w:rPr>
      </w:pPr>
      <w:bookmarkStart w:id="64" w:name="_Toc13543220"/>
      <w:r>
        <w:rPr>
          <w:rFonts w:hint="eastAsia" w:ascii="宋体" w:hAnsi="宋体"/>
          <w:b/>
          <w:color w:val="auto"/>
          <w:szCs w:val="21"/>
          <w:highlight w:val="none"/>
        </w:rPr>
        <w:t>八、履约保证金</w:t>
      </w:r>
      <w:bookmarkEnd w:id="64"/>
    </w:p>
    <w:p w14:paraId="3F5E95A1">
      <w:pPr>
        <w:spacing w:line="360" w:lineRule="auto"/>
        <w:rPr>
          <w:rFonts w:ascii="宋体" w:hAnsi="宋体"/>
          <w:b/>
          <w:color w:val="auto"/>
          <w:szCs w:val="21"/>
          <w:highlight w:val="none"/>
        </w:rPr>
      </w:pPr>
      <w:r>
        <w:rPr>
          <w:rFonts w:hint="eastAsia" w:ascii="宋体" w:hAnsi="宋体"/>
          <w:b/>
          <w:color w:val="auto"/>
          <w:szCs w:val="21"/>
          <w:highlight w:val="none"/>
        </w:rPr>
        <w:t>54</w:t>
      </w:r>
      <w:r>
        <w:rPr>
          <w:rFonts w:ascii="宋体" w:hAnsi="宋体"/>
          <w:b/>
          <w:color w:val="auto"/>
          <w:szCs w:val="21"/>
          <w:highlight w:val="none"/>
        </w:rPr>
        <w:t xml:space="preserve">.  </w:t>
      </w:r>
      <w:r>
        <w:rPr>
          <w:rFonts w:hint="eastAsia" w:ascii="宋体" w:hAnsi="宋体"/>
          <w:b/>
          <w:color w:val="auto"/>
          <w:szCs w:val="21"/>
          <w:highlight w:val="none"/>
        </w:rPr>
        <w:t>无</w:t>
      </w:r>
    </w:p>
    <w:p w14:paraId="5BF2AE80">
      <w:pPr>
        <w:spacing w:line="360" w:lineRule="auto"/>
        <w:rPr>
          <w:rFonts w:ascii="宋体" w:hAnsi="宋体"/>
          <w:b/>
          <w:color w:val="auto"/>
          <w:szCs w:val="21"/>
          <w:highlight w:val="none"/>
        </w:rPr>
      </w:pPr>
      <w:bookmarkStart w:id="65" w:name="_Toc13543221"/>
      <w:r>
        <w:rPr>
          <w:rFonts w:hint="eastAsia" w:ascii="宋体" w:hAnsi="宋体"/>
          <w:b/>
          <w:color w:val="auto"/>
          <w:szCs w:val="21"/>
          <w:highlight w:val="none"/>
        </w:rPr>
        <w:t>九、合同的解除和转让</w:t>
      </w:r>
      <w:bookmarkEnd w:id="65"/>
    </w:p>
    <w:p w14:paraId="5A41C5DE">
      <w:pPr>
        <w:spacing w:line="360" w:lineRule="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5</w:t>
      </w:r>
      <w:r>
        <w:rPr>
          <w:rFonts w:ascii="宋体" w:hAnsi="宋体"/>
          <w:b/>
          <w:color w:val="auto"/>
          <w:szCs w:val="21"/>
          <w:highlight w:val="none"/>
        </w:rPr>
        <w:t xml:space="preserve">.  </w:t>
      </w:r>
      <w:r>
        <w:rPr>
          <w:rFonts w:hint="eastAsia" w:ascii="宋体" w:hAnsi="宋体"/>
          <w:b/>
          <w:color w:val="auto"/>
          <w:szCs w:val="21"/>
          <w:highlight w:val="none"/>
        </w:rPr>
        <w:t>合同的解除</w:t>
      </w:r>
    </w:p>
    <w:p w14:paraId="2B12D6A5">
      <w:pPr>
        <w:tabs>
          <w:tab w:val="left" w:pos="630"/>
        </w:tabs>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5</w:t>
      </w:r>
      <w:r>
        <w:rPr>
          <w:rFonts w:ascii="宋体" w:hAnsi="宋体"/>
          <w:color w:val="auto"/>
          <w:szCs w:val="21"/>
          <w:highlight w:val="none"/>
        </w:rPr>
        <w:t xml:space="preserve">.1 </w:t>
      </w:r>
      <w:r>
        <w:rPr>
          <w:rFonts w:hint="eastAsia" w:ascii="宋体" w:hAnsi="宋体"/>
          <w:color w:val="auto"/>
          <w:szCs w:val="21"/>
          <w:highlight w:val="none"/>
        </w:rPr>
        <w:t>有下列情形之一，合同一方可以解除合同：</w:t>
      </w:r>
    </w:p>
    <w:p w14:paraId="590C6755">
      <w:pPr>
        <w:tabs>
          <w:tab w:val="left" w:pos="630"/>
        </w:tabs>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 xml:space="preserve">.1 </w:t>
      </w:r>
      <w:r>
        <w:rPr>
          <w:rFonts w:hint="eastAsia" w:ascii="宋体" w:hAnsi="宋体"/>
          <w:color w:val="auto"/>
          <w:szCs w:val="21"/>
          <w:highlight w:val="none"/>
        </w:rPr>
        <w:t>因不可抗力致使不能实现合同目的，未受不可抗力影响的一方有权解除合同；</w:t>
      </w:r>
    </w:p>
    <w:p w14:paraId="6D24B143">
      <w:pPr>
        <w:tabs>
          <w:tab w:val="left" w:pos="630"/>
        </w:tabs>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 xml:space="preserve">.2 </w:t>
      </w:r>
      <w:r>
        <w:rPr>
          <w:rFonts w:hint="eastAsia" w:ascii="宋体" w:hAnsi="宋体"/>
          <w:color w:val="auto"/>
          <w:szCs w:val="21"/>
          <w:highlight w:val="none"/>
        </w:rPr>
        <w:t>因合同一方违约导致合同不能履行，另一方有权解除合同；</w:t>
      </w:r>
    </w:p>
    <w:p w14:paraId="67CC92A6">
      <w:pPr>
        <w:tabs>
          <w:tab w:val="left" w:pos="630"/>
        </w:tabs>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 xml:space="preserve"> </w:t>
      </w:r>
      <w:r>
        <w:rPr>
          <w:rFonts w:hint="eastAsia" w:ascii="宋体" w:hAnsi="宋体"/>
          <w:color w:val="auto"/>
          <w:szCs w:val="21"/>
          <w:highlight w:val="none"/>
        </w:rPr>
        <w:t>有权解除合同的一方，应当在违约事实或不可抗力发生之后三十天内书面通知对方以主张解除合同，合同在书面通知到达对方时解除。</w:t>
      </w:r>
    </w:p>
    <w:p w14:paraId="3CAAF497">
      <w:pPr>
        <w:spacing w:line="360" w:lineRule="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6</w:t>
      </w:r>
      <w:r>
        <w:rPr>
          <w:rFonts w:ascii="宋体" w:hAnsi="宋体"/>
          <w:b/>
          <w:color w:val="auto"/>
          <w:szCs w:val="21"/>
          <w:highlight w:val="none"/>
        </w:rPr>
        <w:t xml:space="preserve">.  </w:t>
      </w:r>
      <w:r>
        <w:rPr>
          <w:rFonts w:hint="eastAsia" w:ascii="宋体" w:hAnsi="宋体"/>
          <w:b/>
          <w:color w:val="auto"/>
          <w:szCs w:val="21"/>
          <w:highlight w:val="none"/>
        </w:rPr>
        <w:t>合同的转让</w:t>
      </w:r>
    </w:p>
    <w:p w14:paraId="772857DF">
      <w:pPr>
        <w:tabs>
          <w:tab w:val="left" w:pos="63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合同的部分和全部都不得转让。</w:t>
      </w:r>
    </w:p>
    <w:p w14:paraId="7D98C49D">
      <w:pPr>
        <w:spacing w:line="360" w:lineRule="auto"/>
        <w:rPr>
          <w:rFonts w:ascii="宋体" w:hAnsi="宋体"/>
          <w:b/>
          <w:color w:val="auto"/>
          <w:szCs w:val="21"/>
          <w:highlight w:val="none"/>
        </w:rPr>
      </w:pPr>
      <w:bookmarkStart w:id="66" w:name="_Toc13543222"/>
      <w:r>
        <w:rPr>
          <w:rFonts w:hint="eastAsia" w:ascii="宋体" w:hAnsi="宋体"/>
          <w:b/>
          <w:color w:val="auto"/>
          <w:szCs w:val="21"/>
          <w:highlight w:val="none"/>
        </w:rPr>
        <w:t>十、合同的生效</w:t>
      </w:r>
      <w:bookmarkEnd w:id="66"/>
    </w:p>
    <w:p w14:paraId="0659A7D8">
      <w:pPr>
        <w:spacing w:line="360" w:lineRule="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7</w:t>
      </w:r>
      <w:r>
        <w:rPr>
          <w:rFonts w:ascii="宋体" w:hAnsi="宋体"/>
          <w:b/>
          <w:color w:val="auto"/>
          <w:szCs w:val="21"/>
          <w:highlight w:val="none"/>
        </w:rPr>
        <w:t xml:space="preserve">.  </w:t>
      </w:r>
      <w:r>
        <w:rPr>
          <w:rFonts w:hint="eastAsia" w:ascii="宋体" w:hAnsi="宋体"/>
          <w:b/>
          <w:color w:val="auto"/>
          <w:szCs w:val="21"/>
          <w:highlight w:val="none"/>
        </w:rPr>
        <w:t>合同的生效</w:t>
      </w:r>
    </w:p>
    <w:p w14:paraId="2434F5D7">
      <w:pPr>
        <w:spacing w:line="360" w:lineRule="auto"/>
        <w:ind w:firstLine="420" w:firstLineChars="200"/>
        <w:rPr>
          <w:rFonts w:ascii="宋体" w:hAnsi="宋体"/>
          <w:color w:val="auto"/>
          <w:szCs w:val="21"/>
          <w:highlight w:val="none"/>
        </w:rPr>
      </w:pPr>
      <w:bookmarkStart w:id="67" w:name="_Toc13543223"/>
      <w:r>
        <w:rPr>
          <w:rFonts w:hint="eastAsia" w:ascii="宋体" w:hAnsi="宋体"/>
          <w:color w:val="auto"/>
          <w:szCs w:val="21"/>
          <w:highlight w:val="none"/>
        </w:rPr>
        <w:t>本合同经甲乙双方法定代表人或其委托代理人签字并加盖公章（或合同章）后生效。</w:t>
      </w:r>
    </w:p>
    <w:p w14:paraId="7E13ED7F">
      <w:pPr>
        <w:spacing w:line="360" w:lineRule="auto"/>
        <w:rPr>
          <w:rFonts w:ascii="宋体" w:hAnsi="宋体"/>
          <w:b/>
          <w:color w:val="auto"/>
          <w:szCs w:val="21"/>
          <w:highlight w:val="none"/>
        </w:rPr>
      </w:pPr>
      <w:r>
        <w:rPr>
          <w:rFonts w:hint="eastAsia" w:ascii="宋体" w:hAnsi="宋体"/>
          <w:b/>
          <w:color w:val="auto"/>
          <w:szCs w:val="21"/>
          <w:highlight w:val="none"/>
        </w:rPr>
        <w:t>十一、争议解决</w:t>
      </w:r>
      <w:bookmarkEnd w:id="67"/>
    </w:p>
    <w:p w14:paraId="13EA6094">
      <w:pPr>
        <w:spacing w:line="360" w:lineRule="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8</w:t>
      </w:r>
      <w:r>
        <w:rPr>
          <w:rFonts w:ascii="宋体" w:hAnsi="宋体"/>
          <w:b/>
          <w:color w:val="auto"/>
          <w:szCs w:val="21"/>
          <w:highlight w:val="none"/>
        </w:rPr>
        <w:t xml:space="preserve">.  </w:t>
      </w:r>
      <w:r>
        <w:rPr>
          <w:rFonts w:hint="eastAsia" w:ascii="宋体" w:hAnsi="宋体"/>
          <w:b/>
          <w:color w:val="auto"/>
          <w:szCs w:val="21"/>
          <w:highlight w:val="none"/>
        </w:rPr>
        <w:t>争议解决</w:t>
      </w:r>
    </w:p>
    <w:p w14:paraId="424785DD">
      <w:pPr>
        <w:tabs>
          <w:tab w:val="left" w:pos="63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甲乙双方因合同发生争议，应在招标代理机构的主持下进行调解，协商不成，任何一方可以甲方所在地人民法院起诉。</w:t>
      </w:r>
      <w:bookmarkStart w:id="68" w:name="_Toc13543224"/>
    </w:p>
    <w:p w14:paraId="2A126CF9">
      <w:pPr>
        <w:spacing w:line="360" w:lineRule="auto"/>
        <w:rPr>
          <w:rFonts w:ascii="宋体" w:hAnsi="宋体"/>
          <w:b/>
          <w:color w:val="auto"/>
          <w:szCs w:val="21"/>
          <w:highlight w:val="none"/>
        </w:rPr>
      </w:pPr>
      <w:r>
        <w:rPr>
          <w:rFonts w:hint="eastAsia" w:ascii="宋体" w:hAnsi="宋体"/>
          <w:b/>
          <w:color w:val="auto"/>
          <w:szCs w:val="21"/>
          <w:highlight w:val="none"/>
        </w:rPr>
        <w:t>十二、附则</w:t>
      </w:r>
      <w:bookmarkEnd w:id="68"/>
    </w:p>
    <w:p w14:paraId="3B6019EB">
      <w:pPr>
        <w:spacing w:line="360" w:lineRule="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9</w:t>
      </w:r>
      <w:r>
        <w:rPr>
          <w:rFonts w:ascii="宋体" w:hAnsi="宋体"/>
          <w:b/>
          <w:color w:val="auto"/>
          <w:szCs w:val="21"/>
          <w:highlight w:val="none"/>
        </w:rPr>
        <w:t xml:space="preserve">.  </w:t>
      </w:r>
      <w:r>
        <w:rPr>
          <w:rFonts w:hint="eastAsia" w:ascii="宋体" w:hAnsi="宋体"/>
          <w:b/>
          <w:color w:val="auto"/>
          <w:szCs w:val="21"/>
          <w:highlight w:val="none"/>
        </w:rPr>
        <w:t>合同份数。</w:t>
      </w:r>
    </w:p>
    <w:p w14:paraId="0C50462B">
      <w:pPr>
        <w:tabs>
          <w:tab w:val="left" w:pos="63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本合同一式肆份，甲方贰份、乙方壹份、招标代理机构执壹份。</w:t>
      </w:r>
    </w:p>
    <w:p w14:paraId="4D344295">
      <w:pPr>
        <w:spacing w:line="360" w:lineRule="auto"/>
        <w:rPr>
          <w:rFonts w:ascii="宋体" w:hAnsi="宋体"/>
          <w:b/>
          <w:color w:val="auto"/>
          <w:szCs w:val="21"/>
          <w:highlight w:val="none"/>
        </w:rPr>
      </w:pPr>
      <w:r>
        <w:rPr>
          <w:rFonts w:hint="eastAsia" w:ascii="宋体" w:hAnsi="宋体"/>
          <w:b/>
          <w:color w:val="auto"/>
          <w:szCs w:val="21"/>
          <w:highlight w:val="none"/>
        </w:rPr>
        <w:t>60</w:t>
      </w:r>
      <w:r>
        <w:rPr>
          <w:rFonts w:ascii="宋体" w:hAnsi="宋体"/>
          <w:b/>
          <w:color w:val="auto"/>
          <w:szCs w:val="21"/>
          <w:highlight w:val="none"/>
        </w:rPr>
        <w:t xml:space="preserve">.  </w:t>
      </w:r>
      <w:r>
        <w:rPr>
          <w:rFonts w:hint="eastAsia" w:ascii="宋体" w:hAnsi="宋体"/>
          <w:b/>
          <w:color w:val="auto"/>
          <w:szCs w:val="21"/>
          <w:highlight w:val="none"/>
        </w:rPr>
        <w:t>未尽事宜</w:t>
      </w:r>
    </w:p>
    <w:p w14:paraId="302B44A6">
      <w:pPr>
        <w:tabs>
          <w:tab w:val="left" w:pos="63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本合同未尽事宜应按《中华人民共和国民法典》、《中华人民共和国产品质量法》、《中华人民共和国政府采购法》之规定解释。</w:t>
      </w:r>
    </w:p>
    <w:p w14:paraId="27DB5053">
      <w:pPr>
        <w:spacing w:line="360" w:lineRule="auto"/>
        <w:ind w:firstLine="883"/>
        <w:jc w:val="center"/>
        <w:rPr>
          <w:rFonts w:ascii="宋体" w:hAnsi="宋体"/>
          <w:color w:val="auto"/>
          <w:sz w:val="44"/>
          <w:highlight w:val="none"/>
        </w:rPr>
      </w:pPr>
      <w:r>
        <w:rPr>
          <w:rFonts w:hint="eastAsia" w:ascii="宋体" w:hAnsi="宋体"/>
          <w:b/>
          <w:color w:val="auto"/>
          <w:sz w:val="44"/>
          <w:highlight w:val="none"/>
        </w:rPr>
        <w:t>第六章 合同特殊条款</w:t>
      </w:r>
      <w:bookmarkEnd w:id="56"/>
      <w:bookmarkEnd w:id="57"/>
    </w:p>
    <w:p w14:paraId="4B699D8C">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甲方 ：</w:t>
      </w:r>
      <w:r>
        <w:rPr>
          <w:rFonts w:hint="eastAsia" w:ascii="宋体" w:hAnsi="宋体" w:cs="宋体"/>
          <w:b/>
          <w:color w:val="auto"/>
          <w:szCs w:val="21"/>
          <w:highlight w:val="none"/>
          <w:lang w:eastAsia="zh-CN"/>
        </w:rPr>
        <w:t>苏州市吴江区盛泽镇人民政府</w:t>
      </w:r>
      <w:r>
        <w:rPr>
          <w:rFonts w:hint="eastAsia" w:ascii="宋体" w:hAnsi="宋体" w:cs="宋体"/>
          <w:b/>
          <w:color w:val="auto"/>
          <w:szCs w:val="21"/>
          <w:highlight w:val="none"/>
        </w:rPr>
        <w:t xml:space="preserve"> </w:t>
      </w:r>
    </w:p>
    <w:p w14:paraId="11CDCBDE">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联系人： </w:t>
      </w:r>
    </w:p>
    <w:p w14:paraId="66693A96">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联系电话：  </w:t>
      </w:r>
    </w:p>
    <w:p w14:paraId="3E374D34">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地址：  </w:t>
      </w:r>
    </w:p>
    <w:p w14:paraId="78C7CEF0">
      <w:pPr>
        <w:adjustRightInd w:val="0"/>
        <w:snapToGrid w:val="0"/>
        <w:spacing w:line="360" w:lineRule="auto"/>
        <w:ind w:firstLine="422" w:firstLineChars="200"/>
        <w:jc w:val="left"/>
        <w:rPr>
          <w:rFonts w:ascii="宋体" w:hAnsi="宋体" w:cs="宋体"/>
          <w:bCs/>
          <w:color w:val="auto"/>
          <w:szCs w:val="21"/>
          <w:highlight w:val="none"/>
        </w:rPr>
      </w:pPr>
      <w:r>
        <w:rPr>
          <w:rFonts w:hint="eastAsia" w:ascii="宋体" w:hAnsi="宋体" w:cs="宋体"/>
          <w:b/>
          <w:color w:val="auto"/>
          <w:szCs w:val="21"/>
          <w:highlight w:val="none"/>
        </w:rPr>
        <w:t>乙方 ：</w:t>
      </w:r>
    </w:p>
    <w:p w14:paraId="3D61C4FC">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联系人： </w:t>
      </w:r>
    </w:p>
    <w:p w14:paraId="48CED3E1">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联系电话： </w:t>
      </w:r>
    </w:p>
    <w:p w14:paraId="2FEB1998">
      <w:pPr>
        <w:kinsoku w:val="0"/>
        <w:overflowPunct w:val="0"/>
        <w:autoSpaceDE w:val="0"/>
        <w:autoSpaceDN w:val="0"/>
        <w:adjustRightInd w:val="0"/>
        <w:snapToGrid w:val="0"/>
        <w:spacing w:line="360" w:lineRule="auto"/>
        <w:ind w:right="31" w:rightChars="15" w:firstLine="420" w:firstLineChars="200"/>
        <w:jc w:val="left"/>
        <w:rPr>
          <w:color w:val="auto"/>
          <w:highlight w:val="none"/>
        </w:rPr>
      </w:pPr>
      <w:r>
        <w:rPr>
          <w:rFonts w:hint="eastAsia" w:ascii="宋体" w:hAnsi="宋体" w:cs="宋体"/>
          <w:bCs/>
          <w:color w:val="auto"/>
          <w:szCs w:val="21"/>
          <w:highlight w:val="none"/>
        </w:rPr>
        <w:t xml:space="preserve">地址： </w:t>
      </w:r>
    </w:p>
    <w:p w14:paraId="4F98CBA2">
      <w:pPr>
        <w:kinsoku w:val="0"/>
        <w:overflowPunct w:val="0"/>
        <w:autoSpaceDE w:val="0"/>
        <w:autoSpaceDN w:val="0"/>
        <w:adjustRightInd w:val="0"/>
        <w:snapToGrid w:val="0"/>
        <w:spacing w:line="360" w:lineRule="auto"/>
        <w:ind w:right="31" w:rightChars="15"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根据《中华人民共和国政府采购法》、《中华人民共和国民法典》等相关法律法规的规定、苏州市创杰招投标咨询服务有限公司采购编号号公开招标文件及乙方的投标文件和中标通知书,甲乙双方就此次中标的</w:t>
      </w:r>
      <w:r>
        <w:rPr>
          <w:rFonts w:hint="eastAsia" w:ascii="宋体" w:hAnsi="宋体" w:cs="宋体"/>
          <w:bCs/>
          <w:color w:val="auto"/>
          <w:szCs w:val="21"/>
          <w:highlight w:val="none"/>
          <w:u w:val="single"/>
        </w:rPr>
        <w:t xml:space="preserve">    项目</w:t>
      </w:r>
      <w:r>
        <w:rPr>
          <w:rFonts w:hint="eastAsia" w:ascii="宋体" w:hAnsi="宋体" w:cs="宋体"/>
          <w:color w:val="auto"/>
          <w:szCs w:val="21"/>
          <w:highlight w:val="none"/>
        </w:rPr>
        <w:t>的购销事宜，签订本合同书。</w:t>
      </w:r>
    </w:p>
    <w:p w14:paraId="48BDD5D6">
      <w:pPr>
        <w:numPr>
          <w:ilvl w:val="0"/>
          <w:numId w:val="10"/>
        </w:num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项目内容：</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96"/>
        <w:gridCol w:w="1424"/>
        <w:gridCol w:w="921"/>
        <w:gridCol w:w="792"/>
        <w:gridCol w:w="1111"/>
        <w:gridCol w:w="898"/>
        <w:gridCol w:w="896"/>
      </w:tblGrid>
      <w:tr w14:paraId="7C23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62" w:type="dxa"/>
            <w:vAlign w:val="center"/>
          </w:tcPr>
          <w:p w14:paraId="4EB1FEE9">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796" w:type="dxa"/>
            <w:vAlign w:val="center"/>
          </w:tcPr>
          <w:p w14:paraId="36E47800">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1424" w:type="dxa"/>
            <w:vAlign w:val="center"/>
          </w:tcPr>
          <w:p w14:paraId="20D4C7C4">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21" w:type="dxa"/>
            <w:vAlign w:val="center"/>
          </w:tcPr>
          <w:p w14:paraId="5D009FAF">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792" w:type="dxa"/>
            <w:vAlign w:val="center"/>
          </w:tcPr>
          <w:p w14:paraId="4E3A62D7">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111" w:type="dxa"/>
            <w:vAlign w:val="center"/>
          </w:tcPr>
          <w:p w14:paraId="7DEA0691">
            <w:pPr>
              <w:widowControl/>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生产厂家</w:t>
            </w:r>
          </w:p>
        </w:tc>
        <w:tc>
          <w:tcPr>
            <w:tcW w:w="898" w:type="dxa"/>
            <w:vAlign w:val="center"/>
          </w:tcPr>
          <w:p w14:paraId="56E38B4F">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单价</w:t>
            </w:r>
          </w:p>
          <w:p w14:paraId="641B5889">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（元）</w:t>
            </w:r>
          </w:p>
        </w:tc>
        <w:tc>
          <w:tcPr>
            <w:tcW w:w="896" w:type="dxa"/>
            <w:vAlign w:val="center"/>
          </w:tcPr>
          <w:p w14:paraId="53CCA6DB">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总价</w:t>
            </w:r>
          </w:p>
          <w:p w14:paraId="56E291E1">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（元）</w:t>
            </w:r>
          </w:p>
        </w:tc>
      </w:tr>
      <w:tr w14:paraId="43C6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62" w:type="dxa"/>
            <w:vAlign w:val="center"/>
          </w:tcPr>
          <w:p w14:paraId="337A590C">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796" w:type="dxa"/>
            <w:vAlign w:val="center"/>
          </w:tcPr>
          <w:p w14:paraId="1E1B89ED">
            <w:pPr>
              <w:widowControl/>
              <w:adjustRightInd w:val="0"/>
              <w:snapToGrid w:val="0"/>
              <w:jc w:val="center"/>
              <w:rPr>
                <w:rFonts w:ascii="宋体" w:hAnsi="宋体" w:cs="宋体"/>
                <w:color w:val="auto"/>
                <w:kern w:val="0"/>
                <w:szCs w:val="21"/>
                <w:highlight w:val="none"/>
              </w:rPr>
            </w:pPr>
          </w:p>
        </w:tc>
        <w:tc>
          <w:tcPr>
            <w:tcW w:w="1424" w:type="dxa"/>
            <w:vAlign w:val="center"/>
          </w:tcPr>
          <w:p w14:paraId="6B3055C9">
            <w:pPr>
              <w:widowControl/>
              <w:adjustRightInd w:val="0"/>
              <w:snapToGrid w:val="0"/>
              <w:jc w:val="center"/>
              <w:rPr>
                <w:rFonts w:ascii="宋体" w:hAnsi="宋体" w:cs="宋体"/>
                <w:color w:val="auto"/>
                <w:kern w:val="0"/>
                <w:szCs w:val="21"/>
                <w:highlight w:val="none"/>
              </w:rPr>
            </w:pPr>
          </w:p>
        </w:tc>
        <w:tc>
          <w:tcPr>
            <w:tcW w:w="921" w:type="dxa"/>
            <w:vAlign w:val="center"/>
          </w:tcPr>
          <w:p w14:paraId="105F4E8F">
            <w:pPr>
              <w:widowControl/>
              <w:adjustRightInd w:val="0"/>
              <w:snapToGrid w:val="0"/>
              <w:jc w:val="center"/>
              <w:rPr>
                <w:rFonts w:ascii="宋体" w:hAnsi="宋体" w:cs="宋体"/>
                <w:color w:val="auto"/>
                <w:kern w:val="0"/>
                <w:szCs w:val="21"/>
                <w:highlight w:val="none"/>
              </w:rPr>
            </w:pPr>
          </w:p>
        </w:tc>
        <w:tc>
          <w:tcPr>
            <w:tcW w:w="792" w:type="dxa"/>
            <w:vAlign w:val="center"/>
          </w:tcPr>
          <w:p w14:paraId="33BDD7B7">
            <w:pPr>
              <w:widowControl/>
              <w:adjustRightInd w:val="0"/>
              <w:snapToGrid w:val="0"/>
              <w:jc w:val="center"/>
              <w:rPr>
                <w:rFonts w:ascii="宋体" w:hAnsi="宋体" w:cs="宋体"/>
                <w:color w:val="auto"/>
                <w:kern w:val="0"/>
                <w:szCs w:val="21"/>
                <w:highlight w:val="none"/>
              </w:rPr>
            </w:pPr>
          </w:p>
        </w:tc>
        <w:tc>
          <w:tcPr>
            <w:tcW w:w="1111" w:type="dxa"/>
            <w:vAlign w:val="center"/>
          </w:tcPr>
          <w:p w14:paraId="5FDF4DB5">
            <w:pPr>
              <w:widowControl/>
              <w:jc w:val="center"/>
              <w:rPr>
                <w:rFonts w:ascii="宋体" w:hAnsi="宋体" w:cs="宋体"/>
                <w:color w:val="auto"/>
                <w:kern w:val="0"/>
                <w:szCs w:val="21"/>
                <w:highlight w:val="none"/>
              </w:rPr>
            </w:pPr>
          </w:p>
        </w:tc>
        <w:tc>
          <w:tcPr>
            <w:tcW w:w="898" w:type="dxa"/>
            <w:vAlign w:val="center"/>
          </w:tcPr>
          <w:p w14:paraId="5F0E3608">
            <w:pPr>
              <w:widowControl/>
              <w:jc w:val="center"/>
              <w:rPr>
                <w:rFonts w:ascii="宋体" w:hAnsi="宋体" w:cs="宋体"/>
                <w:color w:val="auto"/>
                <w:kern w:val="0"/>
                <w:szCs w:val="21"/>
                <w:highlight w:val="none"/>
              </w:rPr>
            </w:pPr>
          </w:p>
        </w:tc>
        <w:tc>
          <w:tcPr>
            <w:tcW w:w="896" w:type="dxa"/>
            <w:vAlign w:val="center"/>
          </w:tcPr>
          <w:p w14:paraId="220F1328">
            <w:pPr>
              <w:widowControl/>
              <w:jc w:val="center"/>
              <w:rPr>
                <w:rFonts w:ascii="宋体" w:hAnsi="宋体" w:cs="宋体"/>
                <w:color w:val="auto"/>
                <w:kern w:val="0"/>
                <w:szCs w:val="21"/>
                <w:highlight w:val="none"/>
              </w:rPr>
            </w:pPr>
          </w:p>
        </w:tc>
      </w:tr>
      <w:tr w14:paraId="2346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62" w:type="dxa"/>
            <w:vAlign w:val="center"/>
          </w:tcPr>
          <w:p w14:paraId="34D91F66">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796" w:type="dxa"/>
            <w:vAlign w:val="center"/>
          </w:tcPr>
          <w:p w14:paraId="79AB8702">
            <w:pPr>
              <w:widowControl/>
              <w:adjustRightInd w:val="0"/>
              <w:snapToGrid w:val="0"/>
              <w:jc w:val="center"/>
              <w:rPr>
                <w:rFonts w:ascii="宋体" w:hAnsi="宋体" w:cs="宋体"/>
                <w:color w:val="auto"/>
                <w:kern w:val="0"/>
                <w:szCs w:val="21"/>
                <w:highlight w:val="none"/>
              </w:rPr>
            </w:pPr>
          </w:p>
        </w:tc>
        <w:tc>
          <w:tcPr>
            <w:tcW w:w="1424" w:type="dxa"/>
            <w:vAlign w:val="center"/>
          </w:tcPr>
          <w:p w14:paraId="7835ABCC">
            <w:pPr>
              <w:widowControl/>
              <w:adjustRightInd w:val="0"/>
              <w:snapToGrid w:val="0"/>
              <w:jc w:val="center"/>
              <w:rPr>
                <w:rFonts w:ascii="宋体" w:hAnsi="宋体" w:cs="宋体"/>
                <w:color w:val="auto"/>
                <w:kern w:val="0"/>
                <w:szCs w:val="21"/>
                <w:highlight w:val="none"/>
              </w:rPr>
            </w:pPr>
          </w:p>
        </w:tc>
        <w:tc>
          <w:tcPr>
            <w:tcW w:w="921" w:type="dxa"/>
            <w:vAlign w:val="center"/>
          </w:tcPr>
          <w:p w14:paraId="05232FA1">
            <w:pPr>
              <w:widowControl/>
              <w:adjustRightInd w:val="0"/>
              <w:snapToGrid w:val="0"/>
              <w:jc w:val="center"/>
              <w:rPr>
                <w:rFonts w:ascii="宋体" w:hAnsi="宋体" w:cs="宋体"/>
                <w:color w:val="auto"/>
                <w:kern w:val="0"/>
                <w:szCs w:val="21"/>
                <w:highlight w:val="none"/>
              </w:rPr>
            </w:pPr>
          </w:p>
        </w:tc>
        <w:tc>
          <w:tcPr>
            <w:tcW w:w="792" w:type="dxa"/>
            <w:vAlign w:val="center"/>
          </w:tcPr>
          <w:p w14:paraId="507EF379">
            <w:pPr>
              <w:widowControl/>
              <w:adjustRightInd w:val="0"/>
              <w:snapToGrid w:val="0"/>
              <w:jc w:val="center"/>
              <w:rPr>
                <w:rFonts w:ascii="宋体" w:hAnsi="宋体" w:cs="宋体"/>
                <w:color w:val="auto"/>
                <w:kern w:val="0"/>
                <w:szCs w:val="21"/>
                <w:highlight w:val="none"/>
              </w:rPr>
            </w:pPr>
          </w:p>
        </w:tc>
        <w:tc>
          <w:tcPr>
            <w:tcW w:w="1111" w:type="dxa"/>
            <w:vAlign w:val="center"/>
          </w:tcPr>
          <w:p w14:paraId="5DDDDA2D">
            <w:pPr>
              <w:widowControl/>
              <w:jc w:val="center"/>
              <w:rPr>
                <w:rFonts w:ascii="宋体" w:hAnsi="宋体" w:cs="宋体"/>
                <w:color w:val="auto"/>
                <w:kern w:val="0"/>
                <w:szCs w:val="21"/>
                <w:highlight w:val="none"/>
              </w:rPr>
            </w:pPr>
          </w:p>
        </w:tc>
        <w:tc>
          <w:tcPr>
            <w:tcW w:w="898" w:type="dxa"/>
            <w:vAlign w:val="center"/>
          </w:tcPr>
          <w:p w14:paraId="3CFE3D21">
            <w:pPr>
              <w:widowControl/>
              <w:jc w:val="center"/>
              <w:rPr>
                <w:rFonts w:ascii="宋体" w:hAnsi="宋体" w:cs="宋体"/>
                <w:color w:val="auto"/>
                <w:kern w:val="0"/>
                <w:szCs w:val="21"/>
                <w:highlight w:val="none"/>
              </w:rPr>
            </w:pPr>
          </w:p>
        </w:tc>
        <w:tc>
          <w:tcPr>
            <w:tcW w:w="896" w:type="dxa"/>
            <w:vAlign w:val="center"/>
          </w:tcPr>
          <w:p w14:paraId="78545EE6">
            <w:pPr>
              <w:widowControl/>
              <w:jc w:val="center"/>
              <w:rPr>
                <w:rFonts w:ascii="宋体" w:hAnsi="宋体" w:cs="宋体"/>
                <w:color w:val="auto"/>
                <w:kern w:val="0"/>
                <w:szCs w:val="21"/>
                <w:highlight w:val="none"/>
              </w:rPr>
            </w:pPr>
          </w:p>
        </w:tc>
      </w:tr>
      <w:tr w14:paraId="7B47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62" w:type="dxa"/>
            <w:vAlign w:val="center"/>
          </w:tcPr>
          <w:p w14:paraId="3A09AE5D">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796" w:type="dxa"/>
            <w:vAlign w:val="center"/>
          </w:tcPr>
          <w:p w14:paraId="677B49A6">
            <w:pPr>
              <w:widowControl/>
              <w:adjustRightInd w:val="0"/>
              <w:snapToGrid w:val="0"/>
              <w:jc w:val="center"/>
              <w:rPr>
                <w:rFonts w:ascii="宋体" w:hAnsi="宋体" w:cs="宋体"/>
                <w:color w:val="auto"/>
                <w:kern w:val="0"/>
                <w:szCs w:val="21"/>
                <w:highlight w:val="none"/>
              </w:rPr>
            </w:pPr>
          </w:p>
        </w:tc>
        <w:tc>
          <w:tcPr>
            <w:tcW w:w="1424" w:type="dxa"/>
            <w:vAlign w:val="center"/>
          </w:tcPr>
          <w:p w14:paraId="1D95EBC8">
            <w:pPr>
              <w:widowControl/>
              <w:adjustRightInd w:val="0"/>
              <w:snapToGrid w:val="0"/>
              <w:jc w:val="center"/>
              <w:rPr>
                <w:rFonts w:ascii="宋体" w:hAnsi="宋体" w:cs="宋体"/>
                <w:color w:val="auto"/>
                <w:kern w:val="0"/>
                <w:szCs w:val="21"/>
                <w:highlight w:val="none"/>
              </w:rPr>
            </w:pPr>
          </w:p>
        </w:tc>
        <w:tc>
          <w:tcPr>
            <w:tcW w:w="921" w:type="dxa"/>
            <w:vAlign w:val="center"/>
          </w:tcPr>
          <w:p w14:paraId="3931F6AA">
            <w:pPr>
              <w:widowControl/>
              <w:adjustRightInd w:val="0"/>
              <w:snapToGrid w:val="0"/>
              <w:jc w:val="center"/>
              <w:rPr>
                <w:rFonts w:ascii="宋体" w:hAnsi="宋体" w:cs="宋体"/>
                <w:color w:val="auto"/>
                <w:kern w:val="0"/>
                <w:szCs w:val="21"/>
                <w:highlight w:val="none"/>
              </w:rPr>
            </w:pPr>
          </w:p>
        </w:tc>
        <w:tc>
          <w:tcPr>
            <w:tcW w:w="792" w:type="dxa"/>
            <w:vAlign w:val="center"/>
          </w:tcPr>
          <w:p w14:paraId="7A6BC0ED">
            <w:pPr>
              <w:widowControl/>
              <w:adjustRightInd w:val="0"/>
              <w:snapToGrid w:val="0"/>
              <w:jc w:val="center"/>
              <w:rPr>
                <w:rFonts w:ascii="宋体" w:hAnsi="宋体" w:cs="宋体"/>
                <w:color w:val="auto"/>
                <w:kern w:val="0"/>
                <w:szCs w:val="21"/>
                <w:highlight w:val="none"/>
              </w:rPr>
            </w:pPr>
          </w:p>
        </w:tc>
        <w:tc>
          <w:tcPr>
            <w:tcW w:w="1111" w:type="dxa"/>
            <w:vAlign w:val="center"/>
          </w:tcPr>
          <w:p w14:paraId="28115CAA">
            <w:pPr>
              <w:widowControl/>
              <w:jc w:val="center"/>
              <w:rPr>
                <w:rFonts w:ascii="宋体" w:hAnsi="宋体" w:cs="宋体"/>
                <w:color w:val="auto"/>
                <w:kern w:val="0"/>
                <w:szCs w:val="21"/>
                <w:highlight w:val="none"/>
              </w:rPr>
            </w:pPr>
          </w:p>
        </w:tc>
        <w:tc>
          <w:tcPr>
            <w:tcW w:w="898" w:type="dxa"/>
            <w:vAlign w:val="center"/>
          </w:tcPr>
          <w:p w14:paraId="7CD820E9">
            <w:pPr>
              <w:widowControl/>
              <w:jc w:val="center"/>
              <w:rPr>
                <w:rFonts w:ascii="宋体" w:hAnsi="宋体" w:cs="宋体"/>
                <w:color w:val="auto"/>
                <w:kern w:val="0"/>
                <w:szCs w:val="21"/>
                <w:highlight w:val="none"/>
              </w:rPr>
            </w:pPr>
          </w:p>
        </w:tc>
        <w:tc>
          <w:tcPr>
            <w:tcW w:w="896" w:type="dxa"/>
            <w:vAlign w:val="center"/>
          </w:tcPr>
          <w:p w14:paraId="689C5EB1">
            <w:pPr>
              <w:widowControl/>
              <w:jc w:val="center"/>
              <w:rPr>
                <w:rFonts w:ascii="宋体" w:hAnsi="宋体" w:cs="宋体"/>
                <w:color w:val="auto"/>
                <w:kern w:val="0"/>
                <w:szCs w:val="21"/>
                <w:highlight w:val="none"/>
              </w:rPr>
            </w:pPr>
          </w:p>
        </w:tc>
      </w:tr>
      <w:tr w14:paraId="196C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62" w:type="dxa"/>
            <w:vAlign w:val="center"/>
          </w:tcPr>
          <w:p w14:paraId="0A1FD9A0">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96" w:type="dxa"/>
            <w:vAlign w:val="center"/>
          </w:tcPr>
          <w:p w14:paraId="104F7DDE">
            <w:pPr>
              <w:widowControl/>
              <w:adjustRightInd w:val="0"/>
              <w:snapToGrid w:val="0"/>
              <w:jc w:val="center"/>
              <w:rPr>
                <w:rFonts w:ascii="宋体" w:hAnsi="宋体" w:cs="宋体"/>
                <w:color w:val="auto"/>
                <w:kern w:val="0"/>
                <w:szCs w:val="21"/>
                <w:highlight w:val="none"/>
              </w:rPr>
            </w:pPr>
          </w:p>
        </w:tc>
        <w:tc>
          <w:tcPr>
            <w:tcW w:w="1424" w:type="dxa"/>
            <w:vAlign w:val="center"/>
          </w:tcPr>
          <w:p w14:paraId="1C01ABE8">
            <w:pPr>
              <w:widowControl/>
              <w:adjustRightInd w:val="0"/>
              <w:snapToGrid w:val="0"/>
              <w:jc w:val="center"/>
              <w:rPr>
                <w:rFonts w:ascii="宋体" w:hAnsi="宋体" w:cs="宋体"/>
                <w:color w:val="auto"/>
                <w:kern w:val="0"/>
                <w:szCs w:val="21"/>
                <w:highlight w:val="none"/>
              </w:rPr>
            </w:pPr>
          </w:p>
        </w:tc>
        <w:tc>
          <w:tcPr>
            <w:tcW w:w="921" w:type="dxa"/>
            <w:vAlign w:val="center"/>
          </w:tcPr>
          <w:p w14:paraId="5F363C60">
            <w:pPr>
              <w:widowControl/>
              <w:adjustRightInd w:val="0"/>
              <w:snapToGrid w:val="0"/>
              <w:jc w:val="center"/>
              <w:rPr>
                <w:rFonts w:ascii="宋体" w:hAnsi="宋体" w:cs="宋体"/>
                <w:color w:val="auto"/>
                <w:kern w:val="0"/>
                <w:szCs w:val="21"/>
                <w:highlight w:val="none"/>
              </w:rPr>
            </w:pPr>
          </w:p>
        </w:tc>
        <w:tc>
          <w:tcPr>
            <w:tcW w:w="792" w:type="dxa"/>
            <w:vAlign w:val="center"/>
          </w:tcPr>
          <w:p w14:paraId="65EEE74C">
            <w:pPr>
              <w:widowControl/>
              <w:adjustRightInd w:val="0"/>
              <w:snapToGrid w:val="0"/>
              <w:jc w:val="center"/>
              <w:rPr>
                <w:rFonts w:ascii="宋体" w:hAnsi="宋体" w:cs="宋体"/>
                <w:color w:val="auto"/>
                <w:kern w:val="0"/>
                <w:szCs w:val="21"/>
                <w:highlight w:val="none"/>
              </w:rPr>
            </w:pPr>
          </w:p>
        </w:tc>
        <w:tc>
          <w:tcPr>
            <w:tcW w:w="1111" w:type="dxa"/>
            <w:vAlign w:val="center"/>
          </w:tcPr>
          <w:p w14:paraId="194FFA84">
            <w:pPr>
              <w:widowControl/>
              <w:jc w:val="center"/>
              <w:rPr>
                <w:rFonts w:ascii="宋体" w:hAnsi="宋体" w:cs="宋体"/>
                <w:color w:val="auto"/>
                <w:kern w:val="0"/>
                <w:szCs w:val="21"/>
                <w:highlight w:val="none"/>
              </w:rPr>
            </w:pPr>
          </w:p>
        </w:tc>
        <w:tc>
          <w:tcPr>
            <w:tcW w:w="898" w:type="dxa"/>
            <w:vAlign w:val="center"/>
          </w:tcPr>
          <w:p w14:paraId="1D8C2A20">
            <w:pPr>
              <w:widowControl/>
              <w:jc w:val="center"/>
              <w:rPr>
                <w:rFonts w:ascii="宋体" w:hAnsi="宋体" w:cs="宋体"/>
                <w:color w:val="auto"/>
                <w:kern w:val="0"/>
                <w:szCs w:val="21"/>
                <w:highlight w:val="none"/>
              </w:rPr>
            </w:pPr>
          </w:p>
        </w:tc>
        <w:tc>
          <w:tcPr>
            <w:tcW w:w="896" w:type="dxa"/>
            <w:vAlign w:val="center"/>
          </w:tcPr>
          <w:p w14:paraId="4A5207C5">
            <w:pPr>
              <w:widowControl/>
              <w:jc w:val="center"/>
              <w:rPr>
                <w:rFonts w:ascii="宋体" w:hAnsi="宋体" w:cs="宋体"/>
                <w:color w:val="auto"/>
                <w:kern w:val="0"/>
                <w:szCs w:val="21"/>
                <w:highlight w:val="none"/>
              </w:rPr>
            </w:pPr>
          </w:p>
        </w:tc>
      </w:tr>
      <w:tr w14:paraId="49F1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00" w:type="dxa"/>
            <w:gridSpan w:val="8"/>
            <w:vAlign w:val="center"/>
          </w:tcPr>
          <w:p w14:paraId="6C669B2F">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合计金额大写：</w:t>
            </w:r>
          </w:p>
        </w:tc>
      </w:tr>
    </w:tbl>
    <w:p w14:paraId="01F72F65">
      <w:pPr>
        <w:pStyle w:val="42"/>
        <w:ind w:firstLine="400"/>
        <w:rPr>
          <w:rFonts w:hAnsi="宋体" w:cs="宋体"/>
          <w:color w:val="auto"/>
          <w:highlight w:val="none"/>
        </w:rPr>
      </w:pPr>
    </w:p>
    <w:p w14:paraId="1411BE94">
      <w:pPr>
        <w:adjustRightInd w:val="0"/>
        <w:snapToGrid w:val="0"/>
        <w:spacing w:line="360" w:lineRule="auto"/>
        <w:rPr>
          <w:rFonts w:ascii="宋体" w:hAnsi="宋体" w:cs="宋体"/>
          <w:b/>
          <w:color w:val="auto"/>
          <w:highlight w:val="none"/>
        </w:rPr>
      </w:pPr>
      <w:r>
        <w:rPr>
          <w:rFonts w:hint="eastAsia" w:ascii="宋体" w:hAnsi="宋体" w:cs="宋体"/>
          <w:b/>
          <w:color w:val="auto"/>
          <w:highlight w:val="none"/>
        </w:rPr>
        <w:t>二、下列文件为本合同不可分割部分：</w:t>
      </w:r>
    </w:p>
    <w:p w14:paraId="3F4D57ED">
      <w:pPr>
        <w:pStyle w:val="17"/>
        <w:adjustRightInd w:val="0"/>
        <w:snapToGrid w:val="0"/>
        <w:spacing w:line="360" w:lineRule="auto"/>
        <w:ind w:firstLine="420" w:firstLineChars="200"/>
        <w:rPr>
          <w:rFonts w:cs="宋体"/>
          <w:b w:val="0"/>
          <w:color w:val="auto"/>
          <w:spacing w:val="0"/>
          <w:sz w:val="21"/>
          <w:highlight w:val="none"/>
        </w:rPr>
      </w:pPr>
      <w:r>
        <w:rPr>
          <w:rFonts w:hint="eastAsia" w:cs="宋体"/>
          <w:b w:val="0"/>
          <w:color w:val="auto"/>
          <w:spacing w:val="0"/>
          <w:sz w:val="21"/>
          <w:highlight w:val="none"/>
        </w:rPr>
        <w:t>（一）中标通知书；</w:t>
      </w:r>
    </w:p>
    <w:p w14:paraId="21A6C9AC">
      <w:pPr>
        <w:pStyle w:val="17"/>
        <w:adjustRightInd w:val="0"/>
        <w:snapToGrid w:val="0"/>
        <w:spacing w:line="360" w:lineRule="auto"/>
        <w:ind w:firstLine="420" w:firstLineChars="200"/>
        <w:rPr>
          <w:rFonts w:cs="宋体"/>
          <w:b w:val="0"/>
          <w:color w:val="auto"/>
          <w:spacing w:val="0"/>
          <w:sz w:val="21"/>
          <w:highlight w:val="none"/>
        </w:rPr>
      </w:pPr>
      <w:r>
        <w:rPr>
          <w:rFonts w:hint="eastAsia" w:cs="宋体"/>
          <w:b w:val="0"/>
          <w:color w:val="auto"/>
          <w:spacing w:val="0"/>
          <w:sz w:val="21"/>
          <w:highlight w:val="none"/>
        </w:rPr>
        <w:t>（二）招标文件、技术要求及补充通知（如有）；</w:t>
      </w:r>
    </w:p>
    <w:p w14:paraId="618976BF">
      <w:pPr>
        <w:pStyle w:val="17"/>
        <w:adjustRightInd w:val="0"/>
        <w:snapToGrid w:val="0"/>
        <w:spacing w:line="360" w:lineRule="auto"/>
        <w:ind w:firstLine="420" w:firstLineChars="200"/>
        <w:rPr>
          <w:rFonts w:cs="宋体"/>
          <w:b w:val="0"/>
          <w:color w:val="auto"/>
          <w:spacing w:val="0"/>
          <w:sz w:val="21"/>
          <w:highlight w:val="none"/>
        </w:rPr>
      </w:pPr>
      <w:r>
        <w:rPr>
          <w:rFonts w:hint="eastAsia" w:cs="宋体"/>
          <w:b w:val="0"/>
          <w:color w:val="auto"/>
          <w:spacing w:val="0"/>
          <w:sz w:val="21"/>
          <w:highlight w:val="none"/>
        </w:rPr>
        <w:t>（三）中标文件和其它承诺、书面澄清等；</w:t>
      </w:r>
    </w:p>
    <w:p w14:paraId="1B35FA78">
      <w:pPr>
        <w:pStyle w:val="17"/>
        <w:adjustRightInd w:val="0"/>
        <w:snapToGrid w:val="0"/>
        <w:spacing w:line="360" w:lineRule="auto"/>
        <w:ind w:firstLine="420" w:firstLineChars="200"/>
        <w:rPr>
          <w:rFonts w:cs="宋体"/>
          <w:b w:val="0"/>
          <w:color w:val="auto"/>
          <w:spacing w:val="0"/>
          <w:sz w:val="21"/>
          <w:highlight w:val="none"/>
        </w:rPr>
      </w:pPr>
      <w:r>
        <w:rPr>
          <w:rFonts w:hint="eastAsia" w:cs="宋体"/>
          <w:b w:val="0"/>
          <w:color w:val="auto"/>
          <w:spacing w:val="0"/>
          <w:sz w:val="21"/>
          <w:highlight w:val="none"/>
        </w:rPr>
        <w:t>（四）技术文件；</w:t>
      </w:r>
    </w:p>
    <w:p w14:paraId="26A7165E">
      <w:pPr>
        <w:pStyle w:val="17"/>
        <w:adjustRightInd w:val="0"/>
        <w:snapToGrid w:val="0"/>
        <w:spacing w:line="360" w:lineRule="auto"/>
        <w:ind w:firstLine="420" w:firstLineChars="200"/>
        <w:rPr>
          <w:rFonts w:cs="宋体"/>
          <w:b w:val="0"/>
          <w:color w:val="auto"/>
          <w:spacing w:val="0"/>
          <w:sz w:val="21"/>
          <w:highlight w:val="none"/>
        </w:rPr>
      </w:pPr>
      <w:r>
        <w:rPr>
          <w:rFonts w:hint="eastAsia" w:cs="宋体"/>
          <w:b w:val="0"/>
          <w:color w:val="auto"/>
          <w:spacing w:val="0"/>
          <w:sz w:val="21"/>
          <w:highlight w:val="none"/>
        </w:rPr>
        <w:t>（五）其他约定文件等。</w:t>
      </w:r>
    </w:p>
    <w:p w14:paraId="04F21AD3">
      <w:pPr>
        <w:pStyle w:val="17"/>
        <w:adjustRightInd w:val="0"/>
        <w:snapToGrid w:val="0"/>
        <w:spacing w:line="360" w:lineRule="auto"/>
        <w:rPr>
          <w:rFonts w:cs="宋体"/>
          <w:color w:val="auto"/>
          <w:spacing w:val="0"/>
          <w:sz w:val="21"/>
          <w:highlight w:val="none"/>
        </w:rPr>
      </w:pPr>
      <w:r>
        <w:rPr>
          <w:rFonts w:hint="eastAsia" w:cs="宋体"/>
          <w:color w:val="auto"/>
          <w:spacing w:val="0"/>
          <w:sz w:val="21"/>
          <w:highlight w:val="none"/>
        </w:rPr>
        <w:t xml:space="preserve">三、合同价格与支付：  </w:t>
      </w:r>
    </w:p>
    <w:p w14:paraId="5A8A383A">
      <w:pPr>
        <w:tabs>
          <w:tab w:val="left" w:pos="63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（一）本合同价格为</w:t>
      </w:r>
      <w:r>
        <w:rPr>
          <w:rFonts w:hint="eastAsia" w:ascii="宋体" w:hAnsi="宋体" w:cs="宋体"/>
          <w:color w:val="auto"/>
          <w:szCs w:val="28"/>
          <w:highlight w:val="none"/>
        </w:rPr>
        <w:t>项目所在地</w:t>
      </w:r>
      <w:r>
        <w:rPr>
          <w:rFonts w:hint="eastAsia" w:ascii="宋体" w:hAnsi="宋体" w:cs="宋体"/>
          <w:color w:val="auto"/>
          <w:highlight w:val="none"/>
        </w:rPr>
        <w:t>含税价，本合同价格按人民币结算。</w:t>
      </w:r>
    </w:p>
    <w:p w14:paraId="5EEB8A2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（二）本</w:t>
      </w:r>
      <w:r>
        <w:rPr>
          <w:rFonts w:hint="eastAsia" w:ascii="宋体" w:hAnsi="宋体" w:cs="宋体"/>
          <w:color w:val="auto"/>
          <w:highlight w:val="none"/>
          <w:lang w:val="en-US" w:eastAsia="zh-CN"/>
        </w:rPr>
        <w:t>项目</w:t>
      </w:r>
      <w:r>
        <w:rPr>
          <w:rFonts w:hint="eastAsia" w:ascii="宋体" w:hAnsi="宋体" w:cs="宋体"/>
          <w:color w:val="auto"/>
          <w:highlight w:val="none"/>
        </w:rPr>
        <w:t>合同总价为：</w:t>
      </w:r>
      <w:r>
        <w:rPr>
          <w:rFonts w:hint="eastAsia" w:ascii="宋体" w:hAnsi="宋体" w:cs="宋体"/>
          <w:b/>
          <w:color w:val="auto"/>
          <w:szCs w:val="21"/>
          <w:highlight w:val="none"/>
          <w:u w:val="single"/>
        </w:rPr>
        <w:t xml:space="preserve">         （￥    ）</w:t>
      </w:r>
      <w:r>
        <w:rPr>
          <w:rFonts w:hint="eastAsia" w:ascii="宋体" w:hAnsi="宋体" w:cs="宋体"/>
          <w:color w:val="auto"/>
          <w:highlight w:val="none"/>
        </w:rPr>
        <w:t>，合同总价</w:t>
      </w:r>
      <w:r>
        <w:rPr>
          <w:rFonts w:hint="eastAsia" w:ascii="宋体" w:hAnsi="宋体" w:cs="宋体"/>
          <w:color w:val="auto"/>
          <w:szCs w:val="21"/>
          <w:highlight w:val="none"/>
        </w:rPr>
        <w:t>包括全部</w:t>
      </w:r>
      <w:r>
        <w:rPr>
          <w:rFonts w:hint="eastAsia" w:ascii="宋体" w:hAnsi="宋体" w:cs="宋体"/>
          <w:color w:val="auto"/>
          <w:highlight w:val="none"/>
        </w:rPr>
        <w:t xml:space="preserve">产品供货、辅助材料、备品备件、运输、仓储、发货、送货、安装、调试、人工、机械、装卸、培训、保险、运费、各种税费、劳保、专利技术及质保等完成本次项目所需的一切费用。 </w:t>
      </w:r>
    </w:p>
    <w:p w14:paraId="20C790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（三）付款方式：</w:t>
      </w:r>
      <w:bookmarkStart w:id="69" w:name="_Hlk166669467"/>
    </w:p>
    <w:p w14:paraId="5803F5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1.付款步骤：</w:t>
      </w:r>
    </w:p>
    <w:bookmarkEnd w:id="69"/>
    <w:p w14:paraId="1549679E">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在政府采购合同签订生效后，待货物全部交付并经甲方验收合格后付至合同金额的90%，余款在验收合格满一年后一次性付清(具体支付金额以甲方财政支付要求为准)。</w:t>
      </w:r>
    </w:p>
    <w:p w14:paraId="569A987A">
      <w:pPr>
        <w:widowControl/>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甲方付款时，乙方需提供以下资料：</w:t>
      </w:r>
    </w:p>
    <w:p w14:paraId="5CF01D3D">
      <w:pPr>
        <w:widowControl/>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A、甲方签收的送货回单。 </w:t>
      </w:r>
    </w:p>
    <w:p w14:paraId="09D15F34">
      <w:pPr>
        <w:widowControl/>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B、正式的发票。</w:t>
      </w:r>
    </w:p>
    <w:p w14:paraId="6B0F6C89">
      <w:pPr>
        <w:spacing w:line="360" w:lineRule="auto"/>
        <w:ind w:firstLine="420" w:firstLineChars="200"/>
        <w:rPr>
          <w:rFonts w:ascii="宋体" w:hAnsi="宋体"/>
          <w:color w:val="auto"/>
          <w:highlight w:val="none"/>
        </w:rPr>
      </w:pPr>
      <w:r>
        <w:rPr>
          <w:rFonts w:hint="eastAsia" w:ascii="宋体" w:hAnsi="宋体" w:cs="宋体"/>
          <w:bCs/>
          <w:color w:val="auto"/>
          <w:highlight w:val="none"/>
        </w:rPr>
        <w:t>C、由甲乙双方及招标代理机构签章的《</w:t>
      </w:r>
      <w:r>
        <w:rPr>
          <w:rFonts w:hint="eastAsia" w:ascii="宋体" w:hAnsi="宋体" w:cs="宋体"/>
          <w:color w:val="auto"/>
          <w:highlight w:val="none"/>
        </w:rPr>
        <w:t>政府采购履约验收书</w:t>
      </w:r>
      <w:r>
        <w:rPr>
          <w:rFonts w:hint="eastAsia" w:ascii="宋体" w:hAnsi="宋体" w:cs="宋体"/>
          <w:bCs/>
          <w:color w:val="auto"/>
          <w:highlight w:val="none"/>
        </w:rPr>
        <w:t>》</w:t>
      </w:r>
    </w:p>
    <w:p w14:paraId="23B68D35">
      <w:pPr>
        <w:autoSpaceDE w:val="0"/>
        <w:autoSpaceDN w:val="0"/>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2.付款前，乙方应开具正规合格的增值税专用发票原件提交甲方，甲方将支付相应款项。</w:t>
      </w:r>
    </w:p>
    <w:p w14:paraId="529BC1BB">
      <w:pPr>
        <w:spacing w:line="360" w:lineRule="auto"/>
        <w:ind w:right="-161" w:firstLine="420" w:firstLineChars="200"/>
        <w:rPr>
          <w:rFonts w:ascii="宋体" w:hAnsi="宋体" w:cs="宋体"/>
          <w:color w:val="auto"/>
          <w:highlight w:val="none"/>
        </w:rPr>
      </w:pPr>
      <w:r>
        <w:rPr>
          <w:rFonts w:hint="eastAsia" w:ascii="宋体" w:hAnsi="宋体"/>
          <w:color w:val="auto"/>
          <w:szCs w:val="21"/>
          <w:highlight w:val="none"/>
        </w:rPr>
        <w:t>3.</w:t>
      </w:r>
      <w:r>
        <w:rPr>
          <w:rFonts w:hint="eastAsia" w:ascii="宋体" w:hAnsi="宋体" w:cs="宋体"/>
          <w:color w:val="auto"/>
          <w:highlight w:val="none"/>
        </w:rPr>
        <w:t>付款方式：银行转账、银行汇票或转帐支票。</w:t>
      </w:r>
    </w:p>
    <w:p w14:paraId="278D6260">
      <w:pPr>
        <w:spacing w:line="360" w:lineRule="auto"/>
        <w:ind w:right="-161" w:firstLine="420" w:firstLineChars="200"/>
        <w:rPr>
          <w:rFonts w:ascii="宋体" w:hAnsi="宋体" w:cs="宋体"/>
          <w:color w:val="auto"/>
          <w:highlight w:val="none"/>
        </w:rPr>
      </w:pPr>
      <w:r>
        <w:rPr>
          <w:rFonts w:hint="eastAsia" w:ascii="宋体" w:hAnsi="宋体" w:cs="宋体"/>
          <w:color w:val="auto"/>
          <w:highlight w:val="none"/>
        </w:rPr>
        <w:t>4.乙方账户信息如下：</w:t>
      </w:r>
    </w:p>
    <w:p w14:paraId="5D543460">
      <w:pPr>
        <w:spacing w:line="360" w:lineRule="auto"/>
        <w:ind w:right="-161" w:firstLine="630" w:firstLineChars="300"/>
        <w:rPr>
          <w:rFonts w:ascii="宋体" w:hAnsi="宋体" w:cs="宋体"/>
          <w:color w:val="auto"/>
          <w:highlight w:val="none"/>
        </w:rPr>
      </w:pPr>
      <w:r>
        <w:rPr>
          <w:rFonts w:hint="eastAsia" w:ascii="宋体" w:hAnsi="宋体" w:cs="宋体"/>
          <w:color w:val="auto"/>
          <w:highlight w:val="none"/>
        </w:rPr>
        <w:t>开户名称：</w:t>
      </w:r>
    </w:p>
    <w:p w14:paraId="0D38C2B0">
      <w:pPr>
        <w:spacing w:line="360" w:lineRule="auto"/>
        <w:ind w:right="-161" w:firstLine="630" w:firstLineChars="300"/>
        <w:rPr>
          <w:rFonts w:ascii="宋体" w:hAnsi="宋体" w:cs="宋体"/>
          <w:color w:val="auto"/>
          <w:highlight w:val="none"/>
        </w:rPr>
      </w:pPr>
      <w:r>
        <w:rPr>
          <w:rFonts w:hint="eastAsia" w:ascii="宋体" w:hAnsi="宋体" w:cs="宋体"/>
          <w:color w:val="auto"/>
          <w:highlight w:val="none"/>
        </w:rPr>
        <w:t>开户银行：</w:t>
      </w:r>
    </w:p>
    <w:p w14:paraId="4D34DA38">
      <w:pPr>
        <w:widowControl/>
        <w:spacing w:line="360" w:lineRule="auto"/>
        <w:ind w:firstLine="630" w:firstLineChars="300"/>
        <w:rPr>
          <w:rFonts w:hint="eastAsia" w:ascii="宋体" w:hAnsi="宋体" w:cs="宋体"/>
          <w:color w:val="auto"/>
          <w:highlight w:val="none"/>
        </w:rPr>
      </w:pPr>
      <w:r>
        <w:rPr>
          <w:rFonts w:hint="eastAsia" w:ascii="宋体" w:hAnsi="宋体" w:cs="宋体"/>
          <w:color w:val="auto"/>
          <w:highlight w:val="none"/>
        </w:rPr>
        <w:t>银行账号：</w:t>
      </w:r>
    </w:p>
    <w:p w14:paraId="55FFB6D8">
      <w:pPr>
        <w:kinsoku w:val="0"/>
        <w:overflowPunct w:val="0"/>
        <w:autoSpaceDE w:val="0"/>
        <w:autoSpaceDN w:val="0"/>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四、交付时间、地点、方式： </w:t>
      </w:r>
    </w:p>
    <w:p w14:paraId="31BA2BA7">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（一）交付方式：所有合同货物均由乙方装运至甲方指定地点，所有货物的包装费用、运输费用及运输安全均由乙方负责。货物装运后由乙方办理保险，费用已含在合同总价中。</w:t>
      </w:r>
    </w:p>
    <w:p w14:paraId="5CA77402">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（二）交货期限：自合同签订生效后</w:t>
      </w:r>
      <w:r>
        <w:rPr>
          <w:rFonts w:hint="eastAsia" w:ascii="宋体" w:hAnsi="宋体" w:cs="宋体"/>
          <w:color w:val="auto"/>
          <w:highlight w:val="none"/>
          <w:lang w:val="en-US" w:eastAsia="zh-CN"/>
        </w:rPr>
        <w:t>45</w:t>
      </w:r>
      <w:r>
        <w:rPr>
          <w:rFonts w:hint="eastAsia" w:ascii="宋体" w:hAnsi="宋体" w:cs="宋体"/>
          <w:color w:val="auto"/>
          <w:highlight w:val="none"/>
        </w:rPr>
        <w:t>天内完成全部采购内容的供货安装调试并交付正常使用。</w:t>
      </w:r>
    </w:p>
    <w:p w14:paraId="4B57D426">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（三）交货地点：</w:t>
      </w:r>
      <w:r>
        <w:rPr>
          <w:rFonts w:hint="eastAsia" w:ascii="宋体" w:hAnsi="宋体" w:cs="宋体"/>
          <w:color w:val="auto"/>
          <w:highlight w:val="none"/>
          <w:lang w:val="en-US" w:eastAsia="zh-CN"/>
        </w:rPr>
        <w:t>甲方指定地点</w:t>
      </w:r>
      <w:r>
        <w:rPr>
          <w:rFonts w:hint="eastAsia" w:ascii="宋体" w:hAnsi="宋体" w:cs="宋体"/>
          <w:color w:val="auto"/>
          <w:highlight w:val="none"/>
        </w:rPr>
        <w:t>。</w:t>
      </w:r>
    </w:p>
    <w:p w14:paraId="3B966883">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四）乙方发货到甲方指定地点前，应先与甲方确认，并确定实际到场时间，乙方提前于甲方通知日期运货到现场，若发生有关现场额外的保管费等费用支出，均由乙方承担。若甲方根据现场进度，推迟货物进场时间，乙方不得因此提出任何费用增加的申请。</w:t>
      </w:r>
    </w:p>
    <w:p w14:paraId="2A416352">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（五）所有货物的外观、包装、运输应按国家规定或部颁标准执行。任何由于乙方包装及保护措施不足或不当以及其它原因造成的损坏或丢失，均由乙方负责修复或补缺。</w:t>
      </w:r>
    </w:p>
    <w:p w14:paraId="1190B26D">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（六）货物交货时，包装须完整无破损，乙方还必须提供以下材料：</w:t>
      </w:r>
    </w:p>
    <w:p w14:paraId="1907FFB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A、货物装箱清单                    B、质量检验合格文件</w:t>
      </w:r>
    </w:p>
    <w:p w14:paraId="3CF0F7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C、中英文技术资料                  D、使用维修保养中文说明书</w:t>
      </w:r>
    </w:p>
    <w:p w14:paraId="28866DB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E、其它必备材料和必备工具等        F、保修单等其它必须材料</w:t>
      </w:r>
    </w:p>
    <w:p w14:paraId="59247051">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（七）如因甲方原因货物不能在规定时间内进场，乙方承诺免费提供货物寄存场所，货物寄存于乙方仓库。</w:t>
      </w:r>
    </w:p>
    <w:p w14:paraId="5CE3C956">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五、质量及验收：</w:t>
      </w:r>
    </w:p>
    <w:p w14:paraId="362207AE">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1.产品质量及安装符合国家质量标准和验收规范，供应商应保证所供标的物是全新的，未使用过的，并且是非长期积压的库存商品。</w:t>
      </w:r>
    </w:p>
    <w:p w14:paraId="608D0A4E">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2.所有产品各项技术应当符合国家（强制性）标准及各项规范要求；国家没有相应标准、规范的，可使用行业标准、规定；非标准设备按招标约定的技术要求和规范。 </w:t>
      </w:r>
    </w:p>
    <w:p w14:paraId="502C3F23">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3.所有设备在到达安装现场时须经采购单位技术人员记录验收后才可进行设备安装，验货时须提交该产品的原厂质量合格证明及服务质保证明文件，且合格证明签发日期不得早于本合同签订日前六个月。</w:t>
      </w:r>
    </w:p>
    <w:p w14:paraId="5CD3B90C">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4.所有设备、附（配）件应具备该类产品的功能要求，无瑕疵和缺陷，质量为合格产品，同时有明确的生产厂商或制造厂商。 </w:t>
      </w:r>
    </w:p>
    <w:p w14:paraId="2A521A05">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5.缺陷保修：如果设备交付使用后，缺陷多次反复出现，中标方必须提出分析报告和解决方案，更换该产品，直到最后纠正缺陷、投标人提供质保从纠正之日起重新计算质保期。</w:t>
      </w:r>
    </w:p>
    <w:p w14:paraId="337CB3F4">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6.如果是超出投标人的责任范围的疏忽、误操作等情况而导致的更换修正，应由投标人进行修理，其额外费用由双方协商承担。</w:t>
      </w:r>
    </w:p>
    <w:p w14:paraId="3A78E7D7">
      <w:pPr>
        <w:spacing w:line="360" w:lineRule="auto"/>
        <w:ind w:firstLine="420" w:firstLineChars="200"/>
        <w:jc w:val="left"/>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7.</w:t>
      </w:r>
      <w:r>
        <w:rPr>
          <w:rFonts w:hint="eastAsia" w:ascii="宋体" w:hAnsi="宋体" w:cs="宋体"/>
          <w:color w:val="auto"/>
          <w:szCs w:val="21"/>
          <w:highlight w:val="none"/>
          <w:lang w:val="en-US" w:eastAsia="zh-CN"/>
        </w:rPr>
        <w:t>甲方有权对乙方所供产品随机进行抽样检</w:t>
      </w:r>
      <w:r>
        <w:rPr>
          <w:rFonts w:hint="eastAsia" w:ascii="宋体" w:hAnsi="宋体" w:cs="宋体"/>
          <w:b w:val="0"/>
          <w:bCs w:val="0"/>
          <w:color w:val="auto"/>
          <w:szCs w:val="21"/>
          <w:highlight w:val="none"/>
          <w:lang w:val="en-US" w:eastAsia="zh-CN"/>
        </w:rPr>
        <w:t>测（检测机构由甲方指定，相关检测费用全部由乙方承担。），如任何一项不符合投标文件及乙方投标相关</w:t>
      </w:r>
      <w:r>
        <w:rPr>
          <w:rFonts w:hint="eastAsia" w:ascii="宋体" w:hAnsi="宋体" w:cs="宋体"/>
          <w:color w:val="auto"/>
          <w:szCs w:val="21"/>
          <w:highlight w:val="none"/>
          <w:lang w:val="en-US" w:eastAsia="zh-CN"/>
        </w:rPr>
        <w:t>承诺货不对板或乙方所供产品质量不合格的，乙方须无条件进行退货、换货，如不配合退换货或退换货后再次不合格的，甲方有权解除合同，并要求乙方退还全部货款同时乙方应当承担合同总金额的30%货款作为违约金，违约金不足以弥补甲方损失的应当补足</w:t>
      </w:r>
      <w:r>
        <w:rPr>
          <w:rFonts w:hint="eastAsia" w:ascii="宋体" w:hAnsi="宋体" w:cs="宋体"/>
          <w:b/>
          <w:bCs/>
          <w:color w:val="auto"/>
          <w:szCs w:val="21"/>
          <w:highlight w:val="none"/>
          <w:lang w:val="en-US" w:eastAsia="zh-CN"/>
        </w:rPr>
        <w:t>。</w:t>
      </w:r>
    </w:p>
    <w:p w14:paraId="1655F2E8">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.验收要求：</w:t>
      </w:r>
    </w:p>
    <w:p w14:paraId="60CAEED6">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.1.履约验收标准：根据政府采购合同要求、</w:t>
      </w:r>
      <w:r>
        <w:rPr>
          <w:rFonts w:hint="eastAsia" w:ascii="宋体" w:hAnsi="宋体" w:cs="宋体"/>
          <w:b w:val="0"/>
          <w:bCs/>
          <w:color w:val="auto"/>
          <w:szCs w:val="21"/>
          <w:highlight w:val="none"/>
          <w:lang w:val="en-US" w:eastAsia="zh-CN"/>
        </w:rPr>
        <w:t>招标</w:t>
      </w:r>
      <w:r>
        <w:rPr>
          <w:rFonts w:hint="eastAsia" w:ascii="宋体" w:hAnsi="宋体" w:cs="宋体"/>
          <w:b w:val="0"/>
          <w:bCs/>
          <w:color w:val="auto"/>
          <w:szCs w:val="21"/>
          <w:highlight w:val="none"/>
        </w:rPr>
        <w:t>文件要求、</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rPr>
        <w:t>文件、承诺及有关行业规定。</w:t>
      </w:r>
    </w:p>
    <w:p w14:paraId="11B01ADD">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.2.履约验收主体：由甲方或委托专家（或第三方机构）组成的验收小组进行验收。</w:t>
      </w:r>
    </w:p>
    <w:p w14:paraId="0CB96A62">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3.履约验收方式：严格按照本合同约定对每一项技术、服务、安全标准的履约情况进行确认，验收结束后，出具验收书，列明各分项标准的验收情况及项目总体评价，由验收双方共同签署。相关检测（检验）费用或验收小组成员中的专业技术人员费用由乙方承担。</w:t>
      </w:r>
    </w:p>
    <w:p w14:paraId="22BC62C0">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.4.其他验收要求按照《江苏省政府采购履约验收管理办法》规定执行。</w:t>
      </w:r>
    </w:p>
    <w:p w14:paraId="17C34A8A">
      <w:pPr>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8.5甲方验收通过并不免除乙方对提供货物质量的责任，如在验收合格后发现隐蔽质量缺陷的，仍视为乙方产品质量不合格，甲方有权追究其违约责任。</w:t>
      </w:r>
    </w:p>
    <w:p w14:paraId="036569E4">
      <w:pPr>
        <w:spacing w:line="360" w:lineRule="auto"/>
        <w:ind w:firstLine="420" w:firstLineChars="200"/>
        <w:jc w:val="left"/>
        <w:rPr>
          <w:rFonts w:hint="eastAsia" w:ascii="宋体" w:hAnsi="宋体" w:eastAsia="宋体" w:cs="宋体"/>
          <w:b w:val="0"/>
          <w:bCs/>
          <w:color w:val="auto"/>
          <w:highlight w:val="none"/>
          <w:lang w:eastAsia="zh-CN"/>
        </w:rPr>
      </w:pPr>
      <w:r>
        <w:rPr>
          <w:rFonts w:hint="eastAsia" w:ascii="宋体" w:hAnsi="宋体" w:cs="宋体"/>
          <w:b w:val="0"/>
          <w:bCs/>
          <w:color w:val="auto"/>
          <w:szCs w:val="21"/>
          <w:highlight w:val="none"/>
        </w:rPr>
        <w:t>8.6如乙方交货不合格从而影响甲方按期正常使用的视为乙方逾期交货</w:t>
      </w:r>
      <w:r>
        <w:rPr>
          <w:rFonts w:hint="eastAsia" w:ascii="宋体" w:hAnsi="宋体" w:cs="宋体"/>
          <w:b w:val="0"/>
          <w:bCs/>
          <w:color w:val="auto"/>
          <w:szCs w:val="21"/>
          <w:highlight w:val="none"/>
          <w:lang w:eastAsia="zh-CN"/>
        </w:rPr>
        <w:t>。</w:t>
      </w:r>
    </w:p>
    <w:p w14:paraId="124B8844">
      <w:pPr>
        <w:spacing w:line="360" w:lineRule="auto"/>
        <w:rPr>
          <w:rFonts w:ascii="宋体" w:hAnsi="宋体" w:cs="宋体"/>
          <w:b/>
          <w:color w:val="auto"/>
          <w:highlight w:val="none"/>
        </w:rPr>
      </w:pPr>
      <w:r>
        <w:rPr>
          <w:rFonts w:hint="eastAsia" w:ascii="宋体" w:hAnsi="宋体" w:cs="宋体"/>
          <w:b/>
          <w:color w:val="auto"/>
          <w:highlight w:val="none"/>
        </w:rPr>
        <w:t>六、售后服务及其他要求：</w:t>
      </w:r>
    </w:p>
    <w:p w14:paraId="6063505A">
      <w:pPr>
        <w:tabs>
          <w:tab w:val="left" w:pos="630"/>
        </w:tabs>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（一）具体按招标文件售后服务条款。</w:t>
      </w:r>
    </w:p>
    <w:p w14:paraId="02D4E9AB">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（二）其他要求按乙方投标文件承诺的条款执行。</w:t>
      </w:r>
    </w:p>
    <w:p w14:paraId="0AEAA201">
      <w:pPr>
        <w:adjustRightInd w:val="0"/>
        <w:snapToGrid w:val="0"/>
        <w:spacing w:line="360" w:lineRule="auto"/>
        <w:jc w:val="left"/>
        <w:rPr>
          <w:rFonts w:ascii="宋体" w:hAnsi="宋体" w:cs="宋体"/>
          <w:b/>
          <w:color w:val="auto"/>
          <w:highlight w:val="none"/>
        </w:rPr>
      </w:pPr>
      <w:r>
        <w:rPr>
          <w:rFonts w:hint="eastAsia" w:ascii="宋体" w:hAnsi="宋体" w:cs="宋体"/>
          <w:b/>
          <w:color w:val="auto"/>
          <w:highlight w:val="none"/>
        </w:rPr>
        <w:t>七、税费：</w:t>
      </w:r>
    </w:p>
    <w:p w14:paraId="389BD4EF">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（一）</w:t>
      </w:r>
      <w:r>
        <w:rPr>
          <w:rFonts w:hint="eastAsia" w:ascii="宋体" w:hAnsi="宋体" w:cs="宋体"/>
          <w:color w:val="auto"/>
          <w:highlight w:val="none"/>
        </w:rPr>
        <w:t>根据国家有关税务法律、法规和规定，乙方应该交纳的与本合同有关的所有税费均由乙方承担。</w:t>
      </w:r>
    </w:p>
    <w:p w14:paraId="7EAF5AD9">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（二）本合同价格为含税价。乙方提供的所有货物、技术资料、技术服务、进口设备/部件等所有税费，已全部包含在合同价格内，由乙方承担。</w:t>
      </w:r>
    </w:p>
    <w:p w14:paraId="715E00CC">
      <w:pPr>
        <w:spacing w:line="360" w:lineRule="auto"/>
        <w:rPr>
          <w:rFonts w:ascii="宋体" w:hAnsi="宋体" w:cs="宋体"/>
          <w:b/>
          <w:color w:val="auto"/>
          <w:highlight w:val="none"/>
        </w:rPr>
      </w:pPr>
      <w:r>
        <w:rPr>
          <w:rFonts w:hint="eastAsia" w:ascii="宋体" w:hAnsi="宋体" w:cs="宋体"/>
          <w:b/>
          <w:color w:val="auto"/>
          <w:highlight w:val="none"/>
        </w:rPr>
        <w:t>八、违约责任：</w:t>
      </w:r>
    </w:p>
    <w:p w14:paraId="448ACDC3">
      <w:pPr>
        <w:pStyle w:val="5"/>
        <w:snapToGrid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合同一方不履行合同义务或者履行合同义务不符合约定的，应当承担继续履行、采取补救措施或者赔偿损失等违约责任。</w:t>
      </w:r>
    </w:p>
    <w:p w14:paraId="2F304018">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（一）甲方违约责任</w:t>
      </w:r>
    </w:p>
    <w:p w14:paraId="79C2C356">
      <w:pPr>
        <w:pStyle w:val="5"/>
        <w:overflowPunct w:val="0"/>
        <w:snapToGrid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1、 在合同生效后，甲方要求退货的（产品质量不合格或乙方无法正常履约除外），应向乙方偿付合同总价款的5%，作为违约金，违约金不足以补偿损失的，乙方有权要求甲方补足。</w:t>
      </w:r>
    </w:p>
    <w:p w14:paraId="02B37092">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（二）乙方违约责任</w:t>
      </w:r>
    </w:p>
    <w:p w14:paraId="3368C554">
      <w:pPr>
        <w:pStyle w:val="5"/>
        <w:overflowPunct w:val="0"/>
        <w:snapToGrid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1、乙方不能交货（逾期超过十五天视为不能交货），或交货不合格从而影响甲方按期正常使用的，甲方有权解除合同，并要求乙方退还全部货款同时乙方应当承担合同总金额的30%作为违约金，违约金不足以弥补甲方损失的应当补足。</w:t>
      </w:r>
    </w:p>
    <w:p w14:paraId="2823C52C">
      <w:pPr>
        <w:pStyle w:val="5"/>
        <w:overflowPunct w:val="0"/>
        <w:snapToGrid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2、乙方逾期交货的，应在发货前与甲方和政府采购管理部门协商，甲方仍需求的，乙方应立即发货并应按照逾期交货部分货款的每十五天千分之四支付逾期交货违约金，同时承担甲方因此遭致的损失费用。</w:t>
      </w:r>
    </w:p>
    <w:p w14:paraId="10BCB3B0">
      <w:pPr>
        <w:adjustRightInd w:val="0"/>
        <w:snapToGrid w:val="0"/>
        <w:spacing w:line="360" w:lineRule="auto"/>
        <w:ind w:firstLine="420" w:firstLineChars="200"/>
        <w:jc w:val="left"/>
        <w:rPr>
          <w:rFonts w:ascii="宋体" w:hAnsi="宋体" w:cs="宋体"/>
          <w:b/>
          <w:color w:val="auto"/>
          <w:highlight w:val="none"/>
        </w:rPr>
      </w:pPr>
      <w:r>
        <w:rPr>
          <w:rFonts w:hint="eastAsia" w:ascii="宋体" w:hAnsi="宋体" w:cs="宋体"/>
          <w:color w:val="auto"/>
          <w:highlight w:val="none"/>
        </w:rPr>
        <w:t>（三）不可抗力</w:t>
      </w:r>
    </w:p>
    <w:p w14:paraId="0F305C62">
      <w:pPr>
        <w:pStyle w:val="5"/>
        <w:snapToGrid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1、因不可抗力不能履行合同的，根据不可抗力的影响，部分或者全部免除责任。但合同一方迟延履行后发生不可抗力的，不能免除责任。</w:t>
      </w:r>
    </w:p>
    <w:p w14:paraId="4E264AF4">
      <w:pPr>
        <w:adjustRightInd w:val="0"/>
        <w:snapToGrid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2、合同一方因不可抗力不能履行合同的，应当及时通知对方，以减轻可能给对方造成的损失，并应当在合理期限内提供证明。</w:t>
      </w:r>
    </w:p>
    <w:p w14:paraId="276728FC">
      <w:pPr>
        <w:adjustRightInd w:val="0"/>
        <w:snapToGrid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（四）合同的解除和转让</w:t>
      </w:r>
    </w:p>
    <w:p w14:paraId="261DAED2">
      <w:pPr>
        <w:adjustRightInd w:val="0"/>
        <w:snapToGrid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1、有下列情形之一，合同一方可以解除合同：</w:t>
      </w:r>
    </w:p>
    <w:p w14:paraId="7B144AC2">
      <w:pPr>
        <w:adjustRightInd w:val="0"/>
        <w:snapToGrid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lang w:val="en-US" w:eastAsia="zh-CN"/>
        </w:rPr>
        <w:t>1.1</w:t>
      </w:r>
      <w:r>
        <w:rPr>
          <w:rFonts w:hint="eastAsia" w:ascii="宋体" w:hAnsi="宋体" w:cs="宋体"/>
          <w:color w:val="auto"/>
          <w:highlight w:val="none"/>
        </w:rPr>
        <w:t>、因不可抗力致使不能实现合同目的，未受不可抗力影响的一方有权解除合同；</w:t>
      </w:r>
    </w:p>
    <w:p w14:paraId="39578570">
      <w:pPr>
        <w:adjustRightInd w:val="0"/>
        <w:snapToGrid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lang w:val="en-US" w:eastAsia="zh-CN"/>
        </w:rPr>
        <w:t>1.2</w:t>
      </w:r>
      <w:r>
        <w:rPr>
          <w:rFonts w:hint="eastAsia" w:ascii="宋体" w:hAnsi="宋体" w:cs="宋体"/>
          <w:color w:val="auto"/>
          <w:highlight w:val="none"/>
        </w:rPr>
        <w:t>、因合同一方违约导致合同不能履行，另一方有权解除合同；</w:t>
      </w:r>
    </w:p>
    <w:p w14:paraId="044B7A7E">
      <w:pPr>
        <w:adjustRightInd w:val="0"/>
        <w:snapToGrid w:val="0"/>
        <w:spacing w:line="360" w:lineRule="auto"/>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、有权解除合同的一方，应当在违约事实或不可抗力发生之后三十天内书面通知对方以主张解除合同，合同在书面通知到达对方时解除。</w:t>
      </w:r>
    </w:p>
    <w:p w14:paraId="7A856A5A">
      <w:pPr>
        <w:adjustRightInd w:val="0"/>
        <w:snapToGrid w:val="0"/>
        <w:spacing w:line="360" w:lineRule="auto"/>
        <w:ind w:firstLine="420" w:firstLineChars="200"/>
        <w:jc w:val="left"/>
        <w:textAlignment w:val="baseline"/>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cs="宋体"/>
          <w:color w:val="auto"/>
          <w:highlight w:val="none"/>
        </w:rPr>
        <w:t>除合同另有约定外，乙方不得擅自解除合同，否则除应退还甲方全部已支付款项外，还应当承担合同总金额30%的违约金，违约金不足以弥补损失的应当补足</w:t>
      </w:r>
      <w:r>
        <w:rPr>
          <w:rFonts w:hint="eastAsia" w:ascii="宋体" w:hAnsi="宋体" w:cs="宋体"/>
          <w:color w:val="auto"/>
          <w:highlight w:val="none"/>
          <w:lang w:eastAsia="zh-CN"/>
        </w:rPr>
        <w:t>。</w:t>
      </w:r>
    </w:p>
    <w:p w14:paraId="1648AEC6">
      <w:pPr>
        <w:spacing w:line="360" w:lineRule="auto"/>
        <w:rPr>
          <w:rFonts w:ascii="宋体" w:hAnsi="宋体" w:cs="宋体"/>
          <w:b/>
          <w:color w:val="auto"/>
          <w:highlight w:val="none"/>
        </w:rPr>
      </w:pPr>
      <w:r>
        <w:rPr>
          <w:rFonts w:hint="eastAsia" w:ascii="宋体" w:hAnsi="宋体" w:cs="宋体"/>
          <w:b/>
          <w:color w:val="auto"/>
          <w:highlight w:val="none"/>
        </w:rPr>
        <w:t>九、索赔：</w:t>
      </w:r>
    </w:p>
    <w:p w14:paraId="0C4030E6">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（一）甲方有权根据产品质量检验机构或其它有权部门出具的检验证书向乙方提出索赔。</w:t>
      </w:r>
    </w:p>
    <w:p w14:paraId="11A37321">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二）合同货物如发生由于制造、运输、工艺或材料缺陷而造成的质量问题，乙方必须按上述售后服务条款规定的时间内作出答复及派遣专业工作人员到现场处理。如果乙方对甲方提出的索赔负有责任，乙方应负责修理、更换或退货，并承担由此发生的一切损失和费用。如逾期不予答复和处理，则视为上述索赔已被接受，乙方应承担由此发生的一切损失和费用。</w:t>
      </w:r>
    </w:p>
    <w:p w14:paraId="106A1268">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（三）在本合同执行过程中，如由于乙方原因造成甲方或第三人人身伤害，或因乙方的故意行为或重大过失致使甲方或第三人财产损失的，乙方应依法承担赔偿责任。</w:t>
      </w:r>
    </w:p>
    <w:p w14:paraId="4FFBC858">
      <w:pPr>
        <w:spacing w:line="360" w:lineRule="auto"/>
        <w:rPr>
          <w:rFonts w:ascii="宋体" w:hAnsi="宋体" w:cs="宋体"/>
          <w:bCs/>
          <w:color w:val="auto"/>
          <w:highlight w:val="none"/>
        </w:rPr>
      </w:pPr>
      <w:r>
        <w:rPr>
          <w:rFonts w:hint="eastAsia" w:ascii="宋体" w:hAnsi="宋体" w:cs="宋体"/>
          <w:b/>
          <w:bCs/>
          <w:color w:val="auto"/>
          <w:szCs w:val="28"/>
          <w:highlight w:val="none"/>
          <w:lang w:val="zh-CN"/>
        </w:rPr>
        <w:t>十、</w:t>
      </w:r>
      <w:r>
        <w:rPr>
          <w:rFonts w:hint="eastAsia" w:ascii="宋体" w:hAnsi="宋体" w:cs="宋体"/>
          <w:b/>
          <w:color w:val="auto"/>
          <w:highlight w:val="none"/>
        </w:rPr>
        <w:t>合同生效及其它</w:t>
      </w:r>
    </w:p>
    <w:p w14:paraId="7CFAC4D2">
      <w:pPr>
        <w:spacing w:line="360" w:lineRule="auto"/>
        <w:ind w:firstLine="422"/>
        <w:rPr>
          <w:rFonts w:ascii="宋体" w:hAnsi="宋体" w:cs="宋体"/>
          <w:color w:val="auto"/>
          <w:highlight w:val="none"/>
          <w:lang w:val="zh-CN"/>
        </w:rPr>
      </w:pPr>
      <w:r>
        <w:rPr>
          <w:rFonts w:hint="eastAsia" w:ascii="宋体" w:hAnsi="宋体" w:cs="宋体"/>
          <w:color w:val="auto"/>
          <w:highlight w:val="none"/>
        </w:rPr>
        <w:t xml:space="preserve"> 1、</w:t>
      </w:r>
      <w:r>
        <w:rPr>
          <w:rFonts w:hint="eastAsia" w:ascii="宋体" w:hAnsi="宋体" w:cs="宋体"/>
          <w:color w:val="auto"/>
          <w:highlight w:val="none"/>
          <w:lang w:val="zh-CN"/>
        </w:rPr>
        <w:t>本合同经甲乙双方法定代表人或其委托代理人签字并加盖公章（或合同章）后生效。</w:t>
      </w:r>
    </w:p>
    <w:p w14:paraId="0BB94920">
      <w:pPr>
        <w:spacing w:line="360" w:lineRule="auto"/>
        <w:ind w:firstLine="422"/>
        <w:rPr>
          <w:rFonts w:ascii="宋体" w:hAnsi="宋体" w:cs="宋体"/>
          <w:color w:val="auto"/>
          <w:highlight w:val="none"/>
        </w:rPr>
      </w:pPr>
      <w:r>
        <w:rPr>
          <w:rFonts w:hint="eastAsia" w:ascii="宋体" w:hAnsi="宋体" w:cs="宋体"/>
          <w:color w:val="auto"/>
          <w:highlight w:val="none"/>
        </w:rPr>
        <w:t xml:space="preserve"> 2、合同在执行过程中出现的未尽事宜，双方在不违背本合同和招标文件的原则下协商解决，协商结果以书面形式盖章记录在案，作为本合同的附件，与本合同具有同等效力，但需向招标代理机构和政府采购管理部门提交一份备存。</w:t>
      </w:r>
    </w:p>
    <w:p w14:paraId="30D10537">
      <w:pPr>
        <w:spacing w:line="360" w:lineRule="auto"/>
        <w:ind w:firstLine="422"/>
        <w:rPr>
          <w:rFonts w:hint="eastAsia" w:ascii="宋体" w:hAnsi="宋体" w:eastAsia="宋体" w:cs="宋体"/>
          <w:color w:val="auto"/>
          <w:highlight w:val="none"/>
          <w:lang w:eastAsia="zh-CN"/>
        </w:rPr>
      </w:pPr>
      <w:r>
        <w:rPr>
          <w:rFonts w:hint="eastAsia" w:ascii="宋体" w:hAnsi="宋体" w:cs="宋体"/>
          <w:color w:val="auto"/>
          <w:highlight w:val="none"/>
        </w:rPr>
        <w:t>3、</w:t>
      </w:r>
      <w:r>
        <w:rPr>
          <w:rFonts w:hint="eastAsia" w:ascii="宋体" w:hAnsi="宋体" w:cs="宋体"/>
          <w:color w:val="auto"/>
          <w:highlight w:val="none"/>
          <w:lang w:val="en-US" w:eastAsia="zh-CN"/>
        </w:rPr>
        <w:t>争议的解决：</w:t>
      </w:r>
      <w:r>
        <w:rPr>
          <w:rFonts w:hint="eastAsia" w:ascii="宋体" w:hAnsi="宋体"/>
          <w:color w:val="auto"/>
          <w:szCs w:val="21"/>
          <w:highlight w:val="none"/>
        </w:rPr>
        <w:t>甲乙双方因合同发生争议，应在招标代理机构的主持下进行调解，协商不成，任何一方可以</w:t>
      </w:r>
      <w:r>
        <w:rPr>
          <w:rFonts w:hint="eastAsia" w:ascii="宋体" w:hAnsi="宋体"/>
          <w:color w:val="auto"/>
          <w:szCs w:val="21"/>
          <w:highlight w:val="none"/>
          <w:lang w:val="en-US" w:eastAsia="zh-CN"/>
        </w:rPr>
        <w:t>向</w:t>
      </w:r>
      <w:r>
        <w:rPr>
          <w:rFonts w:hint="eastAsia" w:ascii="宋体" w:hAnsi="宋体"/>
          <w:color w:val="auto"/>
          <w:szCs w:val="21"/>
          <w:highlight w:val="none"/>
        </w:rPr>
        <w:t>甲方所在地人民法院起诉。违约方承担由此产生的费用（包括但不限于律师费、诉讼费、保全费、保险费、差旅费等）</w:t>
      </w:r>
      <w:r>
        <w:rPr>
          <w:rFonts w:hint="eastAsia" w:ascii="宋体" w:hAnsi="宋体"/>
          <w:color w:val="auto"/>
          <w:szCs w:val="21"/>
          <w:highlight w:val="none"/>
          <w:lang w:eastAsia="zh-CN"/>
        </w:rPr>
        <w:t>。</w:t>
      </w:r>
    </w:p>
    <w:p w14:paraId="042F3D41">
      <w:pPr>
        <w:spacing w:line="360" w:lineRule="auto"/>
        <w:ind w:firstLine="422"/>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未尽事宜：本合同未尽事宜应按《中华人民共和国民法典》、《中华人民共和国政府采购法》以及其同相关法律、法规之规定解释。</w:t>
      </w:r>
    </w:p>
    <w:p w14:paraId="66054520">
      <w:pPr>
        <w:spacing w:line="360" w:lineRule="auto"/>
        <w:ind w:firstLine="422"/>
        <w:rPr>
          <w:rFonts w:ascii="宋体" w:hAnsi="宋体" w:cs="宋体"/>
          <w:color w:val="auto"/>
          <w:highlight w:val="none"/>
          <w:lang w:val="zh-CN"/>
        </w:rPr>
      </w:pPr>
      <w:r>
        <w:rPr>
          <w:rFonts w:hint="eastAsia" w:ascii="宋体" w:hAnsi="宋体" w:cs="宋体"/>
          <w:color w:val="auto"/>
          <w:highlight w:val="none"/>
          <w:lang w:val="en-US" w:eastAsia="zh-CN"/>
        </w:rPr>
        <w:t>5</w:t>
      </w:r>
      <w:r>
        <w:rPr>
          <w:rFonts w:hint="eastAsia" w:ascii="宋体" w:hAnsi="宋体" w:cs="宋体"/>
          <w:color w:val="auto"/>
          <w:highlight w:val="none"/>
        </w:rPr>
        <w:t>、本合同一式肆份，甲方贰份、乙方壹份、招标代理机构执壹份，具备同等法律效力</w:t>
      </w:r>
      <w:r>
        <w:rPr>
          <w:rFonts w:hint="eastAsia" w:ascii="宋体" w:hAnsi="宋体" w:cs="宋体"/>
          <w:color w:val="auto"/>
          <w:highlight w:val="none"/>
          <w:lang w:val="zh-CN"/>
        </w:rPr>
        <w:t>。</w:t>
      </w:r>
    </w:p>
    <w:p w14:paraId="2FA22F35">
      <w:pPr>
        <w:spacing w:line="360" w:lineRule="auto"/>
        <w:ind w:firstLine="422"/>
        <w:rPr>
          <w:rFonts w:ascii="宋体" w:hAnsi="宋体" w:cs="宋体"/>
          <w:color w:val="auto"/>
          <w:highlight w:val="none"/>
          <w:lang w:val="zh-CN"/>
        </w:rPr>
      </w:pPr>
    </w:p>
    <w:p w14:paraId="262779F3">
      <w:pPr>
        <w:pStyle w:val="42"/>
        <w:ind w:firstLine="400"/>
        <w:rPr>
          <w:color w:val="auto"/>
          <w:highlight w:val="none"/>
          <w:lang w:val="zh-CN"/>
        </w:rPr>
      </w:pPr>
    </w:p>
    <w:p w14:paraId="3DF16D34">
      <w:pPr>
        <w:tabs>
          <w:tab w:val="left" w:pos="0"/>
        </w:tabs>
        <w:autoSpaceDE w:val="0"/>
        <w:autoSpaceDN w:val="0"/>
        <w:spacing w:line="480" w:lineRule="auto"/>
        <w:rPr>
          <w:rFonts w:ascii="宋体" w:hAnsi="宋体"/>
          <w:b/>
          <w:bCs/>
          <w:color w:val="auto"/>
          <w:szCs w:val="21"/>
          <w:highlight w:val="none"/>
        </w:rPr>
      </w:pPr>
      <w:r>
        <w:rPr>
          <w:rFonts w:hint="eastAsia" w:ascii="宋体" w:hAnsi="宋体"/>
          <w:b/>
          <w:bCs/>
          <w:color w:val="auto"/>
          <w:szCs w:val="21"/>
          <w:highlight w:val="none"/>
          <w:lang w:val="zh-CN"/>
        </w:rPr>
        <w:t>甲方</w:t>
      </w:r>
      <w:r>
        <w:rPr>
          <w:rFonts w:ascii="宋体" w:hAnsi="宋体"/>
          <w:b/>
          <w:bCs/>
          <w:color w:val="auto"/>
          <w:szCs w:val="21"/>
          <w:highlight w:val="none"/>
        </w:rPr>
        <w:t>(</w:t>
      </w:r>
      <w:r>
        <w:rPr>
          <w:rFonts w:hint="eastAsia" w:ascii="宋体" w:hAnsi="宋体"/>
          <w:b/>
          <w:bCs/>
          <w:color w:val="auto"/>
          <w:szCs w:val="21"/>
          <w:highlight w:val="none"/>
          <w:lang w:val="zh-CN"/>
        </w:rPr>
        <w:t>公章或合同章</w:t>
      </w:r>
      <w:r>
        <w:rPr>
          <w:rFonts w:ascii="宋体" w:hAnsi="宋体"/>
          <w:b/>
          <w:bCs/>
          <w:color w:val="auto"/>
          <w:szCs w:val="21"/>
          <w:highlight w:val="none"/>
        </w:rPr>
        <w:t>)</w:t>
      </w:r>
      <w:r>
        <w:rPr>
          <w:rFonts w:hint="eastAsia" w:ascii="宋体" w:hAnsi="宋体"/>
          <w:b/>
          <w:bCs/>
          <w:color w:val="auto"/>
          <w:szCs w:val="21"/>
          <w:highlight w:val="none"/>
        </w:rPr>
        <w:t xml:space="preserve">：                        </w:t>
      </w:r>
      <w:r>
        <w:rPr>
          <w:rFonts w:hint="eastAsia" w:ascii="宋体" w:hAnsi="宋体"/>
          <w:b/>
          <w:bCs/>
          <w:color w:val="auto"/>
          <w:szCs w:val="21"/>
          <w:highlight w:val="none"/>
          <w:lang w:val="zh-CN"/>
        </w:rPr>
        <w:t>乙方</w:t>
      </w:r>
      <w:r>
        <w:rPr>
          <w:rFonts w:hint="eastAsia" w:ascii="宋体" w:hAnsi="宋体"/>
          <w:b/>
          <w:bCs/>
          <w:color w:val="auto"/>
          <w:szCs w:val="21"/>
          <w:highlight w:val="none"/>
        </w:rPr>
        <w:t>（</w:t>
      </w:r>
      <w:r>
        <w:rPr>
          <w:rFonts w:hint="eastAsia" w:ascii="宋体" w:hAnsi="宋体"/>
          <w:b/>
          <w:bCs/>
          <w:color w:val="auto"/>
          <w:szCs w:val="21"/>
          <w:highlight w:val="none"/>
          <w:lang w:val="zh-CN"/>
        </w:rPr>
        <w:t>公章或合同章</w:t>
      </w:r>
      <w:r>
        <w:rPr>
          <w:rFonts w:hint="eastAsia" w:ascii="宋体" w:hAnsi="宋体"/>
          <w:b/>
          <w:bCs/>
          <w:color w:val="auto"/>
          <w:szCs w:val="21"/>
          <w:highlight w:val="none"/>
        </w:rPr>
        <w:t>）：</w:t>
      </w:r>
    </w:p>
    <w:p w14:paraId="1DA57E59">
      <w:pPr>
        <w:pStyle w:val="42"/>
        <w:ind w:firstLine="400"/>
        <w:rPr>
          <w:color w:val="auto"/>
          <w:highlight w:val="none"/>
        </w:rPr>
      </w:pPr>
    </w:p>
    <w:p w14:paraId="21E84440">
      <w:pPr>
        <w:tabs>
          <w:tab w:val="left" w:pos="0"/>
        </w:tabs>
        <w:autoSpaceDE w:val="0"/>
        <w:autoSpaceDN w:val="0"/>
        <w:spacing w:line="480" w:lineRule="auto"/>
        <w:rPr>
          <w:rFonts w:ascii="宋体" w:hAnsi="宋体"/>
          <w:b/>
          <w:bCs/>
          <w:color w:val="auto"/>
          <w:szCs w:val="21"/>
          <w:highlight w:val="none"/>
          <w:lang w:val="zh-CN"/>
        </w:rPr>
      </w:pPr>
      <w:r>
        <w:rPr>
          <w:rFonts w:hint="eastAsia" w:ascii="宋体" w:hAnsi="宋体"/>
          <w:b/>
          <w:bCs/>
          <w:color w:val="auto"/>
          <w:szCs w:val="21"/>
          <w:highlight w:val="none"/>
        </w:rPr>
        <w:t>法定代表人或</w:t>
      </w:r>
      <w:r>
        <w:rPr>
          <w:rFonts w:hint="eastAsia" w:ascii="宋体" w:hAnsi="宋体"/>
          <w:b/>
          <w:bCs/>
          <w:color w:val="auto"/>
          <w:szCs w:val="21"/>
          <w:highlight w:val="none"/>
          <w:lang w:val="zh-CN"/>
        </w:rPr>
        <w:t>授权代理人（签字或盖章）：</w:t>
      </w:r>
      <w:r>
        <w:rPr>
          <w:rFonts w:ascii="宋体" w:hAnsi="宋体"/>
          <w:b/>
          <w:bCs/>
          <w:color w:val="auto"/>
          <w:szCs w:val="21"/>
          <w:highlight w:val="none"/>
          <w:lang w:val="zh-CN"/>
        </w:rPr>
        <w:tab/>
      </w:r>
      <w:r>
        <w:rPr>
          <w:rFonts w:ascii="宋体" w:hAnsi="宋体"/>
          <w:b/>
          <w:bCs/>
          <w:color w:val="auto"/>
          <w:szCs w:val="21"/>
          <w:highlight w:val="none"/>
          <w:lang w:val="zh-CN"/>
        </w:rPr>
        <w:tab/>
      </w:r>
      <w:r>
        <w:rPr>
          <w:rFonts w:hint="eastAsia" w:ascii="宋体" w:hAnsi="宋体"/>
          <w:b/>
          <w:bCs/>
          <w:color w:val="auto"/>
          <w:szCs w:val="21"/>
          <w:highlight w:val="none"/>
        </w:rPr>
        <w:t>法定代表人或</w:t>
      </w:r>
      <w:r>
        <w:rPr>
          <w:rFonts w:hint="eastAsia" w:ascii="宋体" w:hAnsi="宋体"/>
          <w:b/>
          <w:bCs/>
          <w:color w:val="auto"/>
          <w:szCs w:val="21"/>
          <w:highlight w:val="none"/>
          <w:lang w:val="zh-CN"/>
        </w:rPr>
        <w:t>授权代理人（签字或盖章）：</w:t>
      </w:r>
      <w:r>
        <w:rPr>
          <w:rFonts w:ascii="宋体" w:hAnsi="宋体"/>
          <w:b/>
          <w:bCs/>
          <w:color w:val="auto"/>
          <w:szCs w:val="21"/>
          <w:highlight w:val="none"/>
          <w:lang w:val="zh-CN"/>
        </w:rPr>
        <w:tab/>
      </w:r>
    </w:p>
    <w:p w14:paraId="7264238C">
      <w:pPr>
        <w:pStyle w:val="43"/>
        <w:ind w:firstLine="420"/>
        <w:rPr>
          <w:color w:val="auto"/>
          <w:highlight w:val="none"/>
        </w:rPr>
      </w:pPr>
    </w:p>
    <w:p w14:paraId="3C1094C8">
      <w:pPr>
        <w:spacing w:line="360" w:lineRule="auto"/>
        <w:rPr>
          <w:rFonts w:ascii="宋体" w:hAnsi="宋体" w:cs="宋体"/>
          <w:color w:val="auto"/>
          <w:kern w:val="0"/>
          <w:szCs w:val="21"/>
          <w:highlight w:val="none"/>
        </w:rPr>
      </w:pPr>
      <w:r>
        <w:rPr>
          <w:rFonts w:hint="eastAsia" w:ascii="宋体" w:hAnsi="宋体"/>
          <w:b/>
          <w:bCs/>
          <w:color w:val="auto"/>
          <w:szCs w:val="21"/>
          <w:highlight w:val="none"/>
        </w:rPr>
        <w:t xml:space="preserve">合同签订日期： </w:t>
      </w:r>
      <w:r>
        <w:rPr>
          <w:rFonts w:hint="eastAsia" w:ascii="宋体" w:hAnsi="宋体"/>
          <w:b/>
          <w:bCs/>
          <w:color w:val="auto"/>
          <w:szCs w:val="21"/>
          <w:highlight w:val="none"/>
          <w:lang w:val="zh-CN"/>
        </w:rPr>
        <w:t xml:space="preserve">     年月日                  </w:t>
      </w:r>
      <w:r>
        <w:rPr>
          <w:rFonts w:hint="eastAsia" w:ascii="宋体" w:hAnsi="宋体"/>
          <w:b/>
          <w:bCs/>
          <w:color w:val="auto"/>
          <w:szCs w:val="21"/>
          <w:highlight w:val="none"/>
        </w:rPr>
        <w:t xml:space="preserve">合同签订日期： </w:t>
      </w:r>
      <w:r>
        <w:rPr>
          <w:rFonts w:hint="eastAsia" w:ascii="宋体" w:hAnsi="宋体"/>
          <w:b/>
          <w:bCs/>
          <w:color w:val="auto"/>
          <w:szCs w:val="21"/>
          <w:highlight w:val="none"/>
          <w:lang w:val="zh-CN"/>
        </w:rPr>
        <w:t xml:space="preserve">     年月日</w:t>
      </w:r>
    </w:p>
    <w:p w14:paraId="605621CC">
      <w:pPr>
        <w:spacing w:line="360" w:lineRule="auto"/>
        <w:rPr>
          <w:rFonts w:ascii="宋体" w:hAnsi="宋体" w:cs="宋体"/>
          <w:color w:val="auto"/>
          <w:kern w:val="0"/>
          <w:szCs w:val="21"/>
          <w:highlight w:val="none"/>
        </w:rPr>
      </w:pPr>
    </w:p>
    <w:p w14:paraId="20C215E3">
      <w:pPr>
        <w:pStyle w:val="20"/>
        <w:spacing w:line="360" w:lineRule="auto"/>
        <w:ind w:firstLine="522"/>
        <w:rPr>
          <w:color w:val="auto"/>
          <w:highlight w:val="none"/>
        </w:rPr>
      </w:pPr>
    </w:p>
    <w:p w14:paraId="62C9370E">
      <w:pPr>
        <w:pStyle w:val="20"/>
        <w:spacing w:line="360" w:lineRule="auto"/>
        <w:ind w:firstLine="522"/>
        <w:rPr>
          <w:color w:val="auto"/>
          <w:highlight w:val="none"/>
        </w:rPr>
      </w:pPr>
    </w:p>
    <w:p w14:paraId="66608FDE">
      <w:pPr>
        <w:pStyle w:val="22"/>
        <w:pageBreakBefore/>
        <w:tabs>
          <w:tab w:val="right" w:leader="dot" w:pos="8302"/>
        </w:tabs>
        <w:spacing w:line="360" w:lineRule="auto"/>
        <w:ind w:firstLine="640"/>
        <w:jc w:val="center"/>
        <w:rPr>
          <w:rFonts w:ascii="宋体" w:hAnsi="宋体" w:eastAsia="宋体" w:cs="宋体"/>
          <w:b/>
          <w:color w:val="auto"/>
          <w:sz w:val="32"/>
          <w:szCs w:val="32"/>
          <w:highlight w:val="none"/>
        </w:rPr>
      </w:pPr>
      <w:r>
        <w:rPr>
          <w:rStyle w:val="33"/>
          <w:rFonts w:hint="eastAsia" w:ascii="宋体" w:hAnsi="宋体" w:cs="宋体"/>
          <w:color w:val="auto"/>
          <w:sz w:val="32"/>
          <w:szCs w:val="32"/>
          <w:highlight w:val="none"/>
        </w:rPr>
        <w:t>第七章  评标办法及评分标准</w:t>
      </w:r>
    </w:p>
    <w:p w14:paraId="79B66640">
      <w:pPr>
        <w:autoSpaceDE w:val="0"/>
        <w:autoSpaceDN w:val="0"/>
        <w:adjustRightInd w:val="0"/>
        <w:snapToGri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一、评标办法：</w:t>
      </w:r>
    </w:p>
    <w:p w14:paraId="7571070B">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1．本次招标评标采用综合评分法，即在响应招标文件实质性要求前提下，按照招标文件中规定的评分标准和各项因素进行综合评审后，以评标总得分最高的投标单位作为中标单位。</w:t>
      </w:r>
    </w:p>
    <w:p w14:paraId="5C89E429">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 xml:space="preserve">2．评标委员会各成员独立对每个进入打分程序的有效投标单位的标书技术和资质部分以打分的形式进行评审和评价。 </w:t>
      </w:r>
    </w:p>
    <w:p w14:paraId="0FBD1BAB">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 xml:space="preserve">3．对评委的评分(除价格分外)进行统计汇总，直接算术平均计算得分，计算出每个投标单位的得分（四舍五入保留两位小数），加上价格得分即为每个投标单位的综合得分（四舍五入保留两位小数）。 </w:t>
      </w:r>
    </w:p>
    <w:p w14:paraId="3C5FB1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4．如出现评标总得分最高的投标单位有两个或两个以上的，以实际投标报价较低者优先作为中标单位，如果实际投标报价也相同的，则由评标委员会以抽签方式确定中标单位。</w:t>
      </w:r>
    </w:p>
    <w:p w14:paraId="4D0FE1CF">
      <w:pPr>
        <w:pBdr>
          <w:top w:val="none" w:color="auto" w:sz="0" w:space="0"/>
          <w:left w:val="none" w:color="auto" w:sz="0" w:space="0"/>
          <w:bottom w:val="none" w:color="auto" w:sz="0" w:space="0"/>
          <w:right w:val="none" w:color="auto" w:sz="0" w:space="0"/>
        </w:pBdr>
        <w:spacing w:line="360" w:lineRule="auto"/>
        <w:ind w:firstLine="420"/>
        <w:rPr>
          <w:rFonts w:hint="eastAsia" w:ascii="宋体" w:hAnsi="宋体"/>
          <w:b w:val="0"/>
          <w:bCs w:val="0"/>
          <w:color w:val="auto"/>
          <w:highlight w:val="none"/>
        </w:rPr>
      </w:pPr>
      <w:r>
        <w:rPr>
          <w:rFonts w:hint="eastAsia" w:ascii="宋体" w:hAnsi="宋体" w:cs="宋体"/>
          <w:b/>
          <w:bCs/>
          <w:color w:val="auto"/>
          <w:szCs w:val="21"/>
          <w:highlight w:val="none"/>
        </w:rPr>
        <w:t>5.</w:t>
      </w:r>
      <w:r>
        <w:rPr>
          <w:rFonts w:hint="eastAsia" w:ascii="宋体" w:hAnsi="宋体" w:cs="宋体"/>
          <w:b/>
          <w:bCs/>
          <w:color w:val="auto"/>
          <w:szCs w:val="21"/>
          <w:highlight w:val="none"/>
          <w:lang w:val="en-US" w:eastAsia="zh-CN"/>
        </w:rPr>
        <w:t>本项目核心产品为消防用红外热像仪、电动破拆工具（剪扩器）</w:t>
      </w:r>
      <w:r>
        <w:rPr>
          <w:rFonts w:hint="eastAsia" w:ascii="宋体" w:hAnsi="宋体" w:cs="宋体"/>
          <w:color w:val="auto"/>
          <w:szCs w:val="21"/>
          <w:highlight w:val="none"/>
          <w:lang w:val="en-US" w:eastAsia="zh-CN"/>
        </w:rPr>
        <w:t>。</w:t>
      </w:r>
      <w:r>
        <w:rPr>
          <w:rFonts w:hint="eastAsia" w:ascii="宋体" w:hAnsi="宋体"/>
          <w:color w:val="auto"/>
          <w:highlight w:val="none"/>
        </w:rPr>
        <w:t>使用综合评分法的采购项目，提供相同品牌产品且通过资格审查、符合性审查的不同投标人参加同一合同项下投标的，按一家投标人计算，评审后得分最高的同品牌投标人获得中</w:t>
      </w:r>
      <w:r>
        <w:rPr>
          <w:rFonts w:hint="eastAsia" w:ascii="宋体" w:hAnsi="宋体"/>
          <w:b w:val="0"/>
          <w:bCs w:val="0"/>
          <w:color w:val="auto"/>
          <w:highlight w:val="none"/>
        </w:rPr>
        <w:t>标人推荐资格。非单一产品采购项目，多家投标人提供的核心产品品牌相同的，按照此规定处理。</w:t>
      </w:r>
    </w:p>
    <w:p w14:paraId="17091A43">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lang w:val="zh-CN"/>
        </w:rPr>
        <w:t>二、评分标准：</w:t>
      </w:r>
    </w:p>
    <w:p w14:paraId="6EDE44B0">
      <w:pPr>
        <w:adjustRightInd w:val="0"/>
        <w:snapToGrid w:val="0"/>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lang w:val="zh-CN"/>
        </w:rPr>
        <w:t>（一）价格分：最高为30分</w:t>
      </w:r>
    </w:p>
    <w:p w14:paraId="55105A2A">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lang w:val="zh-CN"/>
        </w:rPr>
        <w:t>第一步：投标总报价低于或等于采购预算价格的，为有效投标报价。超采购预算的投标报价为无效投标报价。无效投标报价的投标文件不得中标。</w:t>
      </w:r>
    </w:p>
    <w:p w14:paraId="6AEBF9A2">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lang w:val="zh-CN"/>
        </w:rPr>
        <w:t>第二步：价格分采用低价优先法计算，即满足招标文件要求且投标价格最低的投标报价为评标基准价（报价按评审价格调整后的价格为最低价的作为评标基准价，中标金额则以实际投标报价为准），其价格分为满分。其他投标人的价格分统一按照下列公式计算：</w:t>
      </w:r>
    </w:p>
    <w:p w14:paraId="2C4D8093">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lang w:val="zh-CN"/>
        </w:rPr>
        <w:t>投标报价得分=（评标基准价/投标报价）*价格权值*100，小数点后保留两位（价格权值为30%）</w:t>
      </w:r>
    </w:p>
    <w:p w14:paraId="514C5D24">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（二）投标产品技术质量（</w:t>
      </w:r>
      <w:r>
        <w:rPr>
          <w:rFonts w:hint="eastAsia" w:ascii="宋体" w:hAnsi="宋体" w:cs="宋体"/>
          <w:b/>
          <w:color w:val="auto"/>
          <w:szCs w:val="21"/>
          <w:highlight w:val="none"/>
          <w:lang w:val="en-US" w:eastAsia="zh-CN"/>
        </w:rPr>
        <w:t>40</w:t>
      </w:r>
      <w:r>
        <w:rPr>
          <w:rFonts w:hint="eastAsia" w:ascii="宋体" w:hAnsi="宋体" w:cs="宋体"/>
          <w:b/>
          <w:color w:val="auto"/>
          <w:szCs w:val="21"/>
          <w:highlight w:val="none"/>
        </w:rPr>
        <w:t>分）</w:t>
      </w:r>
    </w:p>
    <w:p w14:paraId="53D8D49D">
      <w:pPr>
        <w:tabs>
          <w:tab w:val="left" w:pos="630"/>
        </w:tabs>
        <w:snapToGrid w:val="0"/>
        <w:spacing w:line="360" w:lineRule="auto"/>
        <w:ind w:firstLine="420" w:firstLineChars="200"/>
        <w:rPr>
          <w:rFonts w:ascii="宋体" w:hAnsi="宋体" w:cs="宋体"/>
          <w:bCs/>
          <w:color w:val="auto"/>
          <w:szCs w:val="21"/>
          <w:highlight w:val="none"/>
          <w:lang w:val="zh-CN"/>
        </w:rPr>
      </w:pPr>
      <w:r>
        <w:rPr>
          <w:rFonts w:hint="eastAsia" w:ascii="宋体" w:hAnsi="宋体" w:cs="宋体"/>
          <w:bCs/>
          <w:color w:val="auto"/>
          <w:szCs w:val="21"/>
          <w:highlight w:val="none"/>
        </w:rPr>
        <w:t>1、投标产品的技术参数、功能等符合情况：最高为</w:t>
      </w:r>
      <w:r>
        <w:rPr>
          <w:rFonts w:hint="eastAsia" w:ascii="宋体" w:hAnsi="宋体" w:cs="宋体"/>
          <w:bCs/>
          <w:color w:val="auto"/>
          <w:szCs w:val="21"/>
          <w:highlight w:val="none"/>
          <w:lang w:val="en-US" w:eastAsia="zh-CN"/>
        </w:rPr>
        <w:t>40</w:t>
      </w:r>
      <w:r>
        <w:rPr>
          <w:rFonts w:hint="eastAsia" w:ascii="宋体" w:hAnsi="宋体" w:cs="宋体"/>
          <w:bCs/>
          <w:color w:val="auto"/>
          <w:szCs w:val="21"/>
          <w:highlight w:val="none"/>
        </w:rPr>
        <w:t>分</w:t>
      </w:r>
    </w:p>
    <w:p w14:paraId="07685127">
      <w:pPr>
        <w:tabs>
          <w:tab w:val="left" w:pos="630"/>
        </w:tabs>
        <w:snapToGrid w:val="0"/>
        <w:spacing w:line="360" w:lineRule="auto"/>
        <w:ind w:firstLine="420" w:firstLineChars="200"/>
        <w:rPr>
          <w:rStyle w:val="77"/>
          <w:rFonts w:ascii="宋体" w:hAnsi="宋体"/>
          <w:bCs/>
          <w:color w:val="auto"/>
          <w:szCs w:val="21"/>
          <w:highlight w:val="none"/>
        </w:rPr>
      </w:pPr>
      <w:r>
        <w:rPr>
          <w:rStyle w:val="77"/>
          <w:rFonts w:hint="eastAsia" w:ascii="宋体" w:hAnsi="宋体"/>
          <w:bCs/>
          <w:color w:val="auto"/>
          <w:szCs w:val="21"/>
          <w:highlight w:val="none"/>
        </w:rPr>
        <w:t>投标单位所投产品的技术要求完全符合或优于招标文件的技术要求的得</w:t>
      </w:r>
      <w:r>
        <w:rPr>
          <w:rStyle w:val="77"/>
          <w:rFonts w:hint="eastAsia" w:ascii="宋体" w:hAnsi="宋体"/>
          <w:bCs/>
          <w:color w:val="auto"/>
          <w:szCs w:val="21"/>
          <w:highlight w:val="none"/>
          <w:lang w:val="en-US" w:eastAsia="zh-CN"/>
        </w:rPr>
        <w:t>最高分40</w:t>
      </w:r>
      <w:r>
        <w:rPr>
          <w:rStyle w:val="77"/>
          <w:rFonts w:hint="eastAsia" w:ascii="宋体" w:hAnsi="宋体"/>
          <w:bCs/>
          <w:color w:val="auto"/>
          <w:szCs w:val="21"/>
          <w:highlight w:val="none"/>
        </w:rPr>
        <w:t>分，产品技术要求中标注“</w:t>
      </w:r>
      <w:r>
        <w:rPr>
          <w:rStyle w:val="77"/>
          <w:rFonts w:hint="eastAsia" w:ascii="宋体" w:hAnsi="宋体" w:eastAsia="宋体" w:cs="宋体"/>
          <w:bCs/>
          <w:color w:val="auto"/>
          <w:szCs w:val="21"/>
          <w:highlight w:val="none"/>
        </w:rPr>
        <w:t>★</w:t>
      </w:r>
      <w:r>
        <w:rPr>
          <w:rStyle w:val="77"/>
          <w:rFonts w:hint="eastAsia" w:ascii="宋体" w:hAnsi="宋体"/>
          <w:bCs/>
          <w:color w:val="auto"/>
          <w:szCs w:val="21"/>
          <w:highlight w:val="none"/>
        </w:rPr>
        <w:t>”的技术条款</w:t>
      </w:r>
      <w:r>
        <w:rPr>
          <w:rStyle w:val="77"/>
          <w:rFonts w:hint="eastAsia" w:ascii="宋体" w:hAnsi="宋体"/>
          <w:bCs/>
          <w:color w:val="auto"/>
          <w:szCs w:val="21"/>
          <w:highlight w:val="none"/>
          <w:lang w:val="en-US" w:eastAsia="zh-CN"/>
        </w:rPr>
        <w:t>为必须满足项，否则为无效投标；</w:t>
      </w:r>
      <w:r>
        <w:rPr>
          <w:rStyle w:val="77"/>
          <w:rFonts w:hint="eastAsia" w:ascii="宋体" w:hAnsi="宋体"/>
          <w:bCs/>
          <w:color w:val="auto"/>
          <w:szCs w:val="21"/>
          <w:highlight w:val="none"/>
        </w:rPr>
        <w:t>标注“▲”的技术条款每负偏离一</w:t>
      </w:r>
      <w:r>
        <w:rPr>
          <w:rStyle w:val="77"/>
          <w:rFonts w:hint="eastAsia" w:ascii="宋体" w:hAnsi="宋体"/>
          <w:bCs/>
          <w:color w:val="auto"/>
          <w:szCs w:val="21"/>
          <w:highlight w:val="none"/>
          <w:lang w:val="en-US" w:eastAsia="zh-CN"/>
        </w:rPr>
        <w:t>条</w:t>
      </w:r>
      <w:r>
        <w:rPr>
          <w:rStyle w:val="77"/>
          <w:rFonts w:hint="eastAsia" w:ascii="宋体" w:hAnsi="宋体"/>
          <w:bCs/>
          <w:color w:val="auto"/>
          <w:szCs w:val="21"/>
          <w:highlight w:val="none"/>
        </w:rPr>
        <w:t>扣</w:t>
      </w:r>
      <w:r>
        <w:rPr>
          <w:rStyle w:val="77"/>
          <w:rFonts w:hint="eastAsia" w:ascii="宋体" w:hAnsi="宋体"/>
          <w:bCs/>
          <w:color w:val="auto"/>
          <w:szCs w:val="21"/>
          <w:highlight w:val="none"/>
          <w:lang w:val="en-US" w:eastAsia="zh-CN"/>
        </w:rPr>
        <w:t>1</w:t>
      </w:r>
      <w:r>
        <w:rPr>
          <w:rStyle w:val="77"/>
          <w:rFonts w:hint="eastAsia" w:ascii="宋体" w:hAnsi="宋体"/>
          <w:bCs/>
          <w:color w:val="auto"/>
          <w:szCs w:val="21"/>
          <w:highlight w:val="none"/>
        </w:rPr>
        <w:t>分；其他技术条款每负偏离一</w:t>
      </w:r>
      <w:r>
        <w:rPr>
          <w:rStyle w:val="77"/>
          <w:rFonts w:hint="eastAsia" w:ascii="宋体" w:hAnsi="宋体"/>
          <w:bCs/>
          <w:color w:val="auto"/>
          <w:szCs w:val="21"/>
          <w:highlight w:val="none"/>
          <w:lang w:val="en-US" w:eastAsia="zh-CN"/>
        </w:rPr>
        <w:t>条</w:t>
      </w:r>
      <w:r>
        <w:rPr>
          <w:rStyle w:val="77"/>
          <w:rFonts w:hint="eastAsia" w:ascii="宋体" w:hAnsi="宋体"/>
          <w:bCs/>
          <w:color w:val="auto"/>
          <w:szCs w:val="21"/>
          <w:highlight w:val="none"/>
        </w:rPr>
        <w:t>扣0.</w:t>
      </w:r>
      <w:r>
        <w:rPr>
          <w:rStyle w:val="77"/>
          <w:rFonts w:hint="eastAsia" w:ascii="宋体" w:hAnsi="宋体"/>
          <w:bCs/>
          <w:color w:val="auto"/>
          <w:szCs w:val="21"/>
          <w:highlight w:val="none"/>
          <w:lang w:val="en-US" w:eastAsia="zh-CN"/>
        </w:rPr>
        <w:t>5</w:t>
      </w:r>
      <w:r>
        <w:rPr>
          <w:rStyle w:val="77"/>
          <w:rFonts w:hint="eastAsia" w:ascii="宋体" w:hAnsi="宋体"/>
          <w:bCs/>
          <w:color w:val="auto"/>
          <w:szCs w:val="21"/>
          <w:highlight w:val="none"/>
        </w:rPr>
        <w:t>分，扣完为止。</w:t>
      </w:r>
    </w:p>
    <w:p w14:paraId="317B5E6F">
      <w:pPr>
        <w:keepNext w:val="0"/>
        <w:keepLines w:val="0"/>
        <w:pageBreakBefore w:val="0"/>
        <w:widowControl w:val="0"/>
        <w:kinsoku/>
        <w:wordWrap/>
        <w:overflowPunct/>
        <w:topLinePunct w:val="0"/>
        <w:autoSpaceDE/>
        <w:autoSpaceDN/>
        <w:bidi w:val="0"/>
        <w:snapToGrid/>
        <w:spacing w:line="360" w:lineRule="auto"/>
        <w:ind w:firstLine="420" w:firstLineChars="200"/>
        <w:jc w:val="left"/>
        <w:textAlignment w:val="auto"/>
        <w:rPr>
          <w:rFonts w:hint="eastAsia" w:ascii="宋体" w:hAnsi="宋体" w:cs="Times New Roman"/>
          <w:bCs w:val="0"/>
          <w:color w:val="auto"/>
          <w:szCs w:val="21"/>
          <w:highlight w:val="none"/>
        </w:rPr>
      </w:pPr>
      <w:r>
        <w:rPr>
          <w:rFonts w:hint="eastAsia" w:ascii="宋体" w:hAnsi="宋体" w:cs="Times New Roman"/>
          <w:bCs w:val="0"/>
          <w:color w:val="auto"/>
          <w:szCs w:val="21"/>
          <w:highlight w:val="none"/>
        </w:rPr>
        <w:t>说明：1、投标人需对第四章采购需求中的采购清单内所有技术参数要求进行逐条响应，在《技术条款偏离表》中如实详细填列所投产品的参数，且在偏差表中标明是否响应，招标文件要求提供证明材料的提供相应证明材料；否则评标委员会有权做负偏离处理。</w:t>
      </w:r>
    </w:p>
    <w:p w14:paraId="1A1C99A6">
      <w:pPr>
        <w:keepNext w:val="0"/>
        <w:keepLines w:val="0"/>
        <w:pageBreakBefore w:val="0"/>
        <w:widowControl w:val="0"/>
        <w:kinsoku/>
        <w:wordWrap/>
        <w:overflowPunct/>
        <w:topLinePunct w:val="0"/>
        <w:autoSpaceDE/>
        <w:autoSpaceDN/>
        <w:bidi w:val="0"/>
        <w:snapToGrid/>
        <w:spacing w:line="360" w:lineRule="auto"/>
        <w:ind w:firstLine="420" w:firstLineChars="200"/>
        <w:jc w:val="left"/>
        <w:textAlignment w:val="auto"/>
        <w:rPr>
          <w:rFonts w:hint="eastAsia" w:ascii="宋体" w:hAnsi="宋体" w:cs="Times New Roman"/>
          <w:bCs w:val="0"/>
          <w:color w:val="auto"/>
          <w:szCs w:val="21"/>
          <w:highlight w:val="none"/>
        </w:rPr>
      </w:pPr>
      <w:r>
        <w:rPr>
          <w:rFonts w:hint="eastAsia" w:ascii="宋体" w:hAnsi="宋体" w:cs="Times New Roman"/>
          <w:bCs w:val="0"/>
          <w:color w:val="auto"/>
          <w:szCs w:val="21"/>
          <w:highlight w:val="none"/>
        </w:rPr>
        <w:t>（1）就采购需求中技术参数已明确要求需要通过技术支持资料（包括检测检验报告、白皮书、设备生产厂家证明原件、彩页、手册等）来印证是否响应采购需求的参数内容，投标文件需要提供相应的技术支持资料（如检测报告、白皮书、设备生产厂家证明原件、彩页、手册等，相关材料复印件需加盖投标人鲜章）。若未提供或所提供技术支持资料不完整、不清晰等问题，即便投标文件中已承诺响应采购需求的，评审时也不予采信。</w:t>
      </w:r>
    </w:p>
    <w:p w14:paraId="049C9CAC">
      <w:pPr>
        <w:keepNext w:val="0"/>
        <w:keepLines w:val="0"/>
        <w:pageBreakBefore w:val="0"/>
        <w:widowControl w:val="0"/>
        <w:kinsoku/>
        <w:wordWrap/>
        <w:overflowPunct/>
        <w:topLinePunct w:val="0"/>
        <w:autoSpaceDE/>
        <w:autoSpaceDN/>
        <w:bidi w:val="0"/>
        <w:snapToGrid/>
        <w:spacing w:line="360" w:lineRule="auto"/>
        <w:ind w:firstLine="420" w:firstLineChars="200"/>
        <w:jc w:val="left"/>
        <w:textAlignment w:val="auto"/>
        <w:rPr>
          <w:rFonts w:hint="eastAsia" w:ascii="宋体" w:hAnsi="宋体" w:cs="Times New Roman"/>
          <w:bCs w:val="0"/>
          <w:color w:val="auto"/>
          <w:szCs w:val="21"/>
          <w:highlight w:val="none"/>
        </w:rPr>
      </w:pPr>
      <w:r>
        <w:rPr>
          <w:rFonts w:hint="eastAsia" w:ascii="宋体" w:hAnsi="宋体" w:cs="Times New Roman"/>
          <w:bCs w:val="0"/>
          <w:color w:val="auto"/>
          <w:szCs w:val="21"/>
          <w:highlight w:val="none"/>
        </w:rPr>
        <w:t>（2）就采购需求中技术参数未明确要求需要通过技术支持资料（包括检测检验报告、白皮书、设备生产厂家证明原件、彩页、手册等）来印证是否响应采购需求的参数内容，以投标文件技术条款偏离表响应的内容为准，其他技术支持资料作为评审参考。</w:t>
      </w:r>
    </w:p>
    <w:p w14:paraId="78CEAC73">
      <w:pPr>
        <w:snapToGrid/>
        <w:spacing w:line="360" w:lineRule="auto"/>
        <w:ind w:firstLine="420" w:firstLineChars="200"/>
        <w:jc w:val="left"/>
        <w:rPr>
          <w:rFonts w:hint="eastAsia" w:ascii="宋体" w:hAnsi="宋体" w:cs="Times New Roman"/>
          <w:bCs w:val="0"/>
          <w:color w:val="auto"/>
          <w:szCs w:val="21"/>
          <w:highlight w:val="none"/>
        </w:rPr>
      </w:pPr>
      <w:r>
        <w:rPr>
          <w:rFonts w:hint="eastAsia" w:ascii="宋体" w:hAnsi="宋体" w:cs="Times New Roman"/>
          <w:bCs w:val="0"/>
          <w:color w:val="auto"/>
          <w:szCs w:val="21"/>
          <w:highlight w:val="none"/>
        </w:rPr>
        <w:t>（3）除特别说明外，采购文件中标注“★”和“▲”的条款需要在投标文件内提供技术支持资料（如检测报告、白皮书、设备生产厂家证明原件、彩页、手册等材料）。当出现同一投标人提供的证明材料证明内容不一致的情况，将按照以下顺序认定：检测报告、彩页、设备生产厂家证明、手册、白皮书、其他证明材料。</w:t>
      </w:r>
    </w:p>
    <w:p w14:paraId="5BA923F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（三）项目实施方案及售后服务（2</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分）</w:t>
      </w:r>
    </w:p>
    <w:p w14:paraId="75552A0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1、针对本项目的项目实施方案（最高为</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p>
    <w:p w14:paraId="112DE38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根据投标单位针对本项目的项目实施方案评定，包括项目货源组织、产品质量控制、交货进度计划及安装调试验收方案等：项目实施方案内容完整不漏项、有针对性说明、切实可行、能切实提供项目进度及质量保证承诺及措施的得</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分；方案各项内容阐述不够全面有缺漏项、针对性说明较为简单、可行性一般、项目进度及质量保证措施一般的得</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分；方案各项内容粗略、有缺漏、缺乏针对性说明、项目进度及质量保证措施较差的得1分；未提供相关说明或存在逻辑错误、前后矛盾的不得分。</w:t>
      </w:r>
    </w:p>
    <w:p w14:paraId="7316A14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2、针对本项目的售后服务方案（最高为6分）</w:t>
      </w:r>
    </w:p>
    <w:p w14:paraId="5C0B6D3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根据投标单位针对本项目的售后服务方案评定，包括售后服务范围、售后服务点设置、售后服务人员配备、响应时间、售后服务承诺等情况：售后服务各项内容阐述全面无缺项、合理、内容详细，符合项目实际需求情况，可行性高的得6分；售后服务各项内容阐述不全面、有缺项漏项，内容较为简要，针对性、可行性一般的得3分；售后服务各项内容阐述粗略或无阐述，无针对性，可行性较差的得1分；未提供相关说明或或存在逻辑错误、前后矛盾的不得分。</w:t>
      </w:r>
    </w:p>
    <w:p w14:paraId="6BAF6E8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3、针对本项目的应急和重大故障解决方案（最高为7分）</w:t>
      </w:r>
    </w:p>
    <w:p w14:paraId="09AE025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根据投标单位针对本项目的应急和重大故障解决方案评定，包括应急和重大故障预防措施，以及出现问题的响应时间、补救措施等：应急和重大故障解决方案内容阐述全面无缺项、合理、内容详细，符合项目实际情况，可行性高的得7分；应急和重大故障解决方案内容阐述不全面、有缺项漏项，内容较为简要，针对性一般，可行性一般的得4分；应急和重大故障解决方案内容阐述粗略或无阐述，无针对性，可行性较差的得1分；未提供相关说明或或存在逻辑错误、前后矛盾的不得分。</w:t>
      </w:r>
    </w:p>
    <w:p w14:paraId="7D4410E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4、针对本项目使用方人员的技术培训方案（最高为6分）</w:t>
      </w:r>
    </w:p>
    <w:p w14:paraId="7FEB69B5">
      <w:pPr>
        <w:keepNext w:val="0"/>
        <w:keepLines w:val="0"/>
        <w:pageBreakBefore w:val="0"/>
        <w:spacing w:line="360" w:lineRule="auto"/>
        <w:ind w:firstLine="420"/>
        <w:rPr>
          <w:rFonts w:hint="eastAsia" w:ascii="宋体" w:hAnsi="宋体"/>
          <w:bCs/>
          <w:color w:val="auto"/>
          <w:szCs w:val="21"/>
          <w:highlight w:val="none"/>
        </w:rPr>
      </w:pPr>
      <w:r>
        <w:rPr>
          <w:rFonts w:hint="eastAsia" w:ascii="宋体" w:hAnsi="宋体" w:cs="宋体"/>
          <w:bCs/>
          <w:color w:val="auto"/>
          <w:szCs w:val="21"/>
          <w:highlight w:val="none"/>
        </w:rPr>
        <w:t>根据投标单位提供的针对本项目使用方人员的技术培训方案评定，包括但不限于使用操作、常规检查、保养内容、日常使用注意事项等方面：技术培训服务方案考虑全面周到，针对性强，实操性强的得6分；技术培训服务方案较为全面，针对性和实操性较好的得3分；技术培训服务方案简略笼统，无针对性或可操作性较差的得1分。未提供相关说明或存在逻辑错误、前后矛盾的不得分</w:t>
      </w:r>
      <w:r>
        <w:rPr>
          <w:rFonts w:hint="eastAsia" w:ascii="宋体" w:hAnsi="宋体"/>
          <w:bCs/>
          <w:color w:val="auto"/>
          <w:szCs w:val="21"/>
          <w:highlight w:val="none"/>
        </w:rPr>
        <w:t>。</w:t>
      </w:r>
    </w:p>
    <w:p w14:paraId="484D25E4">
      <w:pPr>
        <w:keepNext w:val="0"/>
        <w:keepLines w:val="0"/>
        <w:pageBreakBefore w:val="0"/>
        <w:spacing w:line="360" w:lineRule="auto"/>
        <w:ind w:firstLine="420"/>
        <w:rPr>
          <w:rFonts w:hint="eastAsia" w:ascii="宋体" w:hAnsi="宋体" w:cs="宋体"/>
          <w:color w:val="auto"/>
          <w:szCs w:val="21"/>
          <w:highlight w:val="none"/>
        </w:rPr>
      </w:pPr>
      <w:r>
        <w:rPr>
          <w:rFonts w:hint="eastAsia" w:ascii="宋体" w:hAnsi="宋体"/>
          <w:bCs/>
          <w:color w:val="auto"/>
          <w:szCs w:val="21"/>
          <w:highlight w:val="none"/>
          <w:lang w:val="en-US" w:eastAsia="zh-CN"/>
        </w:rPr>
        <w:t>5、</w:t>
      </w:r>
      <w:r>
        <w:rPr>
          <w:rStyle w:val="77"/>
          <w:rFonts w:hint="eastAsia" w:ascii="宋体" w:hAnsi="宋体" w:cs="宋体"/>
          <w:bCs/>
          <w:color w:val="auto"/>
          <w:szCs w:val="21"/>
          <w:highlight w:val="none"/>
        </w:rPr>
        <w:t>免费质保期满后维保情况及配件供应情况（3分）</w:t>
      </w:r>
    </w:p>
    <w:p w14:paraId="683AA504">
      <w:pPr>
        <w:spacing w:line="360" w:lineRule="auto"/>
        <w:ind w:firstLine="420" w:firstLineChars="200"/>
        <w:rPr>
          <w:rFonts w:hint="eastAsia" w:ascii="宋体" w:hAnsi="宋体" w:eastAsia="宋体"/>
          <w:bCs/>
          <w:color w:val="auto"/>
          <w:szCs w:val="21"/>
          <w:highlight w:val="none"/>
          <w:lang w:val="en-US" w:eastAsia="zh-CN"/>
        </w:rPr>
      </w:pPr>
      <w:r>
        <w:rPr>
          <w:rStyle w:val="77"/>
          <w:rFonts w:hint="eastAsia" w:ascii="宋体" w:hAnsi="宋体" w:cs="宋体"/>
          <w:bCs/>
          <w:color w:val="auto"/>
          <w:szCs w:val="21"/>
          <w:highlight w:val="none"/>
        </w:rPr>
        <w:t>根据投标单位对本项目免费质保期满后维保情况及配件供应保障情况进行综合评定，维保及配件价格优惠且保障情况较好的得3分；基本满足项目需求的得2分；供应价格相对较高且保障不力的得1分；未作说明的本项不得分</w:t>
      </w:r>
      <w:r>
        <w:rPr>
          <w:rStyle w:val="77"/>
          <w:rFonts w:hint="eastAsia" w:ascii="宋体" w:hAnsi="宋体" w:cs="宋体"/>
          <w:bCs/>
          <w:color w:val="auto"/>
          <w:szCs w:val="21"/>
          <w:highlight w:val="none"/>
          <w:lang w:eastAsia="zh-CN"/>
        </w:rPr>
        <w:t>。</w:t>
      </w:r>
    </w:p>
    <w:p w14:paraId="4F3907F9">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（四）投标单位综合履约能力（</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w:t>
      </w:r>
    </w:p>
    <w:p w14:paraId="19C86575">
      <w:pPr>
        <w:spacing w:line="360" w:lineRule="auto"/>
        <w:ind w:firstLine="420" w:firstLineChars="200"/>
        <w:rPr>
          <w:rFonts w:ascii="宋体" w:hAnsi="宋体" w:cs="宋体"/>
          <w:color w:val="auto"/>
          <w:szCs w:val="21"/>
          <w:highlight w:val="none"/>
        </w:rPr>
      </w:pPr>
      <w:r>
        <w:rPr>
          <w:rFonts w:hint="eastAsia" w:ascii="宋体" w:hAnsi="宋体"/>
          <w:bCs/>
          <w:color w:val="auto"/>
          <w:szCs w:val="21"/>
          <w:highlight w:val="none"/>
          <w:lang w:val="en-US" w:eastAsia="zh-CN"/>
        </w:rPr>
        <w:t>投标单位2023年1月1日起至今（以合同签订时间为准）签订的类似项目情况，每提供一个业绩得1分，最高得2分。投标文件中提供完整清晰的合同复印件，否则不得分。</w:t>
      </w:r>
    </w:p>
    <w:p w14:paraId="29C15680">
      <w:pPr>
        <w:keepNext w:val="0"/>
        <w:keepLines w:val="0"/>
        <w:pageBreakBefore w:val="0"/>
        <w:spacing w:line="360" w:lineRule="auto"/>
        <w:ind w:firstLine="420"/>
        <w:rPr>
          <w:rFonts w:hint="eastAsia" w:ascii="宋体" w:hAnsi="宋体"/>
          <w:bCs/>
          <w:color w:val="auto"/>
          <w:szCs w:val="21"/>
          <w:highlight w:val="none"/>
          <w:lang w:val="en-US" w:eastAsia="zh-CN"/>
        </w:rPr>
      </w:pPr>
    </w:p>
    <w:p w14:paraId="43ED0B37">
      <w:pPr>
        <w:pStyle w:val="5"/>
        <w:overflowPunct w:val="0"/>
        <w:adjustRightInd w:val="0"/>
        <w:snapToGrid w:val="0"/>
        <w:spacing w:line="360" w:lineRule="auto"/>
        <w:ind w:firstLine="422"/>
        <w:jc w:val="left"/>
        <w:rPr>
          <w:rFonts w:hint="eastAsia" w:ascii="宋体" w:hAnsi="宋体" w:eastAsia="宋体" w:cs="宋体"/>
          <w:b/>
          <w:bCs/>
          <w:color w:val="auto"/>
          <w:sz w:val="21"/>
          <w:szCs w:val="21"/>
          <w:highlight w:val="none"/>
        </w:rPr>
      </w:pPr>
    </w:p>
    <w:p w14:paraId="0921A6ED">
      <w:pPr>
        <w:pStyle w:val="5"/>
        <w:overflowPunct w:val="0"/>
        <w:adjustRightInd w:val="0"/>
        <w:snapToGrid w:val="0"/>
        <w:spacing w:line="360" w:lineRule="auto"/>
        <w:ind w:firstLine="422"/>
        <w:jc w:val="left"/>
        <w:rPr>
          <w:rFonts w:hint="eastAsia" w:ascii="宋体" w:hAnsi="宋体" w:eastAsia="宋体" w:cs="宋体"/>
          <w:b/>
          <w:bCs/>
          <w:color w:val="auto"/>
          <w:sz w:val="21"/>
          <w:szCs w:val="21"/>
          <w:highlight w:val="none"/>
        </w:rPr>
      </w:pPr>
    </w:p>
    <w:p w14:paraId="4BA12C03">
      <w:pPr>
        <w:pStyle w:val="5"/>
        <w:overflowPunct w:val="0"/>
        <w:adjustRightInd w:val="0"/>
        <w:snapToGrid w:val="0"/>
        <w:spacing w:line="360" w:lineRule="auto"/>
        <w:ind w:firstLine="422"/>
        <w:jc w:val="left"/>
        <w:rPr>
          <w:rFonts w:hint="eastAsia" w:ascii="宋体" w:hAnsi="宋体" w:eastAsia="宋体" w:cs="宋体"/>
          <w:b/>
          <w:bCs/>
          <w:color w:val="auto"/>
          <w:sz w:val="21"/>
          <w:szCs w:val="21"/>
          <w:highlight w:val="none"/>
        </w:rPr>
      </w:pPr>
    </w:p>
    <w:p w14:paraId="155D864B">
      <w:pPr>
        <w:pStyle w:val="5"/>
        <w:overflowPunct w:val="0"/>
        <w:adjustRightInd w:val="0"/>
        <w:snapToGrid w:val="0"/>
        <w:spacing w:line="360" w:lineRule="auto"/>
        <w:ind w:firstLine="422"/>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：1.付款步骤、</w:t>
      </w:r>
      <w:r>
        <w:rPr>
          <w:rFonts w:hint="eastAsia" w:ascii="宋体" w:hAnsi="宋体" w:eastAsia="宋体" w:cs="宋体"/>
          <w:color w:val="auto"/>
          <w:sz w:val="21"/>
          <w:szCs w:val="21"/>
          <w:highlight w:val="none"/>
          <w:lang w:val="en-US" w:eastAsia="zh-CN"/>
        </w:rPr>
        <w:t>交货</w:t>
      </w:r>
      <w:r>
        <w:rPr>
          <w:rFonts w:hint="eastAsia" w:ascii="宋体" w:hAnsi="宋体" w:eastAsia="宋体" w:cs="宋体"/>
          <w:color w:val="auto"/>
          <w:sz w:val="21"/>
          <w:szCs w:val="21"/>
          <w:highlight w:val="none"/>
        </w:rPr>
        <w:t>期限如有负偏离的不得中标。</w:t>
      </w:r>
    </w:p>
    <w:p w14:paraId="78E26A8C">
      <w:pPr>
        <w:pStyle w:val="5"/>
        <w:overflowPunct w:val="0"/>
        <w:adjustRightInd w:val="0"/>
        <w:snapToGrid w:val="0"/>
        <w:spacing w:line="360" w:lineRule="auto"/>
        <w:ind w:firstLine="422"/>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针对评分标准中评分的每一条，投标单位在投标文件中应提供清晰明了的相关资料并做出相应说明供评委评判，不提供相关资料或提供的资料不清晰或评委无法判断是否满足评分要求的视为不具备该项得分的条件。</w:t>
      </w:r>
    </w:p>
    <w:p w14:paraId="30E6748B">
      <w:pPr>
        <w:pStyle w:val="5"/>
        <w:overflowPunct w:val="0"/>
        <w:adjustRightInd w:val="0"/>
        <w:snapToGrid w:val="0"/>
        <w:spacing w:line="360" w:lineRule="auto"/>
        <w:ind w:firstLine="422"/>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单位必须保证全部投标资料的真实性，采购人有权在采购的任何阶段进行调查和核实，如有虚假或对招标文件所要求说明的情况故意隐瞒或虚报，视为不实质性响应招标文件，为无效投标。已中标的将取消中标资格，并按《中华人民共和国政府采购法》第七十七条“提供虚假材料谋取中标、成交”相关处理办法处理。</w:t>
      </w:r>
    </w:p>
    <w:p w14:paraId="78EA9855">
      <w:pPr>
        <w:pStyle w:val="5"/>
        <w:overflowPunct w:val="0"/>
        <w:adjustRightInd w:val="0"/>
        <w:snapToGrid w:val="0"/>
        <w:spacing w:line="360" w:lineRule="auto"/>
        <w:ind w:firstLine="422"/>
        <w:jc w:val="right"/>
        <w:rPr>
          <w:rFonts w:ascii="宋体" w:hAnsi="宋体" w:eastAsia="宋体" w:cs="宋体"/>
          <w:b/>
          <w:bCs/>
          <w:color w:val="auto"/>
          <w:sz w:val="21"/>
          <w:szCs w:val="21"/>
          <w:highlight w:val="none"/>
        </w:rPr>
      </w:pPr>
    </w:p>
    <w:p w14:paraId="2A8C70CE">
      <w:pPr>
        <w:pStyle w:val="5"/>
        <w:overflowPunct w:val="0"/>
        <w:adjustRightInd w:val="0"/>
        <w:snapToGrid w:val="0"/>
        <w:spacing w:line="360" w:lineRule="auto"/>
        <w:ind w:firstLine="422"/>
        <w:jc w:val="right"/>
        <w:rPr>
          <w:rFonts w:ascii="宋体" w:hAnsi="宋体" w:eastAsia="宋体" w:cs="宋体"/>
          <w:b/>
          <w:bCs/>
          <w:color w:val="auto"/>
          <w:sz w:val="21"/>
          <w:szCs w:val="21"/>
          <w:highlight w:val="none"/>
        </w:rPr>
      </w:pPr>
    </w:p>
    <w:p w14:paraId="550F5BCE">
      <w:pPr>
        <w:pStyle w:val="5"/>
        <w:overflowPunct w:val="0"/>
        <w:adjustRightInd w:val="0"/>
        <w:snapToGrid w:val="0"/>
        <w:spacing w:line="360" w:lineRule="auto"/>
        <w:ind w:left="0" w:leftChars="0" w:firstLine="0" w:firstLineChars="0"/>
        <w:jc w:val="both"/>
        <w:rPr>
          <w:color w:val="auto"/>
          <w:highlight w:val="none"/>
        </w:rPr>
      </w:pPr>
      <w:r>
        <w:rPr>
          <w:rFonts w:hint="eastAsia" w:ascii="宋体" w:hAnsi="宋体" w:eastAsia="宋体" w:cs="宋体"/>
          <w:b/>
          <w:bCs/>
          <w:color w:val="auto"/>
          <w:sz w:val="21"/>
          <w:szCs w:val="21"/>
          <w:highlight w:val="none"/>
        </w:rPr>
        <w:t>（全文完）</w:t>
      </w:r>
    </w:p>
    <w:bookmarkEnd w:id="70"/>
    <w:sectPr>
      <w:headerReference r:id="rId5" w:type="default"/>
      <w:footerReference r:id="rId6" w:type="default"/>
      <w:pgSz w:w="11906" w:h="16838"/>
      <w:pgMar w:top="1440" w:right="1417" w:bottom="1440" w:left="1020" w:header="96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方正魏碑_GBK">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E93AE">
    <w:pPr>
      <w:pStyle w:val="19"/>
    </w:pPr>
    <w:r>
      <w:pict>
        <v:shape id="_x0000_s3073" o:spid="_x0000_s3073"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pF+MKAgAAAQ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ZcGnnFlhqOGHnz8O978P&#10;v76zabSndT6nrFtHeaF7Cx0NTZLq3Q3Ir55ZuK6F3agrRGhrJUqiN4kvs0dPexwfQdbtByipjtgG&#10;SEBdhSZ6R24wQqfW7E+tUV1gkg5n5+cXM84k3UxeT6bT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PqRfjCgIAAAEEAAAOAAAAAAAAAAEAIAAAAB8BAABk&#10;cnMvZTJvRG9jLnhtbFBLBQYAAAAABgAGAFkBAACbBQAAAAA=&#10;">
          <v:path/>
          <v:fill on="f" focussize="0,0"/>
          <v:stroke on="f" joinstyle="miter"/>
          <v:imagedata o:title=""/>
          <o:lock v:ext="edit"/>
          <v:textbox inset="0mm,0mm,0mm,0mm" style="mso-fit-shape-to-text:t;">
            <w:txbxContent>
              <w:p w14:paraId="1D735DC8">
                <w:pPr>
                  <w:pStyle w:val="1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A3D8B">
    <w:pPr>
      <w:pStyle w:val="19"/>
      <w:ind w:firstLine="361"/>
    </w:pPr>
    <w:r>
      <w:pict>
        <v:shape id="_x0000_s3074" o:spid="_x0000_s3074"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5P1CwK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c2i/Z0zheUdecoL/SvoKehSVK9uwX52TMLN42wW3WNCF2jREX08vgyu/d0wPERZNO9hYrqiF2A&#10;BNTXaKJ35AYjdGrN4dwa1QcmY8l8/nJ2yZmkq3yW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uT9QsCgIAAAIEAAAOAAAAAAAAAAEAIAAAAB8BAABk&#10;cnMvZTJvRG9jLnhtbFBLBQYAAAAABgAGAFkBAACbBQAAAAA=&#10;">
          <v:path/>
          <v:fill on="f" focussize="0,0"/>
          <v:stroke on="f" joinstyle="miter"/>
          <v:imagedata o:title=""/>
          <o:lock v:ext="edit"/>
          <v:textbox inset="0mm,0mm,0mm,0mm" style="mso-fit-shape-to-text:t;">
            <w:txbxContent>
              <w:p w14:paraId="3B85D917">
                <w:pPr>
                  <w:pStyle w:val="19"/>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B5EA">
    <w:pPr>
      <w:pStyle w:val="21"/>
      <w:ind w:firstLine="360" w:firstLineChars="200"/>
      <w:jc w:val="left"/>
      <w:rPr>
        <w:rFonts w:hint="eastAsia" w:ascii="宋体" w:hAnsi="宋体" w:eastAsia="宋体" w:cs="宋体"/>
        <w:lang w:eastAsia="zh-CN"/>
      </w:rPr>
    </w:pPr>
    <w:r>
      <w:rPr>
        <w:rFonts w:hint="eastAsia" w:ascii="宋体" w:hAnsi="宋体" w:cs="宋体"/>
        <w:lang w:eastAsia="zh-CN"/>
      </w:rPr>
      <w:drawing>
        <wp:inline distT="0" distB="0" distL="114300" distR="114300">
          <wp:extent cx="309245" cy="247650"/>
          <wp:effectExtent l="0" t="0" r="14605" b="0"/>
          <wp:docPr id="3" name="图片 3" descr="3bada4f9-eb2b-4c59-895f-e3f9651f9e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bada4f9-eb2b-4c59-895f-e3f9651f9ec9"/>
                  <pic:cNvPicPr>
                    <a:picLocks noChangeAspect="1"/>
                  </pic:cNvPicPr>
                </pic:nvPicPr>
                <pic:blipFill>
                  <a:blip r:embed="rId1"/>
                  <a:stretch>
                    <a:fillRect/>
                  </a:stretch>
                </pic:blipFill>
                <pic:spPr>
                  <a:xfrm>
                    <a:off x="0" y="0"/>
                    <a:ext cx="309245" cy="247650"/>
                  </a:xfrm>
                  <a:prstGeom prst="rect">
                    <a:avLst/>
                  </a:prstGeom>
                </pic:spPr>
              </pic:pic>
            </a:graphicData>
          </a:graphic>
        </wp:inline>
      </w:drawing>
    </w:r>
    <w:r>
      <w:rPr>
        <w:rFonts w:hint="eastAsia" w:ascii="宋体" w:hAnsi="宋体" w:cs="宋体"/>
      </w:rPr>
      <w:t xml:space="preserve">苏州中合惠德项目管理有限公司 </w:t>
    </w:r>
    <w:r>
      <w:rPr>
        <w:rFonts w:hint="eastAsia" w:ascii="宋体" w:hAnsi="宋体" w:cs="宋体"/>
        <w:lang w:val="en-US" w:eastAsia="zh-CN"/>
      </w:rPr>
      <w:t xml:space="preserve">                            </w:t>
    </w:r>
    <w:r>
      <w:rPr>
        <w:rFonts w:hint="eastAsia" w:ascii="宋体" w:hAnsi="宋体" w:cs="宋体"/>
      </w:rPr>
      <w:t>标号：</w:t>
    </w:r>
    <w:r>
      <w:rPr>
        <w:rFonts w:hint="eastAsia" w:ascii="宋体" w:hAnsi="宋体" w:cs="宋体"/>
        <w:lang w:eastAsia="zh-CN"/>
      </w:rPr>
      <w:t>JSZC-320509-ZHHD-G2026-0003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FEC5">
    <w:pPr>
      <w:pStyle w:val="21"/>
      <w:jc w:val="both"/>
      <w:rPr>
        <w:rFonts w:ascii="宋体" w:hAnsi="宋体" w:cs="宋体"/>
      </w:rPr>
    </w:pPr>
    <w:r>
      <w:rPr>
        <w:rFonts w:hint="eastAsia" w:ascii="宋体" w:hAnsi="宋体" w:cs="宋体"/>
        <w:lang w:val="en-US" w:eastAsia="zh-CN"/>
      </w:rPr>
      <w:t xml:space="preserve">   </w:t>
    </w:r>
    <w:r>
      <w:rPr>
        <w:rFonts w:hint="eastAsia" w:ascii="宋体" w:hAnsi="宋体" w:cs="宋体"/>
        <w:lang w:eastAsia="zh-CN"/>
      </w:rPr>
      <w:drawing>
        <wp:inline distT="0" distB="0" distL="114300" distR="114300">
          <wp:extent cx="309245" cy="247650"/>
          <wp:effectExtent l="0" t="0" r="14605" b="0"/>
          <wp:docPr id="2" name="图片 2" descr="3bada4f9-eb2b-4c59-895f-e3f9651f9e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ada4f9-eb2b-4c59-895f-e3f9651f9ec9"/>
                  <pic:cNvPicPr>
                    <a:picLocks noChangeAspect="1"/>
                  </pic:cNvPicPr>
                </pic:nvPicPr>
                <pic:blipFill>
                  <a:blip r:embed="rId1"/>
                  <a:stretch>
                    <a:fillRect/>
                  </a:stretch>
                </pic:blipFill>
                <pic:spPr>
                  <a:xfrm>
                    <a:off x="0" y="0"/>
                    <a:ext cx="309245" cy="247650"/>
                  </a:xfrm>
                  <a:prstGeom prst="rect">
                    <a:avLst/>
                  </a:prstGeom>
                </pic:spPr>
              </pic:pic>
            </a:graphicData>
          </a:graphic>
        </wp:inline>
      </w:drawing>
    </w:r>
    <w:r>
      <w:rPr>
        <w:rFonts w:hint="eastAsia" w:ascii="宋体" w:hAnsi="宋体" w:cs="宋体"/>
        <w:lang w:eastAsia="zh-CN"/>
      </w:rPr>
      <w:t>苏州中合惠德项目管理有限公司</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标号：</w:t>
    </w:r>
    <w:r>
      <w:rPr>
        <w:rFonts w:hint="eastAsia" w:ascii="宋体" w:hAnsi="宋体" w:cs="宋体"/>
        <w:lang w:eastAsia="zh-CN"/>
      </w:rPr>
      <w:t>JSZC-320509-ZHHD-G2026-0003</w:t>
    </w:r>
    <w:r>
      <w:rPr>
        <w:rFonts w:hint="eastAsia" w:ascii="宋体" w:hAnsi="宋体" w:cs="宋体"/>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77F58"/>
    <w:multiLevelType w:val="singleLevel"/>
    <w:tmpl w:val="84877F58"/>
    <w:lvl w:ilvl="0" w:tentative="0">
      <w:start w:val="1"/>
      <w:numFmt w:val="chineseCounting"/>
      <w:suff w:val="nothing"/>
      <w:lvlText w:val="%1、"/>
      <w:lvlJc w:val="left"/>
      <w:rPr>
        <w:rFonts w:hint="eastAsia"/>
      </w:rPr>
    </w:lvl>
  </w:abstractNum>
  <w:abstractNum w:abstractNumId="1">
    <w:nsid w:val="992633CD"/>
    <w:multiLevelType w:val="singleLevel"/>
    <w:tmpl w:val="992633CD"/>
    <w:lvl w:ilvl="0" w:tentative="0">
      <w:start w:val="1"/>
      <w:numFmt w:val="chineseCounting"/>
      <w:suff w:val="nothing"/>
      <w:lvlText w:val="%1、"/>
      <w:lvlJc w:val="left"/>
      <w:rPr>
        <w:rFonts w:hint="eastAsia"/>
      </w:rPr>
    </w:lvl>
  </w:abstractNum>
  <w:abstractNum w:abstractNumId="2">
    <w:nsid w:val="A92CD832"/>
    <w:multiLevelType w:val="singleLevel"/>
    <w:tmpl w:val="A92CD832"/>
    <w:lvl w:ilvl="0" w:tentative="0">
      <w:start w:val="2"/>
      <w:numFmt w:val="decimal"/>
      <w:suff w:val="nothing"/>
      <w:lvlText w:val="%1、"/>
      <w:lvlJc w:val="left"/>
    </w:lvl>
  </w:abstractNum>
  <w:abstractNum w:abstractNumId="3">
    <w:nsid w:val="BEA482EF"/>
    <w:multiLevelType w:val="singleLevel"/>
    <w:tmpl w:val="BEA482EF"/>
    <w:lvl w:ilvl="0" w:tentative="0">
      <w:start w:val="1"/>
      <w:numFmt w:val="decimal"/>
      <w:lvlText w:val="%1."/>
      <w:lvlJc w:val="left"/>
      <w:pPr>
        <w:tabs>
          <w:tab w:val="left" w:pos="312"/>
        </w:tabs>
      </w:pPr>
    </w:lvl>
  </w:abstractNum>
  <w:abstractNum w:abstractNumId="4">
    <w:nsid w:val="E26AC3FA"/>
    <w:multiLevelType w:val="singleLevel"/>
    <w:tmpl w:val="E26AC3FA"/>
    <w:lvl w:ilvl="0" w:tentative="0">
      <w:start w:val="6"/>
      <w:numFmt w:val="chineseCounting"/>
      <w:suff w:val="nothing"/>
      <w:lvlText w:val="%1、"/>
      <w:lvlJc w:val="left"/>
      <w:rPr>
        <w:rFonts w:hint="eastAsia"/>
      </w:rPr>
    </w:lvl>
  </w:abstractNum>
  <w:abstractNum w:abstractNumId="5">
    <w:nsid w:val="F26ACD8A"/>
    <w:multiLevelType w:val="singleLevel"/>
    <w:tmpl w:val="F26ACD8A"/>
    <w:lvl w:ilvl="0" w:tentative="0">
      <w:start w:val="1"/>
      <w:numFmt w:val="decimal"/>
      <w:lvlText w:val="%1."/>
      <w:lvlJc w:val="left"/>
      <w:pPr>
        <w:tabs>
          <w:tab w:val="left" w:pos="312"/>
        </w:tabs>
      </w:pPr>
    </w:lvl>
  </w:abstractNum>
  <w:abstractNum w:abstractNumId="6">
    <w:nsid w:val="FDF84B42"/>
    <w:multiLevelType w:val="singleLevel"/>
    <w:tmpl w:val="FDF84B42"/>
    <w:lvl w:ilvl="0" w:tentative="0">
      <w:start w:val="1"/>
      <w:numFmt w:val="decimal"/>
      <w:lvlText w:val="%1."/>
      <w:lvlJc w:val="left"/>
      <w:pPr>
        <w:tabs>
          <w:tab w:val="left" w:pos="312"/>
        </w:tabs>
      </w:pPr>
    </w:lvl>
  </w:abstractNum>
  <w:abstractNum w:abstractNumId="7">
    <w:nsid w:val="00000006"/>
    <w:multiLevelType w:val="multilevel"/>
    <w:tmpl w:val="00000006"/>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8">
    <w:nsid w:val="0A2D3705"/>
    <w:multiLevelType w:val="singleLevel"/>
    <w:tmpl w:val="0A2D3705"/>
    <w:lvl w:ilvl="0" w:tentative="0">
      <w:start w:val="2"/>
      <w:numFmt w:val="upperLetter"/>
      <w:suff w:val="nothing"/>
      <w:lvlText w:val="%1、"/>
      <w:lvlJc w:val="left"/>
    </w:lvl>
  </w:abstractNum>
  <w:abstractNum w:abstractNumId="9">
    <w:nsid w:val="63DC2F4B"/>
    <w:multiLevelType w:val="multilevel"/>
    <w:tmpl w:val="63DC2F4B"/>
    <w:lvl w:ilvl="0" w:tentative="0">
      <w:start w:val="1"/>
      <w:numFmt w:val="chineseCountingThousand"/>
      <w:suff w:val="nothing"/>
      <w:lvlText w:val="第%1章  "/>
      <w:lvlJc w:val="left"/>
      <w:pPr>
        <w:ind w:left="3119" w:firstLine="0"/>
      </w:pPr>
      <w:rPr>
        <w:rFonts w:hint="eastAsia"/>
      </w:rPr>
    </w:lvl>
    <w:lvl w:ilvl="1" w:tentative="0">
      <w:start w:val="1"/>
      <w:numFmt w:val="none"/>
      <w:pStyle w:val="3"/>
      <w:suff w:val="nothing"/>
      <w:lvlText w:val=""/>
      <w:lvlJc w:val="left"/>
      <w:pPr>
        <w:ind w:left="-2520" w:firstLine="0"/>
      </w:pPr>
      <w:rPr>
        <w:rFonts w:hint="eastAsia"/>
      </w:rPr>
    </w:lvl>
    <w:lvl w:ilvl="2" w:tentative="0">
      <w:start w:val="1"/>
      <w:numFmt w:val="upperRoman"/>
      <w:lvlText w:val="%3."/>
      <w:lvlJc w:val="left"/>
      <w:pPr>
        <w:tabs>
          <w:tab w:val="left" w:pos="-2100"/>
        </w:tabs>
        <w:ind w:left="-2100" w:hanging="420"/>
      </w:pPr>
      <w:rPr>
        <w:rFonts w:hint="eastAsia"/>
      </w:rPr>
    </w:lvl>
    <w:lvl w:ilvl="3" w:tentative="0">
      <w:start w:val="1"/>
      <w:numFmt w:val="none"/>
      <w:suff w:val="nothing"/>
      <w:lvlText w:val=""/>
      <w:lvlJc w:val="left"/>
      <w:pPr>
        <w:ind w:left="-2520" w:firstLine="0"/>
      </w:pPr>
      <w:rPr>
        <w:rFonts w:hint="eastAsia"/>
      </w:rPr>
    </w:lvl>
    <w:lvl w:ilvl="4" w:tentative="0">
      <w:start w:val="1"/>
      <w:numFmt w:val="none"/>
      <w:suff w:val="nothing"/>
      <w:lvlText w:val=""/>
      <w:lvlJc w:val="left"/>
      <w:pPr>
        <w:ind w:left="-2520" w:firstLine="0"/>
      </w:pPr>
      <w:rPr>
        <w:rFonts w:hint="eastAsia"/>
      </w:rPr>
    </w:lvl>
    <w:lvl w:ilvl="5" w:tentative="0">
      <w:start w:val="1"/>
      <w:numFmt w:val="none"/>
      <w:pStyle w:val="8"/>
      <w:suff w:val="nothing"/>
      <w:lvlText w:val=""/>
      <w:lvlJc w:val="left"/>
      <w:pPr>
        <w:ind w:left="-2520" w:firstLine="0"/>
      </w:pPr>
      <w:rPr>
        <w:rFonts w:hint="eastAsia"/>
      </w:rPr>
    </w:lvl>
    <w:lvl w:ilvl="6" w:tentative="0">
      <w:start w:val="1"/>
      <w:numFmt w:val="none"/>
      <w:suff w:val="nothing"/>
      <w:lvlText w:val=""/>
      <w:lvlJc w:val="left"/>
      <w:pPr>
        <w:ind w:left="-2520" w:firstLine="0"/>
      </w:pPr>
      <w:rPr>
        <w:rFonts w:hint="eastAsia"/>
      </w:rPr>
    </w:lvl>
    <w:lvl w:ilvl="7" w:tentative="0">
      <w:start w:val="1"/>
      <w:numFmt w:val="none"/>
      <w:suff w:val="nothing"/>
      <w:lvlText w:val=""/>
      <w:lvlJc w:val="left"/>
      <w:pPr>
        <w:ind w:left="-2520" w:firstLine="0"/>
      </w:pPr>
      <w:rPr>
        <w:rFonts w:hint="eastAsia"/>
      </w:rPr>
    </w:lvl>
    <w:lvl w:ilvl="8" w:tentative="0">
      <w:start w:val="1"/>
      <w:numFmt w:val="none"/>
      <w:suff w:val="nothing"/>
      <w:lvlText w:val=""/>
      <w:lvlJc w:val="left"/>
      <w:pPr>
        <w:ind w:left="-2520" w:firstLine="0"/>
      </w:pPr>
      <w:rPr>
        <w:rFonts w:hint="eastAsia"/>
      </w:rPr>
    </w:lvl>
  </w:abstractNum>
  <w:num w:numId="1">
    <w:abstractNumId w:val="9"/>
  </w:num>
  <w:num w:numId="2">
    <w:abstractNumId w:val="7"/>
  </w:num>
  <w:num w:numId="3">
    <w:abstractNumId w:val="4"/>
  </w:num>
  <w:num w:numId="4">
    <w:abstractNumId w:val="2"/>
  </w:num>
  <w:num w:numId="5">
    <w:abstractNumId w:val="0"/>
  </w:num>
  <w:num w:numId="6">
    <w:abstractNumId w:val="3"/>
  </w:num>
  <w:num w:numId="7">
    <w:abstractNumId w:val="6"/>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2ZGIyZWRmZTk5MGEyN2Y5Y2Y2MjllNTgyNjIzMzUifQ=="/>
    <w:docVar w:name="KSO_WPS_MARK_KEY" w:val="c1054f3b-6daf-4cd3-ab07-76b027c27892"/>
  </w:docVars>
  <w:rsids>
    <w:rsidRoot w:val="00AF4119"/>
    <w:rsid w:val="000025C2"/>
    <w:rsid w:val="00003FFE"/>
    <w:rsid w:val="00014939"/>
    <w:rsid w:val="00021AC7"/>
    <w:rsid w:val="00022221"/>
    <w:rsid w:val="00041E30"/>
    <w:rsid w:val="000552F2"/>
    <w:rsid w:val="0005689B"/>
    <w:rsid w:val="00062D2E"/>
    <w:rsid w:val="0007581C"/>
    <w:rsid w:val="000926B9"/>
    <w:rsid w:val="000A1496"/>
    <w:rsid w:val="000B153D"/>
    <w:rsid w:val="000E23D7"/>
    <w:rsid w:val="00143047"/>
    <w:rsid w:val="001666EA"/>
    <w:rsid w:val="001668B9"/>
    <w:rsid w:val="00175BCA"/>
    <w:rsid w:val="00181A0F"/>
    <w:rsid w:val="001950A4"/>
    <w:rsid w:val="001A357B"/>
    <w:rsid w:val="001D5C51"/>
    <w:rsid w:val="001D6873"/>
    <w:rsid w:val="00206D40"/>
    <w:rsid w:val="00211896"/>
    <w:rsid w:val="00215AD3"/>
    <w:rsid w:val="00216A82"/>
    <w:rsid w:val="002212DD"/>
    <w:rsid w:val="00225716"/>
    <w:rsid w:val="00241287"/>
    <w:rsid w:val="00244F4F"/>
    <w:rsid w:val="0029525B"/>
    <w:rsid w:val="002A1005"/>
    <w:rsid w:val="002E55B0"/>
    <w:rsid w:val="002E742F"/>
    <w:rsid w:val="002F2D61"/>
    <w:rsid w:val="00314036"/>
    <w:rsid w:val="003172B2"/>
    <w:rsid w:val="00342BC7"/>
    <w:rsid w:val="00351550"/>
    <w:rsid w:val="0039165B"/>
    <w:rsid w:val="003A12F6"/>
    <w:rsid w:val="00415184"/>
    <w:rsid w:val="00481DB7"/>
    <w:rsid w:val="00487F84"/>
    <w:rsid w:val="004F6761"/>
    <w:rsid w:val="00505AF5"/>
    <w:rsid w:val="0051397E"/>
    <w:rsid w:val="00524C8B"/>
    <w:rsid w:val="00560A81"/>
    <w:rsid w:val="005877CC"/>
    <w:rsid w:val="00594B8F"/>
    <w:rsid w:val="005E11C3"/>
    <w:rsid w:val="005E6707"/>
    <w:rsid w:val="005F70EE"/>
    <w:rsid w:val="00610409"/>
    <w:rsid w:val="00612ED0"/>
    <w:rsid w:val="006241FD"/>
    <w:rsid w:val="00647211"/>
    <w:rsid w:val="00655A6F"/>
    <w:rsid w:val="00695372"/>
    <w:rsid w:val="006B6B7C"/>
    <w:rsid w:val="006D64FC"/>
    <w:rsid w:val="006E4A62"/>
    <w:rsid w:val="0077057E"/>
    <w:rsid w:val="007705CB"/>
    <w:rsid w:val="00775603"/>
    <w:rsid w:val="00801551"/>
    <w:rsid w:val="008037C1"/>
    <w:rsid w:val="00807D46"/>
    <w:rsid w:val="0082333C"/>
    <w:rsid w:val="00880959"/>
    <w:rsid w:val="008953F8"/>
    <w:rsid w:val="008A3F2D"/>
    <w:rsid w:val="008C1577"/>
    <w:rsid w:val="008C772C"/>
    <w:rsid w:val="008F1F0E"/>
    <w:rsid w:val="009113AB"/>
    <w:rsid w:val="0092371C"/>
    <w:rsid w:val="0094742B"/>
    <w:rsid w:val="00977868"/>
    <w:rsid w:val="009B455C"/>
    <w:rsid w:val="009C153F"/>
    <w:rsid w:val="009D1580"/>
    <w:rsid w:val="00A0065D"/>
    <w:rsid w:val="00A74EEE"/>
    <w:rsid w:val="00A95819"/>
    <w:rsid w:val="00A97022"/>
    <w:rsid w:val="00AA449A"/>
    <w:rsid w:val="00AA7FE6"/>
    <w:rsid w:val="00AD0136"/>
    <w:rsid w:val="00AF4119"/>
    <w:rsid w:val="00B146CF"/>
    <w:rsid w:val="00B42FB5"/>
    <w:rsid w:val="00BA1D7C"/>
    <w:rsid w:val="00BB23CE"/>
    <w:rsid w:val="00BC331A"/>
    <w:rsid w:val="00BD04E7"/>
    <w:rsid w:val="00BF5249"/>
    <w:rsid w:val="00C11035"/>
    <w:rsid w:val="00C17643"/>
    <w:rsid w:val="00C23FEE"/>
    <w:rsid w:val="00C41C05"/>
    <w:rsid w:val="00C67BC3"/>
    <w:rsid w:val="00C72973"/>
    <w:rsid w:val="00C9018B"/>
    <w:rsid w:val="00C908AF"/>
    <w:rsid w:val="00CF79B5"/>
    <w:rsid w:val="00D0304C"/>
    <w:rsid w:val="00D1263B"/>
    <w:rsid w:val="00D43550"/>
    <w:rsid w:val="00D65FBA"/>
    <w:rsid w:val="00D80B76"/>
    <w:rsid w:val="00DC247A"/>
    <w:rsid w:val="00DC258E"/>
    <w:rsid w:val="00DF23CD"/>
    <w:rsid w:val="00E11D2C"/>
    <w:rsid w:val="00E14617"/>
    <w:rsid w:val="00E14C6E"/>
    <w:rsid w:val="00E60A09"/>
    <w:rsid w:val="00E72CEA"/>
    <w:rsid w:val="00EB2F0E"/>
    <w:rsid w:val="00EC3BC3"/>
    <w:rsid w:val="00ED29A8"/>
    <w:rsid w:val="00F15A81"/>
    <w:rsid w:val="00F73B6E"/>
    <w:rsid w:val="00F83EBC"/>
    <w:rsid w:val="00F87825"/>
    <w:rsid w:val="00F9548D"/>
    <w:rsid w:val="00FA03BF"/>
    <w:rsid w:val="00FD68A2"/>
    <w:rsid w:val="01115B19"/>
    <w:rsid w:val="01250DD2"/>
    <w:rsid w:val="012A4E2C"/>
    <w:rsid w:val="013730A5"/>
    <w:rsid w:val="013D6444"/>
    <w:rsid w:val="01443FE5"/>
    <w:rsid w:val="0147778C"/>
    <w:rsid w:val="014D4677"/>
    <w:rsid w:val="016043AA"/>
    <w:rsid w:val="016730BA"/>
    <w:rsid w:val="01687703"/>
    <w:rsid w:val="018A7679"/>
    <w:rsid w:val="01B30A69"/>
    <w:rsid w:val="01BF5575"/>
    <w:rsid w:val="01C942EF"/>
    <w:rsid w:val="01CB7BB3"/>
    <w:rsid w:val="01D20A5A"/>
    <w:rsid w:val="01D805AA"/>
    <w:rsid w:val="01D9415D"/>
    <w:rsid w:val="020A342D"/>
    <w:rsid w:val="02301FCF"/>
    <w:rsid w:val="02320499"/>
    <w:rsid w:val="0237246F"/>
    <w:rsid w:val="02585D19"/>
    <w:rsid w:val="02587777"/>
    <w:rsid w:val="027D56FD"/>
    <w:rsid w:val="02833FE6"/>
    <w:rsid w:val="029D518A"/>
    <w:rsid w:val="029E162E"/>
    <w:rsid w:val="02A10414"/>
    <w:rsid w:val="02A364FD"/>
    <w:rsid w:val="02C866AB"/>
    <w:rsid w:val="02E132C9"/>
    <w:rsid w:val="02ED7EC0"/>
    <w:rsid w:val="030D1D54"/>
    <w:rsid w:val="03200295"/>
    <w:rsid w:val="03207CAC"/>
    <w:rsid w:val="0321400D"/>
    <w:rsid w:val="035A1406"/>
    <w:rsid w:val="03804BE0"/>
    <w:rsid w:val="03864EF6"/>
    <w:rsid w:val="038E7C3E"/>
    <w:rsid w:val="03AA4003"/>
    <w:rsid w:val="03AD764F"/>
    <w:rsid w:val="04583A5F"/>
    <w:rsid w:val="045C7712"/>
    <w:rsid w:val="04A23F13"/>
    <w:rsid w:val="04A2489A"/>
    <w:rsid w:val="04AB1A5C"/>
    <w:rsid w:val="04E16104"/>
    <w:rsid w:val="04E672BC"/>
    <w:rsid w:val="05183285"/>
    <w:rsid w:val="052052AB"/>
    <w:rsid w:val="05214350"/>
    <w:rsid w:val="055B49B5"/>
    <w:rsid w:val="05B64EE1"/>
    <w:rsid w:val="05BC3F88"/>
    <w:rsid w:val="060C57EB"/>
    <w:rsid w:val="06112117"/>
    <w:rsid w:val="062C0CFF"/>
    <w:rsid w:val="0636606A"/>
    <w:rsid w:val="063A78C0"/>
    <w:rsid w:val="0645316C"/>
    <w:rsid w:val="06914C54"/>
    <w:rsid w:val="06BA27AF"/>
    <w:rsid w:val="06CE625A"/>
    <w:rsid w:val="06EA76C4"/>
    <w:rsid w:val="070665C4"/>
    <w:rsid w:val="070D645A"/>
    <w:rsid w:val="07945E06"/>
    <w:rsid w:val="07A073EB"/>
    <w:rsid w:val="07AC659B"/>
    <w:rsid w:val="07B812CB"/>
    <w:rsid w:val="07C71696"/>
    <w:rsid w:val="07F30A3C"/>
    <w:rsid w:val="07FF6802"/>
    <w:rsid w:val="08010B8B"/>
    <w:rsid w:val="08091A32"/>
    <w:rsid w:val="082523BB"/>
    <w:rsid w:val="082553C9"/>
    <w:rsid w:val="08275C22"/>
    <w:rsid w:val="083E11BD"/>
    <w:rsid w:val="083E4D1A"/>
    <w:rsid w:val="086329D2"/>
    <w:rsid w:val="086A2AF6"/>
    <w:rsid w:val="0874698D"/>
    <w:rsid w:val="08840D3E"/>
    <w:rsid w:val="08A2174C"/>
    <w:rsid w:val="08A23260"/>
    <w:rsid w:val="08E27D9B"/>
    <w:rsid w:val="09112914"/>
    <w:rsid w:val="091C675B"/>
    <w:rsid w:val="09232728"/>
    <w:rsid w:val="09322116"/>
    <w:rsid w:val="096328E6"/>
    <w:rsid w:val="09C62C84"/>
    <w:rsid w:val="09CA3756"/>
    <w:rsid w:val="09CA3964"/>
    <w:rsid w:val="09FC3FC2"/>
    <w:rsid w:val="0A116B8A"/>
    <w:rsid w:val="0A1C72DC"/>
    <w:rsid w:val="0A54477F"/>
    <w:rsid w:val="0A6131CD"/>
    <w:rsid w:val="0A7E3ACC"/>
    <w:rsid w:val="0A7E5025"/>
    <w:rsid w:val="0A882A3D"/>
    <w:rsid w:val="0A904177"/>
    <w:rsid w:val="0AB1211B"/>
    <w:rsid w:val="0AB15C77"/>
    <w:rsid w:val="0AD35BED"/>
    <w:rsid w:val="0B1A703D"/>
    <w:rsid w:val="0B48113B"/>
    <w:rsid w:val="0B4F7104"/>
    <w:rsid w:val="0B5331D2"/>
    <w:rsid w:val="0B5F18FB"/>
    <w:rsid w:val="0B7A42BB"/>
    <w:rsid w:val="0B9579E1"/>
    <w:rsid w:val="0B9F65F9"/>
    <w:rsid w:val="0BA85AFD"/>
    <w:rsid w:val="0BC74D9D"/>
    <w:rsid w:val="0C2B3807"/>
    <w:rsid w:val="0C41302A"/>
    <w:rsid w:val="0C443FA3"/>
    <w:rsid w:val="0C760E15"/>
    <w:rsid w:val="0C775950"/>
    <w:rsid w:val="0C835C78"/>
    <w:rsid w:val="0C8C43AE"/>
    <w:rsid w:val="0C923886"/>
    <w:rsid w:val="0C9B62D5"/>
    <w:rsid w:val="0CAC4948"/>
    <w:rsid w:val="0CBB4B8B"/>
    <w:rsid w:val="0D0712A6"/>
    <w:rsid w:val="0D0E41FB"/>
    <w:rsid w:val="0D133464"/>
    <w:rsid w:val="0D2941EA"/>
    <w:rsid w:val="0D540CC6"/>
    <w:rsid w:val="0D7665BD"/>
    <w:rsid w:val="0D7C1107"/>
    <w:rsid w:val="0DA576D4"/>
    <w:rsid w:val="0DAB24E0"/>
    <w:rsid w:val="0DC76586"/>
    <w:rsid w:val="0E0A1E1D"/>
    <w:rsid w:val="0E130163"/>
    <w:rsid w:val="0E3D4A20"/>
    <w:rsid w:val="0E3F0792"/>
    <w:rsid w:val="0E7E7B9D"/>
    <w:rsid w:val="0E8155AB"/>
    <w:rsid w:val="0E9A4A19"/>
    <w:rsid w:val="0E9A563D"/>
    <w:rsid w:val="0E9B2EC6"/>
    <w:rsid w:val="0EBE2577"/>
    <w:rsid w:val="0ED62150"/>
    <w:rsid w:val="0EDB32C2"/>
    <w:rsid w:val="0EEE7499"/>
    <w:rsid w:val="0F2725F2"/>
    <w:rsid w:val="0F296723"/>
    <w:rsid w:val="0F6E04A6"/>
    <w:rsid w:val="0F874938"/>
    <w:rsid w:val="0F8854A0"/>
    <w:rsid w:val="0F9A4354"/>
    <w:rsid w:val="0F9A650E"/>
    <w:rsid w:val="0FA1568B"/>
    <w:rsid w:val="0FC71A98"/>
    <w:rsid w:val="0FCC4C10"/>
    <w:rsid w:val="0FED3F88"/>
    <w:rsid w:val="0FFC23D0"/>
    <w:rsid w:val="10680D57"/>
    <w:rsid w:val="10795897"/>
    <w:rsid w:val="108152C7"/>
    <w:rsid w:val="10D85F43"/>
    <w:rsid w:val="10DF3908"/>
    <w:rsid w:val="10EE56E4"/>
    <w:rsid w:val="10FE4810"/>
    <w:rsid w:val="11122CD2"/>
    <w:rsid w:val="11462A61"/>
    <w:rsid w:val="114A174A"/>
    <w:rsid w:val="11B477E6"/>
    <w:rsid w:val="11D74047"/>
    <w:rsid w:val="11FD2B0C"/>
    <w:rsid w:val="1201034F"/>
    <w:rsid w:val="12316BDB"/>
    <w:rsid w:val="12445B3A"/>
    <w:rsid w:val="12962136"/>
    <w:rsid w:val="129B16E6"/>
    <w:rsid w:val="12D15108"/>
    <w:rsid w:val="12D70244"/>
    <w:rsid w:val="130628D8"/>
    <w:rsid w:val="131C78EB"/>
    <w:rsid w:val="13202823"/>
    <w:rsid w:val="132C67CE"/>
    <w:rsid w:val="134167D1"/>
    <w:rsid w:val="134B5484"/>
    <w:rsid w:val="134F757D"/>
    <w:rsid w:val="135F561A"/>
    <w:rsid w:val="13A45C16"/>
    <w:rsid w:val="13AA7707"/>
    <w:rsid w:val="13B103A3"/>
    <w:rsid w:val="13B16CE7"/>
    <w:rsid w:val="13C40341"/>
    <w:rsid w:val="13DE50F9"/>
    <w:rsid w:val="13DF0FA1"/>
    <w:rsid w:val="13FA4FC1"/>
    <w:rsid w:val="142E658A"/>
    <w:rsid w:val="14490EC2"/>
    <w:rsid w:val="145D7972"/>
    <w:rsid w:val="146D70B2"/>
    <w:rsid w:val="14700951"/>
    <w:rsid w:val="14733869"/>
    <w:rsid w:val="14741CD6"/>
    <w:rsid w:val="14E029D3"/>
    <w:rsid w:val="15136129"/>
    <w:rsid w:val="151A123D"/>
    <w:rsid w:val="1534372C"/>
    <w:rsid w:val="15344D3E"/>
    <w:rsid w:val="155A67CD"/>
    <w:rsid w:val="1560167F"/>
    <w:rsid w:val="15657D89"/>
    <w:rsid w:val="15671D54"/>
    <w:rsid w:val="157D50D3"/>
    <w:rsid w:val="15891CCA"/>
    <w:rsid w:val="158C3568"/>
    <w:rsid w:val="162A5F74"/>
    <w:rsid w:val="16542FC2"/>
    <w:rsid w:val="1662251B"/>
    <w:rsid w:val="166B5873"/>
    <w:rsid w:val="1683496B"/>
    <w:rsid w:val="169B5F18"/>
    <w:rsid w:val="16E178E4"/>
    <w:rsid w:val="16E3365C"/>
    <w:rsid w:val="16E82A20"/>
    <w:rsid w:val="16ED6288"/>
    <w:rsid w:val="16F41113"/>
    <w:rsid w:val="1713632F"/>
    <w:rsid w:val="171F353F"/>
    <w:rsid w:val="17683B61"/>
    <w:rsid w:val="17BF5854"/>
    <w:rsid w:val="17C36FE9"/>
    <w:rsid w:val="17E124AA"/>
    <w:rsid w:val="17F7416A"/>
    <w:rsid w:val="1808630A"/>
    <w:rsid w:val="18827C69"/>
    <w:rsid w:val="18EC75A9"/>
    <w:rsid w:val="18EE5AED"/>
    <w:rsid w:val="18FF01C7"/>
    <w:rsid w:val="191E4E1F"/>
    <w:rsid w:val="1949568C"/>
    <w:rsid w:val="194D1EA9"/>
    <w:rsid w:val="19577682"/>
    <w:rsid w:val="19580109"/>
    <w:rsid w:val="197C1B46"/>
    <w:rsid w:val="198B32A7"/>
    <w:rsid w:val="199840FC"/>
    <w:rsid w:val="19A97B7F"/>
    <w:rsid w:val="19BB5C5A"/>
    <w:rsid w:val="19BD0194"/>
    <w:rsid w:val="19C36978"/>
    <w:rsid w:val="19E157F6"/>
    <w:rsid w:val="19F82355"/>
    <w:rsid w:val="1A1A3838"/>
    <w:rsid w:val="1A226249"/>
    <w:rsid w:val="1A286908"/>
    <w:rsid w:val="1AA80E44"/>
    <w:rsid w:val="1ABD1D5B"/>
    <w:rsid w:val="1AC92B69"/>
    <w:rsid w:val="1AD67034"/>
    <w:rsid w:val="1AE71241"/>
    <w:rsid w:val="1B46240B"/>
    <w:rsid w:val="1BF66A42"/>
    <w:rsid w:val="1C0E117B"/>
    <w:rsid w:val="1C327CE6"/>
    <w:rsid w:val="1C543911"/>
    <w:rsid w:val="1C56667E"/>
    <w:rsid w:val="1C997EC2"/>
    <w:rsid w:val="1CA13D9D"/>
    <w:rsid w:val="1CC24CDD"/>
    <w:rsid w:val="1CC40B0B"/>
    <w:rsid w:val="1CCD3064"/>
    <w:rsid w:val="1CE20060"/>
    <w:rsid w:val="1D1C7C6E"/>
    <w:rsid w:val="1D6727C2"/>
    <w:rsid w:val="1D765717"/>
    <w:rsid w:val="1D775FFF"/>
    <w:rsid w:val="1DBB2FF4"/>
    <w:rsid w:val="1DBC534F"/>
    <w:rsid w:val="1DBE5351"/>
    <w:rsid w:val="1DC1221D"/>
    <w:rsid w:val="1DCB4AA3"/>
    <w:rsid w:val="1E090E74"/>
    <w:rsid w:val="1E1B36DB"/>
    <w:rsid w:val="1E3E3B82"/>
    <w:rsid w:val="1E705D59"/>
    <w:rsid w:val="1E767024"/>
    <w:rsid w:val="1E7F010E"/>
    <w:rsid w:val="1E943426"/>
    <w:rsid w:val="1EDB4007"/>
    <w:rsid w:val="1F2C3A43"/>
    <w:rsid w:val="1F2E5690"/>
    <w:rsid w:val="1F390F44"/>
    <w:rsid w:val="1F547872"/>
    <w:rsid w:val="1F560D6D"/>
    <w:rsid w:val="1F5C1060"/>
    <w:rsid w:val="1F636FD6"/>
    <w:rsid w:val="1FCC3AEE"/>
    <w:rsid w:val="1FDC6054"/>
    <w:rsid w:val="20144886"/>
    <w:rsid w:val="2031432C"/>
    <w:rsid w:val="2066132F"/>
    <w:rsid w:val="20684BD2"/>
    <w:rsid w:val="20B44DA5"/>
    <w:rsid w:val="20BB04B1"/>
    <w:rsid w:val="20BC766D"/>
    <w:rsid w:val="20D4013F"/>
    <w:rsid w:val="20DC70AF"/>
    <w:rsid w:val="214D441A"/>
    <w:rsid w:val="21761223"/>
    <w:rsid w:val="218516D2"/>
    <w:rsid w:val="21DC4D47"/>
    <w:rsid w:val="21DC7625"/>
    <w:rsid w:val="21E87B36"/>
    <w:rsid w:val="21FE759C"/>
    <w:rsid w:val="2217065D"/>
    <w:rsid w:val="22347461"/>
    <w:rsid w:val="22614BEE"/>
    <w:rsid w:val="22825DB5"/>
    <w:rsid w:val="228E06B6"/>
    <w:rsid w:val="2295181B"/>
    <w:rsid w:val="22B16442"/>
    <w:rsid w:val="22E12104"/>
    <w:rsid w:val="230010F2"/>
    <w:rsid w:val="23191203"/>
    <w:rsid w:val="23604752"/>
    <w:rsid w:val="236647F3"/>
    <w:rsid w:val="23825FAA"/>
    <w:rsid w:val="2391082F"/>
    <w:rsid w:val="23A87387"/>
    <w:rsid w:val="23CF1874"/>
    <w:rsid w:val="23D53E54"/>
    <w:rsid w:val="24255BBA"/>
    <w:rsid w:val="242706BD"/>
    <w:rsid w:val="24942C96"/>
    <w:rsid w:val="249A59EC"/>
    <w:rsid w:val="24F1163A"/>
    <w:rsid w:val="24F15196"/>
    <w:rsid w:val="253C54D3"/>
    <w:rsid w:val="254A5001"/>
    <w:rsid w:val="255C5D31"/>
    <w:rsid w:val="257D525E"/>
    <w:rsid w:val="25844DB9"/>
    <w:rsid w:val="259124D5"/>
    <w:rsid w:val="259D07B6"/>
    <w:rsid w:val="25A83968"/>
    <w:rsid w:val="25CE54D7"/>
    <w:rsid w:val="260158AC"/>
    <w:rsid w:val="261C51F0"/>
    <w:rsid w:val="262B1274"/>
    <w:rsid w:val="26304DF6"/>
    <w:rsid w:val="265C29D1"/>
    <w:rsid w:val="267438DD"/>
    <w:rsid w:val="267E14FE"/>
    <w:rsid w:val="26A0079F"/>
    <w:rsid w:val="26C64400"/>
    <w:rsid w:val="26CD578F"/>
    <w:rsid w:val="26CF59AB"/>
    <w:rsid w:val="26DD74CC"/>
    <w:rsid w:val="26DE799C"/>
    <w:rsid w:val="26E256DE"/>
    <w:rsid w:val="26E43059"/>
    <w:rsid w:val="26F471BF"/>
    <w:rsid w:val="26F62F37"/>
    <w:rsid w:val="270417B7"/>
    <w:rsid w:val="27096D29"/>
    <w:rsid w:val="27244F45"/>
    <w:rsid w:val="272A3FC0"/>
    <w:rsid w:val="272B1389"/>
    <w:rsid w:val="27335F39"/>
    <w:rsid w:val="27435B0C"/>
    <w:rsid w:val="274719E5"/>
    <w:rsid w:val="276708D2"/>
    <w:rsid w:val="277C2A92"/>
    <w:rsid w:val="278F0983"/>
    <w:rsid w:val="27932534"/>
    <w:rsid w:val="27C43134"/>
    <w:rsid w:val="27D05536"/>
    <w:rsid w:val="27EE5DC6"/>
    <w:rsid w:val="27FF6920"/>
    <w:rsid w:val="2839206B"/>
    <w:rsid w:val="284C7D86"/>
    <w:rsid w:val="28683AFD"/>
    <w:rsid w:val="286E5308"/>
    <w:rsid w:val="28E21E48"/>
    <w:rsid w:val="29001E4B"/>
    <w:rsid w:val="29036D69"/>
    <w:rsid w:val="2907650B"/>
    <w:rsid w:val="291D0C4F"/>
    <w:rsid w:val="29253660"/>
    <w:rsid w:val="293146FB"/>
    <w:rsid w:val="2954794D"/>
    <w:rsid w:val="29583A35"/>
    <w:rsid w:val="295F3CD2"/>
    <w:rsid w:val="29716AEC"/>
    <w:rsid w:val="29982084"/>
    <w:rsid w:val="29B175E9"/>
    <w:rsid w:val="29DF2D05"/>
    <w:rsid w:val="2A042B68"/>
    <w:rsid w:val="2A1A518F"/>
    <w:rsid w:val="2A1B7227"/>
    <w:rsid w:val="2A385A03"/>
    <w:rsid w:val="2A3D49F6"/>
    <w:rsid w:val="2A4915D0"/>
    <w:rsid w:val="2A61691A"/>
    <w:rsid w:val="2A953A25"/>
    <w:rsid w:val="2AA75D04"/>
    <w:rsid w:val="2AB23619"/>
    <w:rsid w:val="2ABE430E"/>
    <w:rsid w:val="2AC6485F"/>
    <w:rsid w:val="2AD25A69"/>
    <w:rsid w:val="2AE268AE"/>
    <w:rsid w:val="2AF63382"/>
    <w:rsid w:val="2B2A1401"/>
    <w:rsid w:val="2B342153"/>
    <w:rsid w:val="2B794137"/>
    <w:rsid w:val="2BA40F2D"/>
    <w:rsid w:val="2BB331A5"/>
    <w:rsid w:val="2BDB7453"/>
    <w:rsid w:val="2BEF3ED2"/>
    <w:rsid w:val="2C0D087E"/>
    <w:rsid w:val="2C70154C"/>
    <w:rsid w:val="2C7843EE"/>
    <w:rsid w:val="2CA27237"/>
    <w:rsid w:val="2CB74F17"/>
    <w:rsid w:val="2CC30472"/>
    <w:rsid w:val="2CF33A75"/>
    <w:rsid w:val="2D2814AA"/>
    <w:rsid w:val="2D3D184D"/>
    <w:rsid w:val="2D67693D"/>
    <w:rsid w:val="2D737F53"/>
    <w:rsid w:val="2D80355B"/>
    <w:rsid w:val="2DAE170A"/>
    <w:rsid w:val="2DC81387"/>
    <w:rsid w:val="2DD6329A"/>
    <w:rsid w:val="2E227FDE"/>
    <w:rsid w:val="2E4A6D63"/>
    <w:rsid w:val="2E505623"/>
    <w:rsid w:val="2E5642BC"/>
    <w:rsid w:val="2E6115DE"/>
    <w:rsid w:val="2E9C3F84"/>
    <w:rsid w:val="2ECC611B"/>
    <w:rsid w:val="2EEE7319"/>
    <w:rsid w:val="2F307927"/>
    <w:rsid w:val="2F380E26"/>
    <w:rsid w:val="2F45680A"/>
    <w:rsid w:val="2F4E7B55"/>
    <w:rsid w:val="2F650C5A"/>
    <w:rsid w:val="2F9F236E"/>
    <w:rsid w:val="2FB367FC"/>
    <w:rsid w:val="2FB94059"/>
    <w:rsid w:val="2FBE480E"/>
    <w:rsid w:val="2FCD654A"/>
    <w:rsid w:val="2FDB43DF"/>
    <w:rsid w:val="2FDB53C0"/>
    <w:rsid w:val="2FEF2C1A"/>
    <w:rsid w:val="2FF2563E"/>
    <w:rsid w:val="30032221"/>
    <w:rsid w:val="302402CB"/>
    <w:rsid w:val="30405223"/>
    <w:rsid w:val="304810B0"/>
    <w:rsid w:val="304F4E77"/>
    <w:rsid w:val="305132FD"/>
    <w:rsid w:val="30550CCF"/>
    <w:rsid w:val="307F73DA"/>
    <w:rsid w:val="30AC23DA"/>
    <w:rsid w:val="30EF5ABF"/>
    <w:rsid w:val="30FC739C"/>
    <w:rsid w:val="30FD3B52"/>
    <w:rsid w:val="31053A08"/>
    <w:rsid w:val="31635349"/>
    <w:rsid w:val="317433D6"/>
    <w:rsid w:val="3191286B"/>
    <w:rsid w:val="31AF59A8"/>
    <w:rsid w:val="31D2634F"/>
    <w:rsid w:val="31F97D80"/>
    <w:rsid w:val="32215C0F"/>
    <w:rsid w:val="322F3A97"/>
    <w:rsid w:val="32395C1C"/>
    <w:rsid w:val="324F174E"/>
    <w:rsid w:val="32560D2E"/>
    <w:rsid w:val="32731A71"/>
    <w:rsid w:val="32A51969"/>
    <w:rsid w:val="32B1065A"/>
    <w:rsid w:val="32B83A2F"/>
    <w:rsid w:val="32CB304D"/>
    <w:rsid w:val="33107F03"/>
    <w:rsid w:val="33440FC3"/>
    <w:rsid w:val="334D2A0A"/>
    <w:rsid w:val="335214F5"/>
    <w:rsid w:val="33627E8C"/>
    <w:rsid w:val="33681AA0"/>
    <w:rsid w:val="33B95A18"/>
    <w:rsid w:val="33C32036"/>
    <w:rsid w:val="33C85C5B"/>
    <w:rsid w:val="33DE0FDB"/>
    <w:rsid w:val="341A0402"/>
    <w:rsid w:val="34244A1E"/>
    <w:rsid w:val="344C063B"/>
    <w:rsid w:val="34572B3B"/>
    <w:rsid w:val="345F5048"/>
    <w:rsid w:val="347F6410"/>
    <w:rsid w:val="34896632"/>
    <w:rsid w:val="348E6A9E"/>
    <w:rsid w:val="34A264AC"/>
    <w:rsid w:val="34AA33DF"/>
    <w:rsid w:val="34B61F58"/>
    <w:rsid w:val="34C24934"/>
    <w:rsid w:val="34DB376C"/>
    <w:rsid w:val="34F767F8"/>
    <w:rsid w:val="350C1DF8"/>
    <w:rsid w:val="351C625F"/>
    <w:rsid w:val="35393AEA"/>
    <w:rsid w:val="35690D78"/>
    <w:rsid w:val="35DA7E95"/>
    <w:rsid w:val="35E854C3"/>
    <w:rsid w:val="35F1149A"/>
    <w:rsid w:val="36141B54"/>
    <w:rsid w:val="364E27CA"/>
    <w:rsid w:val="368D0EDC"/>
    <w:rsid w:val="36A0684C"/>
    <w:rsid w:val="36AE7685"/>
    <w:rsid w:val="36CA1CEB"/>
    <w:rsid w:val="36EC3A0F"/>
    <w:rsid w:val="36F513FE"/>
    <w:rsid w:val="375241BA"/>
    <w:rsid w:val="37532942"/>
    <w:rsid w:val="37693B99"/>
    <w:rsid w:val="379C02C5"/>
    <w:rsid w:val="37B87666"/>
    <w:rsid w:val="37C03732"/>
    <w:rsid w:val="37D95FAB"/>
    <w:rsid w:val="37E312B6"/>
    <w:rsid w:val="381253DE"/>
    <w:rsid w:val="3866592D"/>
    <w:rsid w:val="38964BD7"/>
    <w:rsid w:val="38B76EC4"/>
    <w:rsid w:val="38BB1AA5"/>
    <w:rsid w:val="38CC1D4A"/>
    <w:rsid w:val="38DC7E9A"/>
    <w:rsid w:val="38E37EE8"/>
    <w:rsid w:val="38E718F0"/>
    <w:rsid w:val="38F70502"/>
    <w:rsid w:val="39132A1A"/>
    <w:rsid w:val="3918001E"/>
    <w:rsid w:val="392044A0"/>
    <w:rsid w:val="394321A3"/>
    <w:rsid w:val="39443580"/>
    <w:rsid w:val="395B3EA8"/>
    <w:rsid w:val="3979768F"/>
    <w:rsid w:val="397B2C2C"/>
    <w:rsid w:val="397F5A7B"/>
    <w:rsid w:val="399430B5"/>
    <w:rsid w:val="399C796E"/>
    <w:rsid w:val="39A607ED"/>
    <w:rsid w:val="39B0341A"/>
    <w:rsid w:val="39C82B7D"/>
    <w:rsid w:val="3A051BD9"/>
    <w:rsid w:val="3A080B60"/>
    <w:rsid w:val="3A0C2253"/>
    <w:rsid w:val="3A300FFD"/>
    <w:rsid w:val="3AA00637"/>
    <w:rsid w:val="3AB3217D"/>
    <w:rsid w:val="3AC61CBE"/>
    <w:rsid w:val="3ADB7844"/>
    <w:rsid w:val="3AEC7550"/>
    <w:rsid w:val="3B0949EF"/>
    <w:rsid w:val="3B0F5F1E"/>
    <w:rsid w:val="3B196D9D"/>
    <w:rsid w:val="3B1B30D7"/>
    <w:rsid w:val="3BA40D5C"/>
    <w:rsid w:val="3C031BC3"/>
    <w:rsid w:val="3C2C5294"/>
    <w:rsid w:val="3C3E4D0D"/>
    <w:rsid w:val="3C6C5FB5"/>
    <w:rsid w:val="3C7F7CF1"/>
    <w:rsid w:val="3CD4741F"/>
    <w:rsid w:val="3CDC4526"/>
    <w:rsid w:val="3D09574E"/>
    <w:rsid w:val="3D77622A"/>
    <w:rsid w:val="3DB4546D"/>
    <w:rsid w:val="3DF15DAF"/>
    <w:rsid w:val="3DFD13D8"/>
    <w:rsid w:val="3E033B8A"/>
    <w:rsid w:val="3E067AAC"/>
    <w:rsid w:val="3E236E18"/>
    <w:rsid w:val="3E2469ED"/>
    <w:rsid w:val="3E370817"/>
    <w:rsid w:val="3E684589"/>
    <w:rsid w:val="3E6B13D8"/>
    <w:rsid w:val="3EB412B6"/>
    <w:rsid w:val="3EDB0A9F"/>
    <w:rsid w:val="3EF7239A"/>
    <w:rsid w:val="3EF9316D"/>
    <w:rsid w:val="3F0E5AA7"/>
    <w:rsid w:val="3F285800"/>
    <w:rsid w:val="3F375A43"/>
    <w:rsid w:val="3F381EE7"/>
    <w:rsid w:val="3F541174"/>
    <w:rsid w:val="3F5D36FC"/>
    <w:rsid w:val="3F784711"/>
    <w:rsid w:val="3F9A0E4F"/>
    <w:rsid w:val="3FC31CB6"/>
    <w:rsid w:val="3FCE5BF6"/>
    <w:rsid w:val="3FE71217"/>
    <w:rsid w:val="40083B08"/>
    <w:rsid w:val="402C791B"/>
    <w:rsid w:val="402F1DCE"/>
    <w:rsid w:val="404701D6"/>
    <w:rsid w:val="40630701"/>
    <w:rsid w:val="40687A30"/>
    <w:rsid w:val="40DF55D9"/>
    <w:rsid w:val="40E7445D"/>
    <w:rsid w:val="40F00730"/>
    <w:rsid w:val="40F2190D"/>
    <w:rsid w:val="41045905"/>
    <w:rsid w:val="4132246F"/>
    <w:rsid w:val="413B46F3"/>
    <w:rsid w:val="4152165F"/>
    <w:rsid w:val="41605FC4"/>
    <w:rsid w:val="41697E82"/>
    <w:rsid w:val="417E4BBE"/>
    <w:rsid w:val="419D0727"/>
    <w:rsid w:val="41B72F65"/>
    <w:rsid w:val="41C13DEC"/>
    <w:rsid w:val="41E023C2"/>
    <w:rsid w:val="41E2438C"/>
    <w:rsid w:val="41F2416D"/>
    <w:rsid w:val="41FC528F"/>
    <w:rsid w:val="42064F4F"/>
    <w:rsid w:val="42321CF9"/>
    <w:rsid w:val="423900B2"/>
    <w:rsid w:val="4251241D"/>
    <w:rsid w:val="42992191"/>
    <w:rsid w:val="42A70444"/>
    <w:rsid w:val="42B35EB3"/>
    <w:rsid w:val="42BA743D"/>
    <w:rsid w:val="42CC2ADD"/>
    <w:rsid w:val="42D31F27"/>
    <w:rsid w:val="42EF38FA"/>
    <w:rsid w:val="42F73E67"/>
    <w:rsid w:val="43036E8D"/>
    <w:rsid w:val="43313F74"/>
    <w:rsid w:val="433475D8"/>
    <w:rsid w:val="43362BE2"/>
    <w:rsid w:val="433E3844"/>
    <w:rsid w:val="43AC6A00"/>
    <w:rsid w:val="43CE2E1A"/>
    <w:rsid w:val="43EE526A"/>
    <w:rsid w:val="440C0BD4"/>
    <w:rsid w:val="441D098E"/>
    <w:rsid w:val="441E7A5C"/>
    <w:rsid w:val="443E4727"/>
    <w:rsid w:val="44601EBA"/>
    <w:rsid w:val="44867251"/>
    <w:rsid w:val="448D446A"/>
    <w:rsid w:val="448F26E1"/>
    <w:rsid w:val="449A2CFC"/>
    <w:rsid w:val="44C95A60"/>
    <w:rsid w:val="44D646CD"/>
    <w:rsid w:val="450D1720"/>
    <w:rsid w:val="452C71DC"/>
    <w:rsid w:val="456B28EB"/>
    <w:rsid w:val="45985604"/>
    <w:rsid w:val="45AC7E7F"/>
    <w:rsid w:val="45BE16E7"/>
    <w:rsid w:val="45C14E33"/>
    <w:rsid w:val="45C87D92"/>
    <w:rsid w:val="45D264C6"/>
    <w:rsid w:val="45EF7078"/>
    <w:rsid w:val="4642004E"/>
    <w:rsid w:val="46535EBC"/>
    <w:rsid w:val="467714A8"/>
    <w:rsid w:val="468204D7"/>
    <w:rsid w:val="46C94C8B"/>
    <w:rsid w:val="46EF5BD2"/>
    <w:rsid w:val="46FB4D8B"/>
    <w:rsid w:val="46FE4EBD"/>
    <w:rsid w:val="47051BD2"/>
    <w:rsid w:val="47451645"/>
    <w:rsid w:val="474718EB"/>
    <w:rsid w:val="474F3134"/>
    <w:rsid w:val="4755689D"/>
    <w:rsid w:val="475E78D5"/>
    <w:rsid w:val="476D46F8"/>
    <w:rsid w:val="47D51780"/>
    <w:rsid w:val="47F123CD"/>
    <w:rsid w:val="47F15329"/>
    <w:rsid w:val="47FB4FF5"/>
    <w:rsid w:val="480F4CFC"/>
    <w:rsid w:val="48142A06"/>
    <w:rsid w:val="481D69AF"/>
    <w:rsid w:val="483A14AB"/>
    <w:rsid w:val="484A67E7"/>
    <w:rsid w:val="48693111"/>
    <w:rsid w:val="48B14AB8"/>
    <w:rsid w:val="48BD432F"/>
    <w:rsid w:val="48BE5E92"/>
    <w:rsid w:val="48C237A7"/>
    <w:rsid w:val="48C87E49"/>
    <w:rsid w:val="48D255CD"/>
    <w:rsid w:val="4914434F"/>
    <w:rsid w:val="49144E76"/>
    <w:rsid w:val="49154405"/>
    <w:rsid w:val="49650B5B"/>
    <w:rsid w:val="497A3D4B"/>
    <w:rsid w:val="49AC1386"/>
    <w:rsid w:val="49B52245"/>
    <w:rsid w:val="49B77EAC"/>
    <w:rsid w:val="49CF3448"/>
    <w:rsid w:val="49F050CC"/>
    <w:rsid w:val="49F66B64"/>
    <w:rsid w:val="4A293453"/>
    <w:rsid w:val="4A2D0083"/>
    <w:rsid w:val="4A2F7826"/>
    <w:rsid w:val="4A317C5F"/>
    <w:rsid w:val="4A396B13"/>
    <w:rsid w:val="4A3A6E38"/>
    <w:rsid w:val="4A6E480F"/>
    <w:rsid w:val="4A845265"/>
    <w:rsid w:val="4A8F42DF"/>
    <w:rsid w:val="4A981A8C"/>
    <w:rsid w:val="4AA06B93"/>
    <w:rsid w:val="4B013AD5"/>
    <w:rsid w:val="4B123C64"/>
    <w:rsid w:val="4B1F7F43"/>
    <w:rsid w:val="4B36368B"/>
    <w:rsid w:val="4B775B45"/>
    <w:rsid w:val="4B78140B"/>
    <w:rsid w:val="4B78733B"/>
    <w:rsid w:val="4B7F0E71"/>
    <w:rsid w:val="4B86222C"/>
    <w:rsid w:val="4B956108"/>
    <w:rsid w:val="4BCB04AF"/>
    <w:rsid w:val="4BD032F4"/>
    <w:rsid w:val="4BD452E5"/>
    <w:rsid w:val="4C2757BD"/>
    <w:rsid w:val="4C7B3413"/>
    <w:rsid w:val="4C820C46"/>
    <w:rsid w:val="4C83676C"/>
    <w:rsid w:val="4C8E694C"/>
    <w:rsid w:val="4CDB3FBB"/>
    <w:rsid w:val="4CDD0DC9"/>
    <w:rsid w:val="4CF136D5"/>
    <w:rsid w:val="4D106251"/>
    <w:rsid w:val="4D1B1B19"/>
    <w:rsid w:val="4D27266D"/>
    <w:rsid w:val="4D5F3D23"/>
    <w:rsid w:val="4D813A2C"/>
    <w:rsid w:val="4DA62712"/>
    <w:rsid w:val="4DB776F0"/>
    <w:rsid w:val="4DCC5D15"/>
    <w:rsid w:val="4DEB72BD"/>
    <w:rsid w:val="4DF321DE"/>
    <w:rsid w:val="4DFE7486"/>
    <w:rsid w:val="4E30022D"/>
    <w:rsid w:val="4E754349"/>
    <w:rsid w:val="4E936EFC"/>
    <w:rsid w:val="4E9C58C3"/>
    <w:rsid w:val="4EB901F5"/>
    <w:rsid w:val="4EBE7F2F"/>
    <w:rsid w:val="4F18404B"/>
    <w:rsid w:val="4F5354CC"/>
    <w:rsid w:val="4F781E8C"/>
    <w:rsid w:val="4F942783"/>
    <w:rsid w:val="4FE2061A"/>
    <w:rsid w:val="4FE439C5"/>
    <w:rsid w:val="4FFB57ED"/>
    <w:rsid w:val="500D789E"/>
    <w:rsid w:val="502010A5"/>
    <w:rsid w:val="502D54DA"/>
    <w:rsid w:val="50956205"/>
    <w:rsid w:val="51040A5A"/>
    <w:rsid w:val="51422A36"/>
    <w:rsid w:val="51515235"/>
    <w:rsid w:val="51542485"/>
    <w:rsid w:val="5160040F"/>
    <w:rsid w:val="51804FFF"/>
    <w:rsid w:val="51CA3B60"/>
    <w:rsid w:val="51EB2DE9"/>
    <w:rsid w:val="52287BBD"/>
    <w:rsid w:val="5237602E"/>
    <w:rsid w:val="524E5126"/>
    <w:rsid w:val="5283399F"/>
    <w:rsid w:val="52AF2F70"/>
    <w:rsid w:val="52BB3538"/>
    <w:rsid w:val="52D874DC"/>
    <w:rsid w:val="530449DC"/>
    <w:rsid w:val="530E1CE5"/>
    <w:rsid w:val="53373C66"/>
    <w:rsid w:val="533E7A99"/>
    <w:rsid w:val="53487A1C"/>
    <w:rsid w:val="534E34FB"/>
    <w:rsid w:val="537868FE"/>
    <w:rsid w:val="5380308B"/>
    <w:rsid w:val="53A771E4"/>
    <w:rsid w:val="53C03E02"/>
    <w:rsid w:val="53D968CC"/>
    <w:rsid w:val="53FA16E3"/>
    <w:rsid w:val="54441D23"/>
    <w:rsid w:val="54484C47"/>
    <w:rsid w:val="544C2353"/>
    <w:rsid w:val="547058E0"/>
    <w:rsid w:val="54745318"/>
    <w:rsid w:val="5488491F"/>
    <w:rsid w:val="54AB6860"/>
    <w:rsid w:val="54AF6E20"/>
    <w:rsid w:val="54B971CF"/>
    <w:rsid w:val="54DC110F"/>
    <w:rsid w:val="54F5071A"/>
    <w:rsid w:val="550113E3"/>
    <w:rsid w:val="551B5245"/>
    <w:rsid w:val="552A59CF"/>
    <w:rsid w:val="553A0159"/>
    <w:rsid w:val="55482300"/>
    <w:rsid w:val="555002C2"/>
    <w:rsid w:val="5567603D"/>
    <w:rsid w:val="557355CF"/>
    <w:rsid w:val="557F79C3"/>
    <w:rsid w:val="558512B9"/>
    <w:rsid w:val="558A4555"/>
    <w:rsid w:val="558D7E67"/>
    <w:rsid w:val="55AE1142"/>
    <w:rsid w:val="55BD5E19"/>
    <w:rsid w:val="55D77761"/>
    <w:rsid w:val="55E21242"/>
    <w:rsid w:val="55E95892"/>
    <w:rsid w:val="55EB643B"/>
    <w:rsid w:val="55FE0E8A"/>
    <w:rsid w:val="56222B52"/>
    <w:rsid w:val="562C17E0"/>
    <w:rsid w:val="563F1955"/>
    <w:rsid w:val="567C4958"/>
    <w:rsid w:val="56982E14"/>
    <w:rsid w:val="56AF0889"/>
    <w:rsid w:val="56B17176"/>
    <w:rsid w:val="56E86942"/>
    <w:rsid w:val="57034728"/>
    <w:rsid w:val="5703618B"/>
    <w:rsid w:val="5729280A"/>
    <w:rsid w:val="574A3FAA"/>
    <w:rsid w:val="578357DD"/>
    <w:rsid w:val="579828D0"/>
    <w:rsid w:val="57BF184F"/>
    <w:rsid w:val="57E64726"/>
    <w:rsid w:val="581331F6"/>
    <w:rsid w:val="584C2AC7"/>
    <w:rsid w:val="589462A5"/>
    <w:rsid w:val="58951253"/>
    <w:rsid w:val="58A81369"/>
    <w:rsid w:val="58B64170"/>
    <w:rsid w:val="58BB6BE5"/>
    <w:rsid w:val="58E157DF"/>
    <w:rsid w:val="58E15F85"/>
    <w:rsid w:val="59113809"/>
    <w:rsid w:val="59351B2D"/>
    <w:rsid w:val="59491213"/>
    <w:rsid w:val="5949373A"/>
    <w:rsid w:val="59590653"/>
    <w:rsid w:val="59745DBA"/>
    <w:rsid w:val="59853B23"/>
    <w:rsid w:val="5991071A"/>
    <w:rsid w:val="599F364A"/>
    <w:rsid w:val="59B33F49"/>
    <w:rsid w:val="59BF5E11"/>
    <w:rsid w:val="59C86B3A"/>
    <w:rsid w:val="59F6057D"/>
    <w:rsid w:val="5A054934"/>
    <w:rsid w:val="5A1F12C9"/>
    <w:rsid w:val="5A2834F3"/>
    <w:rsid w:val="5A3B2434"/>
    <w:rsid w:val="5A673229"/>
    <w:rsid w:val="5A6E6BC7"/>
    <w:rsid w:val="5A8E6A07"/>
    <w:rsid w:val="5AA47FD9"/>
    <w:rsid w:val="5AA94F9B"/>
    <w:rsid w:val="5AB7378B"/>
    <w:rsid w:val="5AEC231F"/>
    <w:rsid w:val="5AEE0F16"/>
    <w:rsid w:val="5AFF3461"/>
    <w:rsid w:val="5B0E07D9"/>
    <w:rsid w:val="5B2335F4"/>
    <w:rsid w:val="5B392E17"/>
    <w:rsid w:val="5B3B32F6"/>
    <w:rsid w:val="5B757F2A"/>
    <w:rsid w:val="5B974B50"/>
    <w:rsid w:val="5B9B0DFA"/>
    <w:rsid w:val="5BAD16DB"/>
    <w:rsid w:val="5BB26726"/>
    <w:rsid w:val="5BC4133E"/>
    <w:rsid w:val="5BCD4F5D"/>
    <w:rsid w:val="5BCE1093"/>
    <w:rsid w:val="5BD14DFE"/>
    <w:rsid w:val="5BD963A8"/>
    <w:rsid w:val="5BEC6276"/>
    <w:rsid w:val="5BF642FF"/>
    <w:rsid w:val="5C1E3DBB"/>
    <w:rsid w:val="5C270EC2"/>
    <w:rsid w:val="5C3444F3"/>
    <w:rsid w:val="5C5736B9"/>
    <w:rsid w:val="5C621EFA"/>
    <w:rsid w:val="5C741C2D"/>
    <w:rsid w:val="5C8005D2"/>
    <w:rsid w:val="5C844566"/>
    <w:rsid w:val="5C9355B0"/>
    <w:rsid w:val="5C9D58D2"/>
    <w:rsid w:val="5CB16B89"/>
    <w:rsid w:val="5CE2128D"/>
    <w:rsid w:val="5D131446"/>
    <w:rsid w:val="5D471925"/>
    <w:rsid w:val="5D67131A"/>
    <w:rsid w:val="5D797289"/>
    <w:rsid w:val="5D7B1713"/>
    <w:rsid w:val="5D7E0FB5"/>
    <w:rsid w:val="5D9B3A9D"/>
    <w:rsid w:val="5DB06C95"/>
    <w:rsid w:val="5DBD524F"/>
    <w:rsid w:val="5DCF1811"/>
    <w:rsid w:val="5DD5494D"/>
    <w:rsid w:val="5DDD630B"/>
    <w:rsid w:val="5DE361FF"/>
    <w:rsid w:val="5DE828D3"/>
    <w:rsid w:val="5E065E64"/>
    <w:rsid w:val="5E14191A"/>
    <w:rsid w:val="5E192A8C"/>
    <w:rsid w:val="5E1A0D5F"/>
    <w:rsid w:val="5E39312E"/>
    <w:rsid w:val="5E3B0C54"/>
    <w:rsid w:val="5E3F241A"/>
    <w:rsid w:val="5E6D233C"/>
    <w:rsid w:val="5E785356"/>
    <w:rsid w:val="5E7F3237"/>
    <w:rsid w:val="5EA470C3"/>
    <w:rsid w:val="5EB756AA"/>
    <w:rsid w:val="5EB84053"/>
    <w:rsid w:val="5EC32410"/>
    <w:rsid w:val="5ECA47E0"/>
    <w:rsid w:val="5ED35331"/>
    <w:rsid w:val="5ED370DF"/>
    <w:rsid w:val="5EFE3BFD"/>
    <w:rsid w:val="5F0A6041"/>
    <w:rsid w:val="5F1354F0"/>
    <w:rsid w:val="5F136A11"/>
    <w:rsid w:val="5F6E04EA"/>
    <w:rsid w:val="5F81797A"/>
    <w:rsid w:val="5F9C1BC7"/>
    <w:rsid w:val="5FD52B92"/>
    <w:rsid w:val="5FF92B75"/>
    <w:rsid w:val="6037544B"/>
    <w:rsid w:val="604F6C39"/>
    <w:rsid w:val="608478ED"/>
    <w:rsid w:val="60955DCC"/>
    <w:rsid w:val="60962DE4"/>
    <w:rsid w:val="60DB04CD"/>
    <w:rsid w:val="60E3046B"/>
    <w:rsid w:val="60EC04CD"/>
    <w:rsid w:val="613568F7"/>
    <w:rsid w:val="61367612"/>
    <w:rsid w:val="61520215"/>
    <w:rsid w:val="615F2EAC"/>
    <w:rsid w:val="61774699"/>
    <w:rsid w:val="617F70AA"/>
    <w:rsid w:val="61956C85"/>
    <w:rsid w:val="619E03D3"/>
    <w:rsid w:val="61C40F61"/>
    <w:rsid w:val="61DC44FC"/>
    <w:rsid w:val="61E17D65"/>
    <w:rsid w:val="61FC4B9F"/>
    <w:rsid w:val="622A42CA"/>
    <w:rsid w:val="62397BA1"/>
    <w:rsid w:val="623F6839"/>
    <w:rsid w:val="624A590A"/>
    <w:rsid w:val="625C6D3B"/>
    <w:rsid w:val="62603351"/>
    <w:rsid w:val="62611379"/>
    <w:rsid w:val="62621C66"/>
    <w:rsid w:val="62742987"/>
    <w:rsid w:val="6287090C"/>
    <w:rsid w:val="62A3290C"/>
    <w:rsid w:val="62CB7B1F"/>
    <w:rsid w:val="62F02A67"/>
    <w:rsid w:val="633D0FCB"/>
    <w:rsid w:val="63505D00"/>
    <w:rsid w:val="63AD1E6B"/>
    <w:rsid w:val="63B70D7D"/>
    <w:rsid w:val="63C90AB0"/>
    <w:rsid w:val="63D731CD"/>
    <w:rsid w:val="63F30BF7"/>
    <w:rsid w:val="640B464C"/>
    <w:rsid w:val="64436AB5"/>
    <w:rsid w:val="6454481E"/>
    <w:rsid w:val="64685CF0"/>
    <w:rsid w:val="646B7905"/>
    <w:rsid w:val="646E5E6C"/>
    <w:rsid w:val="64767781"/>
    <w:rsid w:val="64A216CA"/>
    <w:rsid w:val="64BF6DD7"/>
    <w:rsid w:val="64C25C2B"/>
    <w:rsid w:val="64C463A3"/>
    <w:rsid w:val="64EC051E"/>
    <w:rsid w:val="651C5FB4"/>
    <w:rsid w:val="65E9172B"/>
    <w:rsid w:val="661D2BEC"/>
    <w:rsid w:val="663F57BE"/>
    <w:rsid w:val="6646463A"/>
    <w:rsid w:val="66615D50"/>
    <w:rsid w:val="666457CA"/>
    <w:rsid w:val="6699267D"/>
    <w:rsid w:val="66A814C4"/>
    <w:rsid w:val="66BC0131"/>
    <w:rsid w:val="66C33EDD"/>
    <w:rsid w:val="66CA6FFF"/>
    <w:rsid w:val="66CF7178"/>
    <w:rsid w:val="66EC1C3D"/>
    <w:rsid w:val="67301881"/>
    <w:rsid w:val="6744501E"/>
    <w:rsid w:val="675E7762"/>
    <w:rsid w:val="67B850C4"/>
    <w:rsid w:val="67C96032"/>
    <w:rsid w:val="67DE5980"/>
    <w:rsid w:val="684823C0"/>
    <w:rsid w:val="684E2DD5"/>
    <w:rsid w:val="684F7C21"/>
    <w:rsid w:val="686F6439"/>
    <w:rsid w:val="68924765"/>
    <w:rsid w:val="68CD2699"/>
    <w:rsid w:val="68D03D4B"/>
    <w:rsid w:val="68F760C0"/>
    <w:rsid w:val="68FB5BB0"/>
    <w:rsid w:val="69180510"/>
    <w:rsid w:val="692D1CD3"/>
    <w:rsid w:val="69917AF1"/>
    <w:rsid w:val="69A41DA4"/>
    <w:rsid w:val="69D67302"/>
    <w:rsid w:val="69E21EF8"/>
    <w:rsid w:val="69E23270"/>
    <w:rsid w:val="69E63E67"/>
    <w:rsid w:val="69FE1AD8"/>
    <w:rsid w:val="69FF4F21"/>
    <w:rsid w:val="6A316E4D"/>
    <w:rsid w:val="6A3550F2"/>
    <w:rsid w:val="6A415844"/>
    <w:rsid w:val="6A442123"/>
    <w:rsid w:val="6A5042D7"/>
    <w:rsid w:val="6A673F17"/>
    <w:rsid w:val="6A775BFA"/>
    <w:rsid w:val="6A8D4F80"/>
    <w:rsid w:val="6A9D4BE3"/>
    <w:rsid w:val="6AC850FC"/>
    <w:rsid w:val="6AE421FD"/>
    <w:rsid w:val="6AFA0B85"/>
    <w:rsid w:val="6B1551B4"/>
    <w:rsid w:val="6B203F54"/>
    <w:rsid w:val="6B454371"/>
    <w:rsid w:val="6B59096C"/>
    <w:rsid w:val="6B65108E"/>
    <w:rsid w:val="6B7407D2"/>
    <w:rsid w:val="6B771B4A"/>
    <w:rsid w:val="6B8404EB"/>
    <w:rsid w:val="6B995DC7"/>
    <w:rsid w:val="6BC41409"/>
    <w:rsid w:val="6BCA7D47"/>
    <w:rsid w:val="6BCC33F8"/>
    <w:rsid w:val="6BCF0E3E"/>
    <w:rsid w:val="6BD91AAD"/>
    <w:rsid w:val="6BDC319B"/>
    <w:rsid w:val="6BDC56DE"/>
    <w:rsid w:val="6BE165AE"/>
    <w:rsid w:val="6C042FCD"/>
    <w:rsid w:val="6C0B0EF6"/>
    <w:rsid w:val="6C1D70CF"/>
    <w:rsid w:val="6C375151"/>
    <w:rsid w:val="6C5A499B"/>
    <w:rsid w:val="6C6C4EF1"/>
    <w:rsid w:val="6C7672FB"/>
    <w:rsid w:val="6C7F08A6"/>
    <w:rsid w:val="6CA247C8"/>
    <w:rsid w:val="6CC4275D"/>
    <w:rsid w:val="6CC811C8"/>
    <w:rsid w:val="6CD52274"/>
    <w:rsid w:val="6CF97063"/>
    <w:rsid w:val="6D21195D"/>
    <w:rsid w:val="6D864CDF"/>
    <w:rsid w:val="6D8B6DD7"/>
    <w:rsid w:val="6DB74FDB"/>
    <w:rsid w:val="6DEC6921"/>
    <w:rsid w:val="6E1020BD"/>
    <w:rsid w:val="6E2B7982"/>
    <w:rsid w:val="6E607369"/>
    <w:rsid w:val="6EBA62DE"/>
    <w:rsid w:val="6ED13200"/>
    <w:rsid w:val="6EEA46FD"/>
    <w:rsid w:val="6F1C418A"/>
    <w:rsid w:val="6F2E0528"/>
    <w:rsid w:val="6F307C36"/>
    <w:rsid w:val="6F4162E7"/>
    <w:rsid w:val="6F420EF4"/>
    <w:rsid w:val="6F926F49"/>
    <w:rsid w:val="6FA26D85"/>
    <w:rsid w:val="6FAA79E8"/>
    <w:rsid w:val="7056191E"/>
    <w:rsid w:val="70586CB5"/>
    <w:rsid w:val="705E4F6B"/>
    <w:rsid w:val="70B14DA6"/>
    <w:rsid w:val="70D72A5F"/>
    <w:rsid w:val="70D95624"/>
    <w:rsid w:val="70E36080"/>
    <w:rsid w:val="70EE1A61"/>
    <w:rsid w:val="70F829D5"/>
    <w:rsid w:val="70FF70A3"/>
    <w:rsid w:val="71313949"/>
    <w:rsid w:val="713619F4"/>
    <w:rsid w:val="71410D84"/>
    <w:rsid w:val="71431D83"/>
    <w:rsid w:val="715355C9"/>
    <w:rsid w:val="716C6446"/>
    <w:rsid w:val="719E7D41"/>
    <w:rsid w:val="71A86EFD"/>
    <w:rsid w:val="71AD7E9F"/>
    <w:rsid w:val="71B903B6"/>
    <w:rsid w:val="71D21138"/>
    <w:rsid w:val="71D31517"/>
    <w:rsid w:val="721101F2"/>
    <w:rsid w:val="721A6929"/>
    <w:rsid w:val="725837C7"/>
    <w:rsid w:val="728C4004"/>
    <w:rsid w:val="72944DF6"/>
    <w:rsid w:val="729C3F60"/>
    <w:rsid w:val="729F135A"/>
    <w:rsid w:val="72C45265"/>
    <w:rsid w:val="72D609D7"/>
    <w:rsid w:val="72EF50A6"/>
    <w:rsid w:val="72F86B4E"/>
    <w:rsid w:val="72F86CBC"/>
    <w:rsid w:val="731406FB"/>
    <w:rsid w:val="733B1948"/>
    <w:rsid w:val="73502252"/>
    <w:rsid w:val="73830C7C"/>
    <w:rsid w:val="73F73418"/>
    <w:rsid w:val="741714DE"/>
    <w:rsid w:val="741F53A0"/>
    <w:rsid w:val="742C1313"/>
    <w:rsid w:val="744F62C5"/>
    <w:rsid w:val="74526697"/>
    <w:rsid w:val="748205CB"/>
    <w:rsid w:val="74A25132"/>
    <w:rsid w:val="74C57D45"/>
    <w:rsid w:val="751469A8"/>
    <w:rsid w:val="75270280"/>
    <w:rsid w:val="75322DD8"/>
    <w:rsid w:val="75722DB1"/>
    <w:rsid w:val="757A1C0A"/>
    <w:rsid w:val="75857008"/>
    <w:rsid w:val="759727BC"/>
    <w:rsid w:val="75AD3D8E"/>
    <w:rsid w:val="75AE64BE"/>
    <w:rsid w:val="75FA2718"/>
    <w:rsid w:val="75FF1007"/>
    <w:rsid w:val="760722CC"/>
    <w:rsid w:val="760E58D6"/>
    <w:rsid w:val="762A7BF5"/>
    <w:rsid w:val="7640420A"/>
    <w:rsid w:val="764861AD"/>
    <w:rsid w:val="766A1FB1"/>
    <w:rsid w:val="76AE64E0"/>
    <w:rsid w:val="76C74511"/>
    <w:rsid w:val="76CB565B"/>
    <w:rsid w:val="76E9529A"/>
    <w:rsid w:val="76F105F2"/>
    <w:rsid w:val="76F53C05"/>
    <w:rsid w:val="76F93DFD"/>
    <w:rsid w:val="7703385C"/>
    <w:rsid w:val="772A140E"/>
    <w:rsid w:val="773A78A3"/>
    <w:rsid w:val="774618A0"/>
    <w:rsid w:val="775315C2"/>
    <w:rsid w:val="777059BB"/>
    <w:rsid w:val="77813435"/>
    <w:rsid w:val="778154D2"/>
    <w:rsid w:val="778B45A3"/>
    <w:rsid w:val="779A47E6"/>
    <w:rsid w:val="77AD4519"/>
    <w:rsid w:val="77D23F80"/>
    <w:rsid w:val="77E65C7D"/>
    <w:rsid w:val="7833439E"/>
    <w:rsid w:val="78393FFF"/>
    <w:rsid w:val="78471F36"/>
    <w:rsid w:val="78670B6C"/>
    <w:rsid w:val="78852989"/>
    <w:rsid w:val="78EF2C12"/>
    <w:rsid w:val="78F5286B"/>
    <w:rsid w:val="791365FE"/>
    <w:rsid w:val="79246A5D"/>
    <w:rsid w:val="79675CFF"/>
    <w:rsid w:val="79876FEC"/>
    <w:rsid w:val="79A05F57"/>
    <w:rsid w:val="79AA674E"/>
    <w:rsid w:val="79B95367"/>
    <w:rsid w:val="79BD5AFC"/>
    <w:rsid w:val="79C81472"/>
    <w:rsid w:val="79D97CE5"/>
    <w:rsid w:val="79F34C45"/>
    <w:rsid w:val="7A0917AF"/>
    <w:rsid w:val="7A170370"/>
    <w:rsid w:val="7A1A6695"/>
    <w:rsid w:val="7A236D15"/>
    <w:rsid w:val="7A2D7B93"/>
    <w:rsid w:val="7A4A5703"/>
    <w:rsid w:val="7A521057"/>
    <w:rsid w:val="7A58207D"/>
    <w:rsid w:val="7A666C01"/>
    <w:rsid w:val="7A711F99"/>
    <w:rsid w:val="7A9235AF"/>
    <w:rsid w:val="7A94551C"/>
    <w:rsid w:val="7A9B2D4F"/>
    <w:rsid w:val="7AA315F1"/>
    <w:rsid w:val="7AFA19DE"/>
    <w:rsid w:val="7B2F16E9"/>
    <w:rsid w:val="7B3137A6"/>
    <w:rsid w:val="7B354F51"/>
    <w:rsid w:val="7B542E0B"/>
    <w:rsid w:val="7B647611"/>
    <w:rsid w:val="7B9E7492"/>
    <w:rsid w:val="7BB120FE"/>
    <w:rsid w:val="7BB73BB8"/>
    <w:rsid w:val="7BC17938"/>
    <w:rsid w:val="7BD059FA"/>
    <w:rsid w:val="7BD11589"/>
    <w:rsid w:val="7BD925C6"/>
    <w:rsid w:val="7C320AAE"/>
    <w:rsid w:val="7C422600"/>
    <w:rsid w:val="7C46246B"/>
    <w:rsid w:val="7C4E5B9F"/>
    <w:rsid w:val="7C50202C"/>
    <w:rsid w:val="7C5B54A1"/>
    <w:rsid w:val="7C741AA9"/>
    <w:rsid w:val="7C8F243F"/>
    <w:rsid w:val="7C9330F7"/>
    <w:rsid w:val="7CAB078B"/>
    <w:rsid w:val="7D02035A"/>
    <w:rsid w:val="7D21599B"/>
    <w:rsid w:val="7D4C007B"/>
    <w:rsid w:val="7D4E22FA"/>
    <w:rsid w:val="7D7653AD"/>
    <w:rsid w:val="7D853842"/>
    <w:rsid w:val="7D8E26F7"/>
    <w:rsid w:val="7D9C12B8"/>
    <w:rsid w:val="7DC73E5B"/>
    <w:rsid w:val="7E182384"/>
    <w:rsid w:val="7E2D1F10"/>
    <w:rsid w:val="7E31202A"/>
    <w:rsid w:val="7E4554E8"/>
    <w:rsid w:val="7E492AC2"/>
    <w:rsid w:val="7E49707C"/>
    <w:rsid w:val="7E543C85"/>
    <w:rsid w:val="7E5B077B"/>
    <w:rsid w:val="7EBF2AEE"/>
    <w:rsid w:val="7ED21BE2"/>
    <w:rsid w:val="7ED405DD"/>
    <w:rsid w:val="7EDC1B88"/>
    <w:rsid w:val="7EDE0D97"/>
    <w:rsid w:val="7EED78F1"/>
    <w:rsid w:val="7EF24F07"/>
    <w:rsid w:val="7EFC7D41"/>
    <w:rsid w:val="7F0013D2"/>
    <w:rsid w:val="7F093ABB"/>
    <w:rsid w:val="7F3C597F"/>
    <w:rsid w:val="7F777F24"/>
    <w:rsid w:val="7F882F4E"/>
    <w:rsid w:val="7FCB5E84"/>
    <w:rsid w:val="7FD30895"/>
    <w:rsid w:val="7FD75B2A"/>
    <w:rsid w:val="7FF86D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直接箭头连接符 8"/>
        <o:r id="V:Rule2" type="connector" idref="#直接箭头连接符 9"/>
        <o:r id="V:Rule3" type="connector" idref="#直接箭头连接符 18"/>
        <o:r id="V:Rule4" type="connector" idref="#直接箭头连接符 12"/>
        <o:r id="V:Rule5" type="connector" idref="#直接箭头连接符 16"/>
        <o:r id="V:Rule6" type="connector" idref="#直接箭头连接符 6"/>
        <o:r id="V:Rule7" type="connector" idref="#直接箭头连接符 11"/>
        <o:r id="V:Rule8" type="connector" idref="#直接箭头连接符 10"/>
        <o:r id="V:Rule9" type="connector" idref="#直接箭头连接符 17"/>
        <o:r id="V:Rule10" type="connector" idref="#直接箭头连接符 13"/>
        <o:r id="V:Rule11" type="connector" idref="#直接箭头连接符 14"/>
        <o:r id="V:Rule12" type="connector" idref="#直接箭头连接符 7"/>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numPr>
        <w:ilvl w:val="1"/>
        <w:numId w:val="1"/>
      </w:numPr>
      <w:adjustRightInd w:val="0"/>
      <w:snapToGrid w:val="0"/>
      <w:spacing w:before="156" w:after="156" w:line="360" w:lineRule="auto"/>
      <w:outlineLvl w:val="1"/>
    </w:pPr>
    <w:rPr>
      <w:rFonts w:ascii="Cambria" w:hAnsi="Cambria"/>
      <w:b/>
      <w:bCs/>
      <w:kern w:val="0"/>
      <w:sz w:val="32"/>
      <w:szCs w:val="32"/>
    </w:rPr>
  </w:style>
  <w:style w:type="paragraph" w:styleId="4">
    <w:name w:val="heading 3"/>
    <w:basedOn w:val="1"/>
    <w:next w:val="5"/>
    <w:link w:val="48"/>
    <w:autoRedefine/>
    <w:qFormat/>
    <w:uiPriority w:val="0"/>
    <w:pPr>
      <w:keepNext/>
      <w:keepLines/>
      <w:spacing w:before="260" w:after="260" w:line="416" w:lineRule="auto"/>
      <w:outlineLvl w:val="2"/>
    </w:pPr>
    <w:rPr>
      <w:b/>
      <w:kern w:val="0"/>
      <w:sz w:val="32"/>
      <w:szCs w:val="20"/>
    </w:rPr>
  </w:style>
  <w:style w:type="paragraph" w:styleId="6">
    <w:name w:val="heading 4"/>
    <w:basedOn w:val="1"/>
    <w:next w:val="1"/>
    <w:autoRedefine/>
    <w:qFormat/>
    <w:uiPriority w:val="0"/>
    <w:pPr>
      <w:keepNext/>
      <w:keepLines/>
      <w:numPr>
        <w:ilvl w:val="3"/>
        <w:numId w:val="2"/>
      </w:numPr>
      <w:spacing w:before="280" w:after="290" w:line="376" w:lineRule="auto"/>
      <w:outlineLvl w:val="3"/>
    </w:pPr>
    <w:rPr>
      <w:rFonts w:ascii="Cambria" w:hAnsi="Cambria"/>
      <w:b/>
      <w:bCs/>
      <w:sz w:val="28"/>
      <w:szCs w:val="28"/>
    </w:rPr>
  </w:style>
  <w:style w:type="paragraph" w:styleId="7">
    <w:name w:val="heading 5"/>
    <w:basedOn w:val="1"/>
    <w:next w:val="1"/>
    <w:link w:val="49"/>
    <w:autoRedefine/>
    <w:qFormat/>
    <w:uiPriority w:val="0"/>
    <w:pPr>
      <w:keepNext/>
      <w:keepLines/>
      <w:widowControl/>
      <w:spacing w:before="280" w:after="290" w:line="376" w:lineRule="auto"/>
      <w:jc w:val="left"/>
      <w:outlineLvl w:val="4"/>
    </w:pPr>
    <w:rPr>
      <w:b/>
      <w:bCs/>
      <w:kern w:val="0"/>
      <w:sz w:val="28"/>
      <w:szCs w:val="28"/>
    </w:rPr>
  </w:style>
  <w:style w:type="paragraph" w:styleId="8">
    <w:name w:val="heading 6"/>
    <w:basedOn w:val="1"/>
    <w:next w:val="1"/>
    <w:link w:val="50"/>
    <w:autoRedefine/>
    <w:qFormat/>
    <w:uiPriority w:val="9"/>
    <w:pPr>
      <w:keepNext/>
      <w:keepLines/>
      <w:numPr>
        <w:ilvl w:val="5"/>
        <w:numId w:val="1"/>
      </w:numPr>
      <w:adjustRightInd w:val="0"/>
      <w:snapToGrid w:val="0"/>
      <w:spacing w:before="120" w:after="64" w:line="300" w:lineRule="auto"/>
      <w:outlineLvl w:val="5"/>
    </w:pPr>
    <w:rPr>
      <w:rFonts w:ascii="Arial" w:hAnsi="Arial"/>
      <w:bCs/>
      <w:kern w:val="0"/>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47"/>
    <w:autoRedefine/>
    <w:qFormat/>
    <w:uiPriority w:val="0"/>
    <w:pPr>
      <w:ind w:firstLine="420"/>
    </w:pPr>
    <w:rPr>
      <w:rFonts w:eastAsia="楷体_GB2312"/>
      <w:kern w:val="0"/>
      <w:sz w:val="24"/>
      <w:szCs w:val="20"/>
    </w:rPr>
  </w:style>
  <w:style w:type="paragraph" w:styleId="9">
    <w:name w:val="table of authorities"/>
    <w:basedOn w:val="1"/>
    <w:next w:val="1"/>
    <w:autoRedefine/>
    <w:unhideWhenUsed/>
    <w:qFormat/>
    <w:uiPriority w:val="99"/>
    <w:pPr>
      <w:ind w:left="420" w:leftChars="200"/>
    </w:pPr>
  </w:style>
  <w:style w:type="paragraph" w:styleId="10">
    <w:name w:val="Document Map"/>
    <w:basedOn w:val="1"/>
    <w:next w:val="11"/>
    <w:autoRedefine/>
    <w:qFormat/>
    <w:uiPriority w:val="0"/>
    <w:rPr>
      <w:rFonts w:ascii="宋体"/>
      <w:kern w:val="0"/>
      <w:sz w:val="18"/>
      <w:szCs w:val="18"/>
    </w:rPr>
  </w:style>
  <w:style w:type="paragraph" w:styleId="11">
    <w:name w:val="annotation subject"/>
    <w:basedOn w:val="12"/>
    <w:next w:val="1"/>
    <w:link w:val="60"/>
    <w:autoRedefine/>
    <w:qFormat/>
    <w:uiPriority w:val="0"/>
    <w:rPr>
      <w:b/>
      <w:bCs/>
    </w:rPr>
  </w:style>
  <w:style w:type="paragraph" w:styleId="12">
    <w:name w:val="annotation text"/>
    <w:basedOn w:val="1"/>
    <w:link w:val="51"/>
    <w:autoRedefine/>
    <w:qFormat/>
    <w:uiPriority w:val="0"/>
    <w:pPr>
      <w:jc w:val="left"/>
    </w:pPr>
  </w:style>
  <w:style w:type="paragraph" w:styleId="13">
    <w:name w:val="Body Text"/>
    <w:basedOn w:val="1"/>
    <w:link w:val="52"/>
    <w:autoRedefine/>
    <w:unhideWhenUsed/>
    <w:qFormat/>
    <w:uiPriority w:val="99"/>
    <w:pPr>
      <w:spacing w:after="120"/>
    </w:pPr>
    <w:rPr>
      <w:kern w:val="0"/>
      <w:sz w:val="20"/>
    </w:rPr>
  </w:style>
  <w:style w:type="paragraph" w:styleId="14">
    <w:name w:val="Body Text Indent"/>
    <w:basedOn w:val="1"/>
    <w:next w:val="1"/>
    <w:link w:val="44"/>
    <w:autoRedefine/>
    <w:qFormat/>
    <w:uiPriority w:val="0"/>
    <w:pPr>
      <w:spacing w:line="360" w:lineRule="auto"/>
      <w:ind w:firstLine="425"/>
    </w:pPr>
    <w:rPr>
      <w:sz w:val="24"/>
    </w:rPr>
  </w:style>
  <w:style w:type="paragraph" w:styleId="15">
    <w:name w:val="Block Text"/>
    <w:basedOn w:val="2"/>
    <w:next w:val="1"/>
    <w:autoRedefine/>
    <w:qFormat/>
    <w:uiPriority w:val="0"/>
    <w:pPr>
      <w:adjustRightInd w:val="0"/>
      <w:spacing w:line="360" w:lineRule="auto"/>
      <w:ind w:left="630" w:right="-609" w:firstLine="420"/>
    </w:pPr>
    <w:rPr>
      <w:rFonts w:hint="eastAsia" w:ascii="仿宋_GB2312" w:eastAsia="仿宋_GB2312"/>
      <w:kern w:val="0"/>
      <w:szCs w:val="20"/>
    </w:rPr>
  </w:style>
  <w:style w:type="paragraph" w:styleId="16">
    <w:name w:val="Plain Text"/>
    <w:basedOn w:val="1"/>
    <w:link w:val="53"/>
    <w:autoRedefine/>
    <w:qFormat/>
    <w:uiPriority w:val="0"/>
    <w:rPr>
      <w:rFonts w:ascii="宋体" w:hAnsi="Courier New" w:eastAsia="楷体_GB2312"/>
      <w:kern w:val="0"/>
      <w:sz w:val="26"/>
    </w:rPr>
  </w:style>
  <w:style w:type="paragraph" w:styleId="17">
    <w:name w:val="Date"/>
    <w:basedOn w:val="1"/>
    <w:next w:val="1"/>
    <w:link w:val="54"/>
    <w:autoRedefine/>
    <w:qFormat/>
    <w:uiPriority w:val="0"/>
    <w:rPr>
      <w:b/>
      <w:bCs/>
      <w:spacing w:val="20"/>
      <w:kern w:val="0"/>
      <w:sz w:val="20"/>
    </w:rPr>
  </w:style>
  <w:style w:type="paragraph" w:styleId="18">
    <w:name w:val="Balloon Text"/>
    <w:basedOn w:val="1"/>
    <w:link w:val="55"/>
    <w:autoRedefine/>
    <w:qFormat/>
    <w:uiPriority w:val="0"/>
    <w:rPr>
      <w:kern w:val="0"/>
      <w:sz w:val="18"/>
      <w:szCs w:val="18"/>
    </w:rPr>
  </w:style>
  <w:style w:type="paragraph" w:styleId="19">
    <w:name w:val="footer"/>
    <w:basedOn w:val="1"/>
    <w:link w:val="56"/>
    <w:autoRedefine/>
    <w:qFormat/>
    <w:uiPriority w:val="99"/>
    <w:pPr>
      <w:tabs>
        <w:tab w:val="center" w:pos="4153"/>
        <w:tab w:val="right" w:pos="8306"/>
      </w:tabs>
      <w:snapToGrid w:val="0"/>
      <w:jc w:val="left"/>
    </w:pPr>
    <w:rPr>
      <w:kern w:val="0"/>
      <w:sz w:val="18"/>
      <w:szCs w:val="18"/>
    </w:rPr>
  </w:style>
  <w:style w:type="paragraph" w:styleId="20">
    <w:name w:val="envelope return"/>
    <w:basedOn w:val="1"/>
    <w:autoRedefine/>
    <w:qFormat/>
    <w:uiPriority w:val="0"/>
    <w:pPr>
      <w:snapToGrid w:val="0"/>
    </w:pPr>
    <w:rPr>
      <w:rFonts w:ascii="Arial" w:hAnsi="Arial" w:eastAsia="楷体_GB2312"/>
      <w:sz w:val="26"/>
    </w:rPr>
  </w:style>
  <w:style w:type="paragraph" w:styleId="21">
    <w:name w:val="header"/>
    <w:basedOn w:val="1"/>
    <w:link w:val="57"/>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autoRedefine/>
    <w:qFormat/>
    <w:uiPriority w:val="0"/>
    <w:pPr>
      <w:adjustRightInd w:val="0"/>
      <w:jc w:val="left"/>
    </w:pPr>
    <w:rPr>
      <w:rFonts w:eastAsia="楷体_GB2312"/>
      <w:sz w:val="24"/>
      <w:szCs w:val="20"/>
    </w:rPr>
  </w:style>
  <w:style w:type="paragraph" w:styleId="23">
    <w:name w:val="toc 4"/>
    <w:basedOn w:val="1"/>
    <w:next w:val="1"/>
    <w:autoRedefine/>
    <w:qFormat/>
    <w:uiPriority w:val="0"/>
    <w:pPr>
      <w:ind w:left="1260" w:leftChars="600"/>
    </w:pPr>
  </w:style>
  <w:style w:type="paragraph" w:styleId="24">
    <w:name w:val="Subtitle"/>
    <w:basedOn w:val="1"/>
    <w:next w:val="1"/>
    <w:link w:val="58"/>
    <w:autoRedefine/>
    <w:qFormat/>
    <w:uiPriority w:val="0"/>
    <w:pPr>
      <w:spacing w:before="240" w:after="60" w:line="312" w:lineRule="auto"/>
      <w:jc w:val="center"/>
      <w:outlineLvl w:val="1"/>
    </w:pPr>
    <w:rPr>
      <w:rFonts w:ascii="宋体" w:hAnsi="Courier New" w:eastAsia="楷体_GB2312"/>
      <w:sz w:val="26"/>
      <w:szCs w:val="20"/>
    </w:rPr>
  </w:style>
  <w:style w:type="paragraph" w:styleId="25">
    <w:name w:val="footnote text"/>
    <w:basedOn w:val="2"/>
    <w:next w:val="15"/>
    <w:autoRedefine/>
    <w:qFormat/>
    <w:uiPriority w:val="0"/>
    <w:pPr>
      <w:spacing w:before="0" w:after="0" w:line="360" w:lineRule="auto"/>
      <w:ind w:firstLine="3584"/>
    </w:pPr>
  </w:style>
  <w:style w:type="paragraph" w:styleId="26">
    <w:name w:val="Body Text Indent 3"/>
    <w:basedOn w:val="1"/>
    <w:link w:val="59"/>
    <w:autoRedefine/>
    <w:qFormat/>
    <w:uiPriority w:val="0"/>
    <w:pPr>
      <w:spacing w:line="440" w:lineRule="atLeast"/>
      <w:ind w:firstLine="480" w:firstLineChars="200"/>
      <w:jc w:val="left"/>
    </w:pPr>
    <w:rPr>
      <w:kern w:val="0"/>
      <w:sz w:val="24"/>
    </w:rPr>
  </w:style>
  <w:style w:type="paragraph" w:styleId="27">
    <w:name w:val="Normal (Web)"/>
    <w:basedOn w:val="1"/>
    <w:autoRedefine/>
    <w:qFormat/>
    <w:uiPriority w:val="99"/>
    <w:pPr>
      <w:spacing w:beforeAutospacing="1" w:afterAutospacing="1"/>
      <w:jc w:val="left"/>
    </w:pPr>
    <w:rPr>
      <w:kern w:val="0"/>
      <w:sz w:val="24"/>
    </w:rPr>
  </w:style>
  <w:style w:type="paragraph" w:styleId="28">
    <w:name w:val="Body Text First Indent"/>
    <w:basedOn w:val="13"/>
    <w:next w:val="1"/>
    <w:autoRedefine/>
    <w:qFormat/>
    <w:uiPriority w:val="0"/>
    <w:pPr>
      <w:ind w:firstLine="420" w:firstLineChars="100"/>
    </w:pPr>
  </w:style>
  <w:style w:type="paragraph" w:styleId="29">
    <w:name w:val="Body Text First Indent 2"/>
    <w:basedOn w:val="14"/>
    <w:autoRedefine/>
    <w:qFormat/>
    <w:uiPriority w:val="0"/>
    <w:pPr>
      <w:spacing w:after="120" w:line="240" w:lineRule="auto"/>
      <w:ind w:left="420" w:firstLine="210"/>
    </w:pPr>
    <w:rPr>
      <w:rFonts w:eastAsia="仿宋_GB2312"/>
      <w:sz w:val="30"/>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0"/>
    <w:rPr>
      <w:rFonts w:ascii="Calibri" w:hAnsi="Calibri" w:eastAsia="宋体" w:cs="Times New Roman"/>
      <w:b/>
    </w:rPr>
  </w:style>
  <w:style w:type="character" w:styleId="34">
    <w:name w:val="FollowedHyperlink"/>
    <w:autoRedefine/>
    <w:qFormat/>
    <w:uiPriority w:val="0"/>
    <w:rPr>
      <w:color w:val="337AB7"/>
      <w:u w:val="none"/>
    </w:rPr>
  </w:style>
  <w:style w:type="character" w:styleId="35">
    <w:name w:val="Emphasis"/>
    <w:qFormat/>
    <w:uiPriority w:val="0"/>
    <w:rPr>
      <w:i/>
    </w:rPr>
  </w:style>
  <w:style w:type="character" w:styleId="36">
    <w:name w:val="HTML Definition"/>
    <w:autoRedefine/>
    <w:qFormat/>
    <w:uiPriority w:val="0"/>
    <w:rPr>
      <w:i/>
    </w:rPr>
  </w:style>
  <w:style w:type="character" w:styleId="37">
    <w:name w:val="Hyperlink"/>
    <w:basedOn w:val="32"/>
    <w:autoRedefine/>
    <w:qFormat/>
    <w:uiPriority w:val="0"/>
    <w:rPr>
      <w:color w:val="337AB7"/>
      <w:u w:val="none"/>
    </w:rPr>
  </w:style>
  <w:style w:type="character" w:styleId="38">
    <w:name w:val="HTML Code"/>
    <w:autoRedefine/>
    <w:qFormat/>
    <w:uiPriority w:val="0"/>
    <w:rPr>
      <w:rFonts w:hint="default" w:ascii="Consolas" w:hAnsi="Consolas" w:eastAsia="Consolas" w:cs="Consolas"/>
      <w:color w:val="C7254E"/>
      <w:sz w:val="21"/>
      <w:szCs w:val="21"/>
      <w:shd w:val="clear" w:color="auto" w:fill="F9F2F4"/>
    </w:rPr>
  </w:style>
  <w:style w:type="character" w:styleId="39">
    <w:name w:val="annotation reference"/>
    <w:autoRedefine/>
    <w:qFormat/>
    <w:uiPriority w:val="0"/>
    <w:rPr>
      <w:rFonts w:ascii="Calibri" w:hAnsi="Calibri" w:eastAsia="宋体" w:cs="Times New Roman"/>
      <w:sz w:val="21"/>
      <w:szCs w:val="21"/>
    </w:rPr>
  </w:style>
  <w:style w:type="character" w:styleId="40">
    <w:name w:val="HTML Keyboard"/>
    <w:autoRedefine/>
    <w:qFormat/>
    <w:uiPriority w:val="0"/>
    <w:rPr>
      <w:rFonts w:ascii="Consolas" w:hAnsi="Consolas" w:eastAsia="Consolas" w:cs="Consolas"/>
      <w:color w:val="FFFFFF"/>
      <w:sz w:val="21"/>
      <w:szCs w:val="21"/>
      <w:shd w:val="clear" w:color="auto" w:fill="333333"/>
    </w:rPr>
  </w:style>
  <w:style w:type="character" w:styleId="41">
    <w:name w:val="HTML Sample"/>
    <w:autoRedefine/>
    <w:qFormat/>
    <w:uiPriority w:val="0"/>
    <w:rPr>
      <w:rFonts w:hint="default" w:ascii="Consolas" w:hAnsi="Consolas" w:eastAsia="Consolas" w:cs="Consolas"/>
      <w:sz w:val="21"/>
      <w:szCs w:val="21"/>
    </w:rPr>
  </w:style>
  <w:style w:type="paragraph" w:customStyle="1" w:styleId="42">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lang w:val="en-US" w:eastAsia="zh-CN" w:bidi="ar-SA"/>
    </w:rPr>
  </w:style>
  <w:style w:type="paragraph" w:customStyle="1" w:styleId="43">
    <w:name w:val="首行缩进"/>
    <w:basedOn w:val="1"/>
    <w:autoRedefine/>
    <w:qFormat/>
    <w:uiPriority w:val="99"/>
    <w:pPr>
      <w:ind w:firstLine="480" w:firstLineChars="200"/>
    </w:pPr>
    <w:rPr>
      <w:szCs w:val="20"/>
      <w:lang w:val="zh-CN"/>
    </w:rPr>
  </w:style>
  <w:style w:type="character" w:customStyle="1" w:styleId="44">
    <w:name w:val="正文文本缩进 Char"/>
    <w:basedOn w:val="32"/>
    <w:link w:val="14"/>
    <w:autoRedefine/>
    <w:qFormat/>
    <w:uiPriority w:val="0"/>
    <w:rPr>
      <w:rFonts w:ascii="Times New Roman" w:hAnsi="Times New Roman" w:eastAsia="宋体" w:cs="Times New Roman"/>
      <w:sz w:val="24"/>
      <w:szCs w:val="24"/>
    </w:rPr>
  </w:style>
  <w:style w:type="character" w:customStyle="1" w:styleId="45">
    <w:name w:val="标题 1 Char"/>
    <w:basedOn w:val="32"/>
    <w:link w:val="2"/>
    <w:autoRedefine/>
    <w:qFormat/>
    <w:uiPriority w:val="0"/>
    <w:rPr>
      <w:rFonts w:ascii="Times New Roman" w:hAnsi="Times New Roman" w:eastAsia="宋体" w:cs="Times New Roman"/>
      <w:b/>
      <w:bCs/>
      <w:kern w:val="44"/>
      <w:sz w:val="44"/>
      <w:szCs w:val="44"/>
    </w:rPr>
  </w:style>
  <w:style w:type="character" w:customStyle="1" w:styleId="46">
    <w:name w:val="标题 2 Char"/>
    <w:basedOn w:val="32"/>
    <w:link w:val="3"/>
    <w:autoRedefine/>
    <w:qFormat/>
    <w:uiPriority w:val="0"/>
    <w:rPr>
      <w:rFonts w:ascii="Cambria" w:hAnsi="Cambria" w:eastAsia="宋体" w:cs="Times New Roman"/>
      <w:b/>
      <w:bCs/>
      <w:kern w:val="0"/>
      <w:sz w:val="32"/>
      <w:szCs w:val="32"/>
    </w:rPr>
  </w:style>
  <w:style w:type="character" w:customStyle="1" w:styleId="47">
    <w:name w:val="正文缩进 Char"/>
    <w:link w:val="5"/>
    <w:autoRedefine/>
    <w:qFormat/>
    <w:uiPriority w:val="0"/>
    <w:rPr>
      <w:rFonts w:ascii="Times New Roman" w:hAnsi="Times New Roman" w:eastAsia="楷体_GB2312" w:cs="Times New Roman"/>
      <w:kern w:val="0"/>
      <w:sz w:val="24"/>
      <w:szCs w:val="20"/>
    </w:rPr>
  </w:style>
  <w:style w:type="character" w:customStyle="1" w:styleId="48">
    <w:name w:val="标题 3 Char"/>
    <w:basedOn w:val="32"/>
    <w:link w:val="4"/>
    <w:autoRedefine/>
    <w:qFormat/>
    <w:uiPriority w:val="0"/>
    <w:rPr>
      <w:rFonts w:ascii="Times New Roman" w:hAnsi="Times New Roman" w:eastAsia="宋体" w:cs="Times New Roman"/>
      <w:b/>
      <w:kern w:val="0"/>
      <w:sz w:val="32"/>
      <w:szCs w:val="20"/>
    </w:rPr>
  </w:style>
  <w:style w:type="character" w:customStyle="1" w:styleId="49">
    <w:name w:val="标题 5 Char"/>
    <w:basedOn w:val="32"/>
    <w:link w:val="7"/>
    <w:autoRedefine/>
    <w:qFormat/>
    <w:uiPriority w:val="0"/>
    <w:rPr>
      <w:rFonts w:ascii="Times New Roman" w:hAnsi="Times New Roman" w:eastAsia="宋体" w:cs="Times New Roman"/>
      <w:b/>
      <w:bCs/>
      <w:kern w:val="0"/>
      <w:sz w:val="28"/>
      <w:szCs w:val="28"/>
    </w:rPr>
  </w:style>
  <w:style w:type="character" w:customStyle="1" w:styleId="50">
    <w:name w:val="标题 6 Char"/>
    <w:basedOn w:val="32"/>
    <w:link w:val="8"/>
    <w:autoRedefine/>
    <w:qFormat/>
    <w:uiPriority w:val="9"/>
    <w:rPr>
      <w:rFonts w:ascii="Arial" w:hAnsi="Arial" w:eastAsia="宋体" w:cs="Times New Roman"/>
      <w:bCs/>
      <w:kern w:val="0"/>
      <w:sz w:val="24"/>
      <w:szCs w:val="24"/>
    </w:rPr>
  </w:style>
  <w:style w:type="character" w:customStyle="1" w:styleId="51">
    <w:name w:val="批注文字 Char"/>
    <w:basedOn w:val="32"/>
    <w:link w:val="12"/>
    <w:autoRedefine/>
    <w:qFormat/>
    <w:uiPriority w:val="0"/>
    <w:rPr>
      <w:rFonts w:ascii="Times New Roman" w:hAnsi="Times New Roman" w:eastAsia="宋体" w:cs="Times New Roman"/>
      <w:szCs w:val="24"/>
    </w:rPr>
  </w:style>
  <w:style w:type="character" w:customStyle="1" w:styleId="52">
    <w:name w:val="正文文本 Char1"/>
    <w:basedOn w:val="32"/>
    <w:link w:val="13"/>
    <w:autoRedefine/>
    <w:qFormat/>
    <w:uiPriority w:val="99"/>
    <w:rPr>
      <w:rFonts w:ascii="Times New Roman" w:hAnsi="Times New Roman" w:eastAsia="宋体" w:cs="Times New Roman"/>
      <w:kern w:val="0"/>
      <w:sz w:val="20"/>
      <w:szCs w:val="24"/>
    </w:rPr>
  </w:style>
  <w:style w:type="character" w:customStyle="1" w:styleId="53">
    <w:name w:val="纯文本 Char1"/>
    <w:basedOn w:val="32"/>
    <w:link w:val="16"/>
    <w:autoRedefine/>
    <w:qFormat/>
    <w:uiPriority w:val="0"/>
    <w:rPr>
      <w:rFonts w:ascii="宋体" w:hAnsi="Courier New" w:eastAsia="楷体_GB2312" w:cs="Times New Roman"/>
      <w:kern w:val="0"/>
      <w:sz w:val="26"/>
      <w:szCs w:val="24"/>
    </w:rPr>
  </w:style>
  <w:style w:type="character" w:customStyle="1" w:styleId="54">
    <w:name w:val="日期 Char"/>
    <w:basedOn w:val="32"/>
    <w:link w:val="17"/>
    <w:autoRedefine/>
    <w:qFormat/>
    <w:uiPriority w:val="0"/>
    <w:rPr>
      <w:rFonts w:ascii="Times New Roman" w:hAnsi="Times New Roman" w:eastAsia="宋体" w:cs="Times New Roman"/>
      <w:b/>
      <w:bCs/>
      <w:spacing w:val="20"/>
      <w:kern w:val="0"/>
      <w:sz w:val="20"/>
      <w:szCs w:val="24"/>
    </w:rPr>
  </w:style>
  <w:style w:type="character" w:customStyle="1" w:styleId="55">
    <w:name w:val="批注框文本 Char"/>
    <w:basedOn w:val="32"/>
    <w:link w:val="18"/>
    <w:autoRedefine/>
    <w:qFormat/>
    <w:uiPriority w:val="0"/>
    <w:rPr>
      <w:rFonts w:ascii="Times New Roman" w:hAnsi="Times New Roman" w:eastAsia="宋体" w:cs="Times New Roman"/>
      <w:kern w:val="0"/>
      <w:sz w:val="18"/>
      <w:szCs w:val="18"/>
    </w:rPr>
  </w:style>
  <w:style w:type="character" w:customStyle="1" w:styleId="56">
    <w:name w:val="页脚 Char"/>
    <w:basedOn w:val="32"/>
    <w:link w:val="19"/>
    <w:autoRedefine/>
    <w:qFormat/>
    <w:uiPriority w:val="99"/>
    <w:rPr>
      <w:rFonts w:ascii="Times New Roman" w:hAnsi="Times New Roman" w:eastAsia="宋体" w:cs="Times New Roman"/>
      <w:kern w:val="0"/>
      <w:sz w:val="18"/>
      <w:szCs w:val="18"/>
    </w:rPr>
  </w:style>
  <w:style w:type="character" w:customStyle="1" w:styleId="57">
    <w:name w:val="页眉 Char"/>
    <w:basedOn w:val="32"/>
    <w:link w:val="21"/>
    <w:autoRedefine/>
    <w:qFormat/>
    <w:uiPriority w:val="0"/>
    <w:rPr>
      <w:rFonts w:ascii="Times New Roman" w:hAnsi="Times New Roman" w:eastAsia="宋体" w:cs="Times New Roman"/>
      <w:kern w:val="0"/>
      <w:sz w:val="18"/>
      <w:szCs w:val="18"/>
    </w:rPr>
  </w:style>
  <w:style w:type="character" w:customStyle="1" w:styleId="58">
    <w:name w:val="副标题 Char"/>
    <w:basedOn w:val="32"/>
    <w:link w:val="24"/>
    <w:autoRedefine/>
    <w:qFormat/>
    <w:uiPriority w:val="0"/>
    <w:rPr>
      <w:rFonts w:ascii="宋体" w:hAnsi="Courier New" w:eastAsia="楷体_GB2312" w:cs="Times New Roman"/>
      <w:sz w:val="26"/>
      <w:szCs w:val="20"/>
    </w:rPr>
  </w:style>
  <w:style w:type="character" w:customStyle="1" w:styleId="59">
    <w:name w:val="正文文本缩进 3 Char"/>
    <w:basedOn w:val="32"/>
    <w:link w:val="26"/>
    <w:autoRedefine/>
    <w:qFormat/>
    <w:uiPriority w:val="0"/>
    <w:rPr>
      <w:rFonts w:ascii="Times New Roman" w:hAnsi="Times New Roman" w:eastAsia="宋体" w:cs="Times New Roman"/>
      <w:kern w:val="0"/>
      <w:sz w:val="24"/>
      <w:szCs w:val="24"/>
    </w:rPr>
  </w:style>
  <w:style w:type="character" w:customStyle="1" w:styleId="60">
    <w:name w:val="批注主题 Char"/>
    <w:basedOn w:val="51"/>
    <w:link w:val="11"/>
    <w:autoRedefine/>
    <w:qFormat/>
    <w:uiPriority w:val="0"/>
    <w:rPr>
      <w:rFonts w:ascii="Times New Roman" w:hAnsi="Times New Roman" w:eastAsia="宋体" w:cs="Times New Roman"/>
      <w:b/>
      <w:bCs/>
      <w:szCs w:val="24"/>
    </w:rPr>
  </w:style>
  <w:style w:type="character" w:customStyle="1" w:styleId="61">
    <w:name w:val="hover14"/>
    <w:autoRedefine/>
    <w:qFormat/>
    <w:uiPriority w:val="0"/>
    <w:rPr>
      <w:shd w:val="clear" w:color="auto" w:fill="EEEEEE"/>
    </w:rPr>
  </w:style>
  <w:style w:type="character" w:customStyle="1" w:styleId="62">
    <w:name w:val="hour_pm"/>
    <w:autoRedefine/>
    <w:qFormat/>
    <w:uiPriority w:val="0"/>
  </w:style>
  <w:style w:type="character" w:customStyle="1" w:styleId="63">
    <w:name w:val="first-child"/>
    <w:autoRedefine/>
    <w:qFormat/>
    <w:uiPriority w:val="0"/>
  </w:style>
  <w:style w:type="character" w:customStyle="1" w:styleId="64">
    <w:name w:val="正文文本 Char"/>
    <w:autoRedefine/>
    <w:qFormat/>
    <w:uiPriority w:val="99"/>
    <w:rPr>
      <w:rFonts w:ascii="Calibri" w:hAnsi="Calibri" w:eastAsia="宋体" w:cs="Times New Roman"/>
      <w:szCs w:val="24"/>
    </w:rPr>
  </w:style>
  <w:style w:type="character" w:customStyle="1" w:styleId="65">
    <w:name w:val="font81"/>
    <w:autoRedefine/>
    <w:qFormat/>
    <w:uiPriority w:val="0"/>
    <w:rPr>
      <w:rFonts w:hint="eastAsia" w:ascii="宋体" w:hAnsi="宋体" w:eastAsia="宋体" w:cs="宋体"/>
      <w:b/>
      <w:color w:val="000000"/>
      <w:sz w:val="22"/>
      <w:szCs w:val="22"/>
      <w:u w:val="none"/>
    </w:rPr>
  </w:style>
  <w:style w:type="character" w:customStyle="1" w:styleId="66">
    <w:name w:val="日期 Char1"/>
    <w:autoRedefine/>
    <w:qFormat/>
    <w:uiPriority w:val="0"/>
    <w:rPr>
      <w:rFonts w:ascii="Calibri" w:hAnsi="Calibri" w:eastAsia="宋体" w:cs="Times New Roman"/>
      <w:szCs w:val="24"/>
    </w:rPr>
  </w:style>
  <w:style w:type="character" w:customStyle="1" w:styleId="67">
    <w:name w:val="hover13"/>
    <w:autoRedefine/>
    <w:qFormat/>
    <w:uiPriority w:val="0"/>
    <w:rPr>
      <w:shd w:val="clear" w:color="auto" w:fill="EEEEEE"/>
    </w:rPr>
  </w:style>
  <w:style w:type="character" w:customStyle="1" w:styleId="68">
    <w:name w:val="font71"/>
    <w:autoRedefine/>
    <w:qFormat/>
    <w:uiPriority w:val="0"/>
    <w:rPr>
      <w:rFonts w:hint="eastAsia" w:ascii="宋体" w:hAnsi="宋体" w:eastAsia="宋体" w:cs="宋体"/>
      <w:b/>
      <w:color w:val="000000"/>
      <w:sz w:val="22"/>
      <w:szCs w:val="22"/>
      <w:u w:val="none"/>
      <w:vertAlign w:val="superscript"/>
    </w:rPr>
  </w:style>
  <w:style w:type="character" w:customStyle="1" w:styleId="69">
    <w:name w:val="纯文本 Char"/>
    <w:autoRedefine/>
    <w:qFormat/>
    <w:uiPriority w:val="0"/>
    <w:rPr>
      <w:rFonts w:ascii="宋体" w:hAnsi="Courier New" w:eastAsia="宋体" w:cs="Courier New"/>
      <w:szCs w:val="21"/>
    </w:rPr>
  </w:style>
  <w:style w:type="character" w:customStyle="1" w:styleId="70">
    <w:name w:val="select2-selection__rendered"/>
    <w:autoRedefine/>
    <w:qFormat/>
    <w:uiPriority w:val="0"/>
    <w:rPr>
      <w:sz w:val="18"/>
      <w:szCs w:val="18"/>
    </w:rPr>
  </w:style>
  <w:style w:type="character" w:customStyle="1" w:styleId="71">
    <w:name w:val="first-child1"/>
    <w:autoRedefine/>
    <w:qFormat/>
    <w:uiPriority w:val="0"/>
  </w:style>
  <w:style w:type="character" w:customStyle="1" w:styleId="72">
    <w:name w:val="old"/>
    <w:autoRedefine/>
    <w:qFormat/>
    <w:uiPriority w:val="0"/>
    <w:rPr>
      <w:color w:val="999999"/>
    </w:rPr>
  </w:style>
  <w:style w:type="character" w:customStyle="1" w:styleId="73">
    <w:name w:val="time"/>
    <w:autoRedefine/>
    <w:qFormat/>
    <w:uiPriority w:val="0"/>
    <w:rPr>
      <w:rFonts w:ascii="Arial" w:hAnsi="Arial" w:cs="Arial"/>
    </w:rPr>
  </w:style>
  <w:style w:type="character" w:customStyle="1" w:styleId="74">
    <w:name w:val="Plain Text Char"/>
    <w:link w:val="75"/>
    <w:autoRedefine/>
    <w:qFormat/>
    <w:uiPriority w:val="0"/>
    <w:rPr>
      <w:rFonts w:ascii="宋体" w:hAnsi="Courier New" w:eastAsia="楷体_GB2312" w:cs="Times New Roman"/>
      <w:sz w:val="26"/>
    </w:rPr>
  </w:style>
  <w:style w:type="paragraph" w:customStyle="1" w:styleId="75">
    <w:name w:val="纯文本3"/>
    <w:basedOn w:val="1"/>
    <w:link w:val="74"/>
    <w:autoRedefine/>
    <w:qFormat/>
    <w:uiPriority w:val="0"/>
    <w:pPr>
      <w:adjustRightInd w:val="0"/>
      <w:textAlignment w:val="baseline"/>
    </w:pPr>
    <w:rPr>
      <w:rFonts w:ascii="宋体" w:hAnsi="Courier New" w:eastAsia="楷体_GB2312"/>
      <w:sz w:val="26"/>
      <w:szCs w:val="22"/>
    </w:rPr>
  </w:style>
  <w:style w:type="character" w:customStyle="1" w:styleId="76">
    <w:name w:val="hour_am"/>
    <w:autoRedefine/>
    <w:qFormat/>
    <w:uiPriority w:val="0"/>
  </w:style>
  <w:style w:type="character" w:customStyle="1" w:styleId="77">
    <w:name w:val="NormalCharacter"/>
    <w:autoRedefine/>
    <w:semiHidden/>
    <w:qFormat/>
    <w:uiPriority w:val="0"/>
    <w:rPr>
      <w:rFonts w:ascii="Times New Roman" w:hAnsi="Times New Roman" w:eastAsia="宋体" w:cs="Times New Roman"/>
    </w:rPr>
  </w:style>
  <w:style w:type="paragraph" w:customStyle="1" w:styleId="78">
    <w:name w:val="纯文本2"/>
    <w:basedOn w:val="1"/>
    <w:autoRedefine/>
    <w:qFormat/>
    <w:uiPriority w:val="0"/>
    <w:pPr>
      <w:adjustRightInd w:val="0"/>
      <w:textAlignment w:val="baseline"/>
    </w:pPr>
    <w:rPr>
      <w:rFonts w:ascii="宋体" w:hAnsi="Courier New"/>
    </w:rPr>
  </w:style>
  <w:style w:type="paragraph" w:customStyle="1" w:styleId="79">
    <w:name w:val="文本正文"/>
    <w:basedOn w:val="1"/>
    <w:autoRedefine/>
    <w:qFormat/>
    <w:uiPriority w:val="0"/>
    <w:pPr>
      <w:snapToGrid w:val="0"/>
      <w:spacing w:line="360" w:lineRule="auto"/>
      <w:ind w:firstLine="560" w:firstLineChars="200"/>
      <w:jc w:val="left"/>
    </w:pPr>
    <w:rPr>
      <w:kern w:val="0"/>
      <w:sz w:val="28"/>
      <w:szCs w:val="28"/>
    </w:rPr>
  </w:style>
  <w:style w:type="paragraph" w:customStyle="1" w:styleId="80">
    <w:name w:val="Plain Text1"/>
    <w:basedOn w:val="1"/>
    <w:autoRedefine/>
    <w:qFormat/>
    <w:uiPriority w:val="0"/>
    <w:pPr>
      <w:widowControl/>
      <w:adjustRightInd w:val="0"/>
      <w:jc w:val="left"/>
      <w:textAlignment w:val="baseline"/>
    </w:pPr>
    <w:rPr>
      <w:rFonts w:ascii="宋体" w:hAnsi="Courier New" w:eastAsia="楷体_GB2312"/>
      <w:kern w:val="0"/>
      <w:sz w:val="26"/>
      <w:szCs w:val="20"/>
    </w:rPr>
  </w:style>
  <w:style w:type="paragraph" w:customStyle="1" w:styleId="81">
    <w:name w:val="纯文本4"/>
    <w:basedOn w:val="1"/>
    <w:autoRedefine/>
    <w:qFormat/>
    <w:uiPriority w:val="0"/>
    <w:pPr>
      <w:adjustRightInd w:val="0"/>
      <w:textAlignment w:val="baseline"/>
    </w:pPr>
    <w:rPr>
      <w:rFonts w:ascii="宋体" w:hAnsi="Courier New" w:eastAsia="楷体_GB2312"/>
      <w:sz w:val="26"/>
      <w:szCs w:val="20"/>
    </w:rPr>
  </w:style>
  <w:style w:type="paragraph" w:customStyle="1" w:styleId="8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83">
    <w:name w:val="List Paragraph"/>
    <w:basedOn w:val="1"/>
    <w:autoRedefine/>
    <w:qFormat/>
    <w:uiPriority w:val="99"/>
    <w:pPr>
      <w:ind w:firstLine="420" w:firstLineChars="200"/>
    </w:pPr>
  </w:style>
  <w:style w:type="paragraph" w:customStyle="1" w:styleId="84">
    <w:name w:val="纯文本1"/>
    <w:basedOn w:val="1"/>
    <w:autoRedefine/>
    <w:qFormat/>
    <w:uiPriority w:val="0"/>
    <w:pPr>
      <w:adjustRightInd w:val="0"/>
    </w:pPr>
    <w:rPr>
      <w:rFonts w:ascii="宋体" w:hAnsi="Courier New" w:eastAsia="楷体_GB2312"/>
      <w:sz w:val="28"/>
      <w:szCs w:val="20"/>
    </w:rPr>
  </w:style>
  <w:style w:type="paragraph" w:customStyle="1" w:styleId="8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纯文本5"/>
    <w:basedOn w:val="1"/>
    <w:autoRedefine/>
    <w:qFormat/>
    <w:uiPriority w:val="0"/>
    <w:pPr>
      <w:adjustRightInd w:val="0"/>
      <w:textAlignment w:val="baseline"/>
    </w:pPr>
    <w:rPr>
      <w:rFonts w:ascii="宋体" w:hAnsi="Courier New" w:eastAsia="楷体_GB2312"/>
      <w:sz w:val="26"/>
      <w:szCs w:val="20"/>
    </w:rPr>
  </w:style>
  <w:style w:type="paragraph" w:customStyle="1" w:styleId="87">
    <w:name w:val="纯文本6"/>
    <w:basedOn w:val="1"/>
    <w:autoRedefine/>
    <w:qFormat/>
    <w:uiPriority w:val="0"/>
    <w:pPr>
      <w:adjustRightInd w:val="0"/>
      <w:textAlignment w:val="baseline"/>
    </w:pPr>
    <w:rPr>
      <w:rFonts w:ascii="宋体" w:hAnsi="Courier New" w:eastAsia="楷体_GB2312"/>
      <w:sz w:val="26"/>
      <w:szCs w:val="20"/>
    </w:rPr>
  </w:style>
  <w:style w:type="character" w:customStyle="1" w:styleId="88">
    <w:name w:val="font21"/>
    <w:basedOn w:val="32"/>
    <w:autoRedefine/>
    <w:qFormat/>
    <w:uiPriority w:val="0"/>
    <w:rPr>
      <w:rFonts w:hint="eastAsia" w:ascii="宋体" w:hAnsi="宋体" w:eastAsia="宋体" w:cs="宋体"/>
      <w:color w:val="000000"/>
      <w:sz w:val="22"/>
      <w:szCs w:val="22"/>
      <w:u w:val="none"/>
    </w:rPr>
  </w:style>
  <w:style w:type="paragraph" w:customStyle="1" w:styleId="89">
    <w:name w:val="正文1"/>
    <w:basedOn w:val="1"/>
    <w:autoRedefine/>
    <w:qFormat/>
    <w:uiPriority w:val="0"/>
    <w:rPr>
      <w:rFonts w:ascii="宋体" w:hAnsi="宋体" w:cs="宋体"/>
      <w:kern w:val="0"/>
      <w:sz w:val="24"/>
      <w:szCs w:val="20"/>
      <w:lang w:eastAsia="en-US"/>
    </w:rPr>
  </w:style>
  <w:style w:type="paragraph" w:customStyle="1" w:styleId="90">
    <w:name w:val="Table Paragraph"/>
    <w:basedOn w:val="1"/>
    <w:autoRedefine/>
    <w:qFormat/>
    <w:uiPriority w:val="1"/>
    <w:rPr>
      <w:rFonts w:ascii="宋体" w:hAnsi="宋体" w:cs="宋体"/>
      <w:lang w:val="zh-CN" w:bidi="zh-CN"/>
    </w:rPr>
  </w:style>
  <w:style w:type="paragraph" w:customStyle="1" w:styleId="91">
    <w:name w:val="Andy_3级"/>
    <w:basedOn w:val="1"/>
    <w:autoRedefine/>
    <w:qFormat/>
    <w:uiPriority w:val="0"/>
    <w:pPr>
      <w:spacing w:line="360" w:lineRule="auto"/>
      <w:ind w:firstLine="510"/>
    </w:pPr>
    <w:rPr>
      <w:rFonts w:ascii="Calibri" w:hAnsi="Calibri"/>
      <w:kern w:val="0"/>
      <w:sz w:val="24"/>
    </w:rPr>
  </w:style>
  <w:style w:type="character" w:customStyle="1" w:styleId="92">
    <w:name w:val="font51"/>
    <w:basedOn w:val="32"/>
    <w:autoRedefine/>
    <w:qFormat/>
    <w:uiPriority w:val="0"/>
    <w:rPr>
      <w:rFonts w:hint="eastAsia" w:ascii="宋体" w:hAnsi="宋体" w:eastAsia="宋体" w:cs="宋体"/>
      <w:color w:val="000000"/>
      <w:sz w:val="22"/>
      <w:szCs w:val="22"/>
      <w:u w:val="none"/>
    </w:rPr>
  </w:style>
  <w:style w:type="character" w:customStyle="1" w:styleId="93">
    <w:name w:val="font31"/>
    <w:basedOn w:val="32"/>
    <w:autoRedefine/>
    <w:qFormat/>
    <w:uiPriority w:val="0"/>
    <w:rPr>
      <w:rFonts w:hint="default" w:ascii="Times New Roman" w:hAnsi="Times New Roman" w:cs="Times New Roman"/>
      <w:color w:val="000000"/>
      <w:sz w:val="22"/>
      <w:szCs w:val="22"/>
      <w:u w:val="none"/>
    </w:rPr>
  </w:style>
  <w:style w:type="character" w:customStyle="1" w:styleId="94">
    <w:name w:val="font11"/>
    <w:basedOn w:val="32"/>
    <w:autoRedefine/>
    <w:qFormat/>
    <w:uiPriority w:val="0"/>
    <w:rPr>
      <w:rFonts w:hint="eastAsia" w:ascii="宋体" w:hAnsi="宋体" w:eastAsia="宋体" w:cs="宋体"/>
      <w:color w:val="000000"/>
      <w:sz w:val="22"/>
      <w:szCs w:val="22"/>
      <w:u w:val="none"/>
    </w:rPr>
  </w:style>
  <w:style w:type="paragraph" w:customStyle="1" w:styleId="95">
    <w:name w:val="文档结构图1"/>
    <w:basedOn w:val="1"/>
    <w:autoRedefine/>
    <w:qFormat/>
    <w:uiPriority w:val="99"/>
    <w:pPr>
      <w:shd w:val="clear" w:color="auto" w:fill="000080"/>
    </w:pPr>
  </w:style>
  <w:style w:type="paragraph" w:customStyle="1" w:styleId="96">
    <w:name w:val="纯文本7"/>
    <w:basedOn w:val="1"/>
    <w:autoRedefine/>
    <w:qFormat/>
    <w:uiPriority w:val="0"/>
    <w:pPr>
      <w:adjustRightInd w:val="0"/>
      <w:textAlignment w:val="baseline"/>
    </w:pPr>
    <w:rPr>
      <w:rFonts w:ascii="宋体" w:hAnsi="Courier New" w:eastAsia="楷体_GB2312"/>
      <w:sz w:val="26"/>
      <w:szCs w:val="20"/>
    </w:rPr>
  </w:style>
  <w:style w:type="character" w:customStyle="1" w:styleId="97">
    <w:name w:val="font41"/>
    <w:basedOn w:val="32"/>
    <w:qFormat/>
    <w:uiPriority w:val="0"/>
    <w:rPr>
      <w:rFonts w:ascii="Arial" w:hAnsi="Arial" w:cs="Arial"/>
      <w:color w:val="000000"/>
      <w:sz w:val="20"/>
      <w:szCs w:val="20"/>
      <w:u w:val="none"/>
    </w:rPr>
  </w:style>
  <w:style w:type="character" w:customStyle="1" w:styleId="98">
    <w:name w:val="font61"/>
    <w:basedOn w:val="32"/>
    <w:qFormat/>
    <w:uiPriority w:val="0"/>
    <w:rPr>
      <w:rFonts w:hint="eastAsia" w:ascii="宋体" w:hAnsi="宋体" w:eastAsia="宋体" w:cs="宋体"/>
      <w:b/>
      <w:bCs/>
      <w:color w:val="000000"/>
      <w:sz w:val="20"/>
      <w:szCs w:val="20"/>
      <w:u w:val="none"/>
    </w:rPr>
  </w:style>
  <w:style w:type="paragraph" w:customStyle="1" w:styleId="99">
    <w:name w:val="_Style 3"/>
    <w:basedOn w:val="1"/>
    <w:autoRedefine/>
    <w:qFormat/>
    <w:uiPriority w:val="99"/>
    <w:rPr>
      <w:szCs w:val="21"/>
    </w:rPr>
  </w:style>
  <w:style w:type="character" w:customStyle="1" w:styleId="100">
    <w:name w:val="font01"/>
    <w:basedOn w:val="32"/>
    <w:qFormat/>
    <w:uiPriority w:val="0"/>
    <w:rPr>
      <w:rFonts w:hint="eastAsia" w:ascii="宋体" w:hAnsi="宋体" w:eastAsia="宋体" w:cs="宋体"/>
      <w:color w:val="000000"/>
      <w:sz w:val="22"/>
      <w:szCs w:val="22"/>
      <w:u w:val="none"/>
    </w:rPr>
  </w:style>
  <w:style w:type="paragraph" w:customStyle="1" w:styleId="101">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3"/>
    <customShpInfo spid="_x0000_s3074"/>
    <customShpInfo spid="_x0000_s2052"/>
    <customShpInfo spid="_x0000_s2050"/>
    <customShpInfo spid="_x0000_s2053"/>
    <customShpInfo spid="_x0000_s2051"/>
    <customShpInfo spid="_x0000_s2054"/>
    <customShpInfo spid="_x0000_s2055"/>
    <customShpInfo spid="_x0000_s2057"/>
    <customShpInfo spid="_x0000_s2056"/>
    <customShpInfo spid="_x0000_s2058"/>
    <customShpInfo spid="_x0000_s2059"/>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94</Pages>
  <Words>17340</Words>
  <Characters>18884</Characters>
  <Lines>486</Lines>
  <Paragraphs>137</Paragraphs>
  <TotalTime>8</TotalTime>
  <ScaleCrop>false</ScaleCrop>
  <LinksUpToDate>false</LinksUpToDate>
  <CharactersWithSpaces>19935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2024-11-11T02:36:00Z</dcterms:created>
  <dc:creator>Windows User</dc:creator>
  <cp:lastModifiedBy>路</cp:lastModifiedBy>
  <cp:lastPrinted>2024-08-19T04:04:00Z</cp:lastPrinted>
  <dcterms:modified xsi:type="dcterms:W3CDTF">2026-06-15T03:01:29Z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4857B6A0C04A49AAB292A6202993A55E_13</vt:lpwstr>
  </property>
  <property fmtid="{D5CDD505-2E9C-101B-9397-08002B2CF9AE}" pid="4" name="KSOTemplateDocerSaveRecord">
    <vt:lpwstr>eyJoZGlkIjoiZGRlNGE1OWE1NDIxZDAwMTQwZTBiZjRjOWQyYjZkMDIiLCJ1c2VySWQiOiIxMDQzMzQ5ODU4In0=</vt:lpwstr>
  </property>
</Properties>
</file>