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智能制造产业园企业通勤班车运营服务项目</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 标 文 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 JSZC-320192-JCEC-G2026-0170</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600" w:right="0" w:firstLine="0"/>
        <w:jc w:val="both"/>
        <w:spacing w:before="210" w:after="21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600" w:right="0" w:firstLine="0"/>
        <w:jc w:val="both"/>
        <w:spacing w:before="210" w:after="21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江苏省设备成套股份有限公司</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2026年06月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jc w:val="both"/>
        <w:spacing w:before="0" w:after="0"/>
        <w:tabs>
          <w:tab w:val="left" w:pos="829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6210" w:history="1">
        <w:r>
          <w:rPr>
            <w:rStyle w:val="812"/>
            <w:rFonts w:ascii="SimSun" w:hAnsi="SimSun" w:eastAsia="SimSun" w:cs="SimSun"/>
            <w:color w:val="0000ee"/>
            <w:sz w:val="24"/>
            <w:u w:val="single"/>
          </w:rPr>
          <w:t xml:space="preserve">第一章招标公告</w:t>
        </w:r>
        <w:r>
          <w:rPr>
            <w:rStyle w:val="812"/>
            <w:rFonts w:ascii="Times New Roman" w:hAnsi="Times New Roman" w:eastAsia="Times New Roman" w:cs="Times New Roman"/>
            <w:color w:val="0000ee"/>
            <w:sz w:val="24"/>
            <w:u w:val="single"/>
          </w:rPr>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8947" w:history="1">
        <w:r>
          <w:rPr>
            <w:rStyle w:val="812"/>
            <w:rFonts w:ascii="SimSun" w:hAnsi="SimSun" w:eastAsia="SimSun" w:cs="SimSun"/>
            <w:color w:val="0000ee"/>
            <w:sz w:val="24"/>
            <w:u w:val="single"/>
          </w:rPr>
          <w:t xml:space="preserve">第二章</w:t>
        </w:r>
        <w:r>
          <w:rPr>
            <w:rStyle w:val="812"/>
            <w:rFonts w:ascii="Times New Roman" w:hAnsi="Times New Roman" w:eastAsia="Times New Roman" w:cs="Times New Roman"/>
            <w:color w:val="0000ee"/>
            <w:sz w:val="24"/>
            <w:u w:val="none"/>
          </w:rPr>
          <w:t xml:space="preserve"> </w:t>
        </w:r>
        <w:r>
          <w:rPr>
            <w:rStyle w:val="812"/>
            <w:rFonts w:ascii="SimSun" w:hAnsi="SimSun" w:eastAsia="SimSun" w:cs="SimSun"/>
            <w:color w:val="0000ee"/>
            <w:sz w:val="24"/>
            <w:u w:val="single"/>
          </w:rPr>
          <w:t xml:space="preserve">投标人须知</w:t>
        </w:r>
        <w:r>
          <w:rPr>
            <w:rStyle w:val="812"/>
            <w:rFonts w:ascii="Times New Roman" w:hAnsi="Times New Roman" w:eastAsia="Times New Roman" w:cs="Times New Roman"/>
            <w:color w:val="0000ee"/>
            <w:sz w:val="24"/>
            <w:u w:val="single"/>
          </w:rPr>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9811" w:history="1">
        <w:r>
          <w:rPr>
            <w:rStyle w:val="812"/>
            <w:rFonts w:ascii="SimSun" w:hAnsi="SimSun" w:eastAsia="SimSun" w:cs="SimSun"/>
            <w:color w:val="0000ee"/>
            <w:sz w:val="24"/>
            <w:u w:val="single"/>
          </w:rPr>
          <w:t xml:space="preserve">第三章评标标准</w:t>
        </w:r>
        <w:r>
          <w:rPr>
            <w:rStyle w:val="812"/>
            <w:rFonts w:ascii="Times New Roman" w:hAnsi="Times New Roman" w:eastAsia="Times New Roman" w:cs="Times New Roman"/>
            <w:color w:val="0000ee"/>
            <w:sz w:val="24"/>
            <w:u w:val="single"/>
          </w:rPr>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3788" w:history="1">
        <w:r>
          <w:rPr>
            <w:rStyle w:val="812"/>
            <w:rFonts w:ascii="SimSun" w:hAnsi="SimSun" w:eastAsia="SimSun" w:cs="SimSun"/>
            <w:color w:val="0000ee"/>
            <w:sz w:val="24"/>
            <w:u w:val="single"/>
          </w:rPr>
          <w:t xml:space="preserve">第四章</w:t>
        </w:r>
        <w:r>
          <w:rPr>
            <w:rStyle w:val="812"/>
            <w:rFonts w:ascii="Times New Roman" w:hAnsi="Times New Roman" w:eastAsia="Times New Roman" w:cs="Times New Roman"/>
            <w:color w:val="0000ee"/>
            <w:sz w:val="24"/>
            <w:u w:val="none"/>
          </w:rPr>
          <w:t xml:space="preserve"> </w:t>
        </w:r>
        <w:r>
          <w:rPr>
            <w:rStyle w:val="812"/>
            <w:rFonts w:ascii="SimSun" w:hAnsi="SimSun" w:eastAsia="SimSun" w:cs="SimSun"/>
            <w:color w:val="0000ee"/>
            <w:sz w:val="24"/>
            <w:u w:val="single"/>
          </w:rPr>
          <w:t xml:space="preserve">采购需求</w:t>
        </w:r>
        <w:r>
          <w:rPr>
            <w:rStyle w:val="812"/>
            <w:rFonts w:ascii="Times New Roman" w:hAnsi="Times New Roman" w:eastAsia="Times New Roman" w:cs="Times New Roman"/>
            <w:color w:val="0000ee"/>
            <w:sz w:val="24"/>
            <w:u w:val="single"/>
          </w:rPr>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9927" w:history="1">
        <w:r>
          <w:rPr>
            <w:rStyle w:val="812"/>
            <w:rFonts w:ascii="SimSun" w:hAnsi="SimSun" w:eastAsia="SimSun" w:cs="SimSun"/>
            <w:color w:val="0000ee"/>
            <w:sz w:val="24"/>
            <w:u w:val="single"/>
          </w:rPr>
          <w:t xml:space="preserve">第五章</w:t>
        </w:r>
        <w:r>
          <w:rPr>
            <w:rStyle w:val="812"/>
            <w:rFonts w:ascii="Times New Roman" w:hAnsi="Times New Roman" w:eastAsia="Times New Roman" w:cs="Times New Roman"/>
            <w:color w:val="0000ee"/>
            <w:sz w:val="24"/>
            <w:u w:val="none"/>
          </w:rPr>
          <w:t xml:space="preserve"> </w:t>
        </w:r>
        <w:r>
          <w:rPr>
            <w:rStyle w:val="812"/>
            <w:rFonts w:ascii="SimSun" w:hAnsi="SimSun" w:eastAsia="SimSun" w:cs="SimSun"/>
            <w:color w:val="0000ee"/>
            <w:sz w:val="24"/>
            <w:u w:val="single"/>
          </w:rPr>
          <w:t xml:space="preserve">合同主要条款</w:t>
        </w:r>
        <w:r>
          <w:rPr>
            <w:rStyle w:val="812"/>
            <w:rFonts w:ascii="Times New Roman" w:hAnsi="Times New Roman" w:eastAsia="Times New Roman" w:cs="Times New Roman"/>
            <w:color w:val="0000ee"/>
            <w:sz w:val="24"/>
            <w:u w:val="single"/>
          </w:rPr>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2050" w:history="1">
        <w:r>
          <w:rPr>
            <w:rStyle w:val="812"/>
            <w:rFonts w:ascii="SimSun" w:hAnsi="SimSun" w:eastAsia="SimSun" w:cs="SimSun"/>
            <w:color w:val="0000ee"/>
            <w:sz w:val="24"/>
            <w:u w:val="single"/>
          </w:rPr>
          <w:t xml:space="preserve">第六章</w:t>
        </w:r>
        <w:r>
          <w:rPr>
            <w:rStyle w:val="812"/>
            <w:rFonts w:ascii="Times New Roman" w:hAnsi="Times New Roman" w:eastAsia="Times New Roman" w:cs="Times New Roman"/>
            <w:color w:val="0000ee"/>
            <w:sz w:val="24"/>
            <w:u w:val="none"/>
          </w:rPr>
          <w:t xml:space="preserve"> </w:t>
        </w:r>
        <w:r>
          <w:rPr>
            <w:rStyle w:val="812"/>
            <w:rFonts w:ascii="SimSun" w:hAnsi="SimSun" w:eastAsia="SimSun" w:cs="SimSun"/>
            <w:color w:val="0000ee"/>
            <w:sz w:val="24"/>
            <w:u w:val="single"/>
          </w:rPr>
          <w:t xml:space="preserve">投标文件格式及附件</w:t>
        </w:r>
        <w:r>
          <w:rPr>
            <w:rStyle w:val="812"/>
            <w:rFonts w:ascii="Times New Roman" w:hAnsi="Times New Roman" w:eastAsia="Times New Roman" w:cs="Times New Roman"/>
            <w:color w:val="0000ee"/>
            <w:sz w:val="24"/>
            <w:u w:val="single"/>
          </w:rPr>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32"/>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5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w:t>
      </w:r>
      <w:r>
        <w:rPr>
          <w:rFonts w:ascii="SimSun" w:hAnsi="SimSun" w:eastAsia="SimSun" w:cs="SimSun"/>
          <w:b/>
          <w:color w:val="000000"/>
          <w:sz w:val="36"/>
          <w:highlight w:val="white"/>
        </w:rPr>
        <w:t xml:space="preserve">  </w:t>
      </w:r>
      <w:r>
        <w:rPr>
          <w:rFonts w:ascii="SimSun" w:hAnsi="SimSun" w:eastAsia="SimSun" w:cs="SimSun"/>
          <w:b/>
          <w:color w:val="000000"/>
          <w:sz w:val="32"/>
        </w:rPr>
        <w:t xml:space="preserve">招标公告</w:t>
      </w:r>
      <w:r/>
    </w:p>
    <w:p>
      <w:pPr>
        <w:ind w:left="0" w:right="0" w:firstLine="369"/>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项目概况</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智能制造产业园企业通勤班车运营服务项目</w:t>
      </w:r>
      <w:r>
        <w:rPr>
          <w:rFonts w:ascii="SimSun" w:hAnsi="SimSun" w:eastAsia="SimSun" w:cs="SimSun"/>
          <w:color w:val="000000"/>
          <w:spacing w:val="8"/>
          <w:sz w:val="21"/>
        </w:rPr>
        <w:t xml:space="preserve">的潜在投标人应在</w:t>
      </w:r>
      <w:r>
        <w:rPr>
          <w:rFonts w:ascii="SimSun" w:hAnsi="SimSun" w:eastAsia="SimSun" w:cs="SimSun"/>
          <w:color w:val="000000"/>
          <w:sz w:val="21"/>
          <w:u w:val="single"/>
        </w:rPr>
        <w:t xml:space="preserve">江苏政府采购网</w:t>
      </w:r>
      <w:r>
        <w:rPr>
          <w:rFonts w:ascii="SimSun" w:hAnsi="SimSun" w:eastAsia="SimSun" w:cs="SimSun"/>
          <w:color w:val="000000"/>
          <w:spacing w:val="8"/>
          <w:sz w:val="21"/>
        </w:rPr>
        <w:t xml:space="preserve">获取招标文件，并于2026年07月02日14点30分（北京时间）前递交投标文件。</w:t>
      </w:r>
      <w:r/>
    </w:p>
    <w:p>
      <w:pPr>
        <w:ind w:left="0" w:right="0" w:firstLine="369"/>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 </w:t>
      </w:r>
      <w:r>
        <w:rPr>
          <w:rFonts w:ascii="SimSun" w:hAnsi="SimSun" w:eastAsia="SimSun" w:cs="SimSun"/>
          <w:b/>
          <w:color w:val="000000"/>
          <w:spacing w:val="8"/>
          <w:sz w:val="24"/>
        </w:rPr>
        <w:t xml:space="preserve">一、项目基本情况</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1.1项目编号：JSZC-320192-JCEC-G2026-0170</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1.2项目名称：智能制造产业园企业通勤班车运营服务项目</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1.3预算金额：152.64万元</w:t>
      </w:r>
      <w:r/>
    </w:p>
    <w:p>
      <w:pPr>
        <w:ind w:left="0" w:right="0" w:firstLine="370"/>
        <w:jc w:val="both"/>
        <w:spacing w:before="0" w:after="0" w:line="460" w:lineRule="atLeast"/>
        <w:shd w:val="clear" w:color="ffffff" w:fill="ffffff"/>
        <w:tabs>
          <w:tab w:val="left" w:pos="397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1.4最高限价：152.64万元</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1.5采购需求：智能制造产业园企业通勤班车运营服务项目，具体要求见招标文件。</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1.6服务期限：2026年7月31日至2026年12月31日</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1.7行业划分：租赁和商务服务业。</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1.8</w:t>
      </w:r>
      <w:r>
        <w:rPr>
          <w:rFonts w:ascii="SimSun" w:hAnsi="SimSun" w:eastAsia="SimSun" w:cs="SimSun"/>
          <w:color w:val="000000"/>
          <w:sz w:val="21"/>
        </w:rPr>
        <w:t xml:space="preserve">本项目（不专门）面向中小企业（或监狱企业或残疾人福利性单位）采购。（按照《政府采购促进中小企业发展管理办法》规定预留采购份额无法确保充分供应、</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充分竞争，或者存在可能影响政府采购目标实现的情形。）</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1.9本项目（</w:t>
      </w:r>
      <w:r>
        <w:rPr>
          <w:rFonts w:ascii="SimSun" w:hAnsi="SimSun" w:eastAsia="SimSun" w:cs="SimSun"/>
          <w:i/>
          <w:color w:val="000000"/>
          <w:spacing w:val="8"/>
          <w:sz w:val="21"/>
        </w:rPr>
        <w:t xml:space="preserve">否</w:t>
      </w:r>
      <w:r>
        <w:rPr>
          <w:rFonts w:ascii="SimSun" w:hAnsi="SimSun" w:eastAsia="SimSun" w:cs="SimSun"/>
          <w:color w:val="000000"/>
          <w:spacing w:val="8"/>
          <w:sz w:val="21"/>
        </w:rPr>
        <w:t xml:space="preserve">）接受联合体投标。</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2.1满足《中华人民共和国政府采购法》第二十二条规定：</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（1）符合《中华人民共和国政府采购法》第二十二条规定，提供《南京市政府采购供应商信用记录表暨信用承诺书》。不适用信用承诺的，应按政府采购信用承诺要求提供证明材料。</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2.2落实政府采购政策需满足的资格要求：无。</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2.3</w:t>
      </w:r>
      <w:r>
        <w:rPr>
          <w:rFonts w:ascii="SimSun" w:hAnsi="SimSun" w:eastAsia="SimSun" w:cs="SimSun"/>
          <w:b/>
          <w:color w:val="000000"/>
          <w:sz w:val="21"/>
        </w:rPr>
        <w:t xml:space="preserve">采购人根据采购项目的特殊要求规定的特定条件，并提供符合特殊要求的证明材料或者情况说明：</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（1）供应商须具有有效期内的中华人民共和国道路运输经营许可证扫描件，且道路运输经营许可证经营范围须包含市区包车客运或旅游客运。</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2.4拒绝下述供应商参加本次招标活动：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（1）单位负责人为同一人或者存在直接控股、管理关系的不同供应商，不得参加同一合同项下的政府采购活动。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（2）为采购项目提供整体设计、规范编制或者项目管理、监理、检测等服务的供应商，不得参加本项目的采购活动。 </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（3）供应商被“信用中国”网站（www.creditchina.gov.cn）、“中国政府采购网”(www.ccgp.gov.cn)列入失信被执行人、重大税收违法案件当事人名单、政府采购严重违法失信行为记录名单。</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三、获取招标文件</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3.1时间：自本项目招标公告发布之日起至2026年06月18日17时30分（北京时间）。</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3.2地点：江苏政府采购网</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3.3方式：本项目采用网上注册登记方式免费获取</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四、提交投标文件截止时间、开标时间和地点</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4.1 2026年07月02日14点30分（北京时间）</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4.2 提交投标文件地点：江苏省政府采购管理交易系统（苏采云）（以下简称“苏采云”）（网址：</w:t>
      </w:r>
      <w:hyperlink r:id="rId15" w:tooltip="http://jszfcg.jsczt.cn/%EF%BC%89" w:history="1">
        <w:r>
          <w:rPr>
            <w:rStyle w:val="812"/>
            <w:rFonts w:ascii="SimSun" w:hAnsi="SimSun" w:eastAsia="SimSun" w:cs="SimSun"/>
            <w:color w:val="000000"/>
            <w:spacing w:val="8"/>
            <w:sz w:val="21"/>
            <w:u w:val="single"/>
          </w:rPr>
          <w:t xml:space="preserve">http://jszfcg.jsczt.cn/）</w:t>
        </w:r>
      </w:hyperlink>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4.3开标地点：“苏采云”开标大厅</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五、公告期限</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自本公告发布之日起5个工作日。</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六、其他补充事宜</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6.1本项目在南京公共采购信息网、江苏政府采购网、中国政府采购网、南京江北新区智能制造产业园官网网站发布公告。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6.2投标人通过“苏采云”（网址：</w:t>
      </w:r>
      <w:hyperlink r:id="rId16" w:tooltip="http://jszfcg.jsczt.cn/%EF%BC%89%E5%8F%82%E4%B8%8E%E6%94%BF%E5%BA%9C%E9%87%87%E8%B4%AD%E9%A1%B9%E7%9B%AE%EF%BC%8C%E9%9C%80%E8%A6%81%E5%8A%9E%E7%90%86%E6%B1%9F%E8%8B%8F%E7%9C%81%E6%94%BF%E5%BA%9C%E9%87%87%E8%B4%AD%E6%95%B0%E5%AD%97%E8%AF%81%E4%B9%A6%E5%8F%8A%E7%94%B5%E5%AD%90%E7%AD%BE%E7%AB%A0%E7%9A%84%EF%BC%8C%E8%AF%A6%E8%A7%81%E8%8B%8F%E9%87%87%E4%BA%91%E5%AE%98%E7%BD%91%E9%A6%96%E9%A1%B5" w:history="1">
        <w:r>
          <w:rPr>
            <w:rStyle w:val="812"/>
            <w:rFonts w:ascii="SimSun" w:hAnsi="SimSun" w:eastAsia="SimSun" w:cs="SimSun"/>
            <w:color w:val="000000"/>
            <w:sz w:val="21"/>
            <w:u w:val="single"/>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hyperlink>
      <w:r/>
      <w:r/>
    </w:p>
    <w:p>
      <w:pPr>
        <w:ind w:left="0" w:right="0" w:firstLine="363"/>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操作手册下载地址：</w:t>
      </w:r>
      <w:hyperlink r:id="rId17" w:tooltip="http://www.ccgp-jiangsu.gov.cn/jiangsu/zlxz/ee/ee3a4bc5a3454aa2b0d9312230633ce9.html" w:history="1">
        <w:r>
          <w:rPr>
            <w:rStyle w:val="812"/>
            <w:rFonts w:ascii="SimSun" w:hAnsi="SimSun" w:eastAsia="SimSun" w:cs="SimSun"/>
            <w:color w:val="000000"/>
            <w:sz w:val="21"/>
            <w:u w:val="single"/>
          </w:rPr>
          <w:t xml:space="preserve">http://www.ccgp-jiangsu.gov.cn/jiangsu/zlxz/ee/ee3a4bc5a3454aa2b0d9312230633ce9.html</w:t>
        </w:r>
      </w:hyperlink>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首次登录“苏采云”系统的新用户，登录网址后，点击“用户注册”--“新CA办理指南”--获取CA后绑定、登录系统--采购项目参与--下载采购文件（文件后缀名为“.kedt”）。</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“苏采云”南京地区客服热线025-83633744、025-83633743。</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有关本次招标的事项若存在变动或修改，请及时关注“江苏政府采购网”（www.ccgp-jiangsu.gov.cn）更正公告。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勘察现场：无</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w:t>
      </w:r>
      <w:r>
        <w:rPr>
          <w:rFonts w:ascii="SimSun" w:hAnsi="SimSun" w:eastAsia="SimSun" w:cs="SimSun"/>
          <w:b/>
          <w:color w:val="000000"/>
          <w:sz w:val="21"/>
        </w:rPr>
        <w:t xml:space="preserve">投标文件的解密</w:t>
      </w:r>
      <w:r>
        <w:rPr>
          <w:rFonts w:ascii="SimSun" w:hAnsi="SimSun" w:eastAsia="SimSun" w:cs="SimSun"/>
          <w:color w:val="000000"/>
          <w:sz w:val="21"/>
        </w:rPr>
        <w:t xml:space="preserve">：开标当天各投标人及时登录不见面开标大厅，投标文件递交截止时间后，采购人将在系统内公布投标人名单，然后通过开标会议区发出投标文件解密的指令，投标人在开标室按规定时间自行实施远程解密，</w:t>
      </w:r>
      <w:r>
        <w:rPr>
          <w:rFonts w:ascii="SimSun" w:hAnsi="SimSun" w:eastAsia="SimSun" w:cs="SimSun"/>
          <w:b/>
          <w:color w:val="000000"/>
          <w:sz w:val="21"/>
        </w:rPr>
        <w:t xml:space="preserve">投标人解密限定在开标后30分钟之内完成</w:t>
      </w:r>
      <w:r>
        <w:rPr>
          <w:rFonts w:ascii="SimSun" w:hAnsi="SimSun" w:eastAsia="SimSun" w:cs="SimSun"/>
          <w:color w:val="000000"/>
          <w:sz w:val="21"/>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6.5供应商诚信档案管理</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w:t>
      </w:r>
      <w:r>
        <w:rPr>
          <w:rFonts w:ascii="SimSun" w:hAnsi="SimSun" w:eastAsia="SimSun" w:cs="SimSun"/>
          <w:color w:val="000000"/>
          <w:sz w:val="22"/>
          <w:highlight w:val="white"/>
        </w:rPr>
        <w:t xml:space="preserve">1C8EC1E5）登录（未注册的供应商应先点击“供应商注册点这里”并按要求完成注册），然后在“信用记录”模块页面点击“信用记录打印”下载本单位《南京市政府采购供应商信用记录表暨信用承诺书》，由法定代表人签字并加盖单位公章，随投标文件一并递交。</w:t>
      </w:r>
      <w:r>
        <w:rPr>
          <w:rFonts w:ascii="SimSun" w:hAnsi="SimSun" w:eastAsia="SimSun" w:cs="SimSun"/>
          <w:b/>
          <w:color w:val="000000"/>
          <w:sz w:val="22"/>
          <w:highlight w:val="white"/>
        </w:rPr>
        <w:t xml:space="preserve">未按要求提供《南京市政府采购供应商信用记录表暨信用承诺书》则该供应商投标文件按无效投标处理。</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在政府采购资格审查环节，供应商只需提供书面《南京市政府采购供应商信用记录表暨信用承诺书》，即可替代以下证明材料：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符合国家相关规定的财务状况报告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依法缴纳税收的证明材料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依法缴纳社会保障资金的证明材料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具备履行政府采购合同所必需的设备和专业技术能力的证明材料；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参加政府采购活动前三年内在经营活动中没有重大违法记录的证明材料；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未被列入失信被执行人、重大税收违法失信主体、政府采购严重违法失信行为记录名单的证明材料。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根据宁财购通[2021]5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供应商涉及以下情形的，不适用信用承诺：</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供应商被列入严重失信主体名单；</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被相关监管部门做出行政处罚且尚在处罚有效期内；</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被其他法律、行政法规规定的不适用信用承诺的情形。</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供应商对信用承诺内容的真实性、合法性、有效性负责。如作出虚假信用承诺，视同为“提供虚假材料谋取中标、成交”的违法行为。</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七、对本次招标提出询问，请按以下方式联系</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7.1采购人信息</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 称：南京江北新区智能制造产业发展管理办公室</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地址：南京江北新区科创大道9号智合园A1栋</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联系人：邓工</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联系方式：025-57673953 </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7.2采购代理机构信息</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 称： 江苏省设备成套股份有限公司</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　址：南京市鼓楼区清江南路18号鼓楼创新广场D栋1004室</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联系方式：钮驰，刘晗13770552830，13814074300</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电子邮箱：114778553@qq.com</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7.3项目联系方式</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项目联系人：钮驰，刘晗</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　话：13770552830，13814074300 </w:t>
      </w:r>
      <w:r/>
    </w:p>
    <w:p>
      <w:pPr>
        <w:ind w:left="0" w:right="0" w:firstLine="452"/>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452"/>
        <w:jc w:val="right"/>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45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5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 </w:t>
      </w:r>
      <w:r>
        <w:rPr>
          <w:rFonts w:ascii="SimSun" w:hAnsi="SimSun" w:eastAsia="SimSun" w:cs="SimSun"/>
          <w:b/>
          <w:color w:val="000000"/>
          <w:sz w:val="32"/>
          <w:u w:val="none"/>
        </w:rPr>
        <w:t xml:space="preserve">投标人须知</w:t>
      </w:r>
      <w:r/>
    </w:p>
    <w:p>
      <w:pPr>
        <w:ind w:left="0" w:right="0" w:firstLine="42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 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2.1“采购人”是指依法进行政府采购的国家机关、事业单位、团体组织。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2.2“投标人（供应商）”是指参加投标竞争，并符合招标文件规定资格条件的法人、其他组织或者自然人。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2.3“采购代理机构”是指集中采购机构和集中采购机构以外的采购代理机构，集中采购机构以外的采购代理机构，是从事采购代理业务的社会中介机构。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2.4“货物和服务”指本招标文件中所述产品及相关服务。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2.5“用户或使用单位”是指使用货物，接受服务的单位。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3.6进口产品政策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（1）除招标公告载明接受进口产品参加外，不允许进口产品参加。进口产品认定依照《财政部关于政府采购进口产品管理有关问题的通知》（财办库〔2008〕248号）的规定。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（3）允许进口产品参加的，优先采购向我国企业转让技术、与我国企业签订消化吸收再创新方案的投标人的进口产品。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3.7未按要求提供相关材料的，不享受相关政策。</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4、招标文件组成</w:t>
      </w:r>
      <w:r/>
    </w:p>
    <w:p>
      <w:pPr>
        <w:ind w:left="0" w:right="0" w:firstLine="363"/>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4.1招标文件包括以下主要内容：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（1）招标公告；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（2）投标人须知；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（3）评标标准；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（4）采购需求；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（5）合同主要条款及格式；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（6）投标文件格式及附件。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如标书制作工具中格式和内容与“南京公共采购信息网/江苏政府采购网/中国政府采购网”发布的招标文件不一致的，以上述网站发布的招标文件为准。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招标的最小单位是标段。招标货物数量及技术要求中未分标段的，投标人对要求提供的货物和服务不得部分投标；招标货物数量及技术要求中已经分标段的，可以以标段为单位投标。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采购代理机构如果要求投标人按照招标文件规定提交备选投标方案的，投标人可以提交备选方案；否则，备选方案将被拒绝。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4.4招标文件中要求的产品品牌或型号，是采购人根据项目所要实现的功能推荐的品牌或型号，仅供投标人参考，并不是限制条件。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5、招标文件的澄清或者修改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6、投标文件的语言、计量单位、货币和编制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6.2投标人所使用的计量单位应为国家法定计量单位。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6.3投标人应用人民币报价。投标产品如果是进口产品的，应提供人民币与</w:t>
      </w:r>
      <w:r>
        <w:rPr>
          <w:rFonts w:ascii="SimSun" w:hAnsi="SimSun" w:eastAsia="SimSun" w:cs="SimSun"/>
          <w:b/>
          <w:color w:val="000000"/>
          <w:sz w:val="21"/>
        </w:rPr>
        <w:t xml:space="preserve">外币之间的汇率。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6.4投标文件应按照招标文件的规定编写并制作目录。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6.5投标人应在投标文件中写清相应的项目编号、项目名称、投标人全称、地址、电话、传真等。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6.6投标人根据招标文件载明的标的采购项目实际情况，拟在中标后将中标项目的非主体、非关键性工作交由他人完成的，应当在投标文件中载明。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7、联合体投标（如有）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两个以上的自然人、法人或者其他组织可以组成一个联合体，以一个投标人的身份共同参加政府采购。</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联合体中有同类资质的投标人按照联合体分工承担相同工作的，按照资质等级较低的投标人确定资质等级。</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联合体各方之间应当签订联合体协议，明确约定联合体各方承担的工作和相应的责任，并将联合体协议连同投标文件一同提交。</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以联合体形式参加政府采购活动的，联合体各方不得再单独参加或者与其他投标人另外组成联合体参加同一合同项下的政府采购活动。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8、投标文件的组成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投标人应当根据招标文件要求编制投标文件，投标文件应对招标文件提出的要求和条件作出实质性响应，并在《商务条款偏离表》和《采购需求偏离表》等处逐条标明满足与否。</w:t>
      </w:r>
      <w:r>
        <w:rPr>
          <w:rFonts w:ascii="SimSun" w:hAnsi="SimSun" w:eastAsia="SimSun" w:cs="SimSun"/>
          <w:b/>
          <w:color w:val="000000"/>
          <w:sz w:val="21"/>
        </w:rPr>
        <w:t xml:space="preserve">对带星号（“*”）的技术条款必须在投标文件中提供技术支持资料（如白皮书、彩页、手册、检测报告等），未提供技术支持资料的，视为未对招标文件实质性要求作出响应，评审时不予认可。</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投标文件由商务、技术、价格以及其他部分内容组成。投标文件目录及有关格式按招标文件“第六章 投标文件格式及附件”的要求编制。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9、投标文件的商务内容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商务部分内容是证明投标人有资格参加投标和中标后有能力履行合同的文件，这些文件应能满足招标的要求，包括但不限于下列文件（</w:t>
      </w:r>
      <w:r>
        <w:rPr>
          <w:rFonts w:ascii="SimSun" w:hAnsi="SimSun" w:eastAsia="SimSun" w:cs="SimSun"/>
          <w:b/>
          <w:color w:val="000000"/>
          <w:sz w:val="21"/>
        </w:rPr>
        <w:t xml:space="preserve">（1）-（6）所述材料不得有缺失或提供不全或不满足招标文件的实质性要求</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（1）投标函（投标申请及声明）（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（2）法人授权书（格式见第六章）；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（3）投标人资格资信证明文件：</w:t>
      </w:r>
      <w:r/>
    </w:p>
    <w:p>
      <w:pPr>
        <w:numPr>
          <w:ilvl w:val="1"/>
          <w:numId w:val="7"/>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2.1《中华人民共和国政府采购法》规定的资格条件证明文件；</w:t>
      </w:r>
      <w:r/>
    </w:p>
    <w:p>
      <w:pPr>
        <w:numPr>
          <w:ilvl w:val="1"/>
          <w:numId w:val="7"/>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2.2</w:t>
      </w:r>
      <w:r>
        <w:rPr>
          <w:rFonts w:ascii="SimSun" w:hAnsi="SimSun" w:eastAsia="SimSun" w:cs="SimSun"/>
          <w:color w:val="000000"/>
          <w:spacing w:val="8"/>
          <w:sz w:val="21"/>
        </w:rPr>
        <w:t xml:space="preserve">落实政府采购政策需满足的资格要求；</w:t>
      </w:r>
      <w:r/>
    </w:p>
    <w:p>
      <w:pPr>
        <w:numPr>
          <w:ilvl w:val="1"/>
          <w:numId w:val="7"/>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2.3 采购人根据采购项目的特殊要求规定的特定条件证明文件。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（4）开标一览表及附表（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（5）投标人缴纳投标保证金凭证（不需要）；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（6）《南京市政府采购供应商信用记录表暨信用承诺书》</w:t>
      </w:r>
      <w:r>
        <w:rPr>
          <w:rFonts w:ascii="SimSun" w:hAnsi="SimSun" w:eastAsia="SimSun" w:cs="SimSun"/>
          <w:b/>
          <w:color w:val="000000"/>
          <w:sz w:val="21"/>
        </w:rPr>
        <w:t xml:space="preserve">（如招标公告中要求提供）；</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（7）《商务条款偏离表》；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（8）第三章评标标准中对应的所需证明材料（如有自行添加）；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（9）要求采购人提供的配合（如有自拟并自行添加）；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（10）其它（投标人认为有必要提供的声明和文件，如有，自行拟定并添加）。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10、投标文件的技术内容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内容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（1）技术说明或服务方案；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（2）《采购需求偏离表》；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（4）投标人拟投入本项目的设备、人员情况一览表；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（5）投标人认为需要提供的其他技术资料。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11、投标文件的价格内容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11.1价格部分内容是对采购标的价格构成的说明，招标文件如无特别说明，每一项货物及服务仅接受一个价格。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11.2报价应包含本次招标标的有关的所有费用，以及技术资料、支付给员工的工资和国家强制缴纳的各种社会保障资金，以及投标人认为需要的其他费用等</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11.3投标人的任何错漏、优惠、竞争性报价不得作为减轻责任、减少服务、增加收费、降低质量的理由。</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SimSun" w:hAnsi="SimSun" w:eastAsia="SimSun" w:cs="SimSun"/>
          <w:b/>
          <w:color w:val="000000"/>
          <w:sz w:val="21"/>
        </w:rPr>
        <w:t xml:space="preserve">无效投标处理</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 投标人应在《开标一览表》《分项报价表》等标明投标货物和服务的单价、总价以及分项报价等。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11.6对于采用货币报价的项目，开标一览表中的投标总报价应与投标报价明细表中的投标总报价一致，如不一致不作为无效投标处理，评标时以开标一览表中价格为准。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11.7本项目预算为：详见第一章</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12、投标文件的其他部分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其他部分由投标人根据编制投标文件需要提供的其他相关文件组成。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13、投标保证金：/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自开标之日起</w:t>
      </w:r>
      <w:r>
        <w:rPr>
          <w:rFonts w:ascii="SimSun" w:hAnsi="SimSun" w:eastAsia="SimSun" w:cs="SimSun"/>
          <w:b/>
          <w:color w:val="000000"/>
          <w:sz w:val="21"/>
        </w:rPr>
        <w:t xml:space="preserve">90</w:t>
      </w:r>
      <w:r>
        <w:rPr>
          <w:rFonts w:ascii="SimSun" w:hAnsi="SimSun" w:eastAsia="SimSun" w:cs="SimSun"/>
          <w:color w:val="000000"/>
          <w:sz w:val="21"/>
        </w:rPr>
        <w:t xml:space="preserve">天内投标有效</w:t>
      </w:r>
      <w:r>
        <w:rPr>
          <w:rFonts w:ascii="SimSun" w:hAnsi="SimSun" w:eastAsia="SimSun" w:cs="SimSun"/>
          <w:b/>
          <w:color w:val="000000"/>
          <w:sz w:val="21"/>
        </w:rPr>
        <w:t xml:space="preserve">，投标有效期从提交投标文件的截止之日起算。投标文件中承诺的投标有效期应当不少于招标文件中载明的投标有效期。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特殊情况下，在原投标有效期截止之前，招标代理机构可要求投标人同意延长投标有效期，这种要求与答复均应以书面形式提交。接受延长投标有效期的投标人将不会要求和允许修正其投标。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15、投标文件签署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投标文件应按照招标文件要求加盖电子公章，否则视为无效投标。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投标人应承担所有与准备和参加投标有关的费用，无论招标结果如何，采购代理机构和采购人在任何情况下均无义务和责任承担这些费用。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招标代理服务费：本次招标，中标人按单项合同中标价为计费基数，以苏招协〔2022〕002号文收费标准的50%向招标代理机构支付招标服务费。本项费用无需在《报价一览表》中单列。</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17、投标文件的密封和递交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投标人应当按照《操作手册》规定，在招标公告规定的投标截止时间前制作并上传电子投标文件。招标代理机构拒绝接收提交投标文件截止时间后上传的任何电子投标文件。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投标人应当按照《操作手册》规定，在“苏采云”系统规定的时间内对响应文件进行解密</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中标人在中标后递交2份投标文件，必须保持和苏采云上传的投标文件一致，按照A4幅面打印或复印并进行装订，如有资料超过A4幅面折叠成A4幅面；投标文件装订采用胶装的形式。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18、有下列情形的投标文件将被拒收：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投标人应当按照《操作手册》规定，在“苏采云”系统规定的时间内对投标文件进行解密。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18.2投标人应充分考虑网络环境、网络带宽等因素可能对投标产生的影响，如因投标人自身原因造成的电子投标文件解密不成功的，作无效投标处理。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19、投标文件的修改和撤回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投标截止时间之后，投标文件不得撤回。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20、诚实信用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20.1投标人应当遵循公平竞争的原则，不得恶意串通，不得妨碍其他投标人的竞争行为，不得损害采购人或者其他投标人的合法权益。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20.2在评标过程中发现投标人有上述情形的，评标委员会应当认定其投标无效，并书面报告本级财政部门。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五、开标、评标与定标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投标人在开标过程中涉及到的投标文件解密、开标结果确认等工作，应按照《操作手册》规定执行。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21.3投标人不足3家的，不得开标。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 投标人如果对开标过程和开标结果有疑义，应当根据《操作手册》规定提出，“苏采云”系统中《开标记录表》公布后5分钟内未提出的，视同认可开标结果。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21.5公开招标数额标准以上的采购项目，投标截止后投标人不足3家或者通过资格审查或符合性审查的投标人不足3家的，除采购任务取消情形外，按照以下方式处理：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（1）招标文件存在不合理条款或者招标程序不符合规定的，采购人、采购代理机构改正后依法重新招标；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（2）招标文件没有不合理条款、招标程序符合规定，需要采用其他采购方式采购的，采购人依法报财政部门批准，经批准后，可变更为其他采购方式采购。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22、评标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 评标委员会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22.1.1</w:t>
      </w:r>
      <w:r>
        <w:rPr>
          <w:rFonts w:ascii="SimSun" w:hAnsi="SimSun" w:eastAsia="SimSun" w:cs="SimSun"/>
          <w:color w:val="000000"/>
          <w:sz w:val="21"/>
        </w:rPr>
        <w:t xml:space="preserve">评标委员会负责具体评标事务，并独立履行下列职责：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（一）审查、评价投标文件是否符合招标文件的商务、技术等实质性要求；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（二）要求投标人对投标文件有关事项作出澄清或者说明；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（三）对投标文件进行比较和评价；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（四）确定中标候选人名单，以及根据采购人委托直接确定中标人；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（五）向采购人、采购代理机构或者有关部门报告评标中发现的违法行为。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22.1.2 </w:t>
      </w:r>
      <w:r>
        <w:rPr>
          <w:rFonts w:ascii="SimSun" w:hAnsi="SimSun" w:eastAsia="SimSun" w:cs="SimSun"/>
          <w:color w:val="000000"/>
          <w:sz w:val="21"/>
        </w:rPr>
        <w:t xml:space="preserve">评标委员会由采购人代表和有关技术、经济等方面的专家组成，独立开展评审工作。</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  评标程序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22.2.1 投标文件的资格性检查。</w:t>
      </w:r>
      <w:r>
        <w:rPr>
          <w:rFonts w:ascii="SimSun" w:hAnsi="SimSun" w:eastAsia="SimSun" w:cs="SimSun"/>
          <w:color w:val="000000"/>
          <w:sz w:val="21"/>
        </w:rPr>
        <w:t xml:space="preserve">公开招标采购项目开标结束后，采购人或者采购代理机构应当依法对投标人的资格进行审查。合格投标人不足3家的，不得评标。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（1）投标人在“苏采云”系统规定的时间内未成功解密电子投标文件的；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（2）投标人未按照招标文件要求上传电子投标文件的；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（3）同一投标人提交两个（含两个）以上不同的投标报价的；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（4）投标文件未按照招标文件要求加盖电子公章的；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（5）不具备招标文件中规定的资格要求的；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（6）报价超过招标文件中规定的预算金额或者最高限价的；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（7）投标文件含有采购人不能接受的附加条件的；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（8）投标文件内容不全或不符合招标文件中规定的其他实质性要求的；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（9）现行法律、法规、规章和招标文件规定的其他无效情形。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22.2.2.2未通过资格审查或符合性审查的投标人，代理机构将通过“苏采云”系统告知其具体原因，评标结束后不再接受有关询问。</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22.2.2.3有下列情形之一的予以废标：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（1）符合专业条件的投标人或者对招标文件作实质性响应的投标人不足三家的；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（3）投标人的报价均超过了采购预算，采购人不能支付的；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（4）因苏采云系统故障造成开标不成功的；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（5）因重大变故，采购任务取消的。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（6）投标人以明显低于其他通过符合性审查投标人的报价，有可能影响产品质量或者不能诚信履约的，且不能证明其报价合理性的。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w:t>
      </w:r>
      <w:r>
        <w:rPr>
          <w:rFonts w:ascii="SimSun" w:hAnsi="SimSun" w:eastAsia="SimSun" w:cs="SimSun"/>
          <w:b/>
          <w:color w:val="000000"/>
          <w:sz w:val="21"/>
        </w:rPr>
        <w:t xml:space="preserve">澄清有关问题</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22.2.3.1 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投标人的澄清、说明或者补正不得超出投标文件的范围或者改变投标文件的实质性内容。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评委会并非对每个投标人都做澄清要求。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22.2.3.3 接到评委会澄清、说明和补正要求的，投标人如未按规定作出澄清、说明和补正，其风险由投标人自行承担。投标文件报价出现前后不一致的，除招标文件另有规定外，按照下列规定修正：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（1）投标文件中开标一览表（报价表）内容与投标文件中相应内容不一致的，以开标一览表（报价表）为准；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（2）大写金额和小写金额不一致的，以大写金额为准；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（3）单价金额小数点或者百分比有明显错位的，以开标一览表的总价为准，并修改单价；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（4）总价金额与按单价汇总金额不一致的，以单价金额计算结果为准。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22.2.3.4评标委员会认为投标人的报价明显低于其他通过符合性审查投标人的报价，有可能影响产品质量或者不能诚信履约的，将要求其在评标现场合理的时间内提供书面说明，必要时提交相关证明材料；</w:t>
      </w:r>
      <w:r>
        <w:rPr>
          <w:rFonts w:ascii="SimSun" w:hAnsi="SimSun" w:eastAsia="SimSun" w:cs="SimSun"/>
          <w:b/>
          <w:color w:val="000000"/>
          <w:sz w:val="21"/>
        </w:rPr>
        <w:t xml:space="preserve">投标人不能证明其报价合理性的，评标委员会将其作为无效投标处理。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22.2.3.5投标人在开、评标全过程中应保持通讯畅通，及时登录苏采云系统查阅、答复相关信息，并安排专人与代理机构及评委会联系。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22.2.4比较与评价。评标委员会应当按照招标文件中规定的评标方法和标准，对符合性审查合格的投标文件进行商务和技术评估，综合比较与评价。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22.2.5相同品牌产品的投标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非单一产品采购项目，确定核心产品的方法在招标文件技术需求中载明。多家投标人提供的核心产品品牌相同的，按前两款规定处理。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 评标方法和标准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22.3.1评标方法分为最低评标价法和综合评分法。本次招标的评标方法和标准，详见本招标文件第三章。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22.3.2最低评标价法，是指投标文件满足招标文件全部实质性要求，且投标报价最低的投标人为中标候选人的评标方法。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采用最低评标价法评标时，除了算术修正和落实政府采购政策需进行的价格扣除外，不对投标人的投标价格进行任何调整。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22.3.3综合评分法，是指投标文件满足招标文件全部实质性要求，且按照评审因素的量化指标评审得分最高的投标人为中标候选人的评标方法。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评审因素，包括价格、技术、商务等。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评标时，评标委员会各成员应当独立对每个投标人的投标文件进行评价，并汇总每个投标人的得分。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价格分采用低价优先法计算，即满足招标文件要求且投标价格最低的投标报价为评标基准价，其价格分为满分。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评标总得分＝F1×A1＋F2×A2＋……＋Fn×An</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F1、F2……Fn分别为各项评审因素的得分；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A1、A2、……An 分别为各项评审因素所占的权重(A1＋A2＋……＋An＝1)。</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因落实政府采购政策进行价格调整的，以调整后的价格计算评标基准价和投标报价。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22.4评标委员会启动异常低价投标审查的情形和具体要求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22.4.1评标过程中出现下列情形之一的，评标委员会应当启动异常低价投标审查程序：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（1）投标（响应）报价低于全部通过符合性审查供应商投标（响应）报价平均值50%的，即投标（响应）报价&lt;全部通过符合性审查供应商投标（响应）报价平均值×50%；</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（2）投标（响应）报价低于通过符合性审查的次低报价供应商投标（响应）报价50%的，即投标（响应）报价&lt;通过符合性审查的次低报价供应商投标（响应）报价×50%；</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（3）投标（响应）报价低于采购项目最高限价45%的，即投标（响应）报价&lt;采购项目最高限价×45%；</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（4）评审委员会基于专业判断，认为供应商报价过低，有可能影响产品质量或者不能诚信履约的其他情形。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22.4.2 评审委员会启动异常低价投标（响应）审查后，属于前述第（</w:t>
      </w:r>
      <w:r>
        <w:rPr>
          <w:rFonts w:ascii="Arial" w:hAnsi="Arial" w:eastAsia="Arial" w:cs="Arial"/>
          <w:color w:val="000000"/>
          <w:sz w:val="21"/>
        </w:rPr>
        <w:t xml:space="preserve">1</w:t>
      </w:r>
      <w:r>
        <w:rPr>
          <w:rFonts w:ascii="SimSun" w:hAnsi="SimSun" w:eastAsia="SimSun" w:cs="SimSun"/>
          <w:color w:val="000000"/>
          <w:sz w:val="21"/>
        </w:rPr>
        <w:t xml:space="preserve">）项至第（</w:t>
      </w:r>
      <w:r>
        <w:rPr>
          <w:rFonts w:ascii="Arial" w:hAnsi="Arial" w:eastAsia="Arial" w:cs="Arial"/>
          <w:color w:val="000000"/>
          <w:sz w:val="21"/>
        </w:rPr>
        <w:t xml:space="preserve">4</w:t>
      </w:r>
      <w:r>
        <w:rPr>
          <w:rFonts w:ascii="SimSun" w:hAnsi="SimSun" w:eastAsia="SimSun" w:cs="SimSun"/>
          <w:color w:val="000000"/>
          <w:sz w:val="21"/>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Arial" w:hAnsi="Arial" w:eastAsia="Arial" w:cs="Arial"/>
          <w:color w:val="000000"/>
          <w:sz w:val="21"/>
        </w:rPr>
        <w:t xml:space="preserve">30</w:t>
      </w:r>
      <w:r>
        <w:rPr>
          <w:rFonts w:ascii="SimSun" w:hAnsi="SimSun" w:eastAsia="SimSun" w:cs="SimSun"/>
          <w:color w:val="000000"/>
          <w:sz w:val="21"/>
        </w:rPr>
        <w:t xml:space="preserve">分钟。其中，属于第（</w:t>
      </w:r>
      <w:r>
        <w:rPr>
          <w:rFonts w:ascii="Arial" w:hAnsi="Arial" w:eastAsia="Arial" w:cs="Arial"/>
          <w:color w:val="000000"/>
          <w:sz w:val="21"/>
        </w:rPr>
        <w:t xml:space="preserve">3</w:t>
      </w:r>
      <w:r>
        <w:rPr>
          <w:rFonts w:ascii="SimSun" w:hAnsi="SimSun" w:eastAsia="SimSun" w:cs="SimSun"/>
          <w:color w:val="000000"/>
          <w:sz w:val="21"/>
        </w:rPr>
        <w:t xml:space="preserve">）项情形，供应商已随投标（响应）文件一并提交相关书面说明及必要的证明材料的，在评审现场可不再重复提交。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22.4.4</w:t>
      </w:r>
      <w:r>
        <w:rPr>
          <w:rFonts w:ascii="SimSun" w:hAnsi="SimSun" w:eastAsia="SimSun" w:cs="SimSun"/>
          <w:color w:val="000000"/>
          <w:sz w:val="21"/>
        </w:rPr>
        <w:t xml:space="preserve">异常低价投标审查的启动原因、审查意见和审查结果应当在评标报告中记录，并随投标人提供的相关书面说明及证明材料，以及评标委员会有关互联网浏览、查询历史一并归档。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23.4 中标通知书对采购人和中标人具有同等法律效力。中标通知书发出后，采购人不得违法改变中标结果，中标人无正当理由不得放弃中标。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 所有投标文件不论中标与否，均不退回。</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24.1评标委员会根据全体评标成员签字的原始评标记录和评标结果编写评标报告。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25、评标过程的保密性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 采购人和采购代理机构将采取必要措施，保证评标在严格保密的情况下进行。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 任何单位和个人不得非法干预、影响评标办法的确定，以及评标过程和结果。</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 凡是与审查、澄清、评价和比较投标的有关资料等，均不向投标人及与评标无关的其他人员透露。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 采购人与中标人应当自中标通知书发出之日起30日内，按照招标文件和中标人投标文件的规定，签订书面合同。所签订的合同不得对招标文件确定的事项和中标人投标文件作实质性修改。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26.2 </w:t>
      </w:r>
      <w:r>
        <w:rPr>
          <w:rFonts w:ascii="SimSun" w:hAnsi="SimSun" w:eastAsia="SimSun" w:cs="SimSun"/>
          <w:color w:val="000000"/>
          <w:sz w:val="21"/>
        </w:rPr>
        <w:t xml:space="preserve">除继续履行将损害国家利益和社会公众利益的，政府采购合同的双方当事人不得擅自变更、中止或者终止合同。</w:t>
      </w:r>
      <w:r>
        <w:rPr>
          <w:rFonts w:ascii="SimSun" w:hAnsi="SimSun" w:eastAsia="SimSun" w:cs="SimSun"/>
          <w:b/>
          <w:color w:val="000000"/>
          <w:sz w:val="21"/>
        </w:rPr>
        <w:t xml:space="preserve">放弃或拒绝签订合同的，中标人不得参加对该项目重新开展的采购活动，中标人应向采购人支付采购人为招标所发生的相关费用，由财政部门列入不良行为记录名单，在一至三年内禁止参加政府采购活动，并予以通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26.3采购人不得向中标人提出任何不合理的要求作为签订合同的条件。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26.4中标人拒绝与采购人签订合同的，采购人可以按照评审报告推荐的中标或者成交候选人名单排序，确定下一候选人为中标或者成交供应商，也可以重新开展政府采购活动。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26.6 采购人与中标人应当根据合同的约定依法履行合同义务。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七、质疑和投诉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27.1供应商对招标活动事项有疑问的，可以向采购代理机构提出询问，采购代理机构将依法作出答复，但答复的内容不涉及商业秘密</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27.2提出质疑的供应商应当是参与所质疑项目采购活动的供应商。潜在供应商已依法获取其可质疑的采购文件的，可以对该文件提出质疑。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以联合体形式参加政府采购活动的，其质疑应当由组成联合体的所有供应商共同提出。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27.3供应商认为采购文件、采购过程和中标结果使自己的合法权益受到损害的，可以在知道或者应知其权益受到损害之日起七个工作日内，将质疑文件原件送达采购人或采购代理机构。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供应商必须在法定质疑期内一次性提出针对同一采购程序环节的质疑。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 供应商提出质疑应当提交质疑函和必要的证明材料。质疑函应当包括下列内容：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（一）供应商的姓名或者名称、地址、邮编、联系人及联系电话；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（二）质疑项目的名称、编号；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（三）具体、明确的质疑事项和与质疑事项相关的请求（具体条款）；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（四）事实依据（具体条款）；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（五）必要的法律依据（具体条款）；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（六）提出质疑的日期。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质疑函应当使用中文。相关当事人提供外文书证或者外国语视听资料的，应当附有中文译本，由翻译机构盖章或者翻译人员签名。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27.5质疑函应当现场提交至采购代理机构联系人处，提交时应出示有效身份证明。未按上述要求提交质疑函的，质疑不予受理。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27.7采购代理机构在收到投标人的书面质疑后将及时组织调查核实，在</w:t>
      </w:r>
      <w:r>
        <w:rPr>
          <w:rFonts w:ascii="SimSun" w:hAnsi="SimSun" w:eastAsia="SimSun" w:cs="SimSun"/>
          <w:b/>
          <w:color w:val="000000"/>
          <w:sz w:val="21"/>
        </w:rPr>
        <w:t xml:space="preserve">七个工作日内</w:t>
      </w:r>
      <w:r>
        <w:rPr>
          <w:rFonts w:ascii="SimSun" w:hAnsi="SimSun" w:eastAsia="SimSun" w:cs="SimSun"/>
          <w:color w:val="000000"/>
          <w:sz w:val="21"/>
        </w:rPr>
        <w:t xml:space="preserve">作出答复，并以书面或在网站公告形式通知质疑投标人和其他有关投标人，答复的内容不涉及商业秘密。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任何单位和个人对代理机构在招标采购活动中的违法行为，有权控告和检举，联系电话：025-86636139（采购代理机构质量管理部门）、025-86636853（采购代理机构纪检监察部门）。</w:t>
      </w:r>
      <w:r/>
    </w:p>
    <w:p>
      <w:pPr>
        <w:ind w:left="0" w:right="0" w:firstLine="420"/>
        <w:jc w:val="both"/>
        <w:spacing w:before="0" w:after="0" w:line="4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28.2供应商投诉应当有明确的请求和必要的证明材料。供应商投诉的事项不得超出已质疑事项的范围。</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 投诉人有下列行为之一的，属于严重失信行为，由财政部门列入不良行为记录名单，禁止其一至三年内参加政府采购活动。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（1）投诉人在全国范围12个月内三次以上投诉查无实据的；</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（2）采用捏造事实、提供虚假材料或者以非法手段取得证明材料等方式进行虚假、恶意投诉。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证据来源的合法性存在明显疑问，投诉人无法证明其取得方式合法的，视为以非法手段取得证明材料。</w:t>
      </w:r>
      <w:r/>
    </w:p>
    <w:p>
      <w:pPr>
        <w:numPr>
          <w:ilvl w:val="0"/>
          <w:numId w:val="8"/>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29.1本项目根据江苏省财政厅关于加强政府绿色采购有关事项的通知（苏财购〔2023〕65号）规定，执行绿色采购需求标准。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5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第三章评标标准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2"/>
        <w:gridCol w:w="708"/>
        <w:gridCol w:w="6135"/>
        <w:gridCol w:w="682"/>
        <w:gridCol w:w="103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35" w:type="dxa"/>
            <w:vAlign w:val="top"/>
            <w:textDirection w:val="lrTb"/>
            <w:noWrap/>
          </w:tcPr>
          <w:p>
            <w:pPr>
              <w:ind w:left="0" w:right="0" w:firstLine="312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1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评审细则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7"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类型</w:t>
            </w:r>
            <w:r/>
          </w:p>
        </w:tc>
      </w:tr>
      <w:tr>
        <w:trPr>
          <w:trHeight w:val="46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价格</w:t>
            </w:r>
            <w:r/>
          </w:p>
        </w:tc>
      </w:tr>
      <w:tr>
        <w:trPr>
          <w:trHeight w:val="10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采用低价优先法计算，即满足招标文件要求且投标价格最低的投标报价为评标基准价，其价格分为满分。其他投标人的价格分统一按照下列公式计算：投标报价得分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评标基准价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投标报价</w:t>
            </w:r>
            <w:r>
              <w:rPr>
                <w:rFonts w:ascii="Times New Roman" w:hAnsi="Times New Roman" w:eastAsia="Times New Roman" w:cs="Times New Roman"/>
                <w:color w:val="000000"/>
                <w:sz w:val="21"/>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r>
      <w:tr>
        <w:trPr>
          <w:trHeight w:val="47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 </w:t>
            </w:r>
            <w:r>
              <w:rPr>
                <w:rFonts w:ascii="SimSun" w:hAnsi="SimSun" w:eastAsia="SimSun" w:cs="SimSun"/>
                <w:color w:val="000000"/>
                <w:sz w:val="21"/>
              </w:rPr>
              <w:t xml:space="preserve">服务</w:t>
            </w:r>
            <w:r/>
          </w:p>
        </w:tc>
      </w:tr>
      <w:tr>
        <w:trPr>
          <w:trHeight w:val="10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总体服务方案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35"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评委根据投标人提供的总体服务方案（包括但不限于总体设想、服务于本项目的重点、难点等）评分：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）总体服务方案的可操作性强、服务计划安排科学合理得</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）总体服务方案有较强针对性和可操作性，服务计划安排较合理得</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）总体服务方案有一定针对性和可操作性、服务计划安排基本合理得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）总体服务方案的针对性差、没有可操作性、没有服务计划安排得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）未提供的不得分。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9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制度管理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评委根据投标人提供的制度管理方案（包括但不限于人员管理方案、车辆日常维护操作规程、档案管理制度及流程等）评分：（</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）制度管理方案完整，合理，科学，可操作性强得</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）制度管理方案较为完整，合理性、科学性、可操作性较强得</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）制度管理方案基本完整、合理，有一定科学性、可操作性得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）方案不完整、不合理、不可行、不可操作得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）未提供的不得分。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9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日常突发情况应急预案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评委根据投标人提供的日常突发情况应急预案（包括但不限于对遇到突发情况的应对，车辆发生意外损毁或破坏时等特殊情况的解决和处理）评分：（</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）应急预案及突发情况处理措施具体，切实可行得</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）应急预案及突发情况处理措施较具体，较可行得</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）应急预案及突发情况处理有一定可操作性，基本可行得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）应急预案及突发情况处理措施不合理，可行性差得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）未提供的不得分。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9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服务保障管理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评委根据投标人提供的服务保障管理方案（包括但不限于安全保障、服务保障、管理措施等）评分：（</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）安全保障切实可行，服务保障到位，管理措施健全得</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）安全保障较切实可行，服务保障较到位，管理措施较健全得</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）安全保障一般，服务保障一般，管理措施一般得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）服务保障管理方案不合理，可行性差得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）未提供的不得分。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9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岗位培训方案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评委根据投标人拟投入本项目的从业人员岗位培训方案</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包括但不限于岗前培训、安全教育培训等）综合评分；（</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）培训方案完整规范，科学性、可操作性好得</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）培训方案较完整规范，科学性、可操作性较好得</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）培训方案基本完整、规范得 </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）培训方案不合理得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）未提供的不得分。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9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增值服务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投标人承诺提供以下增值服务，费用由投标人综合考虑在投标总价中，结算时不另行增加：（</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）每台车辆配备</w:t>
            </w:r>
            <w:r>
              <w:rPr>
                <w:rFonts w:ascii="Times New Roman" w:hAnsi="Times New Roman" w:eastAsia="Times New Roman" w:cs="Times New Roman"/>
                <w:color w:val="000000"/>
                <w:sz w:val="21"/>
              </w:rPr>
              <w:t xml:space="preserve">GPS</w:t>
            </w:r>
            <w:r>
              <w:rPr>
                <w:rFonts w:ascii="SimSun" w:hAnsi="SimSun" w:eastAsia="SimSun" w:cs="SimSun"/>
                <w:color w:val="000000"/>
                <w:sz w:val="21"/>
              </w:rPr>
              <w:t xml:space="preserve">系统；（</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）每台车辆配备</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把雨伞。以上每提供一项服务得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分，未提供不得分（投标人需提供承诺书加盖公章上传至投标系统，格式自拟）。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业绩</w:t>
            </w:r>
            <w:r/>
          </w:p>
        </w:tc>
      </w:tr>
      <w:tr>
        <w:trPr>
          <w:trHeight w:val="10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3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投标人提供自</w:t>
            </w:r>
            <w:r>
              <w:rPr>
                <w:rFonts w:ascii="Times New Roman" w:hAnsi="Times New Roman" w:eastAsia="Times New Roman" w:cs="Times New Roman"/>
                <w:color w:val="000000"/>
                <w:sz w:val="21"/>
              </w:rPr>
              <w:t xml:space="preserve">2021</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日（含）以来（时间以合同签订时间为准）具有接驳车运营服务或租赁服务业绩，每提供</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分，未提供不得分（提供有效合同并加盖公章上传至投标系统。投标人与同一业主单位签订的多份合同按一个业绩计算得分。须提供合同及与之对应的发票扫描件</w:t>
            </w:r>
            <w:r>
              <w:rPr>
                <w:rFonts w:ascii="SimSun" w:hAnsi="SimSun" w:eastAsia="SimSun" w:cs="SimSun"/>
                <w:b/>
                <w:color w:val="000000"/>
                <w:sz w:val="21"/>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269"/>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 </w:t>
            </w:r>
            <w:r>
              <w:rPr>
                <w:rFonts w:ascii="SimSun" w:hAnsi="SimSun" w:eastAsia="SimSun" w:cs="SimSun"/>
                <w:color w:val="000000"/>
                <w:sz w:val="21"/>
              </w:rPr>
              <w:t xml:space="preserve">履约能力</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w:t>
            </w:r>
            <w:r>
              <w:rPr>
                <w:rFonts w:ascii="Times New Roman" w:hAnsi="Times New Roman" w:eastAsia="Times New Roman" w:cs="Times New Roma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3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、投标人承诺在本项目服务期间一切因投标人的工作疏忽导致的交通事故或其他财产损失和人身伤害均由投标人承担相关经济和法律责任；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、投标人承诺在本项目服务期间必须自觉遵守国家相关法律法规和招标人的各项规章制度，确保服务期间的各项服务内容全面到位；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、投标人须承诺拟投入本项目的驾驶员无酒驾、无毒驾、无任何犯罪前科及不良记录。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以上每提供一项承诺得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分，未提供不得分（投标人需提供承诺书加盖公章上传至投标系统，格式自拟）。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5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w:t>
            </w: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投标人承诺投入运营的全部车辆未发生过重大及以上等级安全事故的得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（投标人需提供承诺书加盖公章上传至投标系统，格式自拟）。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8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w:t>
            </w: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、投标人拟投入本项目驾驶人员须是实际到岗人员，得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分。（须提供承诺书扫描件，格式自拟）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、投标人拟投入本项目驾驶人员（限评</w:t>
            </w: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）具有有效期内道路运输从业人员从业资格证（准驾车型为</w:t>
            </w:r>
            <w:r>
              <w:rPr>
                <w:rFonts w:ascii="Times New Roman" w:hAnsi="Times New Roman" w:eastAsia="Times New Roman" w:cs="Times New Roman"/>
                <w:color w:val="000000"/>
                <w:sz w:val="21"/>
              </w:rPr>
              <w:t xml:space="preserve">A1</w:t>
            </w:r>
            <w:r>
              <w:rPr>
                <w:rFonts w:ascii="SimSun" w:hAnsi="SimSun" w:eastAsia="SimSun" w:cs="SimSun"/>
                <w:color w:val="000000"/>
                <w:sz w:val="21"/>
              </w:rPr>
              <w:t xml:space="preserve">，从业资格类别为道路旅客运输驾驶员），且具有</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年及以上驾龄（含小车）的，每提供</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人得 </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）具有有效期内道路运输从业人员从业资格证（准驾车型为</w:t>
            </w:r>
            <w:r>
              <w:rPr>
                <w:rFonts w:ascii="Times New Roman" w:hAnsi="Times New Roman" w:eastAsia="Times New Roman" w:cs="Times New Roman"/>
                <w:color w:val="000000"/>
                <w:sz w:val="21"/>
              </w:rPr>
              <w:t xml:space="preserve">A1</w:t>
            </w:r>
            <w:r>
              <w:rPr>
                <w:rFonts w:ascii="SimSun" w:hAnsi="SimSun" w:eastAsia="SimSun" w:cs="SimSun"/>
                <w:color w:val="000000"/>
                <w:sz w:val="21"/>
              </w:rPr>
              <w:t xml:space="preserve">，从业资格类别为道路旅客运输驾驶员），且具有</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年及以上驾龄（含小车）的，每提供</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人得</w:t>
            </w:r>
            <w:r>
              <w:rPr>
                <w:rFonts w:ascii="Times New Roman" w:hAnsi="Times New Roman" w:eastAsia="Times New Roman" w:cs="Times New Roman"/>
                <w:color w:val="000000"/>
                <w:sz w:val="21"/>
              </w:rPr>
              <w:t xml:space="preserve">0.7</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）具有有效期内道路运输从业人员从业资格证（准驾车型为</w:t>
            </w:r>
            <w:r>
              <w:rPr>
                <w:rFonts w:ascii="Times New Roman" w:hAnsi="Times New Roman" w:eastAsia="Times New Roman" w:cs="Times New Roman"/>
                <w:color w:val="000000"/>
                <w:sz w:val="21"/>
              </w:rPr>
              <w:t xml:space="preserve">A1</w:t>
            </w:r>
            <w:r>
              <w:rPr>
                <w:rFonts w:ascii="SimSun" w:hAnsi="SimSun" w:eastAsia="SimSun" w:cs="SimSun"/>
                <w:color w:val="000000"/>
                <w:sz w:val="21"/>
              </w:rPr>
              <w:t xml:space="preserve">，从业资格类别为道路旅客运输驾驶员），且具有</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年及以上驾龄（含小车）的，每提供</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人得</w:t>
            </w:r>
            <w:r>
              <w:rPr>
                <w:rFonts w:ascii="Times New Roman" w:hAnsi="Times New Roman" w:eastAsia="Times New Roman" w:cs="Times New Roman"/>
                <w:color w:val="000000"/>
                <w:sz w:val="21"/>
              </w:rPr>
              <w:t xml:space="preserve">0.4</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本项最高得</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分，未提供不得分。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需提供人员驾驶证及人员列表，并提供投标人为其缴纳的</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月以来任意一个月的社保证明材料并加盖公章。所有驾驶人员一人一证，一人多证不重复计分，以最高分计。证明材料缺项或未提供不得分。）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6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保险</w:t>
            </w:r>
            <w:r/>
          </w:p>
        </w:tc>
      </w:tr>
      <w:tr>
        <w:trPr>
          <w:trHeight w:val="4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相关保险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3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供应商拟投入本项目保险</w:t>
            </w:r>
            <w:r>
              <w:rPr>
                <w:rFonts w:ascii="Times New Roman" w:hAnsi="Times New Roman" w:eastAsia="Times New Roman" w:cs="Times New Roma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承诺为本项目提供服务的车辆第三者责任险保额不低于</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万元（含），承运人责任险保额不低于</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万元（含）</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座的得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承诺为本项目提供服务的车辆第三者责任险保额不低于</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万元（含），承运人责任险保额不低于</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万元（含）</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座的得</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承诺为本项目提供服务的车辆第三者责任险保额不低于</w:t>
            </w: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万元（含），承运人责任险保额不低于</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万元（含）</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座的得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本项最多得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投标人提供承诺书</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格式自拟</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并加盖公章，中标后提供相应保单复印件</w:t>
            </w:r>
            <w:r>
              <w:rPr>
                <w:rFonts w:ascii="Times New Roman" w:hAnsi="Times New Roman" w:eastAsia="Times New Roman" w:cs="Times New Roman"/>
                <w:color w:val="000000"/>
                <w:sz w:val="21"/>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分</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所有认证、证明和业绩均以有效清晰的证明文件的复印件为依据。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小微企业价格扣除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rPr>
          <w:rFonts w:ascii="SimSun" w:hAnsi="SimSun" w:eastAsia="SimSun" w:cs="SimSun"/>
          <w:color w:val="000000"/>
          <w:sz w:val="21"/>
        </w:rPr>
        <w:t xml:space="preserve">对于专门面向中小企业或小型、微型企业的项目，只面向中小企业或小型、微型企业采购。对于非专门面向中小企业的项目，对小型和微型企业的价格给予</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的扣除，用扣除后的价格参与评审。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rPr>
          <w:rFonts w:ascii="SimSun" w:hAnsi="SimSun" w:eastAsia="SimSun" w:cs="SimSun"/>
          <w:color w:val="000000"/>
          <w:sz w:val="21"/>
        </w:rPr>
        <w:t xml:space="preserve">大中型企业和其他自然人、法人或者其他组织与小型、微型企业组成联合体共同参加投标，如果联合协议中约定，小型、微型企业的协议合同金额占到联合体协议合同总金额</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以上的，给予联合体</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的价格扣除。联合体各方均为小型、微型企业的，联合体视同为小型、微型企业给予</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价格扣除，用扣除后的价格参与评审。组成联合体的大中型企业和其他自然人、法人或者其他组织，与小型、微型企业之间不得存在投资关系。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监狱和戒毒企业的价格扣除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 </w:t>
      </w:r>
      <w:r>
        <w:rPr>
          <w:rFonts w:ascii="SimSun" w:hAnsi="SimSun" w:eastAsia="SimSun" w:cs="SimSun"/>
          <w:color w:val="000000"/>
          <w:sz w:val="21"/>
        </w:rPr>
        <w:t xml:space="preserve">本项目对监狱和戒毒企业，给予</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 </w:t>
      </w:r>
      <w:r>
        <w:rPr>
          <w:rFonts w:ascii="SimSun" w:hAnsi="SimSun" w:eastAsia="SimSun" w:cs="SimSun"/>
          <w:color w:val="000000"/>
          <w:sz w:val="21"/>
        </w:rPr>
        <w:t xml:space="preserve">监狱企业需提供由省级以上监狱管理局、戒毒管理局（含新疆生产建设兵团）出具的属于监狱企业的证明文件。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 </w:t>
      </w:r>
      <w:r>
        <w:rPr>
          <w:rFonts w:ascii="SimSun" w:hAnsi="SimSun" w:eastAsia="SimSun" w:cs="SimSun"/>
          <w:color w:val="000000"/>
          <w:sz w:val="21"/>
        </w:rPr>
        <w:t xml:space="preserve">监狱企业标准请参照《关于政府采购支持监狱企业发展有关问题的通知》（财库〔</w:t>
      </w:r>
      <w:r>
        <w:rPr>
          <w:rFonts w:ascii="Times New Roman" w:hAnsi="Times New Roman" w:eastAsia="Times New Roman" w:cs="Times New Roman"/>
          <w:color w:val="000000"/>
          <w:sz w:val="21"/>
        </w:rPr>
        <w:t xml:space="preserve">2014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68</w:t>
      </w:r>
      <w:r>
        <w:rPr>
          <w:rFonts w:ascii="SimSun" w:hAnsi="SimSun" w:eastAsia="SimSun" w:cs="SimSun"/>
          <w:color w:val="000000"/>
          <w:sz w:val="21"/>
        </w:rPr>
        <w:t xml:space="preserve">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残疾人福利性单位的价格扣除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 </w:t>
      </w:r>
      <w:r>
        <w:rPr>
          <w:rFonts w:ascii="SimSun" w:hAnsi="SimSun" w:eastAsia="SimSun" w:cs="SimSun"/>
          <w:color w:val="000000"/>
          <w:sz w:val="21"/>
        </w:rPr>
        <w:t xml:space="preserve">本项目对残疾人福利性单位，给予</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 </w:t>
      </w:r>
      <w:r>
        <w:rPr>
          <w:rFonts w:ascii="SimSun" w:hAnsi="SimSun" w:eastAsia="SimSun" w:cs="SimSun"/>
          <w:color w:val="000000"/>
          <w:sz w:val="21"/>
        </w:rPr>
        <w:t xml:space="preserve">残疾人福利性单位需提供《残疾人福利性单位声明函》。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4.3 </w:t>
      </w:r>
      <w:r>
        <w:rPr>
          <w:rFonts w:ascii="SimSun" w:hAnsi="SimSun" w:eastAsia="SimSun" w:cs="SimSun"/>
          <w:color w:val="000000"/>
          <w:sz w:val="21"/>
        </w:rPr>
        <w:t xml:space="preserve">残疾人福利性单位标准请参照《关于促进残疾人就业政府采购政策的通知》（财库 〔</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 </w:t>
      </w:r>
      <w:r>
        <w:rPr>
          <w:rFonts w:ascii="SimSun" w:hAnsi="SimSun" w:eastAsia="SimSun" w:cs="SimSun"/>
          <w:color w:val="000000"/>
          <w:sz w:val="21"/>
        </w:rPr>
        <w:t xml:space="preserve">监狱企业、残疾人福利性单位属于小型、微型企业的，不重复享受政策。</w:t>
        <w:br w:type="page" w:clear="all"/>
      </w:r>
      <w:r/>
    </w:p>
    <w:p>
      <w:pPr>
        <w:pStyle w:val="65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一、项目名称：智能制造产业园企业通勤班车运营服务项目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二、项目概况</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（一）项目背景</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为了更好的给园区企业员工出行提供方便，进行通勤班车租赁服务采购。本项目计划采购班车租赁服务，具体包括:租赁45座及以上客车，共计16辆。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（二）项目建设遵循标准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运输服务期间必须遵守《中华人民共和国道路交通安全法》、《江苏省道路交通安全条例》、《南京市道路交通安全条例》等国家及地区相关的法律法规的规定。车辆须符合国家安全标准。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三、产品清单</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80"/>
        <w:gridCol w:w="1963"/>
        <w:gridCol w:w="779"/>
        <w:gridCol w:w="840"/>
        <w:gridCol w:w="1274"/>
        <w:gridCol w:w="1590"/>
        <w:gridCol w:w="1161"/>
        <w:gridCol w:w="1038"/>
      </w:tblGrid>
      <w:tr>
        <w:trPr>
          <w:trHeight w:val="44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9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产品名称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产品类型</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所属行业类型</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产品属性</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39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3"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智能制造产业园企业通勤班车运营服务项目</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主要产品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租赁和商务服务业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四、采购需求包括拟采购的标的及其需要满足的技术、商务要求。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SimSun" w:hAnsi="SimSun" w:eastAsia="SimSun" w:cs="SimSun"/>
          <w:b/>
          <w:color w:val="000000"/>
          <w:sz w:val="24"/>
        </w:rPr>
        <w:t xml:space="preserve">（一）技术要求</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1.车辆技术要求：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以下类型的车辆：45座及以上客车14辆；备用班车：45座及以上客车2辆，共计16辆。提供的车辆年限均为出厂5年内，发动机：国五及以上柴油发动机。（车辆年限以最高累计，不重复使用。提供机动车登记证复印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2)车身LOGO为采购人指定，制作后的车贴须醒目。两侧LOGO 尺寸不小于600cm*70cm，以不影响行车安全为原则：不覆盖车窗，也不影响其他车辆的行车安全。此相关费用由供应商综合考虑并包含在投标报价中，不单列、不单独计取，结算时不另行增加。（提供承诺函并加盖公章，格式自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3）车辆维护保养管理规范，有专业固定的维修保养定点场所。（提供履约期间定点维修承诺书及定点维修保养服务合同并加盖公章，格式自拟）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4）供应商应在夏季车内温度高于26度保证冷气开放，冬季车内温度低于12度时保证暖气开放。（提供承诺函并加盖公章，格式自拟）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的车辆保险及年检均应合法有效。除国家规定的必保险种，供应商须对提供租赁服务的车辆至少投保：第三者责任险(投保保额不低于100万元)、车上乘客每人每座保额不低于40万元的保险险种。（须保证合同签订前提供的车辆保险险种、限额达到上述要求。（提供承诺函并加盖公章，格式自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每辆车配置一台车载刷卡设备（此相关费用由供应商综合考虑并包含在投标报价中，不单列、不单独计取，结算时不另行增加），用于实现乘车人员身份核验、乘车人次统计及运营数据采集，保障通勤服务可追溯、可量化。(提供承诺函并加盖公章，格式自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6）拟投入车辆须为实际运营服务车辆。（提供承诺函并加盖公章，格式自拟）</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2.人员及车辆配备要求: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供应商须对附件三《车辆类型、数量及驾驶员人数表》中的可投入本项目使用的内容进行投标。（提供承诺函并加盖公章，格式自拟）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2)每辆车必须配备一名专职驾驶员。拟投入本项目的驾驶员须持A1驾照及客运从业资格证，工作驾龄5年及以上，年龄在30-60周岁之间。（提供有效的身份证及驾照并加盖公章）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拟投入本项目的驾驶员须有从事该业务的相关资质，证照齐全，身体健康，技术良好。3年内无重大交通事故，无犯罪记录，无违法乱纪行为，文明上岗，诚信守时，作风正派，有较强的服务意识和保密意识等。（提供公安部门开具的无犯罪记录证明材料复印件，并提供承诺函加盖公章，承诺函格式自拟）</w:t>
      </w:r>
      <w:r/>
    </w:p>
    <w:p>
      <w:pPr>
        <w:ind w:left="0" w:right="0" w:firstLine="480"/>
        <w:jc w:val="both"/>
        <w:spacing w:before="0" w:after="0"/>
        <w:tabs>
          <w:tab w:val="left" w:pos="73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拟投入本项目的驾驶员无饮酒后驾驶或醉酒驾驶或吸毒驾驶机动车记录，最近3年内无驾驶客运车辆超员、超速等严重交通违法行为记录。（提供公安部门开具的无严重交通违法的证明材料复印件，并提供承诺函加盖公章，承诺函格式自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须成立专门的安全管理机构，定期对驾驶员开展安全教育；对每个驾驶员进行岗前素质培训，传达、学习有关安全、文明营运文件，对驾驶员的安全行车提出具体要求，消除事故隐患，开好安全车。（提供承诺函并加盖公章，格式自拟）</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3.服务要求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车辆在租赁期间发生故障，无法正常行驶，能及时调换其它车辆确保公务出行正常运行。供应商若对车辆安排有调整，需事先通知采购人，如需更换驾驶员或车辆，请至少提前3个工作日以书面形式告知采购人并在工作群里以文字形式发布相关车辆、驾驶员信息。（提供承诺函并加盖公章，格式自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积极接受采购履约监督及现场检査配合采购人组织的日常考核、监督检查和管理。若采购人投诉供应商服务态度恶劣或供应商在租赁期内出现重大交通安全事故等不良情况，采购人代表有权约谈并督促其改正。（提供承诺函并加盖公章，格式自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3）须在车厢内显著位置张贴线路表、服务承诺，公布乘客投诉电话，设置禁烟标志，悬挂乘客意见簿。（提供承诺函并加盖公章，格式自拟）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在基本服务质量要求外，应就车辆的地面、座位、窗户玻璃、窗帘的卫生保洁，驾驶人员的冬季、夏季、春季、秋季统一着装，驾驶员接送站、驾驶过程中的服务质量标准化、服务监督的组织体系和标准、应急预案、重大活动保障、服务创新等方面提出服务承诺。（提供承诺函并加盖公章，格式自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每月提供服务结束后，采购人要对驾驶员的服务质量和车辆的车况进行满意度调查：对驾驶员能否准时接送站、行车安全文明、服务态度诚恳等方面进行满意度评价；对车辆的车容车貌整洁度、空调等设备设施的完好性、车辆行驶过程的舒适度等方面进行满意度评价。驾驶员的服务或车辆的车况半年满意度低于85%，采购人将进行约谈；满意度低于80%，取消该车辆或驾驶员的服务资格并纳入黑名单。（提供承诺函并加盖公章，格式自拟）</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6）服务期间，每辆车产生的相关费用(包括但不限于车辆的维修费、保养费、保险费、年审费、油汽费等履行服务所需的其它费用)由供应商自行负责。（提供承诺函并加盖公章，格式自拟）</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7）供应商向采购人提供车辆后台管理权限，可以查看到日常服务时，班车运行情况。（提供承诺函并加盖公章，格式自拟）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供应商应指派专人负责采购人班车服务的有关联络事宜，负责处理和协调采购人现场事宜，服从采购人班车管理员的管理，如供应商变更协调人，需在第一时间内告知采购人，最晚不得超过1个工作日。（提供承诺函并加盖公章，格式自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车辆服务期间，采购人可以根据在园企业经营情况及企业员工上下班等接驳的要求，对已有班线进行调整，对约定运营里程数进行增减，供应商应配合采购人做好车辆运营里程数调整（每辆车每天行驶公里数上限数为80公里（含）。在车辆服务投标报价中已综合预计调整需求，线路价格不进行调整。（提供承诺函并加盖公章，格式自拟）</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*（二）商务要求（提供承诺函并加盖公章，格式自拟）</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1.付款条件：</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1）履约保证金为合同签约价的10%，中标供应商需自合同签订之日起 15 个工作日内将履约保证金以保函的方式交由采购人，此收据由采购人妥善保管。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中标供应商每月5号前将上月运营记录交由采购人审核确认，按照双方确定的运营记录表开具相应发票并于每月10号前交由采购人，采购人应在收到中标供应商发送的结算单后5个工作日内核实，如有异议应在3个工作日内提出（如未提出视为对乙方提交结算单的确认）。采购人统计中标供应商月度运营费用，</w:t>
      </w:r>
      <w:r>
        <w:rPr>
          <w:rFonts w:ascii="Segoe UI" w:hAnsi="Segoe UI" w:eastAsia="Segoe UI" w:cs="Segoe UI"/>
          <w:color w:val="0d0d0d"/>
          <w:sz w:val="24"/>
        </w:rPr>
        <w:t xml:space="preserve">运营费用按每两个月为一个结算周期，甲方应于每个结算周期届满后的首月内向乙方支付该周期的运营费用</w:t>
      </w:r>
      <w:r>
        <w:rPr>
          <w:rFonts w:ascii="SimSun" w:hAnsi="SimSun" w:eastAsia="SimSun" w:cs="SimSun"/>
          <w:color w:val="000000"/>
          <w:sz w:val="24"/>
        </w:rPr>
        <w:t xml:space="preserve">。(每次付款前，中标供应商须向采购人提交满足要求的增值税普通发票。)</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2.考核要求：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每月将通过班车服务考核表进行付款（见附件二），总分100分，打分在90分以上支付月度总费用的100%，打分在80分以上支付月度总费用的90%，打分在70分以上的支付月度总费用的80%，打分在60分以下的支付月度总费用的50%。</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2）中标供应商存在未按照规定站点停靠、未按照规定行车路线行驶、站点漏接的情况，扣除当天服务费用的50%。</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3.违约情形：</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供应商应当遵守附件一《班车线路表》规定时间接送人员，并保证在运行区间内行驶，如供应商连续三次未按本条约及管理规定履行的（不可抗力及其他客观原因除外），并导致采购人生产等工作的延误等不良影响时，采购人有权解除本协议，并有权另行要求供应商按照本合同签订至解除当日全部租金的5%向采购人支付违约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合同期内，任何一方不得无故单方面终止合同。如果确需提前终止合同，应向对方赔偿上季度租车服务费的金额损失，并在十个工作日内完成付款。供应商出现未按照《班车路线表》规定的站点接送采购人管理范围内人员的情形达3次的，或因供应商原因发生1起重大交通事故的，或连续3次考核低于70分的，采购人有权解除合同，且供应商应按本合同签订至解除当日全部租金的5%向采购人支付违约金。</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4.其他情形：</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采购人根据实际运营情况需要中标供应商增加车辆，须提前15天通知中标供应商做好准备工作，如车辆类型与本合同规定的车型相符，费用计算方式以本合同为准；若采购人需中标供应商提供不同车型，则双方另行约定确认增加车辆的费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价格包含相关税费，非因采购人原因导致车辆未能按照预定天数运行的，服务费用按照（相应类型车辆的月租金/当月应运行天数）的日单价相应扣减，采购人有权从应当支付给中标供应商的服务费用中直接扣除（如遇不可抗力（包括但不限于自然灾害、如台风、地震、洪水、冰雹；政府行为，如征收、征用；社会异常事件等）导致的车辆未能按照预定天数运行情况的收费，上述情形出现，供应商免责，其他相关事宜双方协商解决）。</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5.服务时间和地点：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服务时间：</w:t>
      </w:r>
      <w:r>
        <w:rPr>
          <w:rFonts w:ascii="SimSun" w:hAnsi="SimSun" w:eastAsia="SimSun" w:cs="SimSun"/>
          <w:color w:val="000000"/>
          <w:spacing w:val="8"/>
          <w:sz w:val="21"/>
        </w:rPr>
        <w:t xml:space="preserve">2026年7月31日至2026年12月31日</w:t>
      </w:r>
      <w:r>
        <w:rPr>
          <w:rFonts w:ascii="SimSun" w:hAnsi="SimSun" w:eastAsia="SimSun" w:cs="SimSun"/>
          <w:color w:val="000000"/>
          <w:sz w:val="24"/>
        </w:rPr>
        <w:t xml:space="preserve">。（合同签订后按采购人通知时间进场）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服务地点：南京市江北新区智能制造产业园。</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附件一：班车线路表</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班车路线表</w:t>
      </w:r>
      <w:r/>
    </w:p>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25"/>
        <w:gridCol w:w="7714"/>
      </w:tblGrid>
      <w:tr>
        <w:trPr>
          <w:trHeight w:val="176"/>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25"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车辆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线路</w:t>
            </w:r>
            <w:r/>
          </w:p>
        </w:tc>
      </w:tr>
      <w:tr>
        <w:trPr>
          <w:trHeight w:val="20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125" w:type="dxa"/>
            <w:vAlign w:val="top"/>
            <w:vMerge w:val="restart"/>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（1号线）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8 ：05东大成贤地铁站4号 口→香溢紫郡→ 龙山澜苑→智城园→智芯园→8:50智合园</w:t>
            </w:r>
            <w:r/>
          </w:p>
        </w:tc>
      </w:tr>
      <w:tr>
        <w:trPr>
          <w:trHeight w:val="19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18:05智合园→智芯园→智城园→ 龙山澜苑→香溢紫郡→ 19:05东大成贤地铁站4号 口</w:t>
            </w:r>
            <w:r/>
          </w:p>
        </w:tc>
      </w:tr>
      <w:tr>
        <w:trPr>
          <w:trHeight w:val="19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20:10智合园—20:13基蛋生物—20:16拓邦微电子—20:19东南装备—大厂地铁站</w:t>
            </w:r>
            <w:r/>
          </w:p>
        </w:tc>
      </w:tr>
      <w:tr>
        <w:trPr>
          <w:trHeight w:val="192"/>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125" w:type="dxa"/>
            <w:vAlign w:val="top"/>
            <w:vMerge w:val="restart"/>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（2号线）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8:27大厂站→美利广场→长城商业街公交站台 →智博园→智芯园→8:55智合园</w:t>
            </w:r>
            <w:r/>
          </w:p>
        </w:tc>
      </w:tr>
      <w:tr>
        <w:trPr>
          <w:trHeight w:val="19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18:10智合园→智芯园→智博园→长城商业街公交站台 →美利广场→ 18:43大厂站</w:t>
            </w:r>
            <w:r/>
          </w:p>
        </w:tc>
      </w:tr>
      <w:tr>
        <w:trPr>
          <w:trHeight w:val="176"/>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125" w:type="dxa"/>
            <w:vAlign w:val="top"/>
            <w:vMerge w:val="restart"/>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 </w:t>
            </w:r>
            <w:r/>
          </w:p>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（ZC1号线）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7:05 星火路4号-7:10南汽南门</w:t>
            </w:r>
            <w:r/>
          </w:p>
        </w:tc>
      </w:tr>
      <w:tr>
        <w:trPr>
          <w:trHeight w:val="17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8:08星火路地铁站3号 口→ 中车数字西门 →8 ：30智城园</w:t>
            </w:r>
            <w:r/>
          </w:p>
        </w:tc>
      </w:tr>
      <w:tr>
        <w:trPr>
          <w:trHeight w:val="17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17:15智城园→ 中车数字西门 → 星火路3号 口</w:t>
            </w:r>
            <w:r/>
          </w:p>
        </w:tc>
      </w:tr>
      <w:tr>
        <w:trPr>
          <w:trHeight w:val="17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18:00智城园→ 星火路3号 口</w:t>
            </w:r>
            <w:r/>
          </w:p>
        </w:tc>
      </w:tr>
      <w:tr>
        <w:trPr>
          <w:trHeight w:val="298"/>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125" w:type="dxa"/>
            <w:vAlign w:val="top"/>
            <w:vMerge w:val="restart"/>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（ZC2号线）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7 ：45星火路地铁站4号 口→7 ：50南汽南门→8:05香溢紫郡→8:10裕民家园→8:15数字产业融合创新总部基地 →8:17苏美达智能科技产业园 →8 ：20</w:t>
            </w:r>
            <w:r/>
          </w:p>
        </w:tc>
      </w:tr>
      <w:tr>
        <w:trPr>
          <w:trHeight w:val="17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17:40智城园→ 17:50香溢紫郡→ 星火路3号 口</w:t>
            </w:r>
            <w:r/>
          </w:p>
        </w:tc>
      </w:tr>
      <w:tr>
        <w:trPr>
          <w:trHeight w:val="29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18:35智城园→ 18:40苏美达智能科技产业园 → 18:50裕民家园→ 19:10智城园→ 19:20香溢紫郡→ 星火路3号 口</w:t>
            </w:r>
            <w:r/>
          </w:p>
        </w:tc>
      </w:tr>
      <w:tr>
        <w:trPr>
          <w:trHeight w:val="298"/>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125" w:type="dxa"/>
            <w:vAlign w:val="top"/>
            <w:vMerge w:val="restart"/>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（ZC3号线）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7 ：55星火路地站3号 口→8:00联东U谷→8:03裕民家园→8:05龙山澜园→8:10智城园→8:15数字产业融合创新总部基地 →8:20苏美达智能科技产业园</w:t>
            </w:r>
            <w:r/>
          </w:p>
        </w:tc>
      </w:tr>
      <w:tr>
        <w:trPr>
          <w:trHeight w:val="17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18:10智城园→ 星火路3号 口</w:t>
            </w:r>
            <w:r/>
          </w:p>
        </w:tc>
      </w:tr>
      <w:tr>
        <w:trPr>
          <w:trHeight w:val="19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20:10苏美达智能科技产业园 →20:17裕民家园→20:25香溢紫郡→ 星火路3号 口</w:t>
            </w:r>
            <w:r/>
          </w:p>
        </w:tc>
      </w:tr>
      <w:tr>
        <w:trPr>
          <w:trHeight w:val="189"/>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125" w:type="dxa"/>
            <w:vAlign w:val="top"/>
            <w:vMerge w:val="restart"/>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（ZC4号线）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8 ：00南信大地铁站2号 口→8:20智城园→8:38星火路地铁站3号 口→9 ：00智城园</w:t>
            </w:r>
            <w:r/>
          </w:p>
        </w:tc>
      </w:tr>
      <w:tr>
        <w:trPr>
          <w:trHeight w:val="17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17:40智城园→ 17:45数字产业融合创新总部基地 →信大2号 口</w:t>
            </w:r>
            <w:r/>
          </w:p>
        </w:tc>
      </w:tr>
      <w:tr>
        <w:trPr>
          <w:trHeight w:val="176"/>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125" w:type="dxa"/>
            <w:vAlign w:val="top"/>
            <w:vMerge w:val="restart"/>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（ZC5号线）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8 ：08星火路地铁站3号 口→8 ：15南汽南门→8 ：30智城园</w:t>
            </w:r>
            <w:r/>
          </w:p>
        </w:tc>
      </w:tr>
      <w:tr>
        <w:trPr>
          <w:trHeight w:val="17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17:40智城园→ 星火路2号 口</w:t>
            </w:r>
            <w:r/>
          </w:p>
        </w:tc>
      </w:tr>
      <w:tr>
        <w:trPr>
          <w:trHeight w:val="17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20:10智城园→香溢紫郡→ 星火路3号 口</w:t>
            </w:r>
            <w:r/>
          </w:p>
        </w:tc>
      </w:tr>
      <w:tr>
        <w:trPr>
          <w:trHeight w:val="298"/>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125" w:type="dxa"/>
            <w:vAlign w:val="top"/>
            <w:vMerge w:val="restart"/>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（ZC6号线）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7 ：55南信大地铁站2号 口→8:10星火路地铁站3号 口→8:17数字产业融合创新总部基地 →8:20苏美达智能科技产业园 →8 ：30智城园</w:t>
            </w:r>
            <w:r/>
          </w:p>
        </w:tc>
      </w:tr>
      <w:tr>
        <w:trPr>
          <w:trHeight w:val="29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17 ：00智城园→ 17:10数字产业融合创新总部基地 → 17:12苏美达智能科技产业园 → 17:20龙山澜园→ 17:22星火路3号 口→信大1号 口</w:t>
            </w:r>
            <w:r/>
          </w:p>
        </w:tc>
      </w:tr>
      <w:tr>
        <w:trPr>
          <w:trHeight w:val="176"/>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125" w:type="dxa"/>
            <w:vAlign w:val="top"/>
            <w:vMerge w:val="restart"/>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（ZC7号线）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7 ：20龙山澜苑泊寓西门-7 ：40中车浦镇-中科创新广场南门</w:t>
            </w:r>
            <w:r/>
          </w:p>
        </w:tc>
      </w:tr>
      <w:tr>
        <w:trPr>
          <w:trHeight w:val="17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18 ：00中科创新广场南门- 18 ：15中车浦镇-龙山澜苑泊寓</w:t>
            </w:r>
            <w:r/>
          </w:p>
        </w:tc>
      </w:tr>
      <w:tr>
        <w:trPr>
          <w:trHeight w:val="468"/>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125" w:type="dxa"/>
            <w:vAlign w:val="top"/>
            <w:vMerge w:val="restart"/>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 </w:t>
            </w:r>
            <w:r/>
          </w:p>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（ZH8号线）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7 ：20葛塘地铁站2号 口→7:23美利广场公交站 →7:33智能制造产业园商业街 →7:38中鑫路公交车站 →7:40智博园→7:43基蛋生物老厂区 →7:48瀚雅</w:t>
            </w:r>
            <w:r/>
          </w:p>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健康→8 ：00智合园</w:t>
            </w:r>
            <w:r/>
          </w:p>
        </w:tc>
      </w:tr>
      <w:tr>
        <w:trPr>
          <w:trHeight w:val="46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17 ：40智合园→ 17:45瀚雅健康→ 17:49基蛋生物老厂区 → 17:52智博园→ 17:54 中鑫路公交车站 → 18:00智能制造产业园商业街 → 18:10美利广场公交</w:t>
            </w:r>
            <w:r/>
          </w:p>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站→葛塘地铁站站2号线号 口</w:t>
            </w:r>
            <w:r/>
          </w:p>
        </w:tc>
      </w:tr>
      <w:tr>
        <w:trPr>
          <w:trHeight w:val="468"/>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125" w:type="dxa"/>
            <w:vAlign w:val="top"/>
            <w:vMerge w:val="restart"/>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 </w:t>
            </w:r>
            <w:r/>
          </w:p>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（ZH9号线）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7 ：50大厂地铁站1号 口→8:00美利广场公交站 →8:10智能制造产业园商业街 →8:15中鑫路公交车站 →8:17智博园→8 ：19新正电子→8:20基蛋生物老</w:t>
            </w:r>
            <w:r/>
          </w:p>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厂区→8:25瀚雅健康→8 ：40智合园</w:t>
            </w:r>
            <w:r/>
          </w:p>
        </w:tc>
      </w:tr>
      <w:tr>
        <w:trPr>
          <w:trHeight w:val="46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17 ：10智合园—17:15瀚雅健康—17:19基蛋生物老厂区—17 ：20新正电子—17:22智博园—17:24中鑫路公交车站—17:30智能制造产业园商业街</w:t>
            </w:r>
            <w:r/>
          </w:p>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—17:40美利广场公交站—大厂地铁站2 ZH9号线 号 口</w:t>
            </w:r>
            <w:r/>
          </w:p>
        </w:tc>
      </w:tr>
      <w:tr>
        <w:trPr>
          <w:trHeight w:val="468"/>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125" w:type="dxa"/>
            <w:vAlign w:val="top"/>
            <w:vMerge w:val="restart"/>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 </w:t>
            </w:r>
            <w:r/>
          </w:p>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（ZC10号线）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8 ：00京新广场→8:02天润城5-6街区路 口 →8:05天润城12街区公交站 →8:10泰冯路地铁站8号 口→8:18龙山南路何庄路公交车站 →8:23卸甲甸地铁站</w:t>
            </w:r>
            <w:r/>
          </w:p>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→8:28大厂地铁站 →8:40智博园→8:45智合园</w:t>
            </w:r>
            <w:r/>
          </w:p>
        </w:tc>
      </w:tr>
      <w:tr>
        <w:trPr>
          <w:trHeight w:val="46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18 ：05智合园→ 18:15智博园→ 18:25大厂地铁站2号 口→ 18:30卸甲甸地铁站 → 18:38龙山南路何庄路公交车站 → 18:45泰冯路地铁站 1号 口→ 18:50天</w:t>
            </w:r>
            <w:r/>
          </w:p>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润城12街区公交站 → 18:55天润城5-6街区路 口 →ZH10号线 京新广场</w:t>
            </w:r>
            <w:r/>
          </w:p>
        </w:tc>
      </w:tr>
      <w:tr>
        <w:trPr>
          <w:trHeight w:val="468"/>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125" w:type="dxa"/>
            <w:vAlign w:val="top"/>
            <w:vMerge w:val="restart"/>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 </w:t>
            </w:r>
            <w:r/>
          </w:p>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（ZH11号线）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7 ：52大厂地铁站1号 口→8:00美利广场公交站 →8:10智能制造产业园商业街 →8:15中鑫路公交车站台 →8:17博富路与中鑫路十字路 口 →8:19博富路</w:t>
            </w:r>
            <w:r/>
          </w:p>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与和鑫路十字路 口 →8:21天富路与和鑫路十字路 口 →8 ：30智合园</w:t>
            </w:r>
            <w:r/>
          </w:p>
        </w:tc>
      </w:tr>
      <w:tr>
        <w:trPr>
          <w:trHeight w:val="46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17 ：40智合园→ 17:45天富路与和鑫路十字路 口 → 17:47博富路与和鑫路十字路 口 → 17:49博富路与中鑫路十字路 口 → 17: 50中鑫路公交车站台 →</w:t>
            </w:r>
            <w:r/>
          </w:p>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17:55智能制造产业园商业街 → 18:05葛塘广场西公交站 → 大厂地铁站2 ZH11号线号 口</w:t>
            </w:r>
            <w:r/>
          </w:p>
        </w:tc>
      </w:tr>
      <w:tr>
        <w:trPr>
          <w:trHeight w:val="468"/>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125" w:type="dxa"/>
            <w:vAlign w:val="top"/>
            <w:vMerge w:val="restart"/>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 </w:t>
            </w:r>
            <w:r/>
          </w:p>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（ZH12号线）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7 ：52大厂地铁站1号 口→8:00美利广场公交站 →8:10智能制造产业园商业街 →8:15中鑫路公交车站台 →8:17博富路与中鑫路十字路 口 →8:19博富路</w:t>
            </w:r>
            <w:r/>
          </w:p>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与和鑫路十字路 口 →8:21天富路与和鑫路十字路 口 →8 ：30智合园</w:t>
            </w:r>
            <w:r/>
          </w:p>
        </w:tc>
      </w:tr>
      <w:tr>
        <w:trPr>
          <w:trHeight w:val="4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17 ：40智合园→ 17:45天富路与和鑫路十字路 口 → 17:47博富路与和鑫路十字路 口 → 17:49博富路与中鑫路十字路 口 → 17: 50中鑫路公交车站台 →</w:t>
            </w:r>
            <w:r/>
          </w:p>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17:55智能制造产业园商业街 → 18:05葛塘广场西公交站 → 大厂地铁站2 ZH11号线号 口</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附件二:班车服务考核表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8"/>
        <w:gridCol w:w="3555"/>
        <w:gridCol w:w="3456"/>
        <w:gridCol w:w="921"/>
      </w:tblGrid>
      <w:tr>
        <w:trPr>
          <w:trHeight w:val="871"/>
        </w:trPr>
        <w:tc>
          <w:tcPr>
            <w:gridSpan w:val="4"/>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班车服务考核表（总分100分）</w:t>
            </w:r>
            <w:r/>
          </w:p>
        </w:tc>
      </w:tr>
      <w:tr>
        <w:trPr>
          <w:trHeight w:val="66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考核要点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扣分细则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扣分</w:t>
            </w:r>
            <w:r/>
          </w:p>
        </w:tc>
      </w:tr>
      <w:tr>
        <w:trPr>
          <w:trHeight w:val="12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班车车况是否良好，外观及车辆硬件是否完整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有破损或不及时维修每次扣</w:t>
            </w:r>
            <w:r>
              <w:rPr>
                <w:rFonts w:ascii="Times New Roman" w:hAnsi="Times New Roman" w:eastAsia="Times New Roman" w:cs="Times New Roman"/>
                <w:color w:val="000000"/>
                <w:sz w:val="32"/>
              </w:rPr>
              <w:t xml:space="preserve">2</w:t>
            </w:r>
            <w:r>
              <w:rPr>
                <w:rFonts w:ascii="FangSong" w:hAnsi="FangSong" w:eastAsia="FangSong" w:cs="FangSong"/>
                <w:color w:val="000000"/>
                <w:sz w:val="32"/>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r>
      <w:tr>
        <w:trPr>
          <w:trHeight w:val="23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班车空调系统是否正常运行，是否按照合同规定开启空调（夏季车内温度高于</w:t>
            </w:r>
            <w:r>
              <w:rPr>
                <w:rFonts w:ascii="Times New Roman" w:hAnsi="Times New Roman" w:eastAsia="Times New Roman" w:cs="Times New Roman"/>
                <w:color w:val="000000"/>
                <w:sz w:val="32"/>
              </w:rPr>
              <w:t xml:space="preserve">26</w:t>
            </w:r>
            <w:r>
              <w:rPr>
                <w:rFonts w:ascii="FangSong" w:hAnsi="FangSong" w:eastAsia="FangSong" w:cs="FangSong"/>
                <w:color w:val="000000"/>
                <w:sz w:val="32"/>
              </w:rPr>
              <w:t xml:space="preserve">度保证冷气开放，冬季车内温度低于</w:t>
            </w:r>
            <w:r>
              <w:rPr>
                <w:rFonts w:ascii="Times New Roman" w:hAnsi="Times New Roman" w:eastAsia="Times New Roman" w:cs="Times New Roman"/>
                <w:color w:val="000000"/>
                <w:sz w:val="32"/>
              </w:rPr>
              <w:t xml:space="preserve">12</w:t>
            </w:r>
            <w:r>
              <w:rPr>
                <w:rFonts w:ascii="FangSong" w:hAnsi="FangSong" w:eastAsia="FangSong" w:cs="FangSong"/>
                <w:color w:val="000000"/>
                <w:sz w:val="32"/>
              </w:rPr>
              <w:t xml:space="preserve">度时保证暖气开放）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未正常运行每次扣</w:t>
            </w:r>
            <w:r>
              <w:rPr>
                <w:rFonts w:ascii="Times New Roman" w:hAnsi="Times New Roman" w:eastAsia="Times New Roman" w:cs="Times New Roman"/>
                <w:color w:val="000000"/>
                <w:sz w:val="32"/>
              </w:rPr>
              <w:t xml:space="preserve">2</w:t>
            </w:r>
            <w:r>
              <w:rPr>
                <w:rFonts w:ascii="FangSong" w:hAnsi="FangSong" w:eastAsia="FangSong" w:cs="FangSong"/>
                <w:color w:val="000000"/>
                <w:sz w:val="32"/>
              </w:rPr>
              <w:t xml:space="preserve">分（高温天发车前</w:t>
            </w:r>
            <w:r>
              <w:rPr>
                <w:rFonts w:ascii="Times New Roman" w:hAnsi="Times New Roman" w:eastAsia="Times New Roman" w:cs="Times New Roman"/>
                <w:color w:val="000000"/>
                <w:sz w:val="32"/>
              </w:rPr>
              <w:t xml:space="preserve">5</w:t>
            </w:r>
            <w:r>
              <w:rPr>
                <w:rFonts w:ascii="FangSong" w:hAnsi="FangSong" w:eastAsia="FangSong" w:cs="FangSong"/>
                <w:color w:val="000000"/>
                <w:sz w:val="32"/>
              </w:rPr>
              <w:t xml:space="preserve">分钟未发动空调发现一次扣</w:t>
            </w:r>
            <w:r>
              <w:rPr>
                <w:rFonts w:ascii="Times New Roman" w:hAnsi="Times New Roman" w:eastAsia="Times New Roman" w:cs="Times New Roman"/>
                <w:color w:val="000000"/>
                <w:sz w:val="32"/>
              </w:rPr>
              <w:t xml:space="preserve">1</w:t>
            </w:r>
            <w:r>
              <w:rPr>
                <w:rFonts w:ascii="FangSong" w:hAnsi="FangSong" w:eastAsia="FangSong" w:cs="FangSong"/>
                <w:color w:val="000000"/>
                <w:sz w:val="32"/>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r>
      <w:tr>
        <w:trPr>
          <w:trHeight w:val="12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班车是否按时接送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未按时到达每次扣</w:t>
            </w:r>
            <w:r>
              <w:rPr>
                <w:rFonts w:ascii="Times New Roman" w:hAnsi="Times New Roman" w:eastAsia="Times New Roman" w:cs="Times New Roman"/>
                <w:color w:val="000000"/>
                <w:sz w:val="32"/>
              </w:rPr>
              <w:t xml:space="preserve">2</w:t>
            </w:r>
            <w:r>
              <w:rPr>
                <w:rFonts w:ascii="FangSong" w:hAnsi="FangSong" w:eastAsia="FangSong" w:cs="FangSong"/>
                <w:color w:val="000000"/>
                <w:sz w:val="32"/>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r>
      <w:tr>
        <w:trPr>
          <w:trHeight w:val="12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班车是否按规定站点停靠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未按规定停靠每次扣</w:t>
            </w:r>
            <w:r>
              <w:rPr>
                <w:rFonts w:ascii="Times New Roman" w:hAnsi="Times New Roman" w:eastAsia="Times New Roman" w:cs="Times New Roman"/>
                <w:color w:val="000000"/>
                <w:sz w:val="32"/>
              </w:rPr>
              <w:t xml:space="preserve">2</w:t>
            </w:r>
            <w:r>
              <w:rPr>
                <w:rFonts w:ascii="FangSong" w:hAnsi="FangSong" w:eastAsia="FangSong" w:cs="FangSong"/>
                <w:color w:val="000000"/>
                <w:sz w:val="32"/>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r>
      <w:tr>
        <w:trPr>
          <w:trHeight w:val="12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班车是否发生漏接情况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漏接一次扣</w:t>
            </w:r>
            <w:r>
              <w:rPr>
                <w:rFonts w:ascii="Times New Roman" w:hAnsi="Times New Roman" w:eastAsia="Times New Roman" w:cs="Times New Roman"/>
                <w:color w:val="000000"/>
                <w:sz w:val="32"/>
              </w:rPr>
              <w:t xml:space="preserve">2</w:t>
            </w:r>
            <w:r>
              <w:rPr>
                <w:rFonts w:ascii="FangSong" w:hAnsi="FangSong" w:eastAsia="FangSong" w:cs="FangSong"/>
                <w:color w:val="000000"/>
                <w:sz w:val="32"/>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r>
      <w:tr>
        <w:trPr>
          <w:trHeight w:val="12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班车是否按规定的行车路线行驶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未经同意改变行车路线每次扣</w:t>
            </w:r>
            <w:r>
              <w:rPr>
                <w:rFonts w:ascii="Times New Roman" w:hAnsi="Times New Roman" w:eastAsia="Times New Roman" w:cs="Times New Roman"/>
                <w:color w:val="000000"/>
                <w:sz w:val="32"/>
              </w:rPr>
              <w:t xml:space="preserve">1</w:t>
            </w:r>
            <w:r>
              <w:rPr>
                <w:rFonts w:ascii="FangSong" w:hAnsi="FangSong" w:eastAsia="FangSong" w:cs="FangSong"/>
                <w:color w:val="000000"/>
                <w:sz w:val="32"/>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r>
      <w:tr>
        <w:trPr>
          <w:trHeight w:val="12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班车内卫生状况是否干净整洁，每周提供车辆清洁依据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有明显异味及卫生情况差每次扣</w:t>
            </w:r>
            <w:r>
              <w:rPr>
                <w:rFonts w:ascii="Times New Roman" w:hAnsi="Times New Roman" w:eastAsia="Times New Roman" w:cs="Times New Roman"/>
                <w:color w:val="000000"/>
                <w:sz w:val="32"/>
              </w:rPr>
              <w:t xml:space="preserve">2</w:t>
            </w:r>
            <w:r>
              <w:rPr>
                <w:rFonts w:ascii="FangSong" w:hAnsi="FangSong" w:eastAsia="FangSong" w:cs="FangSong"/>
                <w:color w:val="000000"/>
                <w:sz w:val="32"/>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r>
      <w:tr>
        <w:trPr>
          <w:trHeight w:val="12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司机是否工作态度良好，工作主动，服务热情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如与乘客、正常驾驶中无关人员发生争执每次扣</w:t>
            </w:r>
            <w:r>
              <w:rPr>
                <w:rFonts w:ascii="Times New Roman" w:hAnsi="Times New Roman" w:eastAsia="Times New Roman" w:cs="Times New Roman"/>
                <w:color w:val="000000"/>
                <w:sz w:val="32"/>
              </w:rPr>
              <w:t xml:space="preserve">2</w:t>
            </w:r>
            <w:r>
              <w:rPr>
                <w:rFonts w:ascii="FangSong" w:hAnsi="FangSong" w:eastAsia="FangSong" w:cs="FangSong"/>
                <w:color w:val="000000"/>
                <w:sz w:val="32"/>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r>
      <w:tr>
        <w:trPr>
          <w:trHeight w:val="12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班车在行驶中是否违反交通法规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如发生每次扣</w:t>
            </w:r>
            <w:r>
              <w:rPr>
                <w:rFonts w:ascii="Times New Roman" w:hAnsi="Times New Roman" w:eastAsia="Times New Roman" w:cs="Times New Roman"/>
                <w:color w:val="000000"/>
                <w:sz w:val="32"/>
              </w:rPr>
              <w:t xml:space="preserve">2</w:t>
            </w:r>
            <w:r>
              <w:rPr>
                <w:rFonts w:ascii="FangSong" w:hAnsi="FangSong" w:eastAsia="FangSong" w:cs="FangSong"/>
                <w:color w:val="000000"/>
                <w:sz w:val="32"/>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r>
      <w:tr>
        <w:trPr>
          <w:trHeight w:val="1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是否统计班车日乘坐率，每月用车登记表体现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如每月未提供扣</w:t>
            </w:r>
            <w:r>
              <w:rPr>
                <w:rFonts w:ascii="Times New Roman" w:hAnsi="Times New Roman" w:eastAsia="Times New Roman" w:cs="Times New Roman"/>
                <w:color w:val="000000"/>
                <w:sz w:val="32"/>
              </w:rPr>
              <w:t xml:space="preserve">2</w:t>
            </w:r>
            <w:r>
              <w:rPr>
                <w:rFonts w:ascii="FangSong" w:hAnsi="FangSong" w:eastAsia="FangSong" w:cs="FangSong"/>
                <w:color w:val="000000"/>
                <w:sz w:val="32"/>
              </w:rPr>
              <w:t xml:space="preserve">分，乘坐率连续半月低于</w:t>
            </w:r>
            <w:r>
              <w:rPr>
                <w:rFonts w:ascii="Times New Roman" w:hAnsi="Times New Roman" w:eastAsia="Times New Roman" w:cs="Times New Roman"/>
                <w:color w:val="000000"/>
                <w:sz w:val="32"/>
              </w:rPr>
              <w:t xml:space="preserve">45%</w:t>
            </w:r>
            <w:r>
              <w:rPr>
                <w:rFonts w:ascii="FangSong" w:hAnsi="FangSong" w:eastAsia="FangSong" w:cs="FangSong"/>
                <w:color w:val="000000"/>
                <w:sz w:val="32"/>
              </w:rPr>
              <w:t xml:space="preserve">及以下未报或误报扣</w:t>
            </w:r>
            <w:r>
              <w:rPr>
                <w:rFonts w:ascii="Times New Roman" w:hAnsi="Times New Roman" w:eastAsia="Times New Roman" w:cs="Times New Roman"/>
                <w:color w:val="000000"/>
                <w:sz w:val="32"/>
              </w:rPr>
              <w:t xml:space="preserve">10</w:t>
            </w:r>
            <w:r>
              <w:rPr>
                <w:rFonts w:ascii="FangSong" w:hAnsi="FangSong" w:eastAsia="FangSong" w:cs="FangSong"/>
                <w:color w:val="000000"/>
                <w:sz w:val="32"/>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r>
      <w:tr>
        <w:trPr>
          <w:trHeight w:val="411"/>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5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r>
      <w:tr>
        <w:trPr>
          <w:trHeight w:val="401"/>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5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r>
      <w:tr>
        <w:trPr>
          <w:trHeight w:val="918"/>
        </w:trPr>
        <w:tc>
          <w:tcPr>
            <w:gridSpan w:val="4"/>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74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核对人：</w:t>
            </w:r>
            <w:r>
              <w:rPr>
                <w:rFonts w:ascii="Times New Roman" w:hAnsi="Times New Roman" w:eastAsia="Times New Roman" w:cs="Times New Roman"/>
                <w:color w:val="000000"/>
                <w:sz w:val="32"/>
              </w:rPr>
              <w:t xml:space="preserve">                     </w:t>
            </w:r>
            <w:r>
              <w:rPr>
                <w:rFonts w:ascii="FangSong" w:hAnsi="FangSong" w:eastAsia="FangSong" w:cs="FangSong"/>
                <w:color w:val="000000"/>
                <w:sz w:val="32"/>
              </w:rPr>
              <w:t xml:space="preserve">部门负责人：</w:t>
            </w:r>
            <w:r>
              <w:rPr>
                <w:rFonts w:ascii="Times New Roman" w:hAnsi="Times New Roman" w:eastAsia="Times New Roman" w:cs="Times New Roman"/>
                <w:color w:val="000000"/>
                <w:sz w:val="32"/>
              </w:rPr>
              <w:t xml:space="preserve">                      </w:t>
            </w:r>
            <w:r>
              <w:rPr>
                <w:rFonts w:ascii="FangSong" w:hAnsi="FangSong" w:eastAsia="FangSong" w:cs="FangSong"/>
                <w:color w:val="000000"/>
                <w:sz w:val="32"/>
              </w:rPr>
              <w:t xml:space="preserve">班车单位联系人：</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附件三：车辆类型、数量及驾驶员人数表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42"/>
        <w:gridCol w:w="1693"/>
        <w:gridCol w:w="3319"/>
      </w:tblGrid>
      <w:tr>
        <w:trPr>
          <w:trHeight w:val="84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车辆类型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驾驶人员配置</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45座及以上客车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一车一人</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45座及以上客车（备选）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一车一人</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合同主要条款</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54"/>
        <w:ind w:left="0" w:right="0" w:firstLine="0"/>
        <w:jc w:val="center"/>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智能制造产业园企业通勤班车运营服务合同</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承租方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：南京江北新区智能制造产业发展管理办公室</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出租方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 序言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江苏省道路运输市场条例》及其他相关法律法规，甲乙双方在自愿、平等、互利的原则基础上，经协商一致，就甲方租用乙方道路运输车辆作为交通车事宜，特订立本合同，由双方共同遵照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本合同经双方法定代表人或授权代表签字并加盖公章后生效，并具有法律效力。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本合同条款如与国家及地方法律、法规等不符时，以相关法律法规的规定为准。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 服务期限和营运时间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乙方提供车辆服务期限为 </w:t>
      </w:r>
      <w:r>
        <w:rPr>
          <w:rFonts w:ascii="SimSun" w:hAnsi="SimSun" w:eastAsia="SimSun" w:cs="SimSun"/>
          <w:color w:val="000000"/>
          <w:sz w:val="24"/>
          <w:u w:val="single"/>
        </w:rPr>
        <w:t xml:space="preserve">            </w:t>
      </w:r>
      <w:r>
        <w:rPr>
          <w:rFonts w:ascii="SimSun" w:hAnsi="SimSun" w:eastAsia="SimSun" w:cs="SimSun"/>
          <w:color w:val="000000"/>
          <w:sz w:val="24"/>
        </w:rPr>
        <w:t xml:space="preserve">至</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车辆实际营运时间，以甲方书面通知为准。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第三条运行区间及沿途站点停靠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运行区间中的具体区间、沿途临时停靠点、运行时间等具体安排（详见附件一班车线路表），由甲方提出安排，乙方在[3]个工作日内有提出异议和协商的权利，双方达成一致后确定调整。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 运输要求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乙方向甲方提供以下类型的车辆：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45座及以上客车14辆；备用班车：45座及以上客车2辆，共计16辆。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2.乙方若对车辆安排有调整，需事先通知甲方并经甲方同意。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乙方应为甲方顾客及员工交通车配备具备法定资质的驾驶员（要求：1、驾照是A1照；2、有客运从业资格证；3、无违法犯罪记录，无不良驾驶记录，无一般事故及交通违章，无不良嗜好，具有较强的安全意识；4、工作驾龄5年及以上；5、体检合格，无偶发性的急性疾病，无不适宜从事驾驶工作的慢性病有关病史。乙方应当将体检结果交甲方审核；6、年龄在30-60周岁之间），能够胜任本合同项下驾驶工作，合同签订后提供驾驶员资料。乙方驾驶员必须有良好服务态度，如驾驶员与甲方员工、顾客发生有关服务纠纷或投诉，乙方须及时处理并更换驾驶员</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 服务费用及结算方式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服务费用如下：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（1）合同总价：（人民币大写）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（小写）¥</w:t>
      </w:r>
      <w:r>
        <w:rPr>
          <w:rFonts w:ascii="SimSun" w:hAnsi="SimSun" w:eastAsia="SimSun" w:cs="SimSun"/>
          <w:color w:val="000000"/>
          <w:sz w:val="24"/>
          <w:u w:val="single"/>
        </w:rPr>
        <w:t xml:space="preserve">          </w:t>
      </w:r>
      <w:r>
        <w:rPr>
          <w:rFonts w:ascii="SimSun" w:hAnsi="SimSun" w:eastAsia="SimSun" w:cs="SimSun"/>
          <w:color w:val="000000"/>
          <w:sz w:val="24"/>
        </w:rPr>
        <w:t xml:space="preserve">元。其中车型：</w:t>
      </w:r>
      <w:r>
        <w:rPr>
          <w:rFonts w:ascii="SimSun" w:hAnsi="SimSun" w:eastAsia="SimSun" w:cs="SimSun"/>
          <w:color w:val="000000"/>
          <w:sz w:val="24"/>
          <w:u w:val="single"/>
        </w:rPr>
        <w:t xml:space="preserve"> 45座 </w:t>
      </w:r>
      <w:r>
        <w:rPr>
          <w:rFonts w:ascii="SimSun" w:hAnsi="SimSun" w:eastAsia="SimSun" w:cs="SimSun"/>
          <w:color w:val="000000"/>
          <w:sz w:val="24"/>
        </w:rPr>
        <w:t xml:space="preserve">及以上客车，</w:t>
      </w:r>
      <w:r>
        <w:rPr>
          <w:rFonts w:ascii="SimSun" w:hAnsi="SimSun" w:eastAsia="SimSun" w:cs="SimSun"/>
          <w:color w:val="000000"/>
          <w:sz w:val="24"/>
          <w:u w:val="single"/>
        </w:rPr>
        <w:t xml:space="preserve">          </w:t>
      </w:r>
      <w:r>
        <w:rPr>
          <w:rFonts w:ascii="SimSun" w:hAnsi="SimSun" w:eastAsia="SimSun" w:cs="SimSun"/>
          <w:color w:val="000000"/>
          <w:sz w:val="24"/>
        </w:rPr>
        <w:t xml:space="preserve">元/辆/天。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（2）履约保证金为合同签约价的10%，乙方需自合同签订之日起 15 个工作日内将履约保证金____万元（¥______）以保函的方式交由甲方，此收据由甲方妥善保管。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（3）中标价格包含相关税费。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因甲方原因（如：政府要求，上级通知等）导致车辆未能按照预定天数运行的，服务费用按照（相应类型车辆的月租金/当月应运行天数）的日单价相应扣减，甲方有权从应当支付给乙方的服务费用中直接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遇不可抗力，包括但不限于自然灾害、如台风、地震、洪水、冰雹；政府行为，如征收、征用；社会异常事件等）导致的车辆未能按照预定天数运行情况的收费，上述情形出现，甲方应免责，甲方无需向乙方支付费用。其他相关事宜甲乙双方协商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甲方根据实际运营情况，需要乙方增加车辆，须提前15天通知乙方做好准备工作，如车辆类型与本合同规定车型相符，费用计算方式以本合同为准；若甲方需乙方提供不同车型，则双方另行约定确认增加车辆的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服务期间，甲方仅须按照合同第五条的约定负责每辆车的服务费用，其他产生的相关费用(包括但不限于人员保险、薪酬及食宿费用、车辆的维修费、保养费、保险费、年审费、油汽费)由乙方自行负责。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乙方每月5号前将上月运营记录交由甲方审核确认。乙方按照双方确定的运营记录表开具相应发票，乙方每月10号前将发票交由甲方。甲方应在收到乙方发送的结算单后5个工作日内核实，如有异议应在3个工作日内提出。甲方统计乙方月度运营费用，</w:t>
      </w:r>
      <w:r>
        <w:rPr>
          <w:rFonts w:ascii="Segoe UI" w:hAnsi="Segoe UI" w:eastAsia="Segoe UI" w:cs="Segoe UI"/>
          <w:color w:val="0d0d0d"/>
          <w:sz w:val="24"/>
        </w:rPr>
        <w:t xml:space="preserve">运营费用按每两个月为一个结算周期，甲方应于每个结算周期届满后的首月内向乙方支付该周期的运营费用。</w:t>
      </w:r>
      <w:r>
        <w:rPr>
          <w:rFonts w:ascii="SimSun" w:hAnsi="SimSun" w:eastAsia="SimSun" w:cs="SimSun"/>
          <w:color w:val="000000"/>
          <w:sz w:val="24"/>
        </w:rPr>
        <w:t xml:space="preserve">每次付款前，乙方须向甲方提交符合国家税法规定要求的增值税普通发票。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 甲、乙双方权利及义务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甲方应向乙方提供行之有效的“承运时间、线路、站点表”，如需增减服务车辆或调整服务时间、线路、站点时需提前5个工作日通知乙方。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乙方若需更换驾驶员或车辆，请至少提前3个工作日以书面形式告知甲方并在工作群里以文字形式发布相关车辆、驾驶员信息。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如遇雨、雾等不良天气或堵车等特殊情况，影响行车安全时，甲方不得违章指挥或者指使驾驶员越线行驶。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甲方员工必须遵守乙方的安全乘车规定及爱护乙方车辆设备，人为损坏照价赔偿。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甲方每月将通过班车服务考核表（见附件二）进行考核并付款，总分100分，打分在90分（含）以上支付月度总费用的100%，打分在80分（含）至90分支付月度总费用的85%，打分在70分（含）至80分支付月度总费用的70%，打分在60分（含）至70分支付月度总费用的55%，打分在60分以下的支付月度总费用的40%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6.乙方应在夏季车内温度高于26度保证冷气开放，冬季车内温度低于12度时保证暖气开放。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7.乙方存在未按照规定站点停靠、未按照规定行车路线行驶、站点漏接的情况，扣除当天服务费用的50%。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乙方向甲方提供车辆后台管理权限，可以查看到日常服务时，班车运行情况。乙方需向甲方提供每辆班车的日乘坐率，通过每月用车登记表体现，乘坐率连续半月低于45%及以下的及时上报甲方，如若未报或虚假报送，发现一次扣除月考核表10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甲方有权定期检查乙方车辆的安全可靠性和整洁。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 乙方提供承运车辆必须符合中华人民共和国的有关营运车辆行驶安全标准，车辆的各项技术状况良好，证照齐全，外观颜色、企业标识清楚一致。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乙方对提供服务车辆须在其专业固定的维修保养定点场所按期进行维修保养，确保车辆处于完好状态，严禁驾驶存在安全隐患的车辆上路行驶。乙方每次维修保养后须保留完整记录，并按甲方要求定期提交维修保养发票备查。如果乙方未按照要求进行定期维修保养，乙方按照合同总价的3%向甲方支付违约金，并在15个工作日内按照甲方要求进行整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12.乙方提供服务的车辆轮胎磨损至极限影响行驶安全时必须被停止使用，乙方应立即更换，其更换新轮胎的费用由乙方承担，甲方有权拒绝使用车况不良的车辆，因此产生的交通费用由乙方承担。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乙方承运车辆必须按机动车辆行驶证上核定的载客人数参加车辆保险，每人保额不低于40万元整。并严格依照中华人民共和国有关保险条例执行，不得使用无法律法规规定的险种的车辆以及证照不齐全的车辆。服务期间，发生交通事故造成驾驶人员、随乘人员、第三方人员伤亡以及车辆损坏的全部责任及赔偿费用由乙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乙方应当制定安全生产责任制，定期对客运驾驶员进行安全教育，组织安全学习，承担安全主体责任，对甲方提出的安全问题及时整改。如遇雨、雾等不良天气时，驾驶员需谨慎驾驶，控制车速，确保安全。乙方驾驶员应当遵守甲方的管理制度。因乙方原因发生的安全事故，乙方应当承担赔偿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15.乙方配备的驾驶员需经乙方安排体检合格后方可提供服务，乙方应当将体检结果交甲方审核。乙方驾驶员出行前必须休息好，确保精神饱满，不得疲劳驾驶，不得私自带人，不得消极怠工。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乙方驾驶员在规定的停靠点上下客时，应确保车门安全。乙方驾驶员有权拒绝违章停车。车辆在运行途中若发生交通事故造成驾驶人员、随乘人员、第三方人员伤亡以及车辆损坏的全部责任及赔偿费用由乙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乙方有权要求所有乘客全程系好安全带，对于拒不系安全带的乘客有权拒载。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 乙方应指派专人负责甲方班车服务的有关联络事宜，负责处理和协调甲方现场事宜，服从甲方班车管理员的管理，如乙方变更协调人，需在第一时间内告知甲方，最晚不得超过1个工作日。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19.服务期间，每辆车产生的相关费用(包括但不限于车辆的维修费、保养费、保险费、年审费、油汽费等履行服务所需的其它费用)由乙方自行负责。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20.车辆服务期间， 甲方可以根据在园企业经营情况及企业员工上下班等接驳的要求，对已有班线进行调整，对约定运营里程数进行增减，乙方应配合甲方做好车辆运营里程数调整（每辆车每天行驶公里数上限数为80公里（含））。在车辆服务投标报价中已综合预计调整需求，线路价格不进行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第七条违约情形及违约责任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乙方应当遵守附件《班车线路表》规定时间接送甲方员工和顾客，并保证在运行区间内行驶，乙方未按附件《班车线路表》规定时间、站点或区间行驶的，满足以下任一条件时甲方方可主张违约（不可抗力及其他客观原因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（1）连续延误次数达到3次（单次延误≥5分钟且造成甲方员工考勤异常、生产延误等实际损失），甲方有权解除本协议，乙方按照本合同签订至解除当日全部租金的10%向甲方支付违约金；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（2）甲方向乙方发出书面整改通知，且乙方未在通知要求的5个工作日内完成纠正或拒不整改的，甲方有权解除本协议，乙方按照本合同签订至解除当日全部租金的10%向甲方支付违约金；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违约行为直接导致甲方及园区企业产生经济损失（10万元）或导致甲方生产等工作的延误等不良影响的（需甲方提供书面证明），甲方有权解除本协议，并有权另行要求乙方按照本合同签订至解除当日全部租金的10%向甲方支付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（4）乙方安排未与其签订书面劳动合同驾驶员为甲方提供服务，甲方有权解除本协议，乙方按照本合同签订至解除当日全部租金的10%向甲方支付违约金。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甲方应及时结算租金，不得拖欠。车辆租金拖欠超过20个工作日的，乙方有权按照每日拖欠金额的万分之五向甲方要求承担违约金赔偿责任，且乙方有权暂停服务或单方解除合同，并有权另行要求甲方按照本合同签订至解除当日全部租金的10%向乙方支付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合同期内，任何一方不得无故单方面终止合同。如果确需提前终止合同，应按上月度租车服务费为标准向对方赔偿损失，并在十个工作日内完成付款。乙方出现未按照《班车路线表》规定的站点接送甲方管理范围内的企业员工的情形达3次的，或因乙方原因发生1起较大交通事故的，或连续3次考核低于70分的，甲方有权解除合同，且乙方应按本合同签订至解除当日全部租金的20%向甲方支付违约金。如甲方拖欠费用超过约定期限、违法使用车辆、严重违约等，乙方有权单方解除合同，且甲方应按本合同签订至解除当日全部租金的10%向乙方支付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第八条其他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本合同自双方法定代表人或授权代表签字并盖章之日起生效，双方均履行完本合同约定的义务后即自行终止。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本合同未尽事宜，双方协商另行签订补充协议，补充协议与本合同具有同等法律效力。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本合同在履行过程中发生争议的，经双方协商解决；协商不成的，向甲方所在地的人民法院起诉。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本合同一式陆份，甲方执叁份，乙方执叁份，具有同等法律效力。</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以下无正文。</w:t>
      </w:r>
      <w:r/>
    </w:p>
    <w:p>
      <w:pPr>
        <w:ind w:left="0" w:right="0" w:firstLine="42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961"/>
        <w:gridCol w:w="4394"/>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61" w:type="dxa"/>
            <w:vAlign w:val="top"/>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甲方签章：</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1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（授权委托人）</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签订日期：年月日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94" w:type="dxa"/>
            <w:vAlign w:val="top"/>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105"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乙方签章：</w:t>
            </w:r>
            <w:r/>
          </w:p>
          <w:p>
            <w:pPr>
              <w:ind w:left="105"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24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rPr>
                <w:rFonts w:ascii="Arial" w:hAnsi="Arial" w:eastAsia="Arial" w:cs="Arial"/>
                <w:color w:val="000000"/>
                <w:sz w:val="24"/>
              </w:rPr>
              <w:t xml:space="preserve">:</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（授权委托人）</w:t>
            </w:r>
            <w:r/>
          </w:p>
          <w:p>
            <w:pPr>
              <w:ind w:left="0" w:right="0" w:firstLine="360"/>
              <w:jc w:val="both"/>
              <w:spacing w:before="0" w:after="0" w:line="7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720"/>
              <w:jc w:val="both"/>
              <w:spacing w:before="0" w:after="0" w:line="7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24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签订日期：年月日</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附件一：班车线路表</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班车路线表</w:t>
      </w:r>
      <w:r/>
    </w:p>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25"/>
        <w:gridCol w:w="7714"/>
      </w:tblGrid>
      <w:tr>
        <w:trPr>
          <w:trHeight w:val="176"/>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25"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车辆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线路</w:t>
            </w:r>
            <w:r/>
          </w:p>
        </w:tc>
      </w:tr>
      <w:tr>
        <w:trPr>
          <w:trHeight w:val="20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125" w:type="dxa"/>
            <w:vAlign w:val="top"/>
            <w:vMerge w:val="restart"/>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（1号线）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8 ：05东大成贤地铁站4号 口→香溢紫郡→ 龙山澜苑→智城园→智芯园→8:50智合园</w:t>
            </w:r>
            <w:r/>
          </w:p>
        </w:tc>
      </w:tr>
      <w:tr>
        <w:trPr>
          <w:trHeight w:val="19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18:05智合园→智芯园→智城园→ 龙山澜苑→香溢紫郡→ 19:05东大成贤地铁站4号 口</w:t>
            </w:r>
            <w:r/>
          </w:p>
        </w:tc>
      </w:tr>
      <w:tr>
        <w:trPr>
          <w:trHeight w:val="19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20:10智合园—20:13基蛋生物—20:16拓邦微电子—20:19东南装备—大厂地铁站</w:t>
            </w:r>
            <w:r/>
          </w:p>
        </w:tc>
      </w:tr>
      <w:tr>
        <w:trPr>
          <w:trHeight w:val="192"/>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125" w:type="dxa"/>
            <w:vAlign w:val="top"/>
            <w:vMerge w:val="restart"/>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（2号线）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8:27大厂站→美利广场→长城商业街公交站台 →智博园→智芯园→8:55智合园</w:t>
            </w:r>
            <w:r/>
          </w:p>
        </w:tc>
      </w:tr>
      <w:tr>
        <w:trPr>
          <w:trHeight w:val="19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18:10智合园→智芯园→智博园→长城商业街公交站台 →美利广场→ 18:43大厂站</w:t>
            </w:r>
            <w:r/>
          </w:p>
        </w:tc>
      </w:tr>
      <w:tr>
        <w:trPr>
          <w:trHeight w:val="176"/>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125" w:type="dxa"/>
            <w:vAlign w:val="top"/>
            <w:vMerge w:val="restart"/>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 </w:t>
            </w:r>
            <w:r/>
          </w:p>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（ZC1号线）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7:05 星火路4号-7:10南汽南门</w:t>
            </w:r>
            <w:r/>
          </w:p>
        </w:tc>
      </w:tr>
      <w:tr>
        <w:trPr>
          <w:trHeight w:val="17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8:08星火路地铁站3号 口→ 中车数字西门 →8 ：30智城园</w:t>
            </w:r>
            <w:r/>
          </w:p>
        </w:tc>
      </w:tr>
      <w:tr>
        <w:trPr>
          <w:trHeight w:val="17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17:15智城园→ 中车数字西门 → 星火路3号 口</w:t>
            </w:r>
            <w:r/>
          </w:p>
        </w:tc>
      </w:tr>
      <w:tr>
        <w:trPr>
          <w:trHeight w:val="17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18:00智城园→ 星火路3号 口</w:t>
            </w:r>
            <w:r/>
          </w:p>
        </w:tc>
      </w:tr>
      <w:tr>
        <w:trPr>
          <w:trHeight w:val="298"/>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125" w:type="dxa"/>
            <w:vAlign w:val="top"/>
            <w:vMerge w:val="restart"/>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（ZC2号线）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7 ：45星火路地铁站4号 口→7 ：50南汽南门→8:05香溢紫郡→8:10裕民家园→8:15数字产业融合创新总部基地 →8:17苏美达智能科技产业园 →8 ：20</w:t>
            </w:r>
            <w:r/>
          </w:p>
        </w:tc>
      </w:tr>
      <w:tr>
        <w:trPr>
          <w:trHeight w:val="17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17:40智城园→ 17:50香溢紫郡→ 星火路3号 口</w:t>
            </w:r>
            <w:r/>
          </w:p>
        </w:tc>
      </w:tr>
      <w:tr>
        <w:trPr>
          <w:trHeight w:val="29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18:35智城园→ 18:40苏美达智能科技产业园 → 18:50裕民家园→ 19:10智城园→ 19:20香溢紫郡→ 星火路3号 口</w:t>
            </w:r>
            <w:r/>
          </w:p>
        </w:tc>
      </w:tr>
      <w:tr>
        <w:trPr>
          <w:trHeight w:val="298"/>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125" w:type="dxa"/>
            <w:vAlign w:val="top"/>
            <w:vMerge w:val="restart"/>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（ZC3号线）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7 ：55星火路地站3号 口→8:00联东U谷→8:03裕民家园→8:05龙山澜园→8:10智城园→8:15数字产业融合创新总部基地 →8:20苏美达智能科技产业园</w:t>
            </w:r>
            <w:r/>
          </w:p>
        </w:tc>
      </w:tr>
      <w:tr>
        <w:trPr>
          <w:trHeight w:val="17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18:10智城园→ 星火路3号 口</w:t>
            </w:r>
            <w:r/>
          </w:p>
        </w:tc>
      </w:tr>
      <w:tr>
        <w:trPr>
          <w:trHeight w:val="19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20:10苏美达智能科技产业园 →20:17裕民家园→20:25香溢紫郡→ 星火路3号 口</w:t>
            </w:r>
            <w:r/>
          </w:p>
        </w:tc>
      </w:tr>
      <w:tr>
        <w:trPr>
          <w:trHeight w:val="189"/>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125" w:type="dxa"/>
            <w:vAlign w:val="top"/>
            <w:vMerge w:val="restart"/>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（ZC4号线）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8 ：00南信大地铁站2号 口→8:20智城园→8:38星火路地铁站3号 口→9 ：00智城园</w:t>
            </w:r>
            <w:r/>
          </w:p>
        </w:tc>
      </w:tr>
      <w:tr>
        <w:trPr>
          <w:trHeight w:val="17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17:40智城园→ 17:45数字产业融合创新总部基地 →信大2号 口</w:t>
            </w:r>
            <w:r/>
          </w:p>
        </w:tc>
      </w:tr>
      <w:tr>
        <w:trPr>
          <w:trHeight w:val="176"/>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125" w:type="dxa"/>
            <w:vAlign w:val="top"/>
            <w:vMerge w:val="restart"/>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（ZC5号线）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8 ：08星火路地铁站3号 口→8 ：15南汽南门→8 ：30智城园</w:t>
            </w:r>
            <w:r/>
          </w:p>
        </w:tc>
      </w:tr>
      <w:tr>
        <w:trPr>
          <w:trHeight w:val="17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17:40智城园→ 星火路2号 口</w:t>
            </w:r>
            <w:r/>
          </w:p>
        </w:tc>
      </w:tr>
      <w:tr>
        <w:trPr>
          <w:trHeight w:val="17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20:10智城园→香溢紫郡→ 星火路3号 口</w:t>
            </w:r>
            <w:r/>
          </w:p>
        </w:tc>
      </w:tr>
      <w:tr>
        <w:trPr>
          <w:trHeight w:val="298"/>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125" w:type="dxa"/>
            <w:vAlign w:val="top"/>
            <w:vMerge w:val="restart"/>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（ZC6号线）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7 ：55南信大地铁站2号 口→8:10星火路地铁站3号 口→8:17数字产业融合创新总部基地 →8:20苏美达智能科技产业园 →8 ：30智城园</w:t>
            </w:r>
            <w:r/>
          </w:p>
        </w:tc>
      </w:tr>
      <w:tr>
        <w:trPr>
          <w:trHeight w:val="29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17 ：00智城园→ 17:10数字产业融合创新总部基地 → 17:12苏美达智能科技产业园 → 17:20龙山澜园→ 17:22星火路3号 口→信大1号 口</w:t>
            </w:r>
            <w:r/>
          </w:p>
        </w:tc>
      </w:tr>
      <w:tr>
        <w:trPr>
          <w:trHeight w:val="176"/>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125" w:type="dxa"/>
            <w:vAlign w:val="top"/>
            <w:vMerge w:val="restart"/>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（ZC7号线）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7 ：20龙山澜苑泊寓西门-7 ：40中车浦镇-中科创新广场南门</w:t>
            </w:r>
            <w:r/>
          </w:p>
        </w:tc>
      </w:tr>
      <w:tr>
        <w:trPr>
          <w:trHeight w:val="17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18 ：00中科创新广场南门- 18 ：15中车浦镇-龙山澜苑泊寓</w:t>
            </w:r>
            <w:r/>
          </w:p>
        </w:tc>
      </w:tr>
      <w:tr>
        <w:trPr>
          <w:trHeight w:val="468"/>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125" w:type="dxa"/>
            <w:vAlign w:val="top"/>
            <w:vMerge w:val="restart"/>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 </w:t>
            </w:r>
            <w:r/>
          </w:p>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（ZH8号线）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7 ：20葛塘地铁站2号 口→7:23美利广场公交站 →7:33智能制造产业园商业街 →7:38中鑫路公交车站 →7:40智博园→7:43基蛋生物老厂区 →7:48瀚雅</w:t>
            </w:r>
            <w:r/>
          </w:p>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健康→8 ：00智合园</w:t>
            </w:r>
            <w:r/>
          </w:p>
        </w:tc>
      </w:tr>
      <w:tr>
        <w:trPr>
          <w:trHeight w:val="46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17 ：40智合园→ 17:45瀚雅健康→ 17:49基蛋生物老厂区 → 17:52智博园→ 17:54 中鑫路公交车站 → 18:00智能制造产业园商业街 → 18:10美利广场公交</w:t>
            </w:r>
            <w:r/>
          </w:p>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站→葛塘地铁站站2号线号 口</w:t>
            </w:r>
            <w:r/>
          </w:p>
        </w:tc>
      </w:tr>
      <w:tr>
        <w:trPr>
          <w:trHeight w:val="468"/>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125" w:type="dxa"/>
            <w:vAlign w:val="top"/>
            <w:vMerge w:val="restart"/>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 </w:t>
            </w:r>
            <w:r/>
          </w:p>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（ZH9号线）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7 ：50大厂地铁站1号 口→8:00美利广场公交站 →8:10智能制造产业园商业街 →8:15中鑫路公交车站 →8:17智博园→8 ：19新正电子→8:20基蛋生物老</w:t>
            </w:r>
            <w:r/>
          </w:p>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厂区→8:25瀚雅健康→8 ：40智合园</w:t>
            </w:r>
            <w:r/>
          </w:p>
        </w:tc>
      </w:tr>
      <w:tr>
        <w:trPr>
          <w:trHeight w:val="46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17 ：10智合园—17:15瀚雅健康—17:19基蛋生物老厂区—17 ：20新正电子—17:22智博园—17:24中鑫路公交车站—17:30智能制造产业园商业街</w:t>
            </w:r>
            <w:r/>
          </w:p>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—17:40美利广场公交站—大厂地铁站2 ZH9号线 号 口</w:t>
            </w:r>
            <w:r/>
          </w:p>
        </w:tc>
      </w:tr>
      <w:tr>
        <w:trPr>
          <w:trHeight w:val="468"/>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125" w:type="dxa"/>
            <w:vAlign w:val="top"/>
            <w:vMerge w:val="restart"/>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 </w:t>
            </w:r>
            <w:r/>
          </w:p>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（ZC10号线）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8 ：00京新广场→8:02天润城5-6街区路 口 →8:05天润城12街区公交站 →8:10泰冯路地铁站8号 口→8:18龙山南路何庄路公交车站 →8:23卸甲甸地铁站</w:t>
            </w:r>
            <w:r/>
          </w:p>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→8:28大厂地铁站 →8:40智博园→8:45智合园</w:t>
            </w:r>
            <w:r/>
          </w:p>
        </w:tc>
      </w:tr>
      <w:tr>
        <w:trPr>
          <w:trHeight w:val="46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18 ：05智合园→ 18:15智博园→ 18:25大厂地铁站2号 口→ 18:30卸甲甸地铁站 → 18:38龙山南路何庄路公交车站 → 18:45泰冯路地铁站 1号 口→ 18:50天</w:t>
            </w:r>
            <w:r/>
          </w:p>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润城12街区公交站 → 18:55天润城5-6街区路 口 →ZH10号线 京新广场</w:t>
            </w:r>
            <w:r/>
          </w:p>
        </w:tc>
      </w:tr>
      <w:tr>
        <w:trPr>
          <w:trHeight w:val="468"/>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125" w:type="dxa"/>
            <w:vAlign w:val="top"/>
            <w:vMerge w:val="restart"/>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 </w:t>
            </w:r>
            <w:r/>
          </w:p>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（ZH11号线）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7 ：52大厂地铁站1号 口→8:00美利广场公交站 →8:10智能制造产业园商业街 →8:15中鑫路公交车站台 →8:17博富路与中鑫路十字路 口 →8:19博富路</w:t>
            </w:r>
            <w:r/>
          </w:p>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与和鑫路十字路 口 →8:21天富路与和鑫路十字路 口 →8 ：30智合园</w:t>
            </w:r>
            <w:r/>
          </w:p>
        </w:tc>
      </w:tr>
      <w:tr>
        <w:trPr>
          <w:trHeight w:val="46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17 ：40智合园→ 17:45天富路与和鑫路十字路 口 → 17:47博富路与和鑫路十字路 口 → 17:49博富路与中鑫路十字路 口 → 17: 50中鑫路公交车站台 →</w:t>
            </w:r>
            <w:r/>
          </w:p>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17:55智能制造产业园商业街 → 18:05葛塘广场西公交站 → 大厂地铁站2 ZH11号线号 口</w:t>
            </w:r>
            <w:r/>
          </w:p>
        </w:tc>
      </w:tr>
      <w:tr>
        <w:trPr>
          <w:trHeight w:val="468"/>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125" w:type="dxa"/>
            <w:vAlign w:val="top"/>
            <w:vMerge w:val="restart"/>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 </w:t>
            </w:r>
            <w:r/>
          </w:p>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（ZH12号线）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7 ：52大厂地铁站1号 口→8:00美利广场公交站 →8:10智能制造产业园商业街 →8:15中鑫路公交车站台 →8:17博富路与中鑫路十字路 口 →8:19博富路</w:t>
            </w:r>
            <w:r/>
          </w:p>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与和鑫路十字路 口 →8:21天富路与和鑫路十字路 口 →8 ：30智合园</w:t>
            </w:r>
            <w:r/>
          </w:p>
        </w:tc>
      </w:tr>
      <w:tr>
        <w:trPr>
          <w:trHeight w:val="4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17 ：40智合园→ 17:45天富路与和鑫路十字路 口 → 17:47博富路与和鑫路十字路 口 → 17:49博富路与中鑫路十字路 口 → 17: 50中鑫路公交车站台 →</w:t>
            </w:r>
            <w:r/>
          </w:p>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17:55智能制造产业园商业街 → 18:05葛塘广场西公交站 → 大厂地铁站2 ZH11号线号 口</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附件二:班车服务考核表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gridCol w:w="1134"/>
      </w:tblGrid>
      <w:tr>
        <w:trPr>
          <w:trHeight w:val="871"/>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0" w:type="dxa"/>
            <w:vAlign w:val="center"/>
            <w:textDirection w:val="lrTb"/>
            <w:noWrap w:val="false"/>
          </w:tcPr>
          <w:p>
            <w:pPr>
              <w:spacing w:before="0" w:after="0" w:line="57" w:lineRule="atLeast"/>
            </w:pPr>
            <w:r/>
            <w:r/>
          </w:p>
        </w:tc>
        <w:tc>
          <w:tcPr>
            <w:gridSpan w:val="4"/>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班车服务考核表（总分100分）</w:t>
            </w:r>
            <w:r/>
          </w:p>
        </w:tc>
      </w:tr>
      <w:tr>
        <w:trPr>
          <w:trHeight w:val="664"/>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考核要点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扣分细则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扣分</w:t>
            </w:r>
            <w:r/>
          </w:p>
        </w:tc>
      </w:tr>
      <w:tr>
        <w:trPr>
          <w:trHeight w:val="127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班车车况是否良好，外观及车辆硬件是否完整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有破损或不及时维修每次扣</w:t>
            </w:r>
            <w:r>
              <w:rPr>
                <w:rFonts w:ascii="Times New Roman" w:hAnsi="Times New Roman" w:eastAsia="Times New Roman" w:cs="Times New Roman"/>
                <w:color w:val="000000"/>
                <w:sz w:val="32"/>
              </w:rPr>
              <w:t xml:space="preserve">2</w:t>
            </w:r>
            <w:r>
              <w:rPr>
                <w:rFonts w:ascii="FangSong" w:hAnsi="FangSong" w:eastAsia="FangSong" w:cs="FangSong"/>
                <w:color w:val="000000"/>
                <w:sz w:val="32"/>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r>
      <w:tr>
        <w:trPr>
          <w:trHeight w:val="230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班车空调系统是否正常运行，是否按照合同规定开启空调（夏季车内温度高于</w:t>
            </w:r>
            <w:r>
              <w:rPr>
                <w:rFonts w:ascii="Times New Roman" w:hAnsi="Times New Roman" w:eastAsia="Times New Roman" w:cs="Times New Roman"/>
                <w:color w:val="000000"/>
                <w:sz w:val="32"/>
              </w:rPr>
              <w:t xml:space="preserve">26</w:t>
            </w:r>
            <w:r>
              <w:rPr>
                <w:rFonts w:ascii="FangSong" w:hAnsi="FangSong" w:eastAsia="FangSong" w:cs="FangSong"/>
                <w:color w:val="000000"/>
                <w:sz w:val="32"/>
              </w:rPr>
              <w:t xml:space="preserve">度保证冷气开放，冬季车内温度低于</w:t>
            </w:r>
            <w:r>
              <w:rPr>
                <w:rFonts w:ascii="Times New Roman" w:hAnsi="Times New Roman" w:eastAsia="Times New Roman" w:cs="Times New Roman"/>
                <w:color w:val="000000"/>
                <w:sz w:val="32"/>
              </w:rPr>
              <w:t xml:space="preserve">12</w:t>
            </w:r>
            <w:r>
              <w:rPr>
                <w:rFonts w:ascii="FangSong" w:hAnsi="FangSong" w:eastAsia="FangSong" w:cs="FangSong"/>
                <w:color w:val="000000"/>
                <w:sz w:val="32"/>
              </w:rPr>
              <w:t xml:space="preserve">度时保证暖气开放）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未正常运行每次扣</w:t>
            </w:r>
            <w:r>
              <w:rPr>
                <w:rFonts w:ascii="Times New Roman" w:hAnsi="Times New Roman" w:eastAsia="Times New Roman" w:cs="Times New Roman"/>
                <w:color w:val="000000"/>
                <w:sz w:val="32"/>
              </w:rPr>
              <w:t xml:space="preserve">2</w:t>
            </w:r>
            <w:r>
              <w:rPr>
                <w:rFonts w:ascii="FangSong" w:hAnsi="FangSong" w:eastAsia="FangSong" w:cs="FangSong"/>
                <w:color w:val="000000"/>
                <w:sz w:val="32"/>
              </w:rPr>
              <w:t xml:space="preserve">分（高温天发车前</w:t>
            </w:r>
            <w:r>
              <w:rPr>
                <w:rFonts w:ascii="Times New Roman" w:hAnsi="Times New Roman" w:eastAsia="Times New Roman" w:cs="Times New Roman"/>
                <w:color w:val="000000"/>
                <w:sz w:val="32"/>
              </w:rPr>
              <w:t xml:space="preserve">5</w:t>
            </w:r>
            <w:r>
              <w:rPr>
                <w:rFonts w:ascii="FangSong" w:hAnsi="FangSong" w:eastAsia="FangSong" w:cs="FangSong"/>
                <w:color w:val="000000"/>
                <w:sz w:val="32"/>
              </w:rPr>
              <w:t xml:space="preserve">分钟未发动空调发现一次扣</w:t>
            </w:r>
            <w:r>
              <w:rPr>
                <w:rFonts w:ascii="Times New Roman" w:hAnsi="Times New Roman" w:eastAsia="Times New Roman" w:cs="Times New Roman"/>
                <w:color w:val="000000"/>
                <w:sz w:val="32"/>
              </w:rPr>
              <w:t xml:space="preserve">1</w:t>
            </w:r>
            <w:r>
              <w:rPr>
                <w:rFonts w:ascii="FangSong" w:hAnsi="FangSong" w:eastAsia="FangSong" w:cs="FangSong"/>
                <w:color w:val="000000"/>
                <w:sz w:val="32"/>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r>
      <w:tr>
        <w:trPr>
          <w:trHeight w:val="127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班车是否按时接送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未按时到达每次扣</w:t>
            </w:r>
            <w:r>
              <w:rPr>
                <w:rFonts w:ascii="Times New Roman" w:hAnsi="Times New Roman" w:eastAsia="Times New Roman" w:cs="Times New Roman"/>
                <w:color w:val="000000"/>
                <w:sz w:val="32"/>
              </w:rPr>
              <w:t xml:space="preserve">2</w:t>
            </w:r>
            <w:r>
              <w:rPr>
                <w:rFonts w:ascii="FangSong" w:hAnsi="FangSong" w:eastAsia="FangSong" w:cs="FangSong"/>
                <w:color w:val="000000"/>
                <w:sz w:val="32"/>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r>
      <w:tr>
        <w:trPr>
          <w:trHeight w:val="127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班车是否按规定站点停靠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未按规定停靠每次扣</w:t>
            </w:r>
            <w:r>
              <w:rPr>
                <w:rFonts w:ascii="Times New Roman" w:hAnsi="Times New Roman" w:eastAsia="Times New Roman" w:cs="Times New Roman"/>
                <w:color w:val="000000"/>
                <w:sz w:val="32"/>
              </w:rPr>
              <w:t xml:space="preserve">2</w:t>
            </w:r>
            <w:r>
              <w:rPr>
                <w:rFonts w:ascii="FangSong" w:hAnsi="FangSong" w:eastAsia="FangSong" w:cs="FangSong"/>
                <w:color w:val="000000"/>
                <w:sz w:val="32"/>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r>
      <w:tr>
        <w:trPr>
          <w:trHeight w:val="127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班车是否发生漏接情况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漏接一次扣</w:t>
            </w:r>
            <w:r>
              <w:rPr>
                <w:rFonts w:ascii="Times New Roman" w:hAnsi="Times New Roman" w:eastAsia="Times New Roman" w:cs="Times New Roman"/>
                <w:color w:val="000000"/>
                <w:sz w:val="32"/>
              </w:rPr>
              <w:t xml:space="preserve">2</w:t>
            </w:r>
            <w:r>
              <w:rPr>
                <w:rFonts w:ascii="FangSong" w:hAnsi="FangSong" w:eastAsia="FangSong" w:cs="FangSong"/>
                <w:color w:val="000000"/>
                <w:sz w:val="32"/>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r>
      <w:tr>
        <w:trPr>
          <w:trHeight w:val="127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班车是否按按规定的行车路线行驶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未经同意改变行车路线每次扣</w:t>
            </w:r>
            <w:r>
              <w:rPr>
                <w:rFonts w:ascii="Times New Roman" w:hAnsi="Times New Roman" w:eastAsia="Times New Roman" w:cs="Times New Roman"/>
                <w:color w:val="000000"/>
                <w:sz w:val="32"/>
              </w:rPr>
              <w:t xml:space="preserve">1</w:t>
            </w:r>
            <w:r>
              <w:rPr>
                <w:rFonts w:ascii="FangSong" w:hAnsi="FangSong" w:eastAsia="FangSong" w:cs="FangSong"/>
                <w:color w:val="000000"/>
                <w:sz w:val="32"/>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r>
      <w:tr>
        <w:trPr>
          <w:trHeight w:val="127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班车内卫生状况是否干净整洁，每周提供车辆清洁依据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有明显异味及卫生情况差每次扣</w:t>
            </w:r>
            <w:r>
              <w:rPr>
                <w:rFonts w:ascii="Times New Roman" w:hAnsi="Times New Roman" w:eastAsia="Times New Roman" w:cs="Times New Roman"/>
                <w:color w:val="000000"/>
                <w:sz w:val="32"/>
              </w:rPr>
              <w:t xml:space="preserve">2</w:t>
            </w:r>
            <w:r>
              <w:rPr>
                <w:rFonts w:ascii="FangSong" w:hAnsi="FangSong" w:eastAsia="FangSong" w:cs="FangSong"/>
                <w:color w:val="000000"/>
                <w:sz w:val="32"/>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r>
      <w:tr>
        <w:trPr>
          <w:trHeight w:val="127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司机是否工作态度良好，工作主动，服务热情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如与乘客、正常驾驶中无关人员发生争执每次扣</w:t>
            </w:r>
            <w:r>
              <w:rPr>
                <w:rFonts w:ascii="Times New Roman" w:hAnsi="Times New Roman" w:eastAsia="Times New Roman" w:cs="Times New Roman"/>
                <w:color w:val="000000"/>
                <w:sz w:val="32"/>
              </w:rPr>
              <w:t xml:space="preserve">2</w:t>
            </w:r>
            <w:r>
              <w:rPr>
                <w:rFonts w:ascii="FangSong" w:hAnsi="FangSong" w:eastAsia="FangSong" w:cs="FangSong"/>
                <w:color w:val="000000"/>
                <w:sz w:val="32"/>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r>
      <w:tr>
        <w:trPr>
          <w:trHeight w:val="127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班车在行驶中是否违反交通法规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如发生每次扣</w:t>
            </w:r>
            <w:r>
              <w:rPr>
                <w:rFonts w:ascii="Times New Roman" w:hAnsi="Times New Roman" w:eastAsia="Times New Roman" w:cs="Times New Roman"/>
                <w:color w:val="000000"/>
                <w:sz w:val="32"/>
              </w:rPr>
              <w:t xml:space="preserve">2</w:t>
            </w:r>
            <w:r>
              <w:rPr>
                <w:rFonts w:ascii="FangSong" w:hAnsi="FangSong" w:eastAsia="FangSong" w:cs="FangSong"/>
                <w:color w:val="000000"/>
                <w:sz w:val="32"/>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r>
      <w:tr>
        <w:trPr>
          <w:trHeight w:val="138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是否统计班车日乘坐率，每月用车登记表体现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如每月未提供扣</w:t>
            </w:r>
            <w:r>
              <w:rPr>
                <w:rFonts w:ascii="Times New Roman" w:hAnsi="Times New Roman" w:eastAsia="Times New Roman" w:cs="Times New Roman"/>
                <w:color w:val="000000"/>
                <w:sz w:val="32"/>
              </w:rPr>
              <w:t xml:space="preserve">2</w:t>
            </w:r>
            <w:r>
              <w:rPr>
                <w:rFonts w:ascii="FangSong" w:hAnsi="FangSong" w:eastAsia="FangSong" w:cs="FangSong"/>
                <w:color w:val="000000"/>
                <w:sz w:val="32"/>
              </w:rPr>
              <w:t xml:space="preserve">分，乘坐率连续半月低于</w:t>
            </w:r>
            <w:r>
              <w:rPr>
                <w:rFonts w:ascii="Times New Roman" w:hAnsi="Times New Roman" w:eastAsia="Times New Roman" w:cs="Times New Roman"/>
                <w:color w:val="000000"/>
                <w:sz w:val="32"/>
              </w:rPr>
              <w:t xml:space="preserve">45%</w:t>
            </w:r>
            <w:r>
              <w:rPr>
                <w:rFonts w:ascii="FangSong" w:hAnsi="FangSong" w:eastAsia="FangSong" w:cs="FangSong"/>
                <w:color w:val="000000"/>
                <w:sz w:val="32"/>
              </w:rPr>
              <w:t xml:space="preserve">及以下未报或误报扣</w:t>
            </w:r>
            <w:r>
              <w:rPr>
                <w:rFonts w:ascii="Times New Roman" w:hAnsi="Times New Roman" w:eastAsia="Times New Roman" w:cs="Times New Roman"/>
                <w:color w:val="000000"/>
                <w:sz w:val="32"/>
              </w:rPr>
              <w:t xml:space="preserve">10</w:t>
            </w:r>
            <w:r>
              <w:rPr>
                <w:rFonts w:ascii="FangSong" w:hAnsi="FangSong" w:eastAsia="FangSong" w:cs="FangSong"/>
                <w:color w:val="000000"/>
                <w:sz w:val="32"/>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r>
      <w:tr>
        <w:trPr>
          <w:trHeight w:val="411"/>
        </w:trPr>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5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r>
      <w:tr>
        <w:trPr>
          <w:trHeight w:val="401"/>
        </w:trPr>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5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r>
      <w:tr>
        <w:trPr>
          <w:trHeight w:val="918"/>
        </w:trPr>
        <w:tc>
          <w:tcPr>
            <w:gridSpan w:val="5"/>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9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核对人：</w:t>
            </w:r>
            <w:r>
              <w:rPr>
                <w:rFonts w:ascii="Times New Roman" w:hAnsi="Times New Roman" w:eastAsia="Times New Roman" w:cs="Times New Roman"/>
                <w:color w:val="000000"/>
                <w:sz w:val="32"/>
              </w:rPr>
              <w:t xml:space="preserve">                     </w:t>
            </w:r>
            <w:r>
              <w:rPr>
                <w:rFonts w:ascii="FangSong" w:hAnsi="FangSong" w:eastAsia="FangSong" w:cs="FangSong"/>
                <w:color w:val="000000"/>
                <w:sz w:val="32"/>
              </w:rPr>
              <w:t xml:space="preserve">部门负责人：</w:t>
            </w:r>
            <w:r>
              <w:rPr>
                <w:rFonts w:ascii="Times New Roman" w:hAnsi="Times New Roman" w:eastAsia="Times New Roman" w:cs="Times New Roman"/>
                <w:color w:val="000000"/>
                <w:sz w:val="32"/>
              </w:rPr>
              <w:t xml:space="preserve">                      </w:t>
            </w:r>
            <w:r>
              <w:rPr>
                <w:rFonts w:ascii="FangSong" w:hAnsi="FangSong" w:eastAsia="FangSong" w:cs="FangSong"/>
                <w:color w:val="000000"/>
                <w:sz w:val="32"/>
              </w:rPr>
              <w:t xml:space="preserve">班车单位联系人：</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附件三：车辆类型、数量及驾驶员人数表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42"/>
        <w:gridCol w:w="1693"/>
        <w:gridCol w:w="3319"/>
      </w:tblGrid>
      <w:tr>
        <w:trPr>
          <w:trHeight w:val="84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车辆类型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驾驶人员配置</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45座及以上客车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一车一人</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45座及以上客车（备选）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一车一人</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5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 投标文件格式及附件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投标人：（加盖电子公章）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  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（注：供应商根据本章附件顺序编制投标文件并制作目录（须生成页码））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附件一、投标申请及声明格式</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投标申请及声明</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致：江苏省设备成套股份有限公司</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 </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（项目编号）投标邀请，正式授权下述签字人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(姓名和职务)代表投标人</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（投标人名称），提交投标文件。</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1、我们的资格条件完全符合政府采购法和本次招标要求，我们同意并向贵方提供了与投标有关的所有证据和资料。</w:t>
      </w:r>
      <w:r/>
    </w:p>
    <w:p>
      <w:pPr>
        <w:ind w:left="1470" w:right="0" w:hanging="105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2、按招标要求，我们的投标总报价详见开标一览表。</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3、本项目服务时间为：</w:t>
      </w:r>
      <w:r>
        <w:rPr>
          <w:rFonts w:ascii="SimSun" w:hAnsi="SimSun" w:eastAsia="SimSun" w:cs="SimSun"/>
          <w:color w:val="000000"/>
          <w:sz w:val="21"/>
          <w:u w:val="single"/>
        </w:rPr>
        <w:t xml:space="preserve">  满足招标文件要求</w:t>
      </w:r>
      <w:r>
        <w:rPr>
          <w:rFonts w:ascii="SimSun" w:hAnsi="SimSun" w:eastAsia="SimSun" w:cs="SimSun"/>
          <w:color w:val="000000"/>
          <w:sz w:val="21"/>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4、我们已详细阅读全部招标文件及其有效补充文件，我们放弃对招标文件任何误解的权利，提交投标文件后，不对招标文件本身提出质疑。</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5、我们同意从规定的开标日期起遵循本投标文件，并在规定的投标有效期期满之前均具有约束力。</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6、一旦我方中标，我方将根据招标文件的规定及我方投标承诺严格履行合同。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8、与本投标有关的正式联系方式为：</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SimSun" w:hAnsi="SimSun" w:eastAsia="SimSun" w:cs="SimSun"/>
          <w:color w:val="000000"/>
          <w:sz w:val="21"/>
          <w:u w:val="single"/>
        </w:rPr>
        <w:t xml:space="preserve">                 </w:t>
      </w:r>
      <w:r>
        <w:rPr>
          <w:rFonts w:ascii="SimSun" w:hAnsi="SimSun" w:eastAsia="SimSun" w:cs="SimSun"/>
          <w:color w:val="000000"/>
          <w:sz w:val="21"/>
        </w:rPr>
        <w:t xml:space="preserve">（加盖电子公章）</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附件二、法定代表人授权书格式</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法人授权书</w:t>
      </w:r>
      <w:r/>
    </w:p>
    <w:p>
      <w:pPr>
        <w:ind w:left="0" w:right="0" w:firstLine="480"/>
        <w:spacing w:before="240" w:after="240" w:line="41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本授权书自______年____月____日起生效，特此声明。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8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被授权人的身份证的复印件: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项目名称：项目编号：</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052"/>
        <w:gridCol w:w="6008"/>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3052" w:type="dxa"/>
            <w:vAlign w:val="center"/>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标题</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6008" w:type="dxa"/>
            <w:vAlign w:val="center"/>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3052" w:type="dxa"/>
            <w:vAlign w:val="center"/>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投标总价</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6008" w:type="dxa"/>
            <w:vAlign w:val="center"/>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w:t>
            </w:r>
            <w:r>
              <w:rPr>
                <w:rFonts w:ascii="SimSun" w:hAnsi="SimSun" w:eastAsia="SimSun" w:cs="SimSun"/>
                <w:color w:val="000000"/>
                <w:sz w:val="24"/>
                <w:u w:val="single"/>
              </w:rPr>
              <w:t xml:space="preserve">           </w:t>
            </w:r>
            <w:r>
              <w:rPr>
                <w:rFonts w:ascii="SimSun" w:hAnsi="SimSun" w:eastAsia="SimSun" w:cs="SimSun"/>
                <w:color w:val="000000"/>
                <w:sz w:val="24"/>
              </w:rPr>
              <w:t xml:space="preserve">元 </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                    </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3052" w:type="dxa"/>
            <w:vAlign w:val="center"/>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是否全部为小微型企业或监狱企业或残疾人福利性单位提供的货物或服务</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6008" w:type="dxa"/>
            <w:vAlign w:val="center"/>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numPr>
          <w:ilvl w:val="0"/>
          <w:numId w:val="9"/>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本项目仅接受一个价格，不得填报有选择性报价方案。如有优惠条款须注明，但不得影响报价，影响项目履约交付。</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投标标的是否全部由小微企业提供”栏内填写“是”或“否”。如填写“是”，投标人应按招标文件要求提供《中小企业声明函》、《残疾人福利性单位声明函》、《属于监狱企业的证明文件》。如未按要求提供、填写，不享受价格扣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附表——分项报价表格式</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13"/>
        <w:gridCol w:w="2293"/>
        <w:gridCol w:w="1575"/>
        <w:gridCol w:w="1336"/>
        <w:gridCol w:w="1327"/>
        <w:gridCol w:w="1372"/>
      </w:tblGrid>
      <w:tr>
        <w:trPr>
          <w:trHeight w:val="133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13" w:type="dxa"/>
            <w:vAlign w:val="top"/>
            <w:textDirection w:val="lrTb"/>
            <w:noWrap w:val="false"/>
          </w:tcPr>
          <w:p>
            <w:pPr>
              <w:ind w:left="0" w:right="0" w:firstLine="0"/>
              <w:jc w:val="center"/>
              <w:spacing w:before="257"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8"/>
                <w:sz w:val="28"/>
              </w:rPr>
              <w:t xml:space="preserve">车型</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293" w:type="dxa"/>
            <w:vAlign w:val="top"/>
            <w:textDirection w:val="lrTb"/>
            <w:noWrap w:val="false"/>
          </w:tcPr>
          <w:p>
            <w:pPr>
              <w:ind w:left="0" w:right="0" w:firstLine="0"/>
              <w:jc w:val="center"/>
              <w:spacing w:before="258"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6"/>
                <w:sz w:val="28"/>
              </w:rPr>
              <w:t xml:space="preserve">座数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75" w:type="dxa"/>
            <w:vAlign w:val="top"/>
            <w:textDirection w:val="lrTb"/>
            <w:noWrap w:val="false"/>
          </w:tcPr>
          <w:p>
            <w:pPr>
              <w:ind w:left="0" w:right="0" w:firstLine="0"/>
              <w:jc w:val="center"/>
              <w:spacing w:before="236"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2"/>
                <w:sz w:val="28"/>
              </w:rPr>
              <w:t xml:space="preserve">单价</w:t>
            </w:r>
            <w:r/>
          </w:p>
          <w:p>
            <w:pPr>
              <w:ind w:left="0" w:right="0" w:firstLine="0"/>
              <w:jc w:val="center"/>
              <w:spacing w:before="236"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2"/>
                <w:sz w:val="28"/>
              </w:rPr>
              <w:t xml:space="preserve">（元</w:t>
            </w:r>
            <w:r>
              <w:rPr>
                <w:rFonts w:ascii="Times New Roman" w:hAnsi="Times New Roman" w:eastAsia="Times New Roman" w:cs="Times New Roman"/>
                <w:color w:val="000000"/>
                <w:spacing w:val="-2"/>
                <w:sz w:val="28"/>
              </w:rPr>
              <w:t xml:space="preserve">/</w:t>
            </w:r>
            <w:r>
              <w:rPr>
                <w:rFonts w:ascii="SimHei" w:hAnsi="SimHei" w:eastAsia="SimHei" w:cs="SimHei"/>
                <w:color w:val="000000"/>
                <w:spacing w:val="-2"/>
                <w:sz w:val="28"/>
              </w:rPr>
              <w:t xml:space="preserve">天</w:t>
            </w:r>
            <w:r>
              <w:rPr>
                <w:rFonts w:ascii="Times New Roman" w:hAnsi="Times New Roman" w:eastAsia="Times New Roman" w:cs="Times New Roman"/>
                <w:color w:val="000000"/>
                <w:spacing w:val="-2"/>
                <w:sz w:val="28"/>
              </w:rPr>
              <w:t xml:space="preserve">/</w:t>
            </w:r>
            <w:r>
              <w:rPr>
                <w:rFonts w:ascii="SimHei" w:hAnsi="SimHei" w:eastAsia="SimHei" w:cs="SimHei"/>
                <w:color w:val="000000"/>
                <w:spacing w:val="-2"/>
                <w:sz w:val="28"/>
              </w:rPr>
              <w:t xml:space="preserve">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36" w:type="dxa"/>
            <w:vAlign w:val="top"/>
            <w:textDirection w:val="lrTb"/>
            <w:noWrap w:val="false"/>
          </w:tcPr>
          <w:p>
            <w:pPr>
              <w:ind w:left="0" w:right="0" w:firstLine="0"/>
              <w:jc w:val="center"/>
              <w:spacing w:before="258"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2"/>
                <w:sz w:val="28"/>
              </w:rPr>
              <w:t xml:space="preserve">数量（辆）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27" w:type="dxa"/>
            <w:vAlign w:val="top"/>
            <w:textDirection w:val="lrTb"/>
            <w:noWrap w:val="false"/>
          </w:tcPr>
          <w:p>
            <w:pPr>
              <w:ind w:left="0" w:right="0" w:firstLine="0"/>
              <w:jc w:val="center"/>
              <w:spacing w:before="257"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2"/>
                <w:sz w:val="28"/>
              </w:rPr>
              <w:t xml:space="preserve">预计运行天数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72" w:type="dxa"/>
            <w:vAlign w:val="top"/>
            <w:textDirection w:val="lrTb"/>
            <w:noWrap w:val="false"/>
          </w:tcPr>
          <w:p>
            <w:pPr>
              <w:ind w:left="0" w:right="0" w:firstLine="0"/>
              <w:jc w:val="center"/>
              <w:spacing w:before="258"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1"/>
                <w:sz w:val="28"/>
              </w:rPr>
              <w:t xml:space="preserve">总费用（元）</w:t>
            </w:r>
            <w:r/>
          </w:p>
        </w:tc>
      </w:tr>
      <w:tr>
        <w:trPr>
          <w:trHeight w:val="134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3" w:type="dxa"/>
            <w:vAlign w:val="top"/>
            <w:textDirection w:val="lrTb"/>
            <w:noWrap w:val="false"/>
          </w:tcPr>
          <w:p>
            <w:pPr>
              <w:ind w:left="0" w:right="0" w:firstLine="0"/>
              <w:jc w:val="center"/>
              <w:spacing w:before="241"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8"/>
                <w:sz w:val="28"/>
              </w:rPr>
              <w:t xml:space="preserve">大巴车</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93" w:type="dxa"/>
            <w:vAlign w:val="top"/>
            <w:textDirection w:val="lrTb"/>
            <w:noWrap w:val="false"/>
          </w:tcPr>
          <w:p>
            <w:pPr>
              <w:ind w:left="0" w:right="0" w:firstLine="0"/>
              <w:jc w:val="center"/>
              <w:spacing w:before="248"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45</w:t>
            </w:r>
            <w:r>
              <w:rPr>
                <w:rFonts w:ascii="FangSong" w:hAnsi="FangSong" w:eastAsia="FangSong" w:cs="FangSong"/>
                <w:color w:val="000000"/>
                <w:sz w:val="28"/>
              </w:rPr>
              <w:t xml:space="preserve">座（含）及以上</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75" w:type="dxa"/>
            <w:vAlign w:val="top"/>
            <w:textDirection w:val="lrTb"/>
            <w:noWrap w:val="false"/>
          </w:tcPr>
          <w:p>
            <w:pPr>
              <w:ind w:left="0" w:right="0" w:firstLine="0"/>
              <w:jc w:val="center"/>
              <w:spacing w:before="30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36" w:type="dxa"/>
            <w:vAlign w:val="top"/>
            <w:textDirection w:val="lrTb"/>
            <w:noWrap w:val="false"/>
          </w:tcPr>
          <w:p>
            <w:pPr>
              <w:ind w:left="0" w:right="0" w:firstLine="0"/>
              <w:jc w:val="center"/>
              <w:spacing w:before="301"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27" w:type="dxa"/>
            <w:vAlign w:val="top"/>
            <w:textDirection w:val="lrTb"/>
            <w:noWrap w:val="false"/>
          </w:tcPr>
          <w:p>
            <w:pPr>
              <w:ind w:left="0" w:right="0" w:firstLine="0"/>
              <w:jc w:val="center"/>
              <w:spacing w:before="301"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2" w:type="dxa"/>
            <w:vAlign w:val="top"/>
            <w:textDirection w:val="lrTb"/>
            <w:noWrap w:val="false"/>
          </w:tcPr>
          <w:p>
            <w:pPr>
              <w:ind w:left="0" w:right="0" w:firstLine="0"/>
              <w:jc w:val="center"/>
              <w:spacing w:before="301"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bl>
    <w:p>
      <w:pPr>
        <w:ind w:left="0" w:right="0" w:firstLine="629"/>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注：报价应包含项目实施过程中一切相关费用。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表中响应报价总计应与对应报价一览表中投标总价一致。</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附件四、采购需求偏离表格式</w:t>
      </w:r>
      <w:r/>
    </w:p>
    <w:p>
      <w:pPr>
        <w:ind w:left="435"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84"/>
        <w:spacing w:before="0" w:after="0" w:line="85" w:lineRule="atLeast"/>
        <w:tabs>
          <w:tab w:val="left" w:pos="539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tab/>
        <w:t xml:space="preserve">项目编号：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2"/>
        <w:gridCol w:w="1678"/>
        <w:gridCol w:w="1931"/>
        <w:gridCol w:w="3012"/>
        <w:gridCol w:w="1246"/>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说明：投标文件采购需求部分内容响应存在正偏离或负偏离的，请在本表中逐条列出。未列出的，视为响应招标文件要求。如果行数不够，请自行增加。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附件五、商务条款偏离表格式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
        <w:spacing w:before="0" w:after="0" w:line="85" w:lineRule="atLeast"/>
        <w:tabs>
          <w:tab w:val="left" w:pos="536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tab/>
        <w:t xml:space="preserve">项目编号：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0"/>
        <w:gridCol w:w="1679"/>
        <w:gridCol w:w="2488"/>
        <w:gridCol w:w="3004"/>
        <w:gridCol w:w="1201"/>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说明：投标文件商务部分内容响应存在正偏离或负偏离的，请在本表中逐条列出。未列出的，视为响应招标文件要求。如果行数不够，请自行增加。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附件六、技术说明与服务方案</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技术方案及服务承诺应根据采购人对项目的要求、评标标准的要求及项目本身的特点编写，内容应包括但不限于以下内容：</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附件七、拟参与本项目服务人员一览表</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拟参与本项目服务人员一览表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8"/>
        <w:gridCol w:w="886"/>
        <w:gridCol w:w="655"/>
        <w:gridCol w:w="701"/>
        <w:gridCol w:w="1121"/>
        <w:gridCol w:w="920"/>
        <w:gridCol w:w="1008"/>
        <w:gridCol w:w="982"/>
        <w:gridCol w:w="872"/>
        <w:gridCol w:w="840"/>
        <w:gridCol w:w="84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附件八、 投标人类似业绩情况表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投标人类似业绩情况表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4"/>
        <w:gridCol w:w="1540"/>
        <w:gridCol w:w="1401"/>
        <w:gridCol w:w="980"/>
        <w:gridCol w:w="1021"/>
        <w:gridCol w:w="1498"/>
        <w:gridCol w:w="1120"/>
        <w:gridCol w:w="11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获奖</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签约及服务</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1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附件九：企业声明函格式</w:t>
      </w:r>
      <w:r/>
    </w:p>
    <w:p>
      <w:pPr>
        <w:ind w:left="0" w:right="0" w:firstLine="0"/>
        <w:jc w:val="center"/>
        <w:spacing w:before="312"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中小企业声明函（工程、服务）</w:t>
      </w:r>
      <w:r/>
    </w:p>
    <w:p>
      <w:pPr>
        <w:ind w:left="0" w:right="0" w:firstLine="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ab/>
      </w:r>
      <w:r>
        <w:rPr>
          <w:rFonts w:ascii="SimSun" w:hAnsi="SimSun" w:eastAsia="SimSun" w:cs="SimSun"/>
          <w:color w:val="000000"/>
          <w:sz w:val="21"/>
        </w:rPr>
        <w:t xml:space="preserve">人，营业收入为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w:t>
      </w:r>
      <w:r>
        <w:rPr>
          <w:rFonts w:ascii="SimSun" w:hAnsi="SimSun" w:eastAsia="SimSun" w:cs="SimSun"/>
          <w:color w:val="000000"/>
          <w:sz w:val="21"/>
          <w:vertAlign w:val="superscript"/>
        </w:rPr>
        <w:t xml:space="preserve">1</w:t>
      </w:r>
      <w:r>
        <w:rPr>
          <w:rFonts w:ascii="SimSun" w:hAnsi="SimSun" w:eastAsia="SimSun" w:cs="SimSun"/>
          <w:color w:val="000000"/>
          <w:sz w:val="21"/>
        </w:rPr>
        <w:t xml:space="preserve">，属于（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ab/>
      </w:r>
      <w:r>
        <w:rPr>
          <w:rFonts w:ascii="SimSun" w:hAnsi="SimSun" w:eastAsia="SimSun" w:cs="SimSun"/>
          <w:color w:val="000000"/>
          <w:sz w:val="21"/>
        </w:rPr>
        <w:t xml:space="preserve">人，营业收入为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企业名称（加盖电子公章）：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单位名称（加盖电子公章）：</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节能产品认证证书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环境标志产品认证证书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进口产品转让技术、消化吸收再创新方案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（对于允许进口产品参加的项目）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3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我单位（供应商名称）郑重声明：</w:t>
      </w:r>
      <w:r/>
    </w:p>
    <w:p>
      <w:pPr>
        <w:ind w:left="0" w:right="0" w:firstLine="30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我单位参加政府采购活动前3年内在经营活动中（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重大违法记录，且不是失信被执行人、重大税收违法案件当事人名单、政府采购严重违法失信行为记录名单的供应商。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1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声明人：（加盖电子公章）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w:t>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 资格资信证明文件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 联合体协议及联合体授权委托书（如允许联合体）</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附件十三、《南京市政府采购供应商信用记录表暨信用承诺书》（网站在线打印）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191000" cy="49625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441345" name=""/>
                        <pic:cNvPicPr>
                          <a:picLocks noChangeAspect="1"/>
                        </pic:cNvPicPr>
                        <pic:nvPr/>
                      </pic:nvPicPr>
                      <pic:blipFill>
                        <a:blip/>
                        <a:stretch/>
                      </pic:blipFill>
                      <pic:spPr bwMode="auto">
                        <a:xfrm>
                          <a:off x="0" y="0"/>
                          <a:ext cx="4190999" cy="4962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0.0pt;height:390.8pt;mso-wrap-distance-left:0.0pt;mso-wrap-distance-top:0.0pt;mso-wrap-distance-right:0.0pt;mso-wrap-distance-bottom:0.0pt;" stroked="false">
                <v:path textboxrect="0,0,0,0"/>
              </v:shape>
            </w:pict>
          </mc:Fallback>
        </mc:AlternateContent>
      </w: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附件十四、其他</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Segoe UI">
    <w:panose1 w:val="020B0502040204020203"/>
  </w:font>
  <w:font w:name="Times New Roman">
    <w:panose1 w:val="02020603050405020304"/>
  </w:font>
  <w:font w:name="Calibri">
    <w:panose1 w:val="020F05020202040302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1">
    <w:multiLevelType w:val="hybridMultilevel"/>
    <w:lvl w:ilvl="0">
      <w:start w:val="29"/>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4">
    <w:multiLevelType w:val="hybridMultilevel"/>
    <w:lvl w:ilvl="0">
      <w:start w:val="29"/>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7">
    <w:multiLevelType w:val="hybridMultilevel"/>
    <w:lvl w:ilvl="0">
      <w:start w:val="29"/>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name w:val="Heading 1"/>
    <w:link w:val="653"/>
    <w:uiPriority w:val="9"/>
    <w:qFormat/>
    <w:pPr>
      <w:keepLines/>
      <w:keepNext/>
      <w:spacing w:before="480" w:after="200"/>
      <w:outlineLvl w:val="0"/>
    </w:pPr>
    <w:rPr>
      <w:rFonts w:ascii="Arial" w:hAnsi="Arial" w:eastAsia="Arial" w:cs="Arial"/>
      <w:sz w:val="40"/>
      <w:szCs w:val="40"/>
    </w:rPr>
  </w:style>
  <w:style w:type="character" w:styleId="653">
    <w:name w:val="Heading 1 Char"/>
    <w:link w:val="652"/>
    <w:uiPriority w:val="9"/>
    <w:rPr>
      <w:rFonts w:ascii="Arial" w:hAnsi="Arial" w:eastAsia="Arial" w:cs="Arial"/>
      <w:sz w:val="40"/>
      <w:szCs w:val="40"/>
    </w:rPr>
  </w:style>
  <w:style w:type="paragraph" w:styleId="654">
    <w:name w:val="Heading 2"/>
    <w:link w:val="655"/>
    <w:uiPriority w:val="9"/>
    <w:unhideWhenUsed/>
    <w:qFormat/>
    <w:pPr>
      <w:keepLines/>
      <w:keepNext/>
      <w:spacing w:before="360" w:after="200"/>
      <w:outlineLvl w:val="1"/>
    </w:pPr>
    <w:rPr>
      <w:rFonts w:ascii="Arial" w:hAnsi="Arial" w:eastAsia="Arial" w:cs="Arial"/>
      <w:sz w:val="34"/>
    </w:rPr>
  </w:style>
  <w:style w:type="character" w:styleId="655">
    <w:name w:val="Heading 2 Char"/>
    <w:link w:val="654"/>
    <w:uiPriority w:val="9"/>
    <w:rPr>
      <w:rFonts w:ascii="Arial" w:hAnsi="Arial" w:eastAsia="Arial" w:cs="Arial"/>
      <w:sz w:val="34"/>
    </w:rPr>
  </w:style>
  <w:style w:type="paragraph" w:styleId="656">
    <w:name w:val="Heading 3"/>
    <w:link w:val="657"/>
    <w:uiPriority w:val="9"/>
    <w:unhideWhenUsed/>
    <w:qFormat/>
    <w:pPr>
      <w:keepLines/>
      <w:keepNext/>
      <w:spacing w:before="320" w:after="200"/>
      <w:outlineLvl w:val="2"/>
    </w:pPr>
    <w:rPr>
      <w:rFonts w:ascii="Arial" w:hAnsi="Arial" w:eastAsia="Arial" w:cs="Arial"/>
      <w:sz w:val="30"/>
      <w:szCs w:val="30"/>
    </w:rPr>
  </w:style>
  <w:style w:type="character" w:styleId="657">
    <w:name w:val="Heading 3 Char"/>
    <w:link w:val="656"/>
    <w:uiPriority w:val="9"/>
    <w:rPr>
      <w:rFonts w:ascii="Arial" w:hAnsi="Arial" w:eastAsia="Arial" w:cs="Arial"/>
      <w:sz w:val="30"/>
      <w:szCs w:val="30"/>
    </w:rPr>
  </w:style>
  <w:style w:type="paragraph" w:styleId="658">
    <w:name w:val="Heading 4"/>
    <w:link w:val="659"/>
    <w:uiPriority w:val="9"/>
    <w:unhideWhenUsed/>
    <w:qFormat/>
    <w:pPr>
      <w:keepLines/>
      <w:keepNext/>
      <w:spacing w:before="320" w:after="200"/>
      <w:outlineLvl w:val="3"/>
    </w:pPr>
    <w:rPr>
      <w:rFonts w:ascii="Arial" w:hAnsi="Arial" w:eastAsia="Arial" w:cs="Arial"/>
      <w:b/>
      <w:bCs/>
      <w:sz w:val="26"/>
      <w:szCs w:val="26"/>
    </w:rPr>
  </w:style>
  <w:style w:type="character" w:styleId="659">
    <w:name w:val="Heading 4 Char"/>
    <w:link w:val="658"/>
    <w:uiPriority w:val="9"/>
    <w:rPr>
      <w:rFonts w:ascii="Arial" w:hAnsi="Arial" w:eastAsia="Arial" w:cs="Arial"/>
      <w:b/>
      <w:bCs/>
      <w:sz w:val="26"/>
      <w:szCs w:val="26"/>
    </w:rPr>
  </w:style>
  <w:style w:type="paragraph" w:styleId="660">
    <w:name w:val="Heading 5"/>
    <w:link w:val="661"/>
    <w:uiPriority w:val="9"/>
    <w:unhideWhenUsed/>
    <w:qFormat/>
    <w:pPr>
      <w:keepLines/>
      <w:keepNext/>
      <w:spacing w:before="320" w:after="200"/>
      <w:outlineLvl w:val="4"/>
    </w:pPr>
    <w:rPr>
      <w:rFonts w:ascii="Arial" w:hAnsi="Arial" w:eastAsia="Arial" w:cs="Arial"/>
      <w:b/>
      <w:bCs/>
      <w:sz w:val="24"/>
      <w:szCs w:val="24"/>
    </w:rPr>
  </w:style>
  <w:style w:type="character" w:styleId="661">
    <w:name w:val="Heading 5 Char"/>
    <w:link w:val="660"/>
    <w:uiPriority w:val="9"/>
    <w:rPr>
      <w:rFonts w:ascii="Arial" w:hAnsi="Arial" w:eastAsia="Arial" w:cs="Arial"/>
      <w:b/>
      <w:bCs/>
      <w:sz w:val="24"/>
      <w:szCs w:val="24"/>
    </w:rPr>
  </w:style>
  <w:style w:type="paragraph" w:styleId="662">
    <w:name w:val="Heading 6"/>
    <w:link w:val="663"/>
    <w:uiPriority w:val="9"/>
    <w:unhideWhenUsed/>
    <w:qFormat/>
    <w:pPr>
      <w:keepLines/>
      <w:keepNext/>
      <w:spacing w:before="320" w:after="200"/>
      <w:outlineLvl w:val="5"/>
    </w:pPr>
    <w:rPr>
      <w:rFonts w:ascii="Arial" w:hAnsi="Arial" w:eastAsia="Arial" w:cs="Arial"/>
      <w:b/>
      <w:bCs/>
      <w:sz w:val="22"/>
      <w:szCs w:val="22"/>
    </w:rPr>
  </w:style>
  <w:style w:type="character" w:styleId="663">
    <w:name w:val="Heading 6 Char"/>
    <w:link w:val="662"/>
    <w:uiPriority w:val="9"/>
    <w:rPr>
      <w:rFonts w:ascii="Arial" w:hAnsi="Arial" w:eastAsia="Arial" w:cs="Arial"/>
      <w:b/>
      <w:bCs/>
      <w:sz w:val="22"/>
      <w:szCs w:val="22"/>
    </w:rPr>
  </w:style>
  <w:style w:type="paragraph" w:styleId="664">
    <w:name w:val="Heading 7"/>
    <w:link w:val="665"/>
    <w:uiPriority w:val="9"/>
    <w:unhideWhenUsed/>
    <w:qFormat/>
    <w:pPr>
      <w:keepLines/>
      <w:keepNext/>
      <w:spacing w:before="320" w:after="200"/>
      <w:outlineLvl w:val="6"/>
    </w:pPr>
    <w:rPr>
      <w:rFonts w:ascii="Arial" w:hAnsi="Arial" w:eastAsia="Arial" w:cs="Arial"/>
      <w:b/>
      <w:bCs/>
      <w:i/>
      <w:iCs/>
      <w:sz w:val="22"/>
      <w:szCs w:val="22"/>
    </w:rPr>
  </w:style>
  <w:style w:type="character" w:styleId="665">
    <w:name w:val="Heading 7 Char"/>
    <w:link w:val="664"/>
    <w:uiPriority w:val="9"/>
    <w:rPr>
      <w:rFonts w:ascii="Arial" w:hAnsi="Arial" w:eastAsia="Arial" w:cs="Arial"/>
      <w:b/>
      <w:bCs/>
      <w:i/>
      <w:iCs/>
      <w:sz w:val="22"/>
      <w:szCs w:val="22"/>
    </w:rPr>
  </w:style>
  <w:style w:type="paragraph" w:styleId="666">
    <w:name w:val="Heading 8"/>
    <w:link w:val="667"/>
    <w:uiPriority w:val="9"/>
    <w:unhideWhenUsed/>
    <w:qFormat/>
    <w:pPr>
      <w:keepLines/>
      <w:keepNext/>
      <w:spacing w:before="320" w:after="200"/>
      <w:outlineLvl w:val="7"/>
    </w:pPr>
    <w:rPr>
      <w:rFonts w:ascii="Arial" w:hAnsi="Arial" w:eastAsia="Arial" w:cs="Arial"/>
      <w:i/>
      <w:iCs/>
      <w:sz w:val="22"/>
      <w:szCs w:val="22"/>
    </w:rPr>
  </w:style>
  <w:style w:type="character" w:styleId="667">
    <w:name w:val="Heading 8 Char"/>
    <w:link w:val="666"/>
    <w:uiPriority w:val="9"/>
    <w:rPr>
      <w:rFonts w:ascii="Arial" w:hAnsi="Arial" w:eastAsia="Arial" w:cs="Arial"/>
      <w:i/>
      <w:iCs/>
      <w:sz w:val="22"/>
      <w:szCs w:val="22"/>
    </w:rPr>
  </w:style>
  <w:style w:type="paragraph" w:styleId="668">
    <w:name w:val="Heading 9"/>
    <w:link w:val="669"/>
    <w:uiPriority w:val="9"/>
    <w:unhideWhenUsed/>
    <w:qFormat/>
    <w:pPr>
      <w:keepLines/>
      <w:keepNext/>
      <w:spacing w:before="320" w:after="200"/>
      <w:outlineLvl w:val="8"/>
    </w:pPr>
    <w:rPr>
      <w:rFonts w:ascii="Arial" w:hAnsi="Arial" w:eastAsia="Arial" w:cs="Arial"/>
      <w:i/>
      <w:iCs/>
      <w:sz w:val="21"/>
      <w:szCs w:val="21"/>
    </w:rPr>
  </w:style>
  <w:style w:type="character" w:styleId="669">
    <w:name w:val="Heading 9 Char"/>
    <w:link w:val="668"/>
    <w:uiPriority w:val="9"/>
    <w:rPr>
      <w:rFonts w:ascii="Arial" w:hAnsi="Arial" w:eastAsia="Arial" w:cs="Arial"/>
      <w:i/>
      <w:iCs/>
      <w:sz w:val="21"/>
      <w:szCs w:val="21"/>
    </w:rPr>
  </w:style>
  <w:style w:type="paragraph" w:styleId="670">
    <w:name w:val="List Paragraph"/>
    <w:uiPriority w:val="34"/>
    <w:qFormat/>
    <w:pPr>
      <w:contextualSpacing/>
      <w:ind w:left="720"/>
    </w:pPr>
  </w:style>
  <w:style w:type="paragraph" w:styleId="671">
    <w:name w:val="No Spacing"/>
    <w:uiPriority w:val="1"/>
    <w:qFormat/>
    <w:pPr>
      <w:spacing w:before="0" w:after="0" w:line="240" w:lineRule="auto"/>
    </w:pPr>
  </w:style>
  <w:style w:type="paragraph" w:styleId="672">
    <w:name w:val="Title"/>
    <w:link w:val="673"/>
    <w:uiPriority w:val="10"/>
    <w:qFormat/>
    <w:pPr>
      <w:contextualSpacing/>
      <w:spacing w:before="300" w:after="200"/>
    </w:pPr>
    <w:rPr>
      <w:sz w:val="48"/>
      <w:szCs w:val="48"/>
    </w:rPr>
  </w:style>
  <w:style w:type="character" w:styleId="673">
    <w:name w:val="Title Char"/>
    <w:link w:val="672"/>
    <w:uiPriority w:val="10"/>
    <w:rPr>
      <w:sz w:val="48"/>
      <w:szCs w:val="48"/>
    </w:rPr>
  </w:style>
  <w:style w:type="paragraph" w:styleId="674">
    <w:name w:val="Subtitle"/>
    <w:link w:val="675"/>
    <w:uiPriority w:val="11"/>
    <w:qFormat/>
    <w:pPr>
      <w:spacing w:before="200" w:after="200"/>
    </w:pPr>
    <w:rPr>
      <w:sz w:val="24"/>
      <w:szCs w:val="24"/>
    </w:rPr>
  </w:style>
  <w:style w:type="character" w:styleId="675">
    <w:name w:val="Subtitle Char"/>
    <w:link w:val="674"/>
    <w:uiPriority w:val="11"/>
    <w:rPr>
      <w:sz w:val="24"/>
      <w:szCs w:val="24"/>
    </w:rPr>
  </w:style>
  <w:style w:type="paragraph" w:styleId="676">
    <w:name w:val="Quote"/>
    <w:link w:val="677"/>
    <w:uiPriority w:val="29"/>
    <w:qFormat/>
    <w:pPr>
      <w:ind w:left="720" w:right="720"/>
    </w:pPr>
    <w:rPr>
      <w:i/>
    </w:rPr>
  </w:style>
  <w:style w:type="character" w:styleId="677">
    <w:name w:val="Quote Char"/>
    <w:link w:val="676"/>
    <w:uiPriority w:val="29"/>
    <w:rPr>
      <w:i/>
    </w:rPr>
  </w:style>
  <w:style w:type="paragraph" w:styleId="678">
    <w:name w:val="Intense Quote"/>
    <w:link w:val="6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9">
    <w:name w:val="Intense Quote Char"/>
    <w:link w:val="678"/>
    <w:uiPriority w:val="30"/>
    <w:rPr>
      <w:i/>
    </w:rPr>
  </w:style>
  <w:style w:type="paragraph" w:styleId="680">
    <w:name w:val="Header"/>
    <w:link w:val="681"/>
    <w:uiPriority w:val="99"/>
    <w:unhideWhenUsed/>
    <w:pPr>
      <w:spacing w:after="0" w:line="240" w:lineRule="auto"/>
      <w:tabs>
        <w:tab w:val="center" w:pos="7143" w:leader="none"/>
        <w:tab w:val="right" w:pos="14287" w:leader="none"/>
      </w:tabs>
    </w:pPr>
  </w:style>
  <w:style w:type="character" w:styleId="681">
    <w:name w:val="Header Char"/>
    <w:link w:val="680"/>
    <w:uiPriority w:val="99"/>
  </w:style>
  <w:style w:type="paragraph" w:styleId="682">
    <w:name w:val="Footer"/>
    <w:link w:val="685"/>
    <w:uiPriority w:val="99"/>
    <w:unhideWhenUsed/>
    <w:pPr>
      <w:spacing w:after="0" w:line="240" w:lineRule="auto"/>
      <w:tabs>
        <w:tab w:val="center" w:pos="7143" w:leader="none"/>
        <w:tab w:val="right" w:pos="14287" w:leader="none"/>
      </w:tabs>
    </w:pPr>
  </w:style>
  <w:style w:type="character" w:styleId="683">
    <w:name w:val="Footer Char"/>
    <w:link w:val="682"/>
    <w:uiPriority w:val="99"/>
  </w:style>
  <w:style w:type="paragraph" w:styleId="684">
    <w:name w:val="Caption"/>
    <w:uiPriority w:val="35"/>
    <w:semiHidden/>
    <w:unhideWhenUsed/>
    <w:qFormat/>
    <w:pPr>
      <w:spacing w:line="276" w:lineRule="auto"/>
    </w:pPr>
    <w:rPr>
      <w:b/>
      <w:bCs/>
      <w:color w:val="4f81bd" w:themeColor="accent1"/>
      <w:sz w:val="18"/>
      <w:szCs w:val="18"/>
    </w:rPr>
  </w:style>
  <w:style w:type="character" w:styleId="685">
    <w:name w:val="Caption Char"/>
    <w:basedOn w:val="684"/>
    <w:link w:val="682"/>
    <w:uiPriority w:val="99"/>
  </w:style>
  <w:style w:type="table" w:styleId="6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2">
    <w:name w:val="Hyperlink"/>
    <w:uiPriority w:val="99"/>
    <w:unhideWhenUsed/>
    <w:rPr>
      <w:color w:val="0000ff" w:themeColor="hyperlink"/>
      <w:u w:val="single"/>
    </w:rPr>
  </w:style>
  <w:style w:type="paragraph" w:styleId="813">
    <w:name w:val="footnote text"/>
    <w:link w:val="814"/>
    <w:uiPriority w:val="99"/>
    <w:semiHidden/>
    <w:unhideWhenUsed/>
    <w:pPr>
      <w:spacing w:after="40" w:line="240" w:lineRule="auto"/>
    </w:pPr>
    <w:rPr>
      <w:sz w:val="18"/>
    </w:rPr>
  </w:style>
  <w:style w:type="character" w:styleId="814">
    <w:name w:val="Footnote Text Char"/>
    <w:link w:val="813"/>
    <w:uiPriority w:val="99"/>
    <w:rPr>
      <w:sz w:val="18"/>
    </w:rPr>
  </w:style>
  <w:style w:type="character" w:styleId="815">
    <w:name w:val="footnote reference"/>
    <w:uiPriority w:val="99"/>
    <w:unhideWhenUsed/>
    <w:rPr>
      <w:vertAlign w:val="superscript"/>
    </w:rPr>
  </w:style>
  <w:style w:type="paragraph" w:styleId="816">
    <w:name w:val="endnote text"/>
    <w:link w:val="817"/>
    <w:uiPriority w:val="99"/>
    <w:semiHidden/>
    <w:unhideWhenUsed/>
    <w:pPr>
      <w:spacing w:after="0" w:line="240" w:lineRule="auto"/>
    </w:pPr>
    <w:rPr>
      <w:sz w:val="20"/>
    </w:rPr>
  </w:style>
  <w:style w:type="character" w:styleId="817">
    <w:name w:val="Endnote Text Char"/>
    <w:link w:val="816"/>
    <w:uiPriority w:val="99"/>
    <w:rPr>
      <w:sz w:val="20"/>
    </w:rPr>
  </w:style>
  <w:style w:type="character" w:styleId="818">
    <w:name w:val="endnote reference"/>
    <w:uiPriority w:val="99"/>
    <w:semiHidden/>
    <w:unhideWhenUsed/>
    <w:rPr>
      <w:vertAlign w:val="superscript"/>
    </w:rPr>
  </w:style>
  <w:style w:type="paragraph" w:styleId="819">
    <w:name w:val="toc 1"/>
    <w:uiPriority w:val="39"/>
    <w:unhideWhenUsed/>
    <w:pPr>
      <w:ind w:left="0" w:right="0" w:firstLine="0"/>
      <w:spacing w:after="57"/>
    </w:pPr>
  </w:style>
  <w:style w:type="paragraph" w:styleId="820">
    <w:name w:val="toc 2"/>
    <w:uiPriority w:val="39"/>
    <w:unhideWhenUsed/>
    <w:pPr>
      <w:ind w:left="283" w:right="0" w:firstLine="0"/>
      <w:spacing w:after="57"/>
    </w:pPr>
  </w:style>
  <w:style w:type="paragraph" w:styleId="821">
    <w:name w:val="toc 3"/>
    <w:uiPriority w:val="39"/>
    <w:unhideWhenUsed/>
    <w:pPr>
      <w:ind w:left="567" w:right="0" w:firstLine="0"/>
      <w:spacing w:after="57"/>
    </w:pPr>
  </w:style>
  <w:style w:type="paragraph" w:styleId="822">
    <w:name w:val="toc 4"/>
    <w:uiPriority w:val="39"/>
    <w:unhideWhenUsed/>
    <w:pPr>
      <w:ind w:left="850" w:right="0" w:firstLine="0"/>
      <w:spacing w:after="57"/>
    </w:pPr>
  </w:style>
  <w:style w:type="paragraph" w:styleId="823">
    <w:name w:val="toc 5"/>
    <w:uiPriority w:val="39"/>
    <w:unhideWhenUsed/>
    <w:pPr>
      <w:ind w:left="1134" w:right="0" w:firstLine="0"/>
      <w:spacing w:after="57"/>
    </w:pPr>
  </w:style>
  <w:style w:type="paragraph" w:styleId="824">
    <w:name w:val="toc 6"/>
    <w:uiPriority w:val="39"/>
    <w:unhideWhenUsed/>
    <w:pPr>
      <w:ind w:left="1417" w:right="0" w:firstLine="0"/>
      <w:spacing w:after="57"/>
    </w:pPr>
  </w:style>
  <w:style w:type="paragraph" w:styleId="825">
    <w:name w:val="toc 7"/>
    <w:uiPriority w:val="39"/>
    <w:unhideWhenUsed/>
    <w:pPr>
      <w:ind w:left="1701" w:right="0" w:firstLine="0"/>
      <w:spacing w:after="57"/>
    </w:pPr>
  </w:style>
  <w:style w:type="paragraph" w:styleId="826">
    <w:name w:val="toc 8"/>
    <w:uiPriority w:val="39"/>
    <w:unhideWhenUsed/>
    <w:pPr>
      <w:ind w:left="1984" w:right="0" w:firstLine="0"/>
      <w:spacing w:after="57"/>
    </w:pPr>
  </w:style>
  <w:style w:type="paragraph" w:styleId="827">
    <w:name w:val="toc 9"/>
    <w:uiPriority w:val="39"/>
    <w:unhideWhenUsed/>
    <w:pPr>
      <w:ind w:left="2268" w:right="0" w:firstLine="0"/>
      <w:spacing w:after="57"/>
    </w:pPr>
  </w:style>
  <w:style w:type="paragraph" w:styleId="828">
    <w:name w:val="TOC Heading"/>
    <w:uiPriority w:val="39"/>
    <w:unhideWhenUsed/>
  </w:style>
  <w:style w:type="paragraph" w:styleId="829">
    <w:name w:val="table of figures"/>
    <w:uiPriority w:val="99"/>
    <w:unhideWhenUsed/>
    <w:pPr>
      <w:spacing w:after="0" w:afterAutospacing="0"/>
    </w:pPr>
  </w:style>
  <w:style w:type="character" w:styleId="830" w:default="1">
    <w:name w:val="Default Paragraph Font"/>
    <w:uiPriority w:val="1"/>
    <w:semiHidden/>
    <w:unhideWhenUsed/>
  </w:style>
  <w:style w:type="numbering" w:styleId="831" w:default="1">
    <w:name w:val="No List"/>
    <w:uiPriority w:val="99"/>
    <w:semiHidden/>
    <w:unhideWhenUsed/>
  </w:style>
  <w:style w:type="paragraph" w:styleId="832" w:default="1">
    <w:name w:val="Normal"/>
    <w:qFormat/>
  </w:style>
  <w:style w:type="table" w:styleId="8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210"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947"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9811"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788"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9927"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2050" TargetMode="External"/><Relationship Id="rId15" Type="http://schemas.openxmlformats.org/officeDocument/2006/relationships/hyperlink" Target="http://jszfcg.jsczt.cn/%EF%BC%89" TargetMode="External"/><Relationship Id="rId16" Type="http://schemas.openxmlformats.org/officeDocument/2006/relationships/hyperlink" Target="http://jszfcg.jsczt.cn/%EF%BC%89%E5%8F%82%E4%B8%8E%E6%94%BF%E5%BA%9C%E9%87%87%E8%B4%AD%E9%A1%B9%E7%9B%AE%EF%BC%8C%E9%9C%80%E8%A6%81%E5%8A%9E%E7%90%86%E6%B1%9F%E8%8B%8F%E7%9C%81%E6%94%BF%E5%BA%9C%E9%87%87%E8%B4%AD%E6%95%B0%E5%AD%97%E8%AF%81%E4%B9%A6%E5%8F%8A%E7%94%B5%E5%AD%90%E7%AD%BE%E7%AB%A0%E7%9A%84%EF%BC%8C%E8%AF%A6%E8%A7%81%E8%8B%8F%E9%87%87%E4%BA%91%E5%AE%98%E7%BD%91%E9%A6%96%E9%A1%B5" TargetMode="External"/><Relationship Id="rId17"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钮驰</cp:lastModifiedBy>
  <cp:revision>7</cp:revision>
  <dcterms:created xsi:type="dcterms:W3CDTF">2026-06-08T02:03:06Z</dcterms:created>
  <dcterms:modified xsi:type="dcterms:W3CDTF">2026-06-26T01:16:47Z</dcterms:modified>
</cp:coreProperties>
</file>