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苏州市吴中区政府采购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6"/>
          <w:sz w:val="32"/>
        </w:rPr>
        <w:t xml:space="preserve"> </w:t>
      </w:r>
      <w:r/>
    </w:p>
    <w:p>
      <w:pPr>
        <w:ind w:left="0" w:right="0" w:firstLine="1237"/>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6"/>
          <w:sz w:val="32"/>
        </w:rPr>
        <w:t xml:space="preserve">采购编号：JSZC-320506-ZXCG-C2026-0006</w:t>
      </w:r>
      <w:r/>
    </w:p>
    <w:p>
      <w:pPr>
        <w:ind w:left="0" w:right="0" w:firstLine="1237"/>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6"/>
          <w:sz w:val="32"/>
        </w:rPr>
        <w:t xml:space="preserve">采购内容：郭巷街道戈湾社区尹东八村二区小公园积水改造工程</w:t>
      </w:r>
      <w:r/>
    </w:p>
    <w:p>
      <w:pPr>
        <w:ind w:left="0" w:right="0" w:firstLine="1237"/>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6"/>
          <w:sz w:val="32"/>
        </w:rPr>
        <w:t xml:space="preserve">采购单位：苏州市吴中区人民政府郭巷街道办事处</w:t>
      </w:r>
      <w:r/>
    </w:p>
    <w:p>
      <w:pPr>
        <w:ind w:left="0" w:right="0" w:firstLine="1237"/>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6"/>
          <w:sz w:val="32"/>
        </w:rPr>
        <w:t xml:space="preserve">采购类别：工程类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04875" cy="914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67341" name=""/>
                        <pic:cNvPicPr>
                          <a:picLocks noChangeAspect="1"/>
                        </pic:cNvPicPr>
                        <pic:nvPr/>
                      </pic:nvPicPr>
                      <pic:blipFill>
                        <a:blip/>
                        <a:stretch/>
                      </pic:blipFill>
                      <pic:spPr bwMode="auto">
                        <a:xfrm>
                          <a:off x="0" y="0"/>
                          <a:ext cx="904874" cy="914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2pt;height:72.0pt;mso-wrap-distance-left:0.0pt;mso-wrap-distance-top:0.0pt;mso-wrap-distance-right:0.0pt;mso-wrap-distance-bottom:0.0pt;" stroked="false">
                <v:path textboxrect="0,0,0,0"/>
              </v:shape>
            </w:pict>
          </mc:Fallback>
        </mc:AlternateContent>
      </w:r>
      <w:r>
        <w:rPr>
          <w:rFonts w:ascii="SimHei" w:hAnsi="SimHei" w:eastAsia="SimHei" w:cs="SimHei"/>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14"/>
          <w:sz w:val="36"/>
        </w:rPr>
        <w:t xml:space="preserve">苏州正信工程造价咨询事务所有限责任公司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二零二六年七月</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shd w:val="nil"/>
      </w:pPr>
      <w:r>
        <w:rPr>
          <w:rFonts w:ascii="SimHei" w:hAnsi="SimHei" w:eastAsia="SimHei" w:cs="SimHei"/>
          <w:b/>
          <w:color w:val="000000"/>
          <w:sz w:val="48"/>
          <w:highlight w:val="none"/>
        </w:rPr>
        <w:br w:type="page" w:clear="all"/>
      </w:r>
      <w:r>
        <w:rPr>
          <w:rFonts w:ascii="SimHei" w:hAnsi="SimHei" w:eastAsia="SimHei" w:cs="SimHei"/>
          <w:b/>
          <w:color w:val="000000"/>
          <w:sz w:val="48"/>
          <w:highlight w:val="none"/>
        </w:rPr>
      </w:r>
    </w:p>
    <w:p>
      <w:pPr>
        <w:ind w:left="0" w:right="0" w:firstLine="0"/>
        <w:jc w:val="center"/>
        <w:spacing w:before="0" w:after="0" w:line="85" w:lineRule="atLeast"/>
        <w:tabs>
          <w:tab w:val="left" w:pos="315" w:leader="none"/>
          <w:tab w:val="left" w:pos="4153" w:leader="none"/>
        </w:tabs>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目录</w:t>
      </w:r>
      <w:r/>
    </w:p>
    <w:p>
      <w:pPr>
        <w:ind w:left="0" w:right="0" w:firstLine="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一、竞争性磋商公告</w:t>
      </w:r>
      <w:r/>
    </w:p>
    <w:p>
      <w:pPr>
        <w:ind w:left="0" w:right="0" w:firstLine="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二、磋商须知前附表</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三、供应商须知</w:t>
      </w:r>
      <w:r/>
    </w:p>
    <w:p>
      <w:pPr>
        <w:ind w:left="0" w:right="0" w:firstLine="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四、响应文件格式</w:t>
      </w:r>
      <w:r/>
    </w:p>
    <w:p>
      <w:pPr>
        <w:ind w:left="0" w:right="0" w:firstLine="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五、磋商采购内容</w:t>
      </w:r>
      <w:r/>
    </w:p>
    <w:p>
      <w:pPr>
        <w:ind w:left="0" w:right="0" w:firstLine="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六、合同主要条款</w:t>
      </w:r>
      <w:r/>
    </w:p>
    <w:p>
      <w:pPr>
        <w:ind w:left="0" w:right="0" w:firstLine="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七、技术要求、图纸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八、评标方法与评标标准</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一、竞争性磋商公告</w:t>
      </w:r>
      <w:r>
        <w:rPr>
          <w:rFonts w:ascii="SimSun" w:hAnsi="SimSun" w:eastAsia="SimSun" w:cs="SimSun"/>
          <w:color w:val="000000"/>
          <w:sz w:val="24"/>
        </w:rPr>
        <w:t xml:space="preserve"> </w:t>
      </w:r>
      <w:r>
        <w:rPr>
          <w:rFonts w:ascii="Times New Roman" w:hAnsi="Times New Roman" w:eastAsia="Times New Roman" w:cs="Times New Roman"/>
          <w:sz w:val="22"/>
        </w:rPr>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项目编号：JSZC-320506-ZXCG-C2026-0006</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项目名称：郭巷街道戈湾社区尹东八村二区小公园积水改造工程</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color w:val="000000"/>
          <w:sz w:val="24"/>
          <w:highlight w:val="white"/>
        </w:rPr>
        <w:t xml:space="preserve">人民币壹佰零伍万零柒佰贰拾伍元肆角（¥:1050725.40）</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SimSun" w:hAnsi="SimSun" w:eastAsia="SimSun" w:cs="SimSun"/>
          <w:color w:val="000000"/>
          <w:sz w:val="24"/>
          <w:highlight w:val="white"/>
        </w:rPr>
        <w:t xml:space="preserve">人民币壹佰零伍万零柒佰贰拾伍元肆角（¥:1050725.40）</w:t>
      </w:r>
      <w:r/>
    </w:p>
    <w:p>
      <w:pPr>
        <w:ind w:left="42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尹东八二区小公园为小区居民日常休闲、健身、活动的核心公共空间。因现状场地排水设施不完善、雨水管网局部堵塞，每逢降雨易出现大面积积水，既影响居民正常使用，也存在安全隐患，群众反映强烈。为补齐民生设施短板、消除安全风险、提升人居环境品质，亟需实施积水改造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工程范围：郭巷街道戈湾社区尹东八村二区小公园积水改造工程</w:t>
      </w:r>
      <w:r/>
    </w:p>
    <w:p>
      <w:pPr>
        <w:ind w:left="42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合同履行期限：90日历天（具体开工日期以采购人通知为准）。</w:t>
      </w:r>
      <w:r/>
    </w:p>
    <w:p>
      <w:pPr>
        <w:ind w:left="42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numPr>
          <w:ilvl w:val="0"/>
          <w:numId w:val="9"/>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申请人的资格要求</w:t>
      </w:r>
      <w:r/>
    </w:p>
    <w:p>
      <w:pPr>
        <w:numPr>
          <w:ilvl w:val="0"/>
          <w:numId w:val="10"/>
        </w:numPr>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w:t>
      </w:r>
      <w:r/>
    </w:p>
    <w:p>
      <w:pPr>
        <w:ind w:left="42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42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42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42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42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（5）参加政府采购活动近三年内，在经营活动中没有重大违法记录；</w:t>
      </w:r>
      <w:r/>
    </w:p>
    <w:p>
      <w:pPr>
        <w:ind w:left="42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42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（1）申请人资质类别和等级：市政公用工程施工总承包三级及以上；</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（2）企业具备安全生产条件，并取得《安全生产许可证》；</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（3）拟选派项目经理资质等级：具有市政公用工程专业二级(含)以上建造师注册证书并具有《建筑施工企业项目负责人安全生产考核合格证书》（B类）且无在建工程项目；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（2）响应单位须提供《中小企业声明函》或《残疾人福利性单位声明函》或省级以上监狱管理局、戒毒管理局（含新疆生产建设兵团）出具的属于监狱企业的证明文件。本项目标的所属行业：建筑业。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网上报名截止时间：自本公告发布之日起五个工作日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1.供应商必须进入“苏采云”系统进行网上注册及资料填报。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苏州现场办理地址：苏州市高新区邓尉路105号狮山科技馆1楼服务大厅，联系电话：0512-69820834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提交响应文件截止时间、开标时间和地点（上传）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截止时间：2026年08月12日09:30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地点：“苏采云”政府采购交易系统网上开标大厅（网址：</w:t>
      </w:r>
      <w:hyperlink r:id="rId12" w:tooltip="http://jszfcg.jsczt.cn/），响应文件网上递交，不需要现场参加采购活动。" w:history="1">
        <w:r>
          <w:rPr>
            <w:rStyle w:val="924"/>
            <w:rFonts w:ascii="SimSun" w:hAnsi="SimSun" w:eastAsia="SimSun" w:cs="SimSun"/>
            <w:color w:val="0000ee"/>
            <w:sz w:val="24"/>
            <w:u w:val="none"/>
          </w:rPr>
          <w:t xml:space="preserve">http://jszfcg.jsczt.cn/），响应文件网上递交，不需要现场参加采购活动。</w:t>
        </w:r>
      </w:hyperlink>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4"/>
        </w:rPr>
        <w:t xml:space="preserve">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时间：2026年08月12日09点30分（北京时间）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b/>
          <w:color w:val="000000"/>
          <w:sz w:val="24"/>
        </w:rPr>
        <w:t xml:space="preserve">苏州市高新区邓尉路105号狮山科技馆</w:t>
      </w:r>
      <w:r>
        <w:rPr>
          <w:rFonts w:ascii="SimSun" w:hAnsi="SimSun" w:eastAsia="SimSun" w:cs="SimSun"/>
          <w:color w:val="000000"/>
          <w:sz w:val="24"/>
        </w:rPr>
        <w:t xml:space="preserve">（响应文件网上递交，不需要现场参加采购活动）</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其他补充事宜</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本公告同时在江苏政府采购网、苏州市政府采购网发布。</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本项目获取采购文件截止日期之后仍可以下载采购文件，但截止日期之后下载的采购文件，视为非有效方式且不作为供应商权益受到损害的证明材料和依据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名称：苏州市吴中区人民政府郭巷街道办事处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联系方式：朱云艳       65871653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0" w:right="0" w:firstLine="480"/>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名称：苏州正信工程造价咨询事务所有限责任公司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地址：苏州市吴中区苏蠡路59号蠡和大厦1211室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联系方式：景淑秋13861306688、范朦17712610360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项目联系人：景淑秋13861306688、范朦17712610360</w:t>
      </w:r>
      <w:r/>
    </w:p>
    <w:p>
      <w:pPr>
        <w:ind w:left="0" w:right="0" w:firstLine="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shd w:val="nil"/>
      </w:pPr>
      <w:r>
        <w:rPr>
          <w:rFonts w:ascii="SimHei" w:hAnsi="SimHei" w:eastAsia="SimHei" w:cs="SimHei"/>
          <w:b/>
          <w:color w:val="000000"/>
          <w:sz w:val="36"/>
          <w:highlight w:val="none"/>
        </w:rPr>
        <w:br w:type="page" w:clear="all"/>
      </w:r>
      <w:r>
        <w:rPr>
          <w:rFonts w:ascii="SimHei" w:hAnsi="SimHei" w:eastAsia="SimHei" w:cs="SimHei"/>
          <w:b/>
          <w:color w:val="000000"/>
          <w:sz w:val="36"/>
          <w:highlight w:val="none"/>
        </w:rPr>
      </w:r>
    </w:p>
    <w:p>
      <w:pPr>
        <w:ind w:left="0" w:right="0" w:firstLine="0"/>
        <w:jc w:val="center"/>
        <w:spacing w:before="0" w:after="0"/>
        <w:rPr>
          <w:rFonts w:ascii="SimHei" w:hAnsi="SimHei" w:eastAsia="SimHei" w:cs="SimHei"/>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二、磋商须知前附表</w:t>
      </w:r>
      <w:r/>
    </w:p>
    <w:tbl>
      <w:tblPr>
        <w:tblStyle w:val="9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762"/>
        <w:gridCol w:w="6835"/>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说明与要求</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郭巷街道戈湾社区尹东八村二区小公园积水改造工程</w:t>
            </w:r>
            <w:r/>
          </w:p>
        </w:tc>
      </w:tr>
      <w:tr>
        <w:trPr>
          <w:trHeight w:val="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采购单位指定地点</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人民币：人民币壹佰零伍万零柒佰贰拾伍元肆角（¥:1050725.40）</w:t>
            </w:r>
            <w:r/>
          </w:p>
        </w:tc>
      </w:tr>
      <w:tr>
        <w:trPr>
          <w:trHeight w:val="3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人民币：人民币壹佰零伍万零柒佰贰拾伍元肆角（¥:1050725.40）</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建设规模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见工程量清单</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包工包料</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郭巷街道戈湾社区尹东八村二区小公园积水改造工程（详见工程量清单）</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90日历天（具体开工日期以采购人通知为准）</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w:t>
            </w:r>
            <w:r/>
          </w:p>
        </w:tc>
      </w:tr>
      <w:tr>
        <w:trPr>
          <w:trHeight w:val="11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本项目不统一踏勘现场，由各响应单位自行踏勘现场。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（磋商响应单位由于未踏勘现场导致的报价失误或对工程量清单理解产生的歧义，其后果自行承担）。</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磋商供应商的资质等级要求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、本项目的特定资格要求：</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）申请人资质类别和等级： 市政公用工程施工总承包三级及以上；</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）企业具备安全生产条件，并取得《安全生产许可证》；</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）拟选派项目经理资质等级：具有市政公用工程专业二级(含)以上建造师注册证书并具有《建筑施工企业项目负责人安全生产考核合格证书》（B类）且无在建工程项目；</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）本项目专门面向中小企业采购；</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）响应单位须提供《中小企业声明函》或《残疾人福利性单位声明函》或省级以上监狱管理局、戒毒管理局（含新疆生产建设兵团）出具的属于监狱企业的证明文件。</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）本项目标的所属行业：建筑业。</w:t>
            </w:r>
            <w:r/>
          </w:p>
        </w:tc>
      </w:tr>
      <w:tr>
        <w:trPr>
          <w:trHeight w:val="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工程报价方式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固定综合单价</w:t>
            </w:r>
            <w:r/>
          </w:p>
        </w:tc>
      </w:tr>
      <w:tr>
        <w:trPr>
          <w:trHeight w:val="1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注：响应单位应在响应文件中提交《响应保证承诺书》加盖公章（详见附件），未提交的视为无效响应。</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澄清与和质疑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本项目如对采购文件有必要的澄清或者修改的，将以“苏州市政府采购网”上发布补充通知的形式告知各潜在供应商，请与之相关的潜在供应商通过“苏州市政府采购网”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“采购公告”栏自行查看相关的补充通知。</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采购文件、采购过程和中标、成交结果使自己的权益受到损害的，可以在知道或者应知其权益受到损害之日起七个工作日内，以书面形式向代理机构提出质疑。供应商需在法定质疑期内一次性提出针对同一采购程序环节的质疑。供应商进行网上报名后打印、保留“网上报名确认单”，质疑时与质疑函一并提交。</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联系人：景淑秋；地址：苏州市吴中区苏蠡路59号蠡和大厦1211室；联系电话：13861306688</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本项目为不见面磋商项目，开启阶段供应商在【供应商解密】环节必须使用</w:t>
            </w:r>
            <w:r>
              <w:rPr>
                <w:rFonts w:ascii="Times New Roman" w:hAnsi="Times New Roman" w:eastAsia="Times New Roman" w:cs="Times New Roman"/>
                <w:color w:val="000000"/>
                <w:sz w:val="24"/>
              </w:rPr>
              <w:t xml:space="preserve"> CA</w:t>
            </w:r>
            <w:r>
              <w:rPr>
                <w:rFonts w:ascii="SimSun" w:hAnsi="SimSun" w:eastAsia="SimSun" w:cs="SimSun"/>
                <w:color w:val="000000"/>
                <w:sz w:val="24"/>
              </w:rPr>
              <w:t xml:space="preserve">证书解密电子响应文件，如在系统规定的解密时间内未能完成解密的视为放弃参与本项目。请供应商确保电脑、系统及其他设备（视频输入输出设备等）无误，且开启直至项目结束始终保持系统在线状态</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响应文件份数及其他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供应商按照采购文件要求制作上传电子响应文件。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注1：成交单位在成交后需另提供所投项目响应文件（副本）肆份。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注2：不同投标（响应）文件制作机器码一致，表明各投标（响应）文件在同一台电脑上制作，各供应商之间涉嫌串通投标。“机器码一致”情形列为无效响应。</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90日历天（从提交响应文件截止时间当日起算）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响应文件递交截止时间（磋商时间）及地点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时间：2026年08月12日09：30整（北京时间）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地点：“苏采云”政府采购交易系统网上开标大厅（网址：http://jszfcg.jsczt.cn/），响应文件网上递交，不需要现场参加采购活动。</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时间：2026年08月12日09：30整（北京时间）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地点：苏州市高新区邓尉路105号狮山科技馆（响应文件网上递交，不需要现场参加采购活动）</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按苏财购告【2017】24号规定的收费标准收取，由中标供应商领取中标通知书时向采购代理机构一次性付清，预算金额100万元以下部分，费率为该部分预算金额的1.5%；100～500万元以内1.1%差额定率累进法计算,如按上述方法计算的金额低于人民币3500元整的，则代理服务费按人民币3500元整计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工程量清单等在附件中下载。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告知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放《中标（成交）通知书》的同时，向参与项目评审的未中标（成交）供应商发放《未中标（成交）通知书》，以电子邮件的方式书面告知该未中标（成交）供应商的评审得分与排名，未中标（成交）供应商未按约定的时间（收到通知电子邮件之日起三个工作日内回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收到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）和方式（电子邮件）获取告知信息的，视为自动放弃并自行承担相应后果。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注：响应单位应在磋商响应函中提供电子邮箱，未提供的视为自动放弃并自行承担相应后果。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本项目工程量清单请至百度网盘自行下载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w:t>
            </w:r>
            <w:r>
              <w:rPr>
                <w:rFonts w:ascii="Times New Roman" w:hAnsi="Times New Roman" w:eastAsia="Times New Roman" w:cs="Times New Roman"/>
                <w:b/>
                <w:color w:val="000000"/>
                <w:sz w:val="24"/>
              </w:rPr>
              <w:t xml:space="preserve">: https://pan.baidu.com/s/1AxII6y24EQK6Xwvv1BY3tw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w:t>
            </w:r>
            <w:r>
              <w:rPr>
                <w:rFonts w:ascii="Times New Roman" w:hAnsi="Times New Roman" w:eastAsia="Times New Roman" w:cs="Times New Roman"/>
                <w:b/>
                <w:color w:val="000000"/>
                <w:sz w:val="24"/>
              </w:rPr>
              <w:t xml:space="preserve">: pbfb</w:t>
            </w:r>
            <w:r/>
          </w:p>
        </w:tc>
      </w:tr>
    </w:tbl>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pStyle w:val="859"/>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三、供应商须知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1、本工程项目根据《政府采购竞争性磋商采购方式管理暂行办法》、《中华人民共和国政府采购法》等有关规定，按照现行法律、法规和部门规章，通过竞争性磋商方式，选定承包人。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2、现场条件：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2.1施工现场平整情况：</w:t>
      </w:r>
      <w:r>
        <w:rPr>
          <w:rFonts w:ascii="SimSun" w:hAnsi="SimSun" w:eastAsia="SimSun" w:cs="SimSun"/>
          <w:color w:val="000000"/>
          <w:sz w:val="24"/>
          <w:u w:val="single"/>
        </w:rPr>
        <w:t xml:space="preserve">现有原状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2.2场内外道路：</w:t>
      </w:r>
      <w:r>
        <w:rPr>
          <w:rFonts w:ascii="SimSun" w:hAnsi="SimSun" w:eastAsia="SimSun" w:cs="SimSun"/>
          <w:color w:val="000000"/>
          <w:sz w:val="24"/>
          <w:u w:val="single"/>
        </w:rPr>
        <w:t xml:space="preserve">现有原状。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2.3施工用电:</w:t>
      </w:r>
      <w:r>
        <w:rPr>
          <w:rFonts w:ascii="SimSun" w:hAnsi="SimSun" w:eastAsia="SimSun" w:cs="SimSun"/>
          <w:color w:val="000000"/>
          <w:sz w:val="24"/>
          <w:u w:val="single"/>
        </w:rPr>
        <w:t xml:space="preserve"> 由施工方自行解决，费用自行考虑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3、发包范围:</w:t>
      </w:r>
      <w:r>
        <w:rPr>
          <w:rFonts w:ascii="SimSun" w:hAnsi="SimSun" w:eastAsia="SimSun" w:cs="SimSun"/>
          <w:color w:val="000000"/>
          <w:sz w:val="24"/>
          <w:u w:val="single"/>
        </w:rPr>
        <w:t xml:space="preserve">郭巷街道戈湾社区尹东八村二区小公园积水改造工程（详见工程量清单）</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4、工期要求：90日历天（具体开工日期以采购人通知为准）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5、质量要求：</w:t>
      </w:r>
      <w:r>
        <w:rPr>
          <w:rFonts w:ascii="SimSun" w:hAnsi="SimSun" w:eastAsia="SimSun" w:cs="SimSun"/>
          <w:color w:val="000000"/>
          <w:sz w:val="24"/>
          <w:u w:val="single"/>
        </w:rPr>
        <w:t xml:space="preserve">合格</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6、磋商单位资格要求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6.1供应商应当具备下列一般条件：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6.1.1法人或者其他组织的营业执照等证明文件，自然人的身份证明；</w:t>
      </w:r>
      <w:r/>
    </w:p>
    <w:p>
      <w:pPr>
        <w:ind w:left="0" w:right="0" w:firstLine="480"/>
        <w:spacing w:before="0" w:after="0" w:line="85" w:lineRule="atLeast"/>
        <w:tabs>
          <w:tab w:val="left" w:pos="57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6.1.2上一年度的财务状况报告（成立不满一年不需提供）；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6.1.3依法缴纳税收和社会保障资金的相关材料；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6.1.4具备履行合同所必需的设备和专业技术能力的书面声明；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6.1.5参加政府采购活动前3年内在经营活动中没有重大违法记录的书面声明；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6.2供应商应当具备下列特殊条件：</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6.2.1申请人资质类别和等级：市政公用工程施工总承包三级</w:t>
      </w:r>
      <w:r>
        <w:rPr>
          <w:rFonts w:ascii="SimSun" w:hAnsi="SimSun" w:eastAsia="SimSun" w:cs="SimSun"/>
          <w:color w:val="000000"/>
          <w:sz w:val="24"/>
        </w:rPr>
        <w:t xml:space="preserve">及以上</w:t>
      </w:r>
      <w:r>
        <w:rPr>
          <w:rFonts w:ascii="SimSun" w:hAnsi="SimSun" w:eastAsia="SimSun" w:cs="SimSun"/>
          <w:color w:val="000000"/>
          <w:sz w:val="24"/>
        </w:rPr>
        <w:t xml:space="preserve">；</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6.2.2企业具备安全生产条件，并取得《安全生产许可证》；</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6.2.3拟选派项目经理资质等级：具有市政公用工程专业二级(含)以上建造师注册证书并具有《建筑施工企业项目负责人安全生产考核合格证书》（B类）且无在建工程项目；</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6.2.4本项目不接受联合体响应。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（2）响应单位须提供《中小企业声明函》或《残疾人福利性单位声明函》或省级以上监狱管理局、戒毒管理局（含新疆生产建设兵团）出具的属于监狱企业的证明文件。本项目标的所属行业：建筑业。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7、磋商费用：</w:t>
      </w:r>
      <w:r/>
    </w:p>
    <w:p>
      <w:pPr>
        <w:ind w:left="0" w:right="0" w:firstLine="648"/>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磋商供应商承担其编制及递交磋商响应文件的一切费用，无论结果如何，发包人对上述费用不负任何责任。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（二）磋商采购文件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8、磋商采购文件的组成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8.1磋商采购文件包括下列内容：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8.1.2磋商须知前附表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8.1.5磋商采购内容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8.1.6合同主要条款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8.1.7技术要求、图纸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8.1.8评标方法与评标标准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9、磋商文件的澄清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响应单位在收到本文件后，如有疑问需要澄清，可按网上报名相关流程提出，质疑等相关事宜按照政府采购相关法律法规及采购文件要求执行。有关该采购活动的澄清、修正及成交信息亦在苏州市政府采购网发布，请定期关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9.2磋商文件的澄清、修改等内容与磋商文件在同一内容的表述上不一致时，以发出日期最接近磋商时间的公告为准。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9.3磋商文件的澄清、修改等内容均将在财政部门指定的政府采购信息发布媒体上发布，作为磋商文件的组成部分，对供应商起约束作用。</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（三）磋商报价说明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11、计价方式：本工程项目采用下列第</w:t>
      </w:r>
      <w:r>
        <w:rPr>
          <w:rFonts w:ascii="SimSun" w:hAnsi="SimSun" w:eastAsia="SimSun" w:cs="SimSun"/>
          <w:b/>
          <w:color w:val="000000"/>
          <w:sz w:val="24"/>
          <w:u w:val="single"/>
        </w:rPr>
        <w:t xml:space="preserve">（1）</w:t>
      </w:r>
      <w:r>
        <w:rPr>
          <w:rFonts w:ascii="SimSun" w:hAnsi="SimSun" w:eastAsia="SimSun" w:cs="SimSun"/>
          <w:b/>
          <w:color w:val="000000"/>
          <w:sz w:val="24"/>
        </w:rPr>
        <w:t xml:space="preserve">种计价方式。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（1）工程量清单计价方式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（2）计价表计价方式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12、报价方式：本工程项目采用下列第</w:t>
      </w:r>
      <w:r>
        <w:rPr>
          <w:rFonts w:ascii="SimSun" w:hAnsi="SimSun" w:eastAsia="SimSun" w:cs="SimSun"/>
          <w:b/>
          <w:color w:val="000000"/>
          <w:sz w:val="24"/>
          <w:u w:val="single"/>
        </w:rPr>
        <w:t xml:space="preserve">（2）</w:t>
      </w:r>
      <w:r>
        <w:rPr>
          <w:rFonts w:ascii="SimSun" w:hAnsi="SimSun" w:eastAsia="SimSun" w:cs="SimSun"/>
          <w:b/>
          <w:color w:val="000000"/>
          <w:sz w:val="24"/>
        </w:rPr>
        <w:t xml:space="preserve">种报价方式。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（1）固定总价报价。竞争报价人应充分考虑施工期间各类建材市场价格变化，政策性调整的风险，一旦经评审确定承包人，报价不作调整。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报价时，必须按统一的工程量清单报价，成交后，本工程中工程量清单项目的综合单价按标底单价下浮之后的综合单价执行，【成交下浮率=(标底价一成交价)÷[标底价一暂列金额*(1+税率)一专业工程暂估价一材料暂估价包括甲供材料费*(1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w:t>
      </w:r>
      <w:r>
        <w:rPr>
          <w:rFonts w:ascii="SimSun" w:hAnsi="SimSun" w:eastAsia="SimSun" w:cs="SimSun"/>
          <w:color w:val="000000"/>
          <w:sz w:val="24"/>
        </w:rPr>
        <w:t xml:space="preserve">付进度款的依据。最终价格以审计为准。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一成交价)[标底价一暂列金额*(1+税率)一专业工程暂估价一材料暂估价*(1+税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3）本工程在磋商采购文件中已明确的各项施工措施费，均包含在合同总价中。其他在磋商采购文件和答疑中未提及、未明确部分的施工措施费项目，可以根据相关资料按实调整，并作相应的下浮。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14、计价格式中列明的所有需要填报的单价和合价，响应人均需填报，未填报的单价和合价，视为此项费用已包含在工程量清单的其他单价和合价中。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15、服务费：见前附表。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（四）磋商响应文件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16、磋商响应文件组成：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（2）磋商响应报价表（第一次报价）；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（3）工程量清单报价明细表；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（4）预算清单内产品在《节能产品政府采购清单》和《环境标志产品政府采购清单》中的产品须提供清单汇总（格式自拟）及对响应产品的认证证书（如有）；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（5）施工组织机构人员名单（格式附后）；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（6）施工组织方案（格式自制）；</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（7）《类似业绩一览表》；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（8）关于资格文件的声明函；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（9）法定代表人授权委托书（如有授权），授权委托人身份证扫描件；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（10）磋商响应单位情况表；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（11）企业资格证明材料：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①具有独立承担民事责任的能力证明。包括法人或者其他组织的营业执照等证明文件，自然人的身份证明；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②具有良好的商业信誉和健全的财务会计制度证明。提供最近一期（2025年度）经审计的财务报告扫描件，其他组织、自然人及成立未满一年的法人应提供银行出具的资信证明扫描件；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履行合同所必备的设备和专业技术能力的书面声明。根据《中华人民共和国企业法人登记管理条例》第十三条及相关部门规章的规定，企业法人性质的政府采购供应商应在经工商管理部门核准登记注册的经营范围内参与经营活动；提供具备履行合同所必备的设备和专业技术能力的声明函（格式自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④有依法缴纳税收和社会保障资金的良好记录。提供税务登记证（如有）和最近一期依法缴纳税收的凭据，社会保险登记证（如有）和最近一期依法缴纳社会保险的凭据（专用收据或社会保险缴纳清单）；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⑤参加政府采购活动前三年内在经营活动中没有重大违法记录的书面申明函；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⑥供应商资质证书扫描件，安全生产许可证扫描件；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⑦拟选派项目经理资质证书扫描件、安全生产考核合格证（B类）扫描件、无在建承诺书（格式自制）；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（13）提供《中小企业声明函》或《残疾人福利性单位声明函》或省级以上监狱管理局、戒毒管理局（含新疆生产建设兵团）出具的属于监狱企业的证明文件；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（14）工期、质保期、售后服务等其他综合内容承诺等（格式自拟）；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（15）磋商采购文件及评审内容要求的其他材料。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18、对磋商响应文件要求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2、磋商过程中如有问题采购代理机构工作人员会及时通《投标供应商确认函》留存的手机号与供应商联系。请供应商确保该手机号磋商当日通讯畅通，否则导致的对供应商不利的后果由供应商自行承担。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3、磋商文件中关于电子响应文件中要求供应商法定代表人或代理人亲自签署或盖章及加盖供应商公章处必须按要求签署及盖章。不按要求签字和加盖公章的视为不实质性响应采购文件要求。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4、本项目采用线上二次报价：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已提交响应文件的供应商，在提交最后报价之前，可以根据磋商情况退出磋商，并在“苏采云”系统中提交“退出磋商函”并加盖CA电子公章。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进入项目评审流程后，建议各供应商法定代表人或授权委托人始终保持通讯顺畅，时刻关注不见面开标大厅，不离开不见面开标大厅。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19、节能产品和环境标志产品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投标人必须提供由国家确定的认证机构出具的、处于有效期之内的节能产品、环境标志产品认证证书。未提供或提供不全的将视为未实质性响应采购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20、信用记录评审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（2.2）财政部门与法院、工商、税务等部门联合惩戒的失信信息。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第2.1条的失信信息应通过“中国政府采购网”网（www.ccgp.gov.cn）的“政府采购严重违法失信行为记录名单”，以及“信用中国”网（www.creditchina.gov.cn）的“政府采购严重违法失信名单”栏目予以查询。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第2.2第二项失信信息应通过“信用中国”网（www.creditchina.gov.cn）的“失信被执行人”、“重大税收违法案件当事人名单”、“企业经营异常名录”，“信用江苏”网（</w:t>
      </w:r>
      <w:hyperlink r:id="rId13" w:tooltip="http://www.jscredit.gov.cn/" w:history="1">
        <w:r>
          <w:rPr>
            <w:rStyle w:val="924"/>
            <w:rFonts w:ascii="SimSun" w:hAnsi="SimSun" w:eastAsia="SimSun" w:cs="SimSun"/>
            <w:color w:val="0000ee"/>
            <w:sz w:val="24"/>
            <w:u w:val="single"/>
          </w:rPr>
          <w:t xml:space="preserve">www.jscredit.gov.cn</w:t>
        </w:r>
      </w:hyperlink>
      <w:r>
        <w:rPr>
          <w:rFonts w:ascii="SimSun" w:hAnsi="SimSun" w:eastAsia="SimSun" w:cs="SimSun"/>
          <w:color w:val="000000"/>
          <w:sz w:val="24"/>
        </w:rPr>
        <w:t xml:space="preserve">）的“社会法人失信名单”、“重大税收违法案件联合惩戒名单”、“工商失信违法名单”，以及“诚信苏州”网（www.szcredit.gov.cn）的“失信被执行人”、“重大税收违法案件当事人名单”、“企业经营异常名录”予以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（4）查询截止时点：在响应文件递交截止时间之前，供应商完成报名解密后，“供应商信用查询”系统将自动完成对供应商信用记录的查询。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21.1根据提供的磋商文件、工程量清单及有关资料单独编制相关项目实施的磋商报价并汇总填入《已标价工程量清单》；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21.2磋商报价明细中标的物顺序和数量均应按本磋商文件提供的采购清单顺序和数量。如发现响应报价中有错算现象，一旦成交，磋商供应商自行承担错算这部分的经济损失。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21.4一项响应内容只允许一个报价，采购人不接受任何有选择性的响应报价。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21.5响应文件中报价全部采用人民币表示，除非合同的特殊条款另有规定。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（五）磋商评审</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22、磋商程序</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（1）采购代理机构按本须知规定的时间、地点主持磋商采购活动。</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（3）由磋商小组审查供应商解密的响应文件。</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right="0" w:firstLine="42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4"/>
        </w:rPr>
        <w:t xml:space="preserve">磋商小组通过“苏采云”系统向供应商发布“磋商函”，供应商应当按照要求在“苏采云”系统提交“磋商响应函”并加盖CA电子公章。</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（8）供应商应当按照采购文件的变动情况和磋商小组的要求，各供应商应及时关注【评审】环节等待询标澄清进行回复。</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（9）磋商结束后，</w:t>
      </w:r>
      <w:r>
        <w:rPr>
          <w:rFonts w:ascii="SimSun" w:hAnsi="SimSun" w:eastAsia="SimSun" w:cs="SimSun"/>
          <w:b/>
          <w:color w:val="000000"/>
          <w:sz w:val="24"/>
        </w:rPr>
        <w:t xml:space="preserve">磋商小组将在“苏采云”系统向所有实质性响应的供应商发布“最后报价要求函”及最后报价格式表，要求所有实质性响应的供应商在规定时间内提交最后报价。</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（11）磋商小组根据磋商成交原则确定成交供应商，并将结果通知所有参加磋商的供应商。</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（12）如磋商过程中出现本采购文件未尽事宜，由磋商小组根据政府采购有关法律、法规讨论决定。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23、出现下列情况之一的应为无效报价文件，将不予评审；</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（1）磋商响应文件未加盖磋商供应商公章、法定代表人或其授权委托人的印鉴或签字的；</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（2）供应商资格不符合磋商公告要求的；</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（3）报价高于采购预算或最高限价；</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（4）未满足发包人要求工期和质量等级要求的；</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（5）擅自变更项目经理的；</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（6）改变随同磋商文件提供的工程量清单中的项目编码、项目名称、项目特征、计量单位、工程量及不可竞争费用等的；</w:t>
      </w:r>
      <w:r/>
    </w:p>
    <w:p>
      <w:pPr>
        <w:ind w:left="0" w:right="0" w:firstLine="3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（7）未提供磋商文件中要求的原件及相关证明的；</w:t>
      </w:r>
      <w:r/>
    </w:p>
    <w:p>
      <w:pPr>
        <w:ind w:left="0" w:right="0" w:firstLine="3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（8）未满足磋商文件中其他要求的。</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24、项目的终止</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出现下列情形之一的，将终止竞争性磋商采购活动：</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（3）在采购过程中符合竞争要求的供应商或者报价未超过采购预算的供应商不足3家的。</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25、关于磋商的有关说明</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（1）报价超过采购预算或最高限价的，不能成交；</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（2）供应商的二次报价均超过采购最高限价的，磋商采购失败。</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（3）评审不合格的不能成交；</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（4）评审合格不满三家或进入二次报价的不满三家或二次报价在采购最高限价内不满三家的，磋商采购失败。</w:t>
      </w:r>
      <w:r/>
    </w:p>
    <w:p>
      <w:pPr>
        <w:ind w:left="0" w:right="0" w:firstLine="36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（5）凡涉及磋商采购文件的补充说明和修改，均以苏州市政府采购网上发布的为准。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59"/>
        <w:ind w:left="0" w:right="0" w:firstLine="0"/>
        <w:jc w:val="center"/>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四、响应文件格式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 ，供应商可根据自身情况进行补充和修改，但补充和修改不得造成与本格式内容有实质性的违背。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1、封面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 封面）</w:t>
      </w:r>
      <w:r>
        <w:rPr>
          <w:rFonts w:ascii="SimSun" w:hAnsi="SimSun" w:eastAsia="SimSun" w:cs="SimSun"/>
          <w:color w:val="000000"/>
          <w:sz w:val="24"/>
        </w:rPr>
        <w:t xml:space="preserve">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竞 争 磋 商 报 价 文 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2、磋商响应函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磋商响应函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  我们收到贵公司</w:t>
      </w:r>
      <w:r>
        <w:rPr>
          <w:rFonts w:ascii="SimSun" w:hAnsi="SimSun" w:eastAsia="SimSun" w:cs="SimSun"/>
          <w:color w:val="000000"/>
          <w:sz w:val="24"/>
          <w:u w:val="single"/>
        </w:rPr>
        <w:t xml:space="preserve">JSZC-320506-ZXCG-C2026-0006</w:t>
      </w:r>
      <w:r>
        <w:rPr>
          <w:rFonts w:ascii="SimSun" w:hAnsi="SimSun" w:eastAsia="SimSun" w:cs="SimSun"/>
          <w:color w:val="000000"/>
          <w:sz w:val="24"/>
        </w:rPr>
        <w:t xml:space="preserve">采购文件，经仔细阅读和研究，我们决定参加磋商活动。</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我们愿意按照采购文件的一切要求，提供完成该项目的全部内容。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2、如果我们的磋商响应文件被接受，我们将严格履行采购文件中规定的每一项要求，按期、按质、按量履行合同的义务。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3．我们已详细审查全部采购文件，包括补充文件(如果有的话)。我们完全理解并同意放弃对这方面有不明及误解的权力。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4、我们同意按采购文件中的规定，本磋商响应文件的有效期限为磋商开始后90天。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5、我们愿意提供磋商采购单位在采购文件中要求的所有资料。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6、我们认为你们有权决定成交单位，还认为你们有权接受或拒绝所有的磋商供应商。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7、我们愿意遵守采购文件中所列的收费标准。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8、我们承诺该磋商响应文件在磋商开始后的全过程中保持有效，不作任何更改和变动。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9、如果我们成交，我们愿意按采购文件的规定支付成交服务费；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10、综合说明：</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所有有关磋商文件的函电，请按下列地址联系：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地址：传真：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3、响应人资格承诺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磋商响应人资格承诺函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9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3"/>
        <w:gridCol w:w="4747"/>
        <w:gridCol w:w="356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承诺事项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承诺内容（填：“实质性响应”或 “未实质性响应”）</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（一）合格投标人的一般条件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具有独立承担民事责任的能力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（二）合格投标人的特殊条件（详见本项目招标公告，如未作要求则无需填写）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市政公用工程施工总承包三级及以上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企业具备安全生产条件，并取得《安全生产许可证》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拟选派项目经理资质等级：具有市政公用工程专业二级(含)以上建造师注册证书并具有《建筑施工企业项目负责人安全生产考核合格证书》（B类）且无在建工程项目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授 权 委 托 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姓名）系（磋商供应商名称）的法定代表人，现授权委托（姓名）为我的委托代理人，以本公司的名义参加（采购人名称）的工程的报价。委托代理人所签署的一切文件和处理与之有关的一切事务，我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委托代理人无转委托权，特此委托。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委托代理人：性别：年龄：部门：职务：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法定代表人签字或盖章：</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委托代理人签字</w:t>
      </w:r>
      <w:r>
        <w:rPr>
          <w:rFonts w:ascii="Times New Roman" w:hAnsi="Times New Roman" w:eastAsia="Times New Roman" w:cs="Times New Roman"/>
          <w:color w:val="000000"/>
          <w:sz w:val="22"/>
        </w:rPr>
        <w:t xml:space="preserve">:</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附：法定代表人身份证扫描件（双面）</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委托代理人身份证扫描件（双面、如有授权）</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5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5、报价书</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报 价 书（第一次报价）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（一）根据已收到的工程的磋商文件，遵照现行法律法规的有关规定，我单位经考察现场和研究磋商文件后，愿以人民币（大写）元（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元）的总价，按磋商文件的要求承包本次发包范围内的全部工程。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w:t>
      </w:r>
      <w:r>
        <w:rPr>
          <w:rFonts w:ascii="SimSun" w:hAnsi="SimSun" w:eastAsia="SimSun" w:cs="SimSun"/>
          <w:color w:val="000000"/>
          <w:spacing w:val="16"/>
          <w:sz w:val="22"/>
        </w:rPr>
        <w:t xml:space="preserve">我单位保证在收到贵单位发出的书面开工令后立即开工，并在天内竣工。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（三）我单位保证本工程质量达到</w:t>
      </w:r>
      <w:r>
        <w:rPr>
          <w:rFonts w:ascii="SimSun" w:hAnsi="SimSun" w:eastAsia="SimSun" w:cs="SimSun"/>
          <w:color w:val="000000"/>
          <w:sz w:val="21"/>
        </w:rPr>
        <w:t xml:space="preserve"> </w:t>
      </w:r>
      <w:r>
        <w:rPr>
          <w:rFonts w:ascii="SimSun" w:hAnsi="SimSun" w:eastAsia="SimSun" w:cs="SimSun"/>
          <w:color w:val="000000"/>
          <w:sz w:val="22"/>
          <w:u w:val="single"/>
        </w:rPr>
        <w:t xml:space="preserve">合格</w:t>
      </w:r>
      <w:r>
        <w:rPr>
          <w:rFonts w:ascii="SimSun" w:hAnsi="SimSun" w:eastAsia="SimSun" w:cs="SimSun"/>
          <w:color w:val="000000"/>
          <w:sz w:val="22"/>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（四）贵单位的磋商文件、成交通知书和本磋商文件将构成约束我们双方的合同。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法人代表人或授权委托人（签字或盖章）：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6、已标价工程量清单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7、施工组织方案（格式自拟）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rPr>
          <w:rFonts w:ascii="SimSun" w:hAnsi="SimSun" w:eastAsia="SimSun" w:cs="SimSun"/>
          <w:b/>
          <w:color w:val="000000"/>
          <w:sz w:val="22"/>
        </w:rPr>
        <w:t xml:space="preserve">.1施工组织机构人员名单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施工组织机构人员名单</w:t>
      </w:r>
      <w:r/>
    </w:p>
    <w:tbl>
      <w:tblPr>
        <w:tblStyle w:val="9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1"/>
        <w:gridCol w:w="1681"/>
        <w:gridCol w:w="1921"/>
        <w:gridCol w:w="1560"/>
        <w:gridCol w:w="1486"/>
        <w:gridCol w:w="1765"/>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拟在本项目中担任的职务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rPr>
                <w:rFonts w:ascii="SimSun" w:hAnsi="SimSun" w:eastAsia="SimSun" w:cs="SimSun"/>
                <w:color w:val="000000"/>
                <w:sz w:val="21"/>
              </w:rPr>
              <w:t xml:space="preserve">/资格证书号（岗位证号）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rPr>
          <w:rFonts w:ascii="SimSun" w:hAnsi="SimSun" w:eastAsia="SimSun" w:cs="SimSun"/>
          <w:b/>
          <w:color w:val="000000"/>
          <w:sz w:val="24"/>
          <w:u w:val="none"/>
        </w:rPr>
        <w:t xml:space="preserve">类似业绩一览表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类似业绩一览表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9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9"/>
        <w:gridCol w:w="1942"/>
        <w:gridCol w:w="1092"/>
        <w:gridCol w:w="1446"/>
        <w:gridCol w:w="1589"/>
        <w:gridCol w:w="1404"/>
        <w:gridCol w:w="1092"/>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开、竣工日期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附：合同、竣工验收单或相关竣工证明材料扫描件。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、技术偏离表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技术偏离表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9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5"/>
        <w:gridCol w:w="1469"/>
        <w:gridCol w:w="1501"/>
        <w:gridCol w:w="1622"/>
        <w:gridCol w:w="2128"/>
        <w:gridCol w:w="1728"/>
      </w:tblGrid>
      <w:tr>
        <w:trPr>
          <w:trHeight w:val="53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采购技术要求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响应技术指标</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选择项（符合、正偏离、负偏离）</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响应单位应对照采购文件技术规格，逐条说明所提供货物和服务已对采购文件的技术规格做出了实质性的响应，并申明与技术规格条文的偏差和例外。特别对有具体参数要求的指标，响应单位必须提供所投设备的具体参数值。未在上表中说明的，将被认为完全响应采购文件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商务条款偏离表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9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8"/>
        <w:gridCol w:w="1968"/>
        <w:gridCol w:w="1968"/>
        <w:gridCol w:w="1968"/>
        <w:gridCol w:w="1968"/>
      </w:tblGrid>
      <w:tr>
        <w:trPr>
          <w:trHeight w:val="645"/>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rHeight w:val="35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17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注：响应单位的响应文件（除技术规格部分）与采购文件规定的有偏离的，应在此表中说明。未在上表中说明的，将被认为完全响应采购文件的规定。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响应单位：（单位盖章）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法定代表人或授权代理人：（签字或盖章）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11、资格证明文件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关于资格文件的声明函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号的采购活动进行响应。本公司所提交的响应文件中所有关于响应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w:t>
        <w:tab/>
        <w:t xml:space="preserve"> 月 </w:t>
        <w:tab/>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(2)响应单位情况表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响应单位情况表</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9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2"/>
        <w:gridCol w:w="2268"/>
        <w:gridCol w:w="1559"/>
        <w:gridCol w:w="2975"/>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21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员工总人数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营业收入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    万元</w:t>
            </w:r>
            <w:r/>
          </w:p>
        </w:tc>
      </w:tr>
      <w:tr>
        <w:trPr>
          <w:trHeight w:val="8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平方米</w:t>
            </w:r>
            <w:r/>
          </w:p>
        </w:tc>
      </w:tr>
      <w:tr>
        <w:trPr>
          <w:trHeight w:val="11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单位简历及内设机构情况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单位优势及特长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商业信誉和健全的财务会计制度介绍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履行合同所必需的设备和专业技术能力情况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依法缴纳税收和社会保障资金情况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参加政府采购活动前三年内，在经营活动中有无重大违法记录</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其他需要说明的情况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（3)中小企业声明函</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中小企业声明函（工程）</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本公司（联合体）郑重声明，根据《政府采购促进中小企业发展管理办法》（财库﹝2020﹞46 号）的规定，本公司 （联合体）参加</w:t>
      </w:r>
      <w:r>
        <w:rPr>
          <w:rFonts w:ascii="SimSun" w:hAnsi="SimSun" w:eastAsia="SimSun" w:cs="SimSun"/>
          <w:color w:val="000000"/>
          <w:sz w:val="24"/>
          <w:highlight w:val="white"/>
          <w:u w:val="single"/>
        </w:rPr>
        <w:t xml:space="preserve">（单位名称）</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（项目名称）</w:t>
      </w:r>
      <w:r>
        <w:rPr>
          <w:rFonts w:ascii="SimSun" w:hAnsi="SimSun" w:eastAsia="SimSun" w:cs="SimSun"/>
          <w:color w:val="000000"/>
          <w:sz w:val="24"/>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w:t>
      </w:r>
      <w:r>
        <w:rPr>
          <w:rFonts w:ascii="SimSun" w:hAnsi="SimSun" w:eastAsia="SimSun" w:cs="SimSun"/>
          <w:color w:val="000000"/>
          <w:sz w:val="24"/>
          <w:highlight w:val="white"/>
          <w:u w:val="single"/>
        </w:rPr>
        <w:t xml:space="preserve">（标的名称）</w:t>
      </w:r>
      <w:r>
        <w:rPr>
          <w:rFonts w:ascii="SimSun" w:hAnsi="SimSun" w:eastAsia="SimSun" w:cs="SimSun"/>
          <w:color w:val="000000"/>
          <w:sz w:val="24"/>
          <w:highlight w:val="white"/>
        </w:rPr>
        <w:t xml:space="preserve"> ，属于（</w:t>
      </w:r>
      <w:r>
        <w:rPr>
          <w:rFonts w:ascii="SimSun" w:hAnsi="SimSun" w:eastAsia="SimSun" w:cs="SimSun"/>
          <w:color w:val="000000"/>
          <w:sz w:val="24"/>
          <w:highlight w:val="white"/>
          <w:u w:val="single"/>
        </w:rPr>
        <w:t xml:space="preserve">建筑业）；</w:t>
      </w:r>
      <w:r>
        <w:rPr>
          <w:rFonts w:ascii="SimSun" w:hAnsi="SimSun" w:eastAsia="SimSun" w:cs="SimSun"/>
          <w:color w:val="000000"/>
          <w:sz w:val="24"/>
          <w:highlight w:val="white"/>
        </w:rPr>
        <w:t xml:space="preserve">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承建（承接）企业为</w:t>
      </w:r>
      <w:r>
        <w:rPr>
          <w:rFonts w:ascii="SimSun" w:hAnsi="SimSun" w:eastAsia="SimSun" w:cs="SimSun"/>
          <w:color w:val="000000"/>
          <w:sz w:val="24"/>
          <w:highlight w:val="white"/>
          <w:u w:val="single"/>
        </w:rPr>
        <w:t xml:space="preserve">（企业名称）</w:t>
      </w:r>
      <w:r>
        <w:rPr>
          <w:rFonts w:ascii="SimSun" w:hAnsi="SimSun" w:eastAsia="SimSun" w:cs="SimSun"/>
          <w:color w:val="000000"/>
          <w:sz w:val="24"/>
          <w:highlight w:val="white"/>
        </w:rPr>
        <w:t xml:space="preserve">，从业人员</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人，营业</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收入为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万元，资产总额为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万元，属于</w:t>
      </w:r>
      <w:r>
        <w:rPr>
          <w:rFonts w:ascii="SimSun" w:hAnsi="SimSun" w:eastAsia="SimSun" w:cs="SimSun"/>
          <w:color w:val="000000"/>
          <w:sz w:val="24"/>
          <w:highlight w:val="white"/>
          <w:u w:val="single"/>
        </w:rPr>
        <w:t xml:space="preserve">（中型企业、 小型企业、微型企业）；</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w:t>
      </w:r>
      <w:r>
        <w:rPr>
          <w:rFonts w:ascii="SimSun" w:hAnsi="SimSun" w:eastAsia="SimSun" w:cs="SimSun"/>
          <w:color w:val="000000"/>
          <w:sz w:val="24"/>
          <w:highlight w:val="white"/>
          <w:u w:val="single"/>
        </w:rPr>
        <w:t xml:space="preserve">（标的名称）</w:t>
      </w:r>
      <w:r>
        <w:rPr>
          <w:rFonts w:ascii="SimSun" w:hAnsi="SimSun" w:eastAsia="SimSun" w:cs="SimSun"/>
          <w:color w:val="000000"/>
          <w:sz w:val="24"/>
          <w:highlight w:val="white"/>
        </w:rPr>
        <w:t xml:space="preserve"> ，属于（</w:t>
      </w:r>
      <w:r>
        <w:rPr>
          <w:rFonts w:ascii="SimSun" w:hAnsi="SimSun" w:eastAsia="SimSun" w:cs="SimSun"/>
          <w:color w:val="000000"/>
          <w:sz w:val="24"/>
          <w:highlight w:val="white"/>
          <w:u w:val="single"/>
        </w:rPr>
        <w:t xml:space="preserve">建筑业）；</w:t>
      </w:r>
      <w:r>
        <w:rPr>
          <w:rFonts w:ascii="SimSun" w:hAnsi="SimSun" w:eastAsia="SimSun" w:cs="SimSun"/>
          <w:color w:val="000000"/>
          <w:sz w:val="24"/>
          <w:highlight w:val="white"/>
        </w:rPr>
        <w:t xml:space="preserve">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承建（承接）企业为</w:t>
      </w:r>
      <w:r>
        <w:rPr>
          <w:rFonts w:ascii="SimSun" w:hAnsi="SimSun" w:eastAsia="SimSun" w:cs="SimSun"/>
          <w:color w:val="000000"/>
          <w:sz w:val="24"/>
          <w:highlight w:val="white"/>
          <w:u w:val="single"/>
        </w:rPr>
        <w:t xml:space="preserve">（企业名称）</w:t>
      </w:r>
      <w:r>
        <w:rPr>
          <w:rFonts w:ascii="SimSun" w:hAnsi="SimSun" w:eastAsia="SimSun" w:cs="SimSun"/>
          <w:color w:val="000000"/>
          <w:sz w:val="24"/>
          <w:highlight w:val="white"/>
        </w:rPr>
        <w:t xml:space="preserve">，从业人员</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人，营业</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收入为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万元，资产总额为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万元，属于</w:t>
      </w:r>
      <w:r>
        <w:rPr>
          <w:rFonts w:ascii="SimSun" w:hAnsi="SimSun" w:eastAsia="SimSun" w:cs="SimSun"/>
          <w:color w:val="000000"/>
          <w:sz w:val="24"/>
          <w:highlight w:val="white"/>
          <w:u w:val="single"/>
        </w:rPr>
        <w:t xml:space="preserve">（中型企业、 小型企业、微型企业）；</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本企业对上述声明内容的真实性负责。如有虚假，将依法承担相应责任。</w:t>
      </w:r>
      <w:r/>
    </w:p>
    <w:p>
      <w:pPr>
        <w:ind w:left="0" w:right="0" w:firstLine="48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企业名称（盖章）：  </w:t>
      </w:r>
      <w:r/>
    </w:p>
    <w:p>
      <w:pPr>
        <w:ind w:left="0" w:right="0" w:firstLine="48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color w:val="000000"/>
          <w:sz w:val="18"/>
        </w:rPr>
        <w:t xml:space="preserve">从业人员、营业收入、资产总额填报上一年度数据，无上一年度数据的新成立企业可不填报。</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附：中小企业划型标准规定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（一）农、林、牧、渔业。</w:t>
      </w:r>
      <w:r>
        <w:rPr>
          <w:rFonts w:ascii="SimSun" w:hAnsi="SimSun" w:eastAsia="SimSun" w:cs="SimSun"/>
          <w:color w:val="000000"/>
          <w:sz w:val="22"/>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（二）工业。</w:t>
      </w:r>
      <w:r>
        <w:rPr>
          <w:rFonts w:ascii="SimSun" w:hAnsi="SimSun" w:eastAsia="SimSun" w:cs="SimSun"/>
          <w:color w:val="000000"/>
          <w:sz w:val="22"/>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（三）建筑业。</w:t>
      </w:r>
      <w:r>
        <w:rPr>
          <w:rFonts w:ascii="SimSun" w:hAnsi="SimSun" w:eastAsia="SimSun" w:cs="SimSun"/>
          <w:color w:val="000000"/>
          <w:sz w:val="22"/>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（四）批发业。</w:t>
      </w:r>
      <w:r>
        <w:rPr>
          <w:rFonts w:ascii="SimSun" w:hAnsi="SimSun" w:eastAsia="SimSun" w:cs="SimSun"/>
          <w:color w:val="000000"/>
          <w:sz w:val="22"/>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（五）零售业。</w:t>
      </w:r>
      <w:r>
        <w:rPr>
          <w:rFonts w:ascii="SimSun" w:hAnsi="SimSun" w:eastAsia="SimSun" w:cs="SimSun"/>
          <w:color w:val="000000"/>
          <w:sz w:val="22"/>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（六）交通运输业。</w:t>
      </w:r>
      <w:r>
        <w:rPr>
          <w:rFonts w:ascii="SimSun" w:hAnsi="SimSun" w:eastAsia="SimSun" w:cs="SimSun"/>
          <w:color w:val="000000"/>
          <w:sz w:val="22"/>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（七）仓储业。</w:t>
      </w:r>
      <w:r>
        <w:rPr>
          <w:rFonts w:ascii="SimSun" w:hAnsi="SimSun" w:eastAsia="SimSun" w:cs="SimSun"/>
          <w:color w:val="000000"/>
          <w:sz w:val="22"/>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（八）邮政业。</w:t>
      </w:r>
      <w:r>
        <w:rPr>
          <w:rFonts w:ascii="SimSun" w:hAnsi="SimSun" w:eastAsia="SimSun" w:cs="SimSun"/>
          <w:color w:val="000000"/>
          <w:sz w:val="22"/>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（九）住宿业。</w:t>
      </w:r>
      <w:r>
        <w:rPr>
          <w:rFonts w:ascii="SimSun" w:hAnsi="SimSun" w:eastAsia="SimSun" w:cs="SimSun"/>
          <w:color w:val="000000"/>
          <w:sz w:val="22"/>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（十）餐饮业。</w:t>
      </w:r>
      <w:r>
        <w:rPr>
          <w:rFonts w:ascii="SimSun" w:hAnsi="SimSun" w:eastAsia="SimSun" w:cs="SimSun"/>
          <w:color w:val="000000"/>
          <w:sz w:val="22"/>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（十一）信息传输业。</w:t>
      </w:r>
      <w:r>
        <w:rPr>
          <w:rFonts w:ascii="SimSun" w:hAnsi="SimSun" w:eastAsia="SimSun" w:cs="SimSun"/>
          <w:color w:val="000000"/>
          <w:sz w:val="22"/>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（十二）软件和信息技术服务业。</w:t>
      </w:r>
      <w:r>
        <w:rPr>
          <w:rFonts w:ascii="SimSun" w:hAnsi="SimSun" w:eastAsia="SimSun" w:cs="SimSun"/>
          <w:color w:val="000000"/>
          <w:sz w:val="22"/>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（十三）房地产开发经营。</w:t>
      </w:r>
      <w:r>
        <w:rPr>
          <w:rFonts w:ascii="SimSun" w:hAnsi="SimSun" w:eastAsia="SimSun" w:cs="SimSun"/>
          <w:color w:val="000000"/>
          <w:sz w:val="22"/>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（十四）物业管理。</w:t>
      </w:r>
      <w:r>
        <w:rPr>
          <w:rFonts w:ascii="SimSun" w:hAnsi="SimSun" w:eastAsia="SimSun" w:cs="SimSun"/>
          <w:color w:val="000000"/>
          <w:sz w:val="22"/>
        </w:rPr>
        <w:t xml:space="preserve">从业人员1000人以下或营业收入5000万元以下的为中小微型企业。其中，从业人员</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（十五）租赁和商务服务业。</w:t>
      </w:r>
      <w:r>
        <w:rPr>
          <w:rFonts w:ascii="SimSun" w:hAnsi="SimSun" w:eastAsia="SimSun" w:cs="SimSun"/>
          <w:color w:val="000000"/>
          <w:sz w:val="22"/>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（十六）其他未列明行业。</w:t>
      </w:r>
      <w:r>
        <w:rPr>
          <w:rFonts w:ascii="SimSun" w:hAnsi="SimSun" w:eastAsia="SimSun" w:cs="SimSun"/>
          <w:color w:val="000000"/>
          <w:sz w:val="22"/>
        </w:rPr>
        <w:t xml:space="preserve">从业人员300人以下的为中小微型企业。其中，从业人员100人及以上的为中型企业；从业人员10人及以上的为小型企业；从业人员10人以下的为微型企业。</w:t>
      </w:r>
      <w:r/>
    </w:p>
    <w:p>
      <w:pPr>
        <w:ind w:left="0" w:right="0" w:firstLine="0"/>
        <w:spacing w:before="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(5)响应保证承诺书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响应保证承诺书（格式）</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（采购代理机构名称）</w:t>
      </w:r>
      <w:r/>
    </w:p>
    <w:p>
      <w:pPr>
        <w:ind w:left="0" w:right="0" w:firstLine="8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（项目名称和采购编号）</w:t>
      </w:r>
      <w:r>
        <w:rPr>
          <w:rFonts w:ascii="SimSun" w:hAnsi="SimSun" w:eastAsia="SimSun" w:cs="SimSun"/>
          <w:color w:val="000000"/>
          <w:sz w:val="24"/>
        </w:rPr>
        <w:t xml:space="preserve">的响应,并做出如下承诺：</w:t>
      </w:r>
      <w:r/>
    </w:p>
    <w:p>
      <w:pPr>
        <w:ind w:left="0" w:right="0" w:firstLine="8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一、除不可抗力外，我单位如果发生以下行为，将在行为发生的10个工作日内，向贵方支付本采购文件公布的预算金额的2%作为违约赔偿金（数量不确定的单价采购须约定具体金额）。</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3.中标（成交）后不按本采购文件规定向贵方缴纳采购代理费。</w:t>
      </w:r>
      <w:r/>
    </w:p>
    <w:p>
      <w:pPr>
        <w:ind w:left="0" w:right="0" w:firstLine="8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208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响应人：               （盖公章）</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                                 </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法定代表人或授权代理人（签章）：</w:t>
      </w:r>
      <w:r/>
    </w:p>
    <w:p>
      <w:pPr>
        <w:ind w:left="420" w:right="0" w:firstLine="24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59"/>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五、磋商采购内容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正信工程造价咨询事务所有限责任公司受苏州市吴中区人民政府郭巷街道办事处的委托，就郭巷街道戈湾社区尹东八村二区小公园积水改造工程以竞争性磋商方式进行采购，欢迎有资格的供应商前来参加本次磋商采购。</w:t>
      </w:r>
      <w:r/>
    </w:p>
    <w:p>
      <w:pPr>
        <w:ind w:left="0" w:right="42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：JSZC-320506-ZXCG-C2026-0006</w:t>
      </w:r>
      <w:r/>
    </w:p>
    <w:p>
      <w:pPr>
        <w:ind w:left="0" w:right="42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二、采购概况</w:t>
      </w:r>
      <w:r>
        <w:rPr>
          <w:rFonts w:ascii="SimSun" w:hAnsi="SimSun" w:eastAsia="SimSun" w:cs="SimSun"/>
          <w:color w:val="000000"/>
          <w:sz w:val="24"/>
        </w:rPr>
        <w:t xml:space="preserve">：</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1、采购内容：郭巷街道戈湾社区尹东八村二区小公园积水改造工程，具体工程量清单明细另附。</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2、采购方式：竞争性磋商</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3、采购预算：人民币人民币壹佰零伍万零柒佰贰拾伍元肆角（¥:1050725.40）</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4、最高限价：人民币人民币壹佰零伍万零柒佰贰拾伍元肆角（¥:1050725.40）</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5、工期要求：90日历天（具体开工日期以采购人通知为准）</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6、工程地点：采购单位指定地点</w:t>
      </w:r>
      <w:r/>
    </w:p>
    <w:p>
      <w:pPr>
        <w:ind w:left="120" w:right="0" w:firstLine="422"/>
        <w:spacing w:before="240" w:after="24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1、工程概况：本工程为郭巷街道戈湾社区尹东八村二区小公园积水改造工程, 具体详见工程量清单。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2、编制依据：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1、省住房和城乡建设厅关于实施《建设工程工程量清单计价标准》 （GB/T50500-2024）及9本工程量计算标准有关事宜的公告〔2025〕第12号；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2、《建设工程工程量清单计价标准》（GB/T50500-2024）、《通用安装工程工程量计算标准》（GB/T50856-2024）、《市政工程工程量计算标准》（GB/T50857-2024）、《园林绿化工程工程量计算标准》（GB/T50858-2024）；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江苏省市政工程消耗量》（2026版）、《江苏省通用安装工程消耗量》（2026版）、《江苏省仿古建筑及园林工程计价表》（2007版）、《江苏省建设工程费用参考》及《江苏建设工程施工机具台班费用参考表》（2026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5、与招标工程相关的技术标准规范；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6、工程特点及交付标准、地勘水文资料、现场情况；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7、合理施工工期及常规施工工艺、顺序；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8、工程价格信息及造价资讯、工程造价数据及指数；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9、其他相关资料。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1、响应人必须承诺磋商文件中提出的全部技术规格与要求，如果以其中某些条款不响应时，应在文件中逐条列出，未列出的视同响应。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2、本工程追加费用不得超过原合同金额的10%；原合同金额10%以内的追加费用，限于原合同内工程清单数量调整增加的工程费用，原合同外工程内容不得计入。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方应根据自身生产力水平对照招标清单逐项进行报价，不得低于其成本报价，发包方要求追加工作量，承包方不得拒绝；对于明显高于市场价格，显失公平的清单项，经该项目总监理工程师或项目咨询造价工程师认定后，发包方有权不按承包方报价进行进度款支付及结算,承包方应与发包方进行磋商，协商一致的按协商一致的价格调整，若无法协商一致，过程中可按监理工程师或造价工程师确定的价格先行支付工程款，结算时由承包方根据计量规则、计价办法和通过市场调查等取得有合法依据的市场价格提出单价，由审核（审计）造价工程师进行审核，报发包方确认</w:t>
      </w:r>
      <w:r>
        <w:rPr>
          <w:rFonts w:ascii="SimSun" w:hAnsi="SimSun" w:eastAsia="SimSun" w:cs="SimSun"/>
          <w:color w:val="000000"/>
          <w:sz w:val="24"/>
        </w:rPr>
        <w:t xml:space="preserve">后调整。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4、因承包方自身原因而导致的工程变更，承包方无权要求追加合同价款及工期延长。</w:t>
        <w:br/>
        <w:t xml:space="preserve">    5、工程竣工验收结束后，承包方应该做到工完场清，如果施工便道等没有清理，则发包方有权委托其他单位拆除清理，具体费用从承包方工程款中扣除，若发包方要求保留，则不予扣除承包方费用。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6、在工程实施过程中，承包方不得因为设计变更、现场变更签证的价格与发包方有分歧而影响整个工程的施工进度，若因此引起工期延误，则由承包方支付工期违约金，按合同工期违约条款执行。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8、凡涉及磋商文件的补充说明和修改，均以苏州政府采购网上最后发布的公告为准。</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6"/>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16"/>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合同主要条款及格式</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根据《中华人民共和国民法典》、《中华人民共和国建筑法》、《中华人民共和国政府采购法》及有关法律规定，遵循平等、自愿、公平和诚实信用的原则，双方就 郭巷街道戈湾社区尹东八村二区小公园积水改造工程 项目施工及有关事项协商一致，共同达成如下协议：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1.工程名称：郭巷街道戈湾社区尹东八村二区小公园积水改造工程。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2.工程地点：甲方指定地点。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none"/>
        </w:rPr>
        <w:t xml:space="preserve">财政拨款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郭巷街道戈湾社区尹东八村二区小公园积水改造工程，具体详见工程量清单、图纸等。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郭巷街道戈湾社区尹东八村二区小公园积水改造工程，具体详见工程量清单、图纸等。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二、合同工期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none"/>
        </w:rPr>
        <w:t xml:space="preserve">202</w:t>
      </w:r>
      <w:r>
        <w:rPr>
          <w:rFonts w:ascii="SimSun" w:hAnsi="SimSun" w:eastAsia="SimSun" w:cs="SimSun"/>
          <w:color w:val="000000"/>
          <w:sz w:val="24"/>
        </w:rPr>
        <w:t xml:space="preserve">6年月日。开工时间以开工令为准。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none"/>
        </w:rPr>
        <w:t xml:space="preserve">202</w:t>
      </w:r>
      <w:r>
        <w:rPr>
          <w:rFonts w:ascii="SimSun" w:hAnsi="SimSun" w:eastAsia="SimSun" w:cs="SimSun"/>
          <w:color w:val="000000"/>
          <w:sz w:val="24"/>
        </w:rPr>
        <w:t xml:space="preserve">6年月日。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工期总日历天数：90天。工期总日历天数与根据前述计划开竣工日期计算的工期天数不一致的，以工期总日历天数为准。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none"/>
        </w:rPr>
        <w:t xml:space="preserve">国家验收合格</w:t>
      </w:r>
      <w:r>
        <w:rPr>
          <w:rFonts w:ascii="SimSun" w:hAnsi="SimSun" w:eastAsia="SimSun" w:cs="SimSun"/>
          <w:color w:val="000000"/>
          <w:sz w:val="24"/>
        </w:rPr>
        <w:t xml:space="preserve">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四、签约合同价与合同价格形式</w:t>
      </w:r>
      <w:r>
        <w:rPr>
          <w:rFonts w:ascii="SimSun" w:hAnsi="SimSun" w:eastAsia="SimSun" w:cs="SimSu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元整（￥：元）；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2.合同价格形式：固定单价报价。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w:t>
      </w:r>
      <w:r>
        <w:rPr>
          <w:rFonts w:ascii="SimSun" w:hAnsi="SimSun" w:eastAsia="SimSun" w:cs="SimSun"/>
          <w:color w:val="000000"/>
          <w:sz w:val="24"/>
        </w:rPr>
        <w:t xml:space="preserve">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七、承诺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八、词语含义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九、签订时间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本合同于2026年月签订。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十、签订地点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本合同在苏州签订。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十一、补充协议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十二、合同生效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本合同自签字盖章后生效。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十三、合同份数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本合同一式陆份，均具有同等法律效力，发包人执贰份，承包人执贰份，采购代理机构壹份，政府采购管理部门壹份。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合同备案要求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办理施工许可证等相关工程监管手续的小额工程项目，除了需在苏州市公共资源交易平台进行合同网上备案外，还需凭政府采购成交通知书至项目所在地的住建招标部门按要求进行项目登记、合同备案等工作，否则无法办理相关工程监管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2.无需办理施工许可证等相关工程监管手续的小额工程项目，只需在苏州市公共资源交易平台进行合同网上备案即可。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合同的特殊条款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1、合同价款及调整：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应包含完成本项目所必须的附属工程、临时工程、材料、劳务、机械设备、利润、税金及政策规定的各项应有的全部费用。投标单位应确认工程量清单的准确性，并充分考虑施工期间各类建材的市场风险，并计入总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由于设计变更或其他原因确需调整合同金额的，经财政部门批准同意后，根据追加的采购计划签订补充合同，但全部补充合同的采购金额不得超过原合同金额的10%，超过部分财政部门不予安排资金。在履行合同时，发生工程变更的，按照工程变更备案管理的相关规定办理变更备案手续。工程完工验收合格后，按采购单位要求进行审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2、工程预付款、进度：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（1）工程预付款：本项目无预付款。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（2）工程进度款：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进度款按当月已完成合格工程量的40%于下月支付，工程竣工验收合格后支付至已完成合同内工程量的50%。工程审计定案结束后，于每年6月底或春节前付款，一个年度内仅可支付一次。付款方式为：以竣工验收合格时间为准，竣工验收合格一年内支付至审定金额的60%；超过一年不满两年的支付至审定金额的75%；超过两年不满三年的支付至审定金额的90%；余额在付至90%的基础上一年内付清（质保金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（二）工程质量缺陷责任期：自本工程竣工验收合格之日起计算1年。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（三）工程保修期：本工程的保修期为2年。承包人收到保修通知后，应在24小时内到达工程现场进行处理。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3、材料、设备供应方式：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（1）甲供材料、设备   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（2）乙供材料、设备全部乙供。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4、本工程为财政投资项目，以审计机构审定结果为建设项目价款结算依据；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5、工程施工期间涉及安全由乙方全部负责，涉及安全所产生的相关费用（包括人员、财产损失）一律由乙方承担；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6、质量必须达到合格，凡因施工单位责任，经验收达不到合格要求，必须返工到合格并承担因返工引起的一切经济损失。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7、承包人应当办理有关施工现场交通、环卫、施工噪声等管理手续，若发生费用由承包人负责。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8、工程未交付之前，承包人应自始至终对成品进行保护和防止丢失。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9、如工程结（决）算核减金额超过送审总价的7%，则其结算、决算审计费用的浮动部分中，超过7%部分按核减造价4%计算确定的审计费用由施工单位承担。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10、（1）本工程追加费用不得超过原合同金额的10%；（2）原合同金额10%以内的追加费用，限于原合同内工程调整增加的工程费用，原合同外工程范围不得计入。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小额工程在履行合同时，发生工程变更的，按照工程变更管理的相关规定办理变更手续。工程完工验收合格后，按采购单位要求进行审计。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若施工中出现施工图纸（含设计变更）与工程量清单特征描述不符的，发、承包双方应按新的项目特征确定相应工程量清单的综合单价：若材料（品种、品牌或规格）发生变更，施工工艺不变，仅调整材料差价。如投标综合单价明显低于标底价（偏差20%及以上），以两种材料同口径价格的差价按投标综合单价与标底综合单价的下浮比例下浮后作为变更后的综合单价的补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承包方报价表中涉及变更的清单子目的综合单价明显低于标底价（偏差20%及以上），发包方有权按照有利于发包方的原则处理：a）以新增单价替换投标综合单价的，变更后的综合单价=新增单价（尚未按中标下浮率下浮）*投标综合单价/标底综合单价；b）该清单子目取消的，扣除的综合单价=标底综合单价*（1-中标下浮率）（如投标价偏高，则不能用此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13、施工单位编制报审的工程结（决）算，经审计后，核减率超出7%以上的，审计费按超出7%以上部分核减额的4%计算，由施工单位承担，建设单位在工程结算定案书中代扣。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14、本工程系公开招标项目，对于招标文件的所有内容，是本合同必须遵守之条款，若其他书面文件产生与招标文件相悖的内容，招标文件的有关条款将得到优先执行。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对实施后无法进行复核的变更签证（如拆除、垃圾清运等）,承包方必须留下可证明相应工作量的影像资料，结算时如无影像资料或提供资料无法反映相应的工作量，结算审核时有权按照有利于发包方权利进行处理。对财政跟踪评审的项目,承包方提出的变更签证，须经财政跟踪评审签字、确认，否则，结算时将不予以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16、本工程质量要求合格，如承包方争创市优、省优、国优工程，费用由承包方自行承担。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17、违约责任及其他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（1）乙方在施工管理中对于材料的使用，应坚持合理用料、节约用料的原则，严禁超标准用料，超标准用料造成甲方的超额支出损失，在工程费用结算时从乙方承包费中扣除。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乙方工程质量不符合合同约定的，负责无偿修理或返工。由于修理返工造成逾期交付的，按合同总价的 10％偿付逾期违约金，并赔偿甲方实际损失。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由于乙方原因，逾期竣工，每逾期一天，乙方支付合同总金额0.02%的违约金，违约金不足以补偿甲方所受损失的，甲方有权要求乙方予以补足并直接在工程费用结算时从乙方承包费中扣除，乙方逾期竣工超过15天，甲方有权单方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妥善保护甲方提供的设备及现场堆放的家具、陈设和工程成品。如因乙方原因或疏忽造成损失，除应按市场价赔偿直接损失外，还需赔偿由此导致的甲方的间接损失，包括但不限于甲方因此而产生的停工损失、商誉损失等。乙方需在知晓损害发生后立即通知甲方，并在甲方通知后三日内提出赔偿方案供甲方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施工中未经甲方书面同意不得擅自拆改原建筑物结构或设备管线。如有必要调整，乙方应书面提出变更申请并获得甲方书面确认后方可执行。由乙方未经书面同意擅自行动或拆改导致的一切损失、事故和罚款，由乙方负全部责任和费用。若乙方因擅自拆改原建筑物结构或设备管线引起的第三方索赔、行政处罚或其他相关负面影响，乙方应负责全部赔偿，并且额外向甲方支付相当于造成损失10%的违约金作为补救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（6）乙方必须自己完成合同内容，不得转包、分包，否则，甲方有权终止合同，乙方应退还已支付的工程款，并支付合同总金额【 】的违约金。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（7）因一方原因，合同无法继续履行时，应通知对方，办理合同终止协议，并由责任方赔偿对方由此造成的经济损失。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除本合同另有约定外，乙方因违反本合同约定应当向甲方承担的赔偿责任包括但不限于依本合同产生的直接经济损失、违约金、赔偿金、诉讼费用、公证费、鉴定费、律师费、差旅费，以及甲方因此应向第三方承担的包括但不限于前述各项费用在内的全部违约金、赔偿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乙方施工过程必须严格遵守国家和地方的环保法律法规。因乙方违规操作导致环保问题，乙方需承担全部责任，包括但不限于罚款、修复费用和因此对甲方造成的损失。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（10）若乙方实际支出超出预定预算，乙方需自行承担超出部分费用，且甲方有权在最后结算时核减相应金额。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（11）承包人擅自更换项目经理的违约责任：处以5000元罚款，承包人承担上述违约给发包人造成的一切损失。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（12）承包人无正当理由拒绝更换项目经理的违约责任：处以5000元罚款，承包人承担上述违约给发包人造成的一切损失。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包含政策原因）而不能履行或不能完全履行本协议时，受到不可抗力影响的一方可以免除违约责任，但该方应当立即以书面形式通知对方，并采取有效措施避免损失扩大。甲乙双方根据不可抗力对履行本协议的影响程度，协商确定部分履行、延期履行或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协议签订后，甲乙双方非因战争、地震、疫情、政策原因等不可抗力的事由，不得免除本协议规定的义务，不得终止、延迟协议履行，协议履行过程中如遇到相关法律、法规、政策调整，以调整后的法律、法规、政策规定为准，导致协议不能履行或延迟履行的，由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合同执行过程中如发生争议，双方友好协商解决。协商不成可直接向工程所在地人民法院起诉。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（1）本合同未言明事项，一律按《中华人民共和国民法典》和其他相关法律、法规执行。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（2）本合同经双方签字或盖章后生效，质保期满后自然失效。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（3）本合同一式捌份，其中甲方、乙方各执肆份。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甲方：（公章）乙方：（公章）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59"/>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七、技术要求、图纸</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1、现行国家技术、施工及验收规范规程，对施工工艺的特殊要求，按设计图纸及国家有关规定执行。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2、工程量清单。（另附，网盘获取详见前附表）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八、评标方法与评标标准</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分）</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、投标报价不超过采购预算（最高限价）的为有效投标报价。超出此范围的投标报价为无效投标报价。无效投标报价的投标文件不进行评审，也不得标。</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、价格得分计算方法：根据各投标人通过符合性审查的有效投标报价中的最低价作为评标基准价。</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其他投标人的价格分按照下列公式计算（计算结果四舍五入保留两位小数）</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评标基准价／投标报价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、如出现评审总得分最高的磋商供应商有两个或两个以上的，以磋商报价较低者优先作为成交候选人，如果磋商报价也相同的，则由采购代理机构组织以抽签方式确定成交候选人。</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、针对中小型企业、残疾人福利企业和监狱企业的评审：</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本项目专门面向中小企业采购的项目或者采购包，不再执行价格评审优惠的扶持政策。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供应商应提供中小企业声明函或残疾人福利性单位声明函或省级以上监狱管理局、戒毒管理局（含新疆生产建设兵团）出具的属于监狱企业的证明文件。</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①填报“中小企业声明函”需严格按“工信部联企业〔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号通知中的《中小企业划型标准规定》进行。</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②若供应商提供的声明函或认定证明为虚假材料，按“政府采购法”相关规定处理并报请政府监管部门给予行政处罚。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③若为专门面向中小企业采购的项目或者采购包，不再执行价格评审优惠的扶持政策。</w:t>
      </w:r>
      <w:r/>
    </w:p>
    <w:p>
      <w:pPr>
        <w:numPr>
          <w:ilvl w:val="0"/>
          <w:numId w:val="12"/>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号《关于推动解决政府采购异常低价问题相关工作的通知》文件。</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评审过程中出现下列情形之一的评审委员会应当启动异常低价投标（响应）审查程序：</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）投标（响应）报价低于采购项目预算</w:t>
      </w:r>
      <w:r>
        <w:rPr>
          <w:rFonts w:ascii="Times New Roman" w:hAnsi="Times New Roman" w:eastAsia="Times New Roman" w:cs="Times New Roman"/>
          <w:color w:val="000000"/>
          <w:sz w:val="24"/>
        </w:rPr>
        <w:t xml:space="preserve"> 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采购项目预算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 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）评审委员会认定的供应商报价过低、有可能影响产品质量或者不能诚信履约的其他情形。</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投标（响应）供应商不提供书面说明、证明材料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或者提供的书面说明、证明材料不能证明其报价合理性的评审委员会应当将其作为无效投标（响应）处理。审查相关情况应当在评审报告中进行记录。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（二）施工组织设计比较（</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概述、总体目标、总体部署等健全、合理、规范、高效综合评定优秀，概述详细，组织机构健全，总体安排科学，方案考虑周全，有合理化建议等得8分；综合评定良好，概述较为详细，总体安排可行，方案考虑比较细致，能满足项目实施需要的得5分；综合评定一般，方案简单，基本能满足项目实施需要的得3分。没有涉及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2、平面布置（8分）</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平面布置及临时设施、临时道路等施工现场的布置科学、合理、规范、高效；综合评定优秀，布置科学合理，描述详细，清晰准确的得8分；综合评定良好，布置比较科学合理，描述比较详细，能满足项目实施需要的得5分；综合评定一般，方案简单，描述不完整，基本能满足项目实施需要的得3分。没有涉及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3、施工总进度计划（8分）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本工程施工进度计划的描述、工期的保证措施、准备计划等，以及为完成该计划所定措施科学、合理、规范、高效；综合评定优秀，总进度计划详尽，项目实施进度、时间点、关键节点等设置清晰准确的得8分；综合评定良好，总进度计划较为详尽，项目实施进度、时间点、关键点等设置比较准确的得5分；综合评定一般，方案简单，描述不清楚，基本能满足项目实施需要的得3分。没有涉及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4、分部、分项工程的施工方案（8分）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工程分部分项工程的施工方案、关键施工技术、工艺及工程项目实施的重点、难点和解决方案、具体施工技术措施科学、合理、操作性强、规范、高效；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3分。没有涉及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5、关键施工技术及项目实施的重点、难点和解决方案（8分）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配备科学合理，方案详尽、考虑周全的得8分；综合评定良好，配备比较合理、考虑较周全、能满足项目实施需要的得5分；综合评定一般，配备简单，基本能满足项目实施需要的得3分。没有涉及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6、安全文明施工措施（8分）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工程安全文明施工、施工现场扬尘污染防治措施及环境保护方面的措施科学、合理、操作性强、规范、高效；综合评定优秀，措施科学合理，问题沟通和解决机制简单有效，对项目安全、环保等风险进行分析，给出应对措施，操作性强的得8分；综合评定良好，措施比较合理、操作性较强、考虑较周全、能满足项目实施需要的的得5分；综合评定一般，措施简单，操作性不强的得3分。没有涉及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7、项目管理人员的配备（8分）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配备科学合理，方案详尽、考虑周全的得8分；综合评定良好，配备比较合理、考虑较周全、能满足项目实施需要的得5分；综合评定一般，配备简单，基本能满足项目实施需要的得3分。没有涉及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8、劳动力、机械设备的投入（6分）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该工程的机械及劳动力，及施工过程中的投入的主要劳动力及设备的使用管理等内容比较；综合评定优秀，投入完全符合项目实际，管理制度完备、使用方案详尽的得6分；综合评定良好，投入基本符合项目实际，管理制度比较完备、使用方案比价清楚的得3分；综合评定一般，投入不足，基本能满足项目实施需要的得1分。没有涉及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9、质量保证措施、季节性施工措施、消防措施（8分）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质量保证的相关措施内容比较；综合评定优秀，措施科学合理，对项目安全、环保等风险进行分析，给出应对措施，操作性强的得8分；综合评定良好，措施比较合理、操作性较强、考虑较周全、能满足项目实施需要的的得5分；综合评定一般，措施简单，操作性不强的得3分。没有涉及的不得分。</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（三）公司综合实力比较（</w:t>
      </w: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、响应单位具有有效期内的质量管理体系认证证书、环境管理体系认证证书、职业健康安全管理体系认证证书，每符合一项得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分，最高为</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分（响应文件中需提供认证证书扫描件及对应证书在平台（</w:t>
      </w:r>
      <w:r>
        <w:rPr>
          <w:rFonts w:ascii="Times New Roman" w:hAnsi="Times New Roman" w:eastAsia="Times New Roman" w:cs="Times New Roman"/>
          <w:color w:val="000000"/>
          <w:sz w:val="24"/>
        </w:rPr>
        <w:t xml:space="preserve">http://cx.cnca.cn</w:t>
      </w:r>
      <w:r>
        <w:rPr>
          <w:rFonts w:ascii="SimSun" w:hAnsi="SimSun" w:eastAsia="SimSun" w:cs="SimSun"/>
          <w:color w:val="000000"/>
          <w:sz w:val="24"/>
        </w:rPr>
        <w:t xml:space="preserve">）查询结果的完整网页截图且显示为有效；未按要求提供的，对应项不得分）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2、拟投入本项目人员配备情况（8分）：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2.1项目经理：具有工程师以上职称证书得4分，否则不得分。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2.2项目组成员：具有工程师以上职称证书的每有一人得2分，否则不得分，本项最高得分4分。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注：本项目评分标准中，同一人员的同一资格证书仅可用于满足一项评分要求，不可重复计分。响应文件中提供职称证书扫描件及该人员在投标单位为其缴纳的社保缴纳证明材料扫描件并加盖公章。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3、履约能力比较（6分）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投标单位自2023年1月1日至今承担过类似项目业绩的，每提供一个业绩证明得3分，最高得6分。时间以竣工验收时间为准，提供施工合同和竣工验收证明的扫描件。材料未提供或提供不全，则对应评分项不得分。</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r/>
      <w:r/>
    </w:p>
    <w:sectPr>
      <w:headerReference w:type="default" r:id="rId9"/>
      <w:footerReference w:type="default" r:id="rId10"/>
      <w:footnotePr/>
      <w:endnotePr/>
      <w:type w:val="nextPage"/>
      <w:pgSz w:w="11906" w:h="16838" w:orient="portrait"/>
      <w:pgMar w:top="992" w:right="1133" w:bottom="1134" w:left="934" w:header="851" w:footer="44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Calibri">
    <w:panose1 w:val="020F0502020204030204"/>
  </w:font>
  <w:font w:name="Helvetica Neue">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9525">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53</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7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53</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360"/>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7"/>
  </w:num>
  <w:num w:numId="4">
    <w:abstractNumId w:val="0"/>
  </w:num>
  <w:num w:numId="5">
    <w:abstractNumId w:val="4"/>
  </w:num>
  <w:num w:numId="6">
    <w:abstractNumId w:val="2"/>
  </w:num>
  <w:num w:numId="7">
    <w:abstractNumId w:val="5"/>
  </w:num>
  <w:num w:numId="8">
    <w:abstractNumId w:val="3"/>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68"/>
    <w:link w:val="859"/>
    <w:uiPriority w:val="9"/>
    <w:rPr>
      <w:rFonts w:ascii="Arial" w:hAnsi="Arial" w:eastAsia="Arial" w:cs="Arial"/>
      <w:sz w:val="40"/>
      <w:szCs w:val="40"/>
    </w:rPr>
  </w:style>
  <w:style w:type="character" w:styleId="711">
    <w:name w:val="Heading 2 Char"/>
    <w:basedOn w:val="868"/>
    <w:link w:val="860"/>
    <w:uiPriority w:val="9"/>
    <w:rPr>
      <w:rFonts w:ascii="Arial" w:hAnsi="Arial" w:eastAsia="Arial" w:cs="Arial"/>
      <w:sz w:val="34"/>
    </w:rPr>
  </w:style>
  <w:style w:type="character" w:styleId="712">
    <w:name w:val="Heading 3 Char"/>
    <w:basedOn w:val="868"/>
    <w:link w:val="861"/>
    <w:uiPriority w:val="9"/>
    <w:rPr>
      <w:rFonts w:ascii="Arial" w:hAnsi="Arial" w:eastAsia="Arial" w:cs="Arial"/>
      <w:sz w:val="30"/>
      <w:szCs w:val="30"/>
    </w:rPr>
  </w:style>
  <w:style w:type="character" w:styleId="713">
    <w:name w:val="Heading 4 Char"/>
    <w:basedOn w:val="868"/>
    <w:link w:val="862"/>
    <w:uiPriority w:val="9"/>
    <w:rPr>
      <w:rFonts w:ascii="Arial" w:hAnsi="Arial" w:eastAsia="Arial" w:cs="Arial"/>
      <w:b/>
      <w:bCs/>
      <w:sz w:val="26"/>
      <w:szCs w:val="26"/>
    </w:rPr>
  </w:style>
  <w:style w:type="character" w:styleId="714">
    <w:name w:val="Heading 5 Char"/>
    <w:basedOn w:val="868"/>
    <w:link w:val="863"/>
    <w:uiPriority w:val="9"/>
    <w:rPr>
      <w:rFonts w:ascii="Arial" w:hAnsi="Arial" w:eastAsia="Arial" w:cs="Arial"/>
      <w:b/>
      <w:bCs/>
      <w:sz w:val="24"/>
      <w:szCs w:val="24"/>
    </w:rPr>
  </w:style>
  <w:style w:type="character" w:styleId="715">
    <w:name w:val="Heading 6 Char"/>
    <w:basedOn w:val="868"/>
    <w:link w:val="864"/>
    <w:uiPriority w:val="9"/>
    <w:rPr>
      <w:rFonts w:ascii="Arial" w:hAnsi="Arial" w:eastAsia="Arial" w:cs="Arial"/>
      <w:b/>
      <w:bCs/>
      <w:sz w:val="22"/>
      <w:szCs w:val="22"/>
    </w:rPr>
  </w:style>
  <w:style w:type="character" w:styleId="716">
    <w:name w:val="Heading 7 Char"/>
    <w:basedOn w:val="868"/>
    <w:link w:val="865"/>
    <w:uiPriority w:val="9"/>
    <w:rPr>
      <w:rFonts w:ascii="Arial" w:hAnsi="Arial" w:eastAsia="Arial" w:cs="Arial"/>
      <w:b/>
      <w:bCs/>
      <w:i/>
      <w:iCs/>
      <w:sz w:val="22"/>
      <w:szCs w:val="22"/>
    </w:rPr>
  </w:style>
  <w:style w:type="character" w:styleId="717">
    <w:name w:val="Heading 8 Char"/>
    <w:basedOn w:val="868"/>
    <w:link w:val="866"/>
    <w:uiPriority w:val="9"/>
    <w:rPr>
      <w:rFonts w:ascii="Arial" w:hAnsi="Arial" w:eastAsia="Arial" w:cs="Arial"/>
      <w:i/>
      <w:iCs/>
      <w:sz w:val="22"/>
      <w:szCs w:val="22"/>
    </w:rPr>
  </w:style>
  <w:style w:type="character" w:styleId="718">
    <w:name w:val="Heading 9 Char"/>
    <w:basedOn w:val="868"/>
    <w:link w:val="86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character" w:styleId="720">
    <w:name w:val="Title Char"/>
    <w:basedOn w:val="868"/>
    <w:link w:val="913"/>
    <w:uiPriority w:val="10"/>
    <w:rPr>
      <w:sz w:val="48"/>
      <w:szCs w:val="48"/>
    </w:rPr>
  </w:style>
  <w:style w:type="character" w:styleId="721">
    <w:name w:val="Subtitle Char"/>
    <w:basedOn w:val="868"/>
    <w:link w:val="899"/>
    <w:uiPriority w:val="11"/>
    <w:rPr>
      <w:sz w:val="24"/>
      <w:szCs w:val="24"/>
    </w:rPr>
  </w:style>
  <w:style w:type="paragraph" w:styleId="722">
    <w:name w:val="Quote"/>
    <w:basedOn w:val="858"/>
    <w:next w:val="858"/>
    <w:link w:val="723"/>
    <w:uiPriority w:val="29"/>
    <w:qFormat/>
    <w:pPr>
      <w:ind w:left="720" w:right="720"/>
    </w:pPr>
    <w:rPr>
      <w:i/>
    </w:rPr>
  </w:style>
  <w:style w:type="character" w:styleId="723">
    <w:name w:val="Quote Char"/>
    <w:link w:val="722"/>
    <w:uiPriority w:val="29"/>
    <w:rPr>
      <w:i/>
    </w:rPr>
  </w:style>
  <w:style w:type="paragraph" w:styleId="724">
    <w:name w:val="Intense Quote"/>
    <w:basedOn w:val="858"/>
    <w:next w:val="858"/>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68"/>
    <w:link w:val="894"/>
    <w:uiPriority w:val="99"/>
  </w:style>
  <w:style w:type="character" w:styleId="727">
    <w:name w:val="Footer Char"/>
    <w:basedOn w:val="868"/>
    <w:link w:val="893"/>
    <w:uiPriority w:val="99"/>
  </w:style>
  <w:style w:type="paragraph" w:styleId="728">
    <w:name w:val="Caption"/>
    <w:basedOn w:val="858"/>
    <w:next w:val="858"/>
    <w:uiPriority w:val="35"/>
    <w:semiHidden/>
    <w:unhideWhenUsed/>
    <w:qFormat/>
    <w:pPr>
      <w:spacing w:line="276" w:lineRule="auto"/>
    </w:pPr>
    <w:rPr>
      <w:b/>
      <w:bCs/>
      <w:color w:val="4f81bd" w:themeColor="accent1"/>
      <w:sz w:val="18"/>
      <w:szCs w:val="18"/>
    </w:rPr>
  </w:style>
  <w:style w:type="character" w:styleId="729">
    <w:name w:val="Caption Char"/>
    <w:basedOn w:val="728"/>
    <w:link w:val="893"/>
    <w:uiPriority w:val="99"/>
  </w:style>
  <w:style w:type="table" w:styleId="730">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Footnote Text Char"/>
    <w:link w:val="900"/>
    <w:uiPriority w:val="99"/>
    <w:rPr>
      <w:sz w:val="18"/>
    </w:rPr>
  </w:style>
  <w:style w:type="character" w:styleId="856">
    <w:name w:val="Endnote Text Char"/>
    <w:link w:val="891"/>
    <w:uiPriority w:val="99"/>
    <w:rPr>
      <w:sz w:val="20"/>
    </w:rPr>
  </w:style>
  <w:style w:type="paragraph" w:styleId="857">
    <w:name w:val="TOC Heading"/>
    <w:uiPriority w:val="39"/>
    <w:unhideWhenUsed/>
  </w:style>
  <w:style w:type="paragraph" w:styleId="8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9">
    <w:name w:val="Heading 1"/>
    <w:basedOn w:val="858"/>
    <w:next w:val="858"/>
    <w:link w:val="985"/>
    <w:uiPriority w:val="0"/>
    <w:qFormat/>
    <w:pPr>
      <w:keepLines/>
      <w:keepNext/>
      <w:spacing w:before="340" w:after="330" w:line="578" w:lineRule="auto"/>
      <w:outlineLvl w:val="0"/>
    </w:pPr>
    <w:rPr>
      <w:b/>
      <w:bCs/>
      <w:sz w:val="44"/>
      <w:szCs w:val="44"/>
    </w:rPr>
  </w:style>
  <w:style w:type="paragraph" w:styleId="860">
    <w:name w:val="Heading 2"/>
    <w:basedOn w:val="858"/>
    <w:next w:val="858"/>
    <w:link w:val="984"/>
    <w:uiPriority w:val="0"/>
    <w:qFormat/>
    <w:pPr>
      <w:keepLines/>
      <w:keepNext/>
      <w:spacing w:before="260" w:after="260" w:line="416" w:lineRule="auto"/>
      <w:outlineLvl w:val="1"/>
    </w:pPr>
    <w:rPr>
      <w:rFonts w:ascii="Cambria" w:hAnsi="Cambria"/>
      <w:b/>
      <w:bCs/>
      <w:sz w:val="32"/>
      <w:szCs w:val="32"/>
    </w:rPr>
  </w:style>
  <w:style w:type="paragraph" w:styleId="861">
    <w:name w:val="Heading 3"/>
    <w:basedOn w:val="858"/>
    <w:next w:val="858"/>
    <w:link w:val="997"/>
    <w:uiPriority w:val="0"/>
    <w:qFormat/>
    <w:pPr>
      <w:keepLines/>
      <w:keepNext/>
      <w:spacing w:before="260" w:after="260" w:line="416" w:lineRule="auto"/>
      <w:outlineLvl w:val="2"/>
    </w:pPr>
    <w:rPr>
      <w:b/>
      <w:bCs/>
      <w:sz w:val="32"/>
      <w:szCs w:val="32"/>
    </w:rPr>
  </w:style>
  <w:style w:type="paragraph" w:styleId="862">
    <w:name w:val="Heading 4"/>
    <w:basedOn w:val="858"/>
    <w:next w:val="858"/>
    <w:link w:val="995"/>
    <w:uiPriority w:val="0"/>
    <w:qFormat/>
    <w:pPr>
      <w:keepNext/>
      <w:spacing w:before="240" w:after="60"/>
      <w:outlineLvl w:val="3"/>
    </w:pPr>
    <w:rPr>
      <w:b/>
      <w:bCs/>
      <w:sz w:val="28"/>
      <w:szCs w:val="28"/>
    </w:rPr>
  </w:style>
  <w:style w:type="paragraph" w:styleId="863">
    <w:name w:val="Heading 5"/>
    <w:basedOn w:val="858"/>
    <w:next w:val="858"/>
    <w:link w:val="1027"/>
    <w:uiPriority w:val="0"/>
    <w:qFormat/>
    <w:pPr>
      <w:spacing w:before="240" w:after="60"/>
      <w:outlineLvl w:val="4"/>
    </w:pPr>
    <w:rPr>
      <w:b/>
      <w:bCs/>
      <w:i/>
      <w:iCs/>
      <w:sz w:val="26"/>
      <w:szCs w:val="26"/>
    </w:rPr>
  </w:style>
  <w:style w:type="paragraph" w:styleId="864">
    <w:name w:val="Heading 6"/>
    <w:basedOn w:val="858"/>
    <w:next w:val="858"/>
    <w:link w:val="1032"/>
    <w:uiPriority w:val="0"/>
    <w:qFormat/>
    <w:pPr>
      <w:jc w:val="left"/>
      <w:keepLines/>
      <w:keepNext/>
      <w:spacing w:before="240" w:after="64" w:line="320" w:lineRule="atLeast"/>
      <w:outlineLvl w:val="5"/>
    </w:pPr>
    <w:rPr>
      <w:rFonts w:ascii="黑体" w:hAnsi="Tms Rmn" w:eastAsia="黑体"/>
      <w:b/>
      <w:sz w:val="24"/>
      <w:szCs w:val="20"/>
    </w:rPr>
  </w:style>
  <w:style w:type="paragraph" w:styleId="865">
    <w:name w:val="Heading 7"/>
    <w:basedOn w:val="858"/>
    <w:next w:val="858"/>
    <w:link w:val="1007"/>
    <w:uiPriority w:val="0"/>
    <w:qFormat/>
    <w:pPr>
      <w:jc w:val="left"/>
      <w:keepLines/>
      <w:keepNext/>
      <w:spacing w:before="240" w:after="64" w:line="320" w:lineRule="atLeast"/>
      <w:outlineLvl w:val="6"/>
    </w:pPr>
    <w:rPr>
      <w:rFonts w:ascii="宋体" w:hAnsi="Tms Rmn"/>
      <w:b/>
      <w:sz w:val="24"/>
      <w:szCs w:val="20"/>
    </w:rPr>
  </w:style>
  <w:style w:type="paragraph" w:styleId="866">
    <w:name w:val="Heading 8"/>
    <w:basedOn w:val="858"/>
    <w:next w:val="858"/>
    <w:link w:val="1025"/>
    <w:uiPriority w:val="0"/>
    <w:qFormat/>
    <w:pPr>
      <w:keepLines/>
      <w:keepNext/>
      <w:spacing w:before="240" w:after="64" w:line="320" w:lineRule="auto"/>
      <w:outlineLvl w:val="7"/>
    </w:pPr>
    <w:rPr>
      <w:rFonts w:ascii="Arial" w:hAnsi="Arial" w:eastAsia="黑体"/>
      <w:sz w:val="24"/>
    </w:rPr>
  </w:style>
  <w:style w:type="paragraph" w:styleId="867">
    <w:name w:val="Heading 9"/>
    <w:basedOn w:val="858"/>
    <w:next w:val="858"/>
    <w:link w:val="1022"/>
    <w:uiPriority w:val="0"/>
    <w:qFormat/>
    <w:pPr>
      <w:keepLines/>
      <w:keepNext/>
      <w:spacing w:before="240" w:after="64" w:line="320" w:lineRule="auto"/>
      <w:outlineLvl w:val="8"/>
    </w:pPr>
    <w:rPr>
      <w:rFonts w:ascii="Arial" w:hAnsi="Arial" w:eastAsia="黑体"/>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Times New Roman"/>
      <w:sz w:val="20"/>
      <w:szCs w:val="20"/>
    </w:rPr>
    <w:tblPr>
      <w:tblCellMar>
        <w:left w:w="108" w:type="dxa"/>
        <w:top w:w="0" w:type="dxa"/>
        <w:right w:w="108" w:type="dxa"/>
        <w:bottom w:w="0" w:type="dxa"/>
      </w:tblCellMar>
    </w:tblPr>
  </w:style>
  <w:style w:type="paragraph" w:styleId="870">
    <w:name w:val="toc 7"/>
    <w:basedOn w:val="859"/>
    <w:next w:val="858"/>
    <w:uiPriority w:val="0"/>
    <w:qFormat/>
    <w:pPr>
      <w:ind w:left="2520"/>
    </w:pPr>
    <w:rPr>
      <w:rFonts w:eastAsia="KaiTi_GB2312"/>
      <w:sz w:val="26"/>
      <w:szCs w:val="20"/>
    </w:rPr>
  </w:style>
  <w:style w:type="paragraph" w:styleId="871">
    <w:name w:val="index 8"/>
    <w:basedOn w:val="858"/>
    <w:next w:val="858"/>
    <w:uiPriority w:val="0"/>
    <w:qFormat/>
    <w:pPr>
      <w:ind w:left="2940"/>
    </w:pPr>
    <w:rPr>
      <w:rFonts w:eastAsia="KaiTi_GB2312"/>
      <w:sz w:val="26"/>
      <w:szCs w:val="20"/>
    </w:rPr>
  </w:style>
  <w:style w:type="paragraph" w:styleId="872">
    <w:name w:val="List Number"/>
    <w:basedOn w:val="858"/>
    <w:uiPriority w:val="0"/>
    <w:qFormat/>
    <w:pPr>
      <w:ind w:left="1125" w:hanging="555"/>
      <w:tabs>
        <w:tab w:val="left" w:pos="1125" w:leader="none"/>
      </w:tabs>
    </w:pPr>
  </w:style>
  <w:style w:type="paragraph" w:styleId="873">
    <w:name w:val="Normal Indent"/>
    <w:basedOn w:val="858"/>
    <w:next w:val="858"/>
    <w:link w:val="1016"/>
    <w:uiPriority w:val="0"/>
    <w:qFormat/>
    <w:pPr>
      <w:ind w:firstLine="420"/>
      <w:jc w:val="left"/>
      <w:widowControl/>
    </w:pPr>
    <w:rPr>
      <w:rFonts w:eastAsia="KaiTi_GB2312"/>
      <w:sz w:val="24"/>
      <w:szCs w:val="20"/>
    </w:rPr>
  </w:style>
  <w:style w:type="paragraph" w:styleId="874">
    <w:name w:val="index 5"/>
    <w:basedOn w:val="858"/>
    <w:next w:val="858"/>
    <w:uiPriority w:val="0"/>
    <w:qFormat/>
    <w:pPr>
      <w:ind w:left="1680"/>
    </w:pPr>
    <w:rPr>
      <w:rFonts w:eastAsia="KaiTi_GB2312"/>
      <w:sz w:val="26"/>
      <w:szCs w:val="20"/>
    </w:rPr>
  </w:style>
  <w:style w:type="paragraph" w:styleId="875">
    <w:name w:val="Document Map"/>
    <w:basedOn w:val="858"/>
    <w:link w:val="1033"/>
    <w:uiPriority w:val="0"/>
    <w:semiHidden/>
    <w:qFormat/>
    <w:pPr>
      <w:shd w:val="clear" w:color="auto" w:fill="000080"/>
    </w:pPr>
  </w:style>
  <w:style w:type="paragraph" w:styleId="876">
    <w:name w:val="annotation text"/>
    <w:basedOn w:val="858"/>
    <w:link w:val="1006"/>
    <w:uiPriority w:val="0"/>
    <w:qFormat/>
    <w:pPr>
      <w:jc w:val="left"/>
    </w:pPr>
    <w:rPr>
      <w:sz w:val="20"/>
    </w:rPr>
  </w:style>
  <w:style w:type="paragraph" w:styleId="877">
    <w:name w:val="index 6"/>
    <w:basedOn w:val="858"/>
    <w:next w:val="858"/>
    <w:uiPriority w:val="0"/>
    <w:qFormat/>
    <w:pPr>
      <w:ind w:left="2100"/>
    </w:pPr>
    <w:rPr>
      <w:rFonts w:eastAsia="KaiTi_GB2312"/>
      <w:sz w:val="26"/>
      <w:szCs w:val="20"/>
    </w:rPr>
  </w:style>
  <w:style w:type="paragraph" w:styleId="878">
    <w:name w:val="Body Text"/>
    <w:basedOn w:val="858"/>
    <w:link w:val="1031"/>
    <w:uiPriority w:val="0"/>
    <w:qFormat/>
    <w:pPr>
      <w:spacing w:after="120"/>
    </w:pPr>
  </w:style>
  <w:style w:type="paragraph" w:styleId="879">
    <w:name w:val="Body Text Indent"/>
    <w:basedOn w:val="858"/>
    <w:next w:val="880"/>
    <w:link w:val="1014"/>
    <w:uiPriority w:val="0"/>
    <w:qFormat/>
    <w:pPr>
      <w:ind w:left="420"/>
      <w:spacing w:after="120"/>
    </w:pPr>
  </w:style>
  <w:style w:type="paragraph" w:styleId="880">
    <w:name w:val="envelope return"/>
    <w:basedOn w:val="858"/>
    <w:uiPriority w:val="0"/>
    <w:qFormat/>
    <w:pPr>
      <w:spacing w:line="360" w:lineRule="atLeast"/>
    </w:pPr>
    <w:rPr>
      <w:rFonts w:ascii="Arial" w:hAnsi="Arial" w:cs="Arial"/>
      <w:sz w:val="20"/>
      <w:szCs w:val="24"/>
    </w:rPr>
  </w:style>
  <w:style w:type="paragraph" w:styleId="881">
    <w:name w:val="List 2"/>
    <w:basedOn w:val="859"/>
    <w:next w:val="870"/>
    <w:uiPriority w:val="0"/>
    <w:qFormat/>
    <w:pPr>
      <w:ind w:left="100" w:firstLine="3640"/>
      <w:spacing w:before="0" w:after="0" w:line="240" w:lineRule="auto"/>
    </w:pPr>
  </w:style>
  <w:style w:type="paragraph" w:styleId="882">
    <w:name w:val="Block Text"/>
    <w:basedOn w:val="858"/>
    <w:uiPriority w:val="0"/>
    <w:qFormat/>
    <w:pPr>
      <w:ind w:left="630" w:right="-609" w:firstLine="420"/>
      <w:spacing w:line="360" w:lineRule="auto"/>
    </w:pPr>
    <w:rPr>
      <w:rFonts w:hint="eastAsia" w:ascii="仿宋_GB2312" w:eastAsia="仿宋_GB2312"/>
      <w:szCs w:val="20"/>
    </w:rPr>
  </w:style>
  <w:style w:type="paragraph" w:styleId="883">
    <w:name w:val="index 4"/>
    <w:basedOn w:val="858"/>
    <w:next w:val="858"/>
    <w:uiPriority w:val="0"/>
    <w:qFormat/>
    <w:pPr>
      <w:ind w:left="1260"/>
    </w:pPr>
    <w:rPr>
      <w:rFonts w:eastAsia="KaiTi_GB2312"/>
      <w:sz w:val="26"/>
      <w:szCs w:val="20"/>
    </w:rPr>
  </w:style>
  <w:style w:type="paragraph" w:styleId="884">
    <w:name w:val="toc 5"/>
    <w:basedOn w:val="858"/>
    <w:next w:val="858"/>
    <w:uiPriority w:val="0"/>
    <w:qFormat/>
    <w:pPr>
      <w:ind w:left="1680"/>
    </w:pPr>
    <w:rPr>
      <w:rFonts w:eastAsia="KaiTi_GB2312"/>
      <w:sz w:val="26"/>
      <w:szCs w:val="20"/>
    </w:rPr>
  </w:style>
  <w:style w:type="paragraph" w:styleId="885">
    <w:name w:val="toc 3"/>
    <w:basedOn w:val="858"/>
    <w:next w:val="858"/>
    <w:uiPriority w:val="0"/>
    <w:qFormat/>
    <w:pPr>
      <w:ind w:left="840"/>
    </w:pPr>
    <w:rPr>
      <w:rFonts w:eastAsia="KaiTi_GB2312"/>
      <w:sz w:val="26"/>
      <w:szCs w:val="20"/>
    </w:rPr>
  </w:style>
  <w:style w:type="paragraph" w:styleId="886">
    <w:name w:val="Plain Text"/>
    <w:basedOn w:val="858"/>
    <w:link w:val="989"/>
    <w:uiPriority w:val="0"/>
    <w:qFormat/>
    <w:pPr>
      <w:jc w:val="left"/>
      <w:widowControl/>
    </w:pPr>
    <w:rPr>
      <w:rFonts w:ascii="宋体" w:hAnsi="Courier New" w:eastAsia="KaiTi_GB2312"/>
      <w:sz w:val="26"/>
    </w:rPr>
  </w:style>
  <w:style w:type="paragraph" w:styleId="887">
    <w:name w:val="toc 8"/>
    <w:basedOn w:val="858"/>
    <w:next w:val="858"/>
    <w:uiPriority w:val="0"/>
    <w:qFormat/>
    <w:pPr>
      <w:ind w:left="2940"/>
    </w:pPr>
    <w:rPr>
      <w:rFonts w:eastAsia="KaiTi_GB2312"/>
      <w:sz w:val="26"/>
      <w:szCs w:val="20"/>
    </w:rPr>
  </w:style>
  <w:style w:type="paragraph" w:styleId="888">
    <w:name w:val="index 3"/>
    <w:basedOn w:val="858"/>
    <w:next w:val="858"/>
    <w:uiPriority w:val="0"/>
    <w:qFormat/>
    <w:pPr>
      <w:ind w:left="840"/>
    </w:pPr>
    <w:rPr>
      <w:rFonts w:eastAsia="KaiTi_GB2312"/>
      <w:sz w:val="26"/>
      <w:szCs w:val="20"/>
    </w:rPr>
  </w:style>
  <w:style w:type="paragraph" w:styleId="889">
    <w:name w:val="Date"/>
    <w:basedOn w:val="858"/>
    <w:next w:val="858"/>
    <w:link w:val="1011"/>
    <w:uiPriority w:val="0"/>
    <w:qFormat/>
    <w:pPr>
      <w:ind w:left="100"/>
    </w:pPr>
    <w:rPr>
      <w:sz w:val="36"/>
      <w:szCs w:val="20"/>
    </w:rPr>
  </w:style>
  <w:style w:type="paragraph" w:styleId="890">
    <w:name w:val="Body Text Indent 2"/>
    <w:basedOn w:val="858"/>
    <w:link w:val="1018"/>
    <w:uiPriority w:val="0"/>
    <w:qFormat/>
    <w:pPr>
      <w:ind w:left="420"/>
      <w:spacing w:after="120" w:line="480" w:lineRule="auto"/>
    </w:pPr>
  </w:style>
  <w:style w:type="paragraph" w:styleId="891">
    <w:name w:val="endnote text"/>
    <w:basedOn w:val="858"/>
    <w:link w:val="987"/>
    <w:uiPriority w:val="0"/>
    <w:qFormat/>
    <w:pPr>
      <w:jc w:val="left"/>
    </w:pPr>
    <w:rPr>
      <w:rFonts w:eastAsia="KaiTi_GB2312"/>
      <w:sz w:val="26"/>
      <w:szCs w:val="20"/>
    </w:rPr>
  </w:style>
  <w:style w:type="paragraph" w:styleId="892">
    <w:name w:val="Balloon Text"/>
    <w:basedOn w:val="858"/>
    <w:link w:val="1012"/>
    <w:uiPriority w:val="0"/>
    <w:semiHidden/>
    <w:qFormat/>
    <w:rPr>
      <w:sz w:val="18"/>
      <w:szCs w:val="18"/>
    </w:rPr>
  </w:style>
  <w:style w:type="paragraph" w:styleId="893">
    <w:name w:val="Footer"/>
    <w:basedOn w:val="858"/>
    <w:link w:val="1028"/>
    <w:uiPriority w:val="0"/>
    <w:unhideWhenUsed/>
    <w:qFormat/>
    <w:pPr>
      <w:jc w:val="left"/>
      <w:tabs>
        <w:tab w:val="center" w:pos="4153" w:leader="none"/>
        <w:tab w:val="right" w:pos="8306" w:leader="none"/>
      </w:tabs>
    </w:pPr>
    <w:rPr>
      <w:sz w:val="18"/>
      <w:szCs w:val="18"/>
    </w:rPr>
  </w:style>
  <w:style w:type="paragraph" w:styleId="894">
    <w:name w:val="Header"/>
    <w:basedOn w:val="858"/>
    <w:link w:val="101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58"/>
    <w:next w:val="858"/>
    <w:uiPriority w:val="39"/>
    <w:qFormat/>
    <w:pPr>
      <w:jc w:val="left"/>
    </w:pPr>
    <w:rPr>
      <w:rFonts w:eastAsia="KaiTi_GB2312"/>
      <w:sz w:val="24"/>
      <w:szCs w:val="20"/>
    </w:rPr>
  </w:style>
  <w:style w:type="paragraph" w:styleId="896">
    <w:name w:val="toc 4"/>
    <w:basedOn w:val="858"/>
    <w:next w:val="858"/>
    <w:uiPriority w:val="0"/>
    <w:qFormat/>
    <w:pPr>
      <w:ind w:left="1260"/>
    </w:pPr>
    <w:rPr>
      <w:rFonts w:eastAsia="KaiTi_GB2312"/>
      <w:sz w:val="26"/>
      <w:szCs w:val="20"/>
    </w:rPr>
  </w:style>
  <w:style w:type="paragraph" w:styleId="897">
    <w:name w:val="index heading"/>
    <w:basedOn w:val="858"/>
    <w:next w:val="898"/>
    <w:uiPriority w:val="0"/>
    <w:qFormat/>
    <w:rPr>
      <w:rFonts w:eastAsia="KaiTi_GB2312"/>
      <w:sz w:val="26"/>
      <w:szCs w:val="20"/>
    </w:rPr>
  </w:style>
  <w:style w:type="paragraph" w:styleId="898">
    <w:name w:val="index 1"/>
    <w:basedOn w:val="858"/>
    <w:next w:val="858"/>
    <w:uiPriority w:val="0"/>
    <w:qFormat/>
    <w:rPr>
      <w:rFonts w:eastAsia="KaiTi_GB2312"/>
      <w:sz w:val="26"/>
      <w:szCs w:val="20"/>
    </w:rPr>
  </w:style>
  <w:style w:type="paragraph" w:styleId="899">
    <w:name w:val="Subtitle"/>
    <w:basedOn w:val="858"/>
    <w:next w:val="858"/>
    <w:link w:val="1019"/>
    <w:uiPriority w:val="0"/>
    <w:qFormat/>
    <w:pPr>
      <w:jc w:val="center"/>
      <w:spacing w:before="240" w:after="60" w:line="312" w:lineRule="auto"/>
      <w:outlineLvl w:val="1"/>
    </w:pPr>
    <w:rPr>
      <w:rFonts w:ascii="宋体" w:hAnsi="Courier New" w:eastAsia="KaiTi_GB2312"/>
      <w:sz w:val="26"/>
      <w:szCs w:val="20"/>
    </w:rPr>
  </w:style>
  <w:style w:type="paragraph" w:styleId="900">
    <w:name w:val="footnote text"/>
    <w:basedOn w:val="858"/>
    <w:link w:val="1002"/>
    <w:uiPriority w:val="0"/>
    <w:qFormat/>
    <w:pPr>
      <w:jc w:val="left"/>
    </w:pPr>
    <w:rPr>
      <w:rFonts w:eastAsia="KaiTi_GB2312"/>
      <w:sz w:val="18"/>
      <w:szCs w:val="20"/>
    </w:rPr>
  </w:style>
  <w:style w:type="paragraph" w:styleId="901">
    <w:name w:val="toc 6"/>
    <w:basedOn w:val="858"/>
    <w:next w:val="858"/>
    <w:uiPriority w:val="0"/>
    <w:qFormat/>
    <w:pPr>
      <w:ind w:left="2100"/>
    </w:pPr>
    <w:rPr>
      <w:rFonts w:eastAsia="KaiTi_GB2312"/>
      <w:sz w:val="26"/>
      <w:szCs w:val="20"/>
    </w:rPr>
  </w:style>
  <w:style w:type="paragraph" w:styleId="902">
    <w:name w:val="Body Text Indent 3"/>
    <w:basedOn w:val="858"/>
    <w:link w:val="996"/>
    <w:uiPriority w:val="0"/>
    <w:qFormat/>
    <w:pPr>
      <w:ind w:firstLine="480"/>
      <w:jc w:val="left"/>
      <w:spacing w:line="440" w:lineRule="atLeast"/>
    </w:pPr>
    <w:rPr>
      <w:sz w:val="24"/>
    </w:rPr>
  </w:style>
  <w:style w:type="paragraph" w:styleId="903">
    <w:name w:val="index 7"/>
    <w:basedOn w:val="858"/>
    <w:next w:val="858"/>
    <w:uiPriority w:val="0"/>
    <w:qFormat/>
    <w:pPr>
      <w:ind w:left="2520"/>
    </w:pPr>
    <w:rPr>
      <w:rFonts w:eastAsia="KaiTi_GB2312"/>
      <w:sz w:val="26"/>
      <w:szCs w:val="20"/>
    </w:rPr>
  </w:style>
  <w:style w:type="paragraph" w:styleId="904">
    <w:name w:val="index 9"/>
    <w:basedOn w:val="858"/>
    <w:next w:val="858"/>
    <w:uiPriority w:val="0"/>
    <w:qFormat/>
    <w:pPr>
      <w:ind w:left="3360"/>
    </w:pPr>
    <w:rPr>
      <w:rFonts w:eastAsia="KaiTi_GB2312"/>
      <w:sz w:val="26"/>
      <w:szCs w:val="20"/>
    </w:rPr>
  </w:style>
  <w:style w:type="paragraph" w:styleId="905">
    <w:name w:val="table of figures"/>
    <w:basedOn w:val="858"/>
    <w:next w:val="858"/>
    <w:uiPriority w:val="0"/>
    <w:qFormat/>
    <w:pPr>
      <w:ind w:left="420" w:hanging="420"/>
      <w:jc w:val="left"/>
    </w:pPr>
    <w:rPr>
      <w:rFonts w:eastAsia="KaiTi_GB2312"/>
      <w:smallCaps/>
      <w:sz w:val="24"/>
      <w:szCs w:val="20"/>
    </w:rPr>
  </w:style>
  <w:style w:type="paragraph" w:styleId="906">
    <w:name w:val="toc 2"/>
    <w:basedOn w:val="858"/>
    <w:next w:val="858"/>
    <w:uiPriority w:val="0"/>
    <w:qFormat/>
    <w:pPr>
      <w:ind w:left="420"/>
    </w:pPr>
    <w:rPr>
      <w:rFonts w:eastAsia="KaiTi_GB2312"/>
      <w:sz w:val="26"/>
      <w:szCs w:val="20"/>
    </w:rPr>
  </w:style>
  <w:style w:type="paragraph" w:styleId="907">
    <w:name w:val="toc 9"/>
    <w:basedOn w:val="858"/>
    <w:next w:val="858"/>
    <w:uiPriority w:val="0"/>
    <w:qFormat/>
    <w:pPr>
      <w:ind w:left="3360"/>
    </w:pPr>
    <w:rPr>
      <w:rFonts w:eastAsia="KaiTi_GB2312"/>
      <w:sz w:val="26"/>
      <w:szCs w:val="20"/>
    </w:rPr>
  </w:style>
  <w:style w:type="paragraph" w:styleId="908">
    <w:name w:val="Body Text 2"/>
    <w:basedOn w:val="858"/>
    <w:link w:val="1003"/>
    <w:uiPriority w:val="0"/>
    <w:qFormat/>
    <w:pPr>
      <w:spacing w:after="120" w:line="480" w:lineRule="auto"/>
    </w:pPr>
    <w:rPr>
      <w:rFonts w:eastAsia="KaiTi_GB2312"/>
      <w:sz w:val="26"/>
      <w:szCs w:val="20"/>
    </w:rPr>
  </w:style>
  <w:style w:type="paragraph" w:styleId="909">
    <w:name w:val="HTML Preformatted"/>
    <w:basedOn w:val="858"/>
    <w:link w:val="9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0">
    <w:name w:val="Normal (Web)"/>
    <w:basedOn w:val="858"/>
    <w:uiPriority w:val="0"/>
    <w:qFormat/>
    <w:pPr>
      <w:jc w:val="left"/>
      <w:spacing w:before="100" w:beforeAutospacing="1" w:after="100" w:afterAutospacing="1"/>
      <w:widowControl/>
    </w:pPr>
    <w:rPr>
      <w:rFonts w:ascii="宋体" w:hAnsi="宋体" w:cs="宋体"/>
      <w:sz w:val="24"/>
    </w:rPr>
  </w:style>
  <w:style w:type="paragraph" w:styleId="911">
    <w:name w:val="List Continue 3"/>
    <w:basedOn w:val="858"/>
    <w:uiPriority w:val="0"/>
    <w:qFormat/>
    <w:pPr>
      <w:contextualSpacing/>
      <w:ind w:left="1260"/>
      <w:spacing w:after="120"/>
    </w:pPr>
    <w:rPr>
      <w:rFonts w:eastAsia="KaiTi_GB2312"/>
      <w:sz w:val="26"/>
      <w:szCs w:val="20"/>
    </w:rPr>
  </w:style>
  <w:style w:type="paragraph" w:styleId="912">
    <w:name w:val="index 2"/>
    <w:basedOn w:val="858"/>
    <w:next w:val="858"/>
    <w:uiPriority w:val="0"/>
    <w:qFormat/>
    <w:pPr>
      <w:ind w:left="420"/>
    </w:pPr>
    <w:rPr>
      <w:rFonts w:eastAsia="KaiTi_GB2312"/>
      <w:sz w:val="26"/>
      <w:szCs w:val="20"/>
    </w:rPr>
  </w:style>
  <w:style w:type="paragraph" w:styleId="913">
    <w:name w:val="Title"/>
    <w:basedOn w:val="858"/>
    <w:link w:val="999"/>
    <w:uiPriority w:val="0"/>
    <w:qFormat/>
    <w:pPr>
      <w:ind w:left="1140" w:hanging="720"/>
      <w:jc w:val="center"/>
      <w:spacing w:before="240" w:after="60"/>
      <w:tabs>
        <w:tab w:val="left" w:pos="432" w:leader="none"/>
        <w:tab w:val="left" w:pos="1140" w:leader="none"/>
      </w:tabs>
      <w:outlineLvl w:val="0"/>
    </w:pPr>
    <w:rPr>
      <w:rFonts w:ascii="Arial" w:hAnsi="Arial"/>
      <w:b/>
      <w:bCs/>
      <w:sz w:val="32"/>
      <w:szCs w:val="32"/>
    </w:rPr>
  </w:style>
  <w:style w:type="paragraph" w:styleId="914">
    <w:name w:val="annotation subject"/>
    <w:basedOn w:val="876"/>
    <w:next w:val="876"/>
    <w:link w:val="1013"/>
    <w:uiPriority w:val="0"/>
    <w:semiHidden/>
    <w:qFormat/>
    <w:rPr>
      <w:b/>
      <w:bCs/>
    </w:rPr>
  </w:style>
  <w:style w:type="paragraph" w:styleId="915">
    <w:name w:val="Body Text First Indent"/>
    <w:basedOn w:val="878"/>
    <w:link w:val="1015"/>
    <w:uiPriority w:val="0"/>
    <w:qFormat/>
    <w:pPr>
      <w:ind w:firstLine="420"/>
    </w:pPr>
    <w:rPr>
      <w:rFonts w:eastAsia="KaiTi_GB2312"/>
      <w:sz w:val="26"/>
      <w:szCs w:val="20"/>
    </w:rPr>
  </w:style>
  <w:style w:type="paragraph" w:styleId="916">
    <w:name w:val="Body Text First Indent 2"/>
    <w:basedOn w:val="879"/>
    <w:uiPriority w:val="99"/>
    <w:unhideWhenUsed/>
    <w:qFormat/>
    <w:pPr>
      <w:ind w:left="420" w:firstLine="420"/>
      <w:spacing w:after="120" w:line="240" w:lineRule="auto"/>
    </w:pPr>
    <w:rPr>
      <w:rFonts w:ascii="Times New Roman" w:hAnsi="Times New Roman"/>
    </w:rPr>
  </w:style>
  <w:style w:type="table" w:styleId="917">
    <w:name w:val="Table Grid"/>
    <w:basedOn w:val="869"/>
    <w:uiPriority w:val="0"/>
    <w:qFormat/>
    <w:pPr>
      <w:jc w:val="both"/>
      <w:widowControl w:val="off"/>
    </w:pPr>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8">
    <w:name w:val="Strong"/>
    <w:basedOn w:val="868"/>
    <w:uiPriority w:val="0"/>
    <w:qFormat/>
    <w:rPr>
      <w:b/>
      <w:bCs/>
    </w:rPr>
  </w:style>
  <w:style w:type="character" w:styleId="919">
    <w:name w:val="endnote reference"/>
    <w:uiPriority w:val="0"/>
    <w:qFormat/>
    <w:rPr>
      <w:vertAlign w:val="superscript"/>
    </w:rPr>
  </w:style>
  <w:style w:type="character" w:styleId="920">
    <w:name w:val="page number"/>
    <w:basedOn w:val="868"/>
    <w:uiPriority w:val="99"/>
    <w:qFormat/>
  </w:style>
  <w:style w:type="character" w:styleId="921">
    <w:name w:val="FollowedHyperlink"/>
    <w:uiPriority w:val="0"/>
    <w:qFormat/>
    <w:rPr>
      <w:color w:val="800080"/>
      <w:u w:val="single"/>
    </w:rPr>
  </w:style>
  <w:style w:type="character" w:styleId="922">
    <w:name w:val="Emphasis"/>
    <w:uiPriority w:val="0"/>
    <w:qFormat/>
    <w:rPr>
      <w:i/>
      <w:iCs/>
    </w:rPr>
  </w:style>
  <w:style w:type="character" w:styleId="923">
    <w:name w:val="HTML Typewriter"/>
    <w:uiPriority w:val="0"/>
    <w:qFormat/>
    <w:rPr>
      <w:rFonts w:ascii="黑体" w:hAnsi="Courier New" w:eastAsia="黑体"/>
      <w:sz w:val="14"/>
    </w:rPr>
  </w:style>
  <w:style w:type="character" w:styleId="924">
    <w:name w:val="Hyperlink"/>
    <w:uiPriority w:val="0"/>
    <w:qFormat/>
    <w:rPr>
      <w:color w:val="000000"/>
      <w:u w:val="none"/>
    </w:rPr>
  </w:style>
  <w:style w:type="character" w:styleId="925">
    <w:name w:val="annotation reference"/>
    <w:uiPriority w:val="0"/>
    <w:semiHidden/>
    <w:qFormat/>
    <w:rPr>
      <w:sz w:val="21"/>
      <w:szCs w:val="21"/>
    </w:rPr>
  </w:style>
  <w:style w:type="character" w:styleId="926">
    <w:name w:val="footnote reference"/>
    <w:uiPriority w:val="0"/>
    <w:qFormat/>
    <w:rPr>
      <w:vertAlign w:val="superscript"/>
    </w:rPr>
  </w:style>
  <w:style w:type="paragraph" w:styleId="927" w:customStyle="1">
    <w:name w:val="段"/>
    <w:next w:val="858"/>
    <w:uiPriority w:val="0"/>
    <w:qFormat/>
    <w:pPr>
      <w:ind w:firstLine="200"/>
      <w:jc w:val="both"/>
    </w:pPr>
    <w:rPr>
      <w:rFonts w:ascii="宋体" w:hAnsi="Times New Roman" w:eastAsia="宋体" w:cs="Times New Roman"/>
      <w:sz w:val="21"/>
      <w:szCs w:val="22"/>
      <w:lang w:val="en-US" w:eastAsia="zh-CN" w:bidi="ar-SA"/>
    </w:rPr>
  </w:style>
  <w:style w:type="paragraph" w:styleId="928" w:customStyle="1">
    <w:name w:val="首行缩进"/>
    <w:basedOn w:val="858"/>
    <w:uiPriority w:val="0"/>
    <w:qFormat/>
    <w:pPr>
      <w:ind w:firstLine="480"/>
    </w:pPr>
    <w:rPr>
      <w:szCs w:val="20"/>
      <w:lang w:val="zh-CN"/>
    </w:rPr>
  </w:style>
  <w:style w:type="paragraph" w:styleId="929" w:customStyle="1">
    <w:name w:val="p1"/>
    <w:basedOn w:val="858"/>
    <w:uiPriority w:val="0"/>
    <w:qFormat/>
    <w:pPr>
      <w:jc w:val="left"/>
      <w:spacing w:line="380" w:lineRule="atLeast"/>
    </w:pPr>
    <w:rPr>
      <w:rFonts w:ascii="Helvetica Neue" w:hAnsi="Helvetica Neue" w:eastAsia="Helvetica Neue"/>
      <w:color w:val="000000"/>
      <w:sz w:val="26"/>
      <w:szCs w:val="26"/>
    </w:rPr>
  </w:style>
  <w:style w:type="paragraph" w:styleId="930" w:customStyle="1">
    <w:name w:val="font6"/>
    <w:basedOn w:val="858"/>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931" w:customStyle="1">
    <w:name w:val="xl47"/>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32" w:customStyle="1">
    <w:name w:val="xl56"/>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3" w:customStyle="1">
    <w:name w:val="纯文本2"/>
    <w:basedOn w:val="858"/>
    <w:uiPriority w:val="0"/>
    <w:qFormat/>
    <w:rPr>
      <w:rFonts w:ascii="宋体" w:hAnsi="Courier New" w:eastAsia="KaiTi_GB2312"/>
      <w:sz w:val="26"/>
      <w:szCs w:val="20"/>
    </w:rPr>
  </w:style>
  <w:style w:type="paragraph" w:styleId="934" w:customStyle="1">
    <w:name w:val="小四 段落 宋体 Char Char Char Char Char Char Char"/>
    <w:basedOn w:val="872"/>
    <w:uiPriority w:val="0"/>
    <w:semiHidden/>
    <w:qFormat/>
    <w:pPr>
      <w:ind w:left="0" w:right="-33" w:firstLine="545"/>
      <w:jc w:val="left"/>
      <w:spacing w:line="360" w:lineRule="auto"/>
      <w:tabs>
        <w:tab w:val="clear" w:pos="1125" w:leader="none"/>
      </w:tabs>
    </w:pPr>
    <w:rPr>
      <w:sz w:val="24"/>
    </w:rPr>
  </w:style>
  <w:style w:type="paragraph" w:styleId="935" w:customStyle="1">
    <w:name w:val="Plain Text2"/>
    <w:basedOn w:val="858"/>
    <w:uiPriority w:val="0"/>
    <w:qFormat/>
    <w:rPr>
      <w:rFonts w:ascii="宋体" w:hAnsi="Courier New" w:eastAsia="KaiTi_GB2312"/>
      <w:sz w:val="26"/>
      <w:szCs w:val="20"/>
    </w:rPr>
  </w:style>
  <w:style w:type="paragraph" w:styleId="936" w:customStyle="1">
    <w:name w:val="_正文段落"/>
    <w:basedOn w:val="858"/>
    <w:uiPriority w:val="0"/>
    <w:qFormat/>
    <w:pPr>
      <w:ind w:firstLine="480"/>
      <w:spacing w:line="360" w:lineRule="auto"/>
    </w:pPr>
    <w:rPr>
      <w:rFonts w:ascii="宋体" w:hAnsi="宋体" w:eastAsia="KaiTi_GB2312"/>
      <w:sz w:val="26"/>
      <w:szCs w:val="20"/>
    </w:rPr>
  </w:style>
  <w:style w:type="paragraph" w:styleId="937" w:customStyle="1">
    <w:name w:val="xl64"/>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38" w:customStyle="1">
    <w:name w:val="列表段落"/>
    <w:basedOn w:val="858"/>
    <w:link w:val="998"/>
    <w:uiPriority w:val="0"/>
    <w:qFormat/>
    <w:pPr>
      <w:ind w:firstLine="420"/>
    </w:pPr>
    <w:rPr>
      <w:rFonts w:ascii="Calibri" w:hAnsi="Calibri"/>
      <w:sz w:val="20"/>
      <w:szCs w:val="20"/>
    </w:rPr>
  </w:style>
  <w:style w:type="paragraph" w:styleId="939" w:customStyle="1">
    <w:name w:val="_Style 5"/>
    <w:basedOn w:val="858"/>
    <w:uiPriority w:val="0"/>
    <w:qFormat/>
    <w:pPr>
      <w:spacing w:after="160" w:line="240" w:lineRule="exact"/>
    </w:pPr>
    <w:rPr>
      <w:rFonts w:eastAsia="KaiTi_GB2312"/>
      <w:sz w:val="26"/>
      <w:szCs w:val="20"/>
    </w:rPr>
  </w:style>
  <w:style w:type="paragraph" w:styleId="940" w:customStyle="1">
    <w:name w:val="xl59"/>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1" w:customStyle="1">
    <w:name w:val="xl55"/>
    <w:basedOn w:val="85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2" w:customStyle="1">
    <w:name w:val="xl63"/>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43" w:customStyle="1">
    <w:name w:val="_Style 30"/>
    <w:basedOn w:val="858"/>
    <w:next w:val="886"/>
    <w:uiPriority w:val="0"/>
    <w:qFormat/>
    <w:rPr>
      <w:rFonts w:ascii="宋体" w:hAnsi="Courier New"/>
      <w:szCs w:val="20"/>
    </w:rPr>
  </w:style>
  <w:style w:type="paragraph" w:styleId="944" w:customStyle="1">
    <w:name w:val="xl53"/>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5" w:customStyle="1">
    <w:name w:val="font5"/>
    <w:basedOn w:val="858"/>
    <w:uiPriority w:val="0"/>
    <w:qFormat/>
    <w:pPr>
      <w:jc w:val="left"/>
      <w:spacing w:before="100" w:beforeAutospacing="1" w:after="100" w:afterAutospacing="1"/>
      <w:widowControl/>
    </w:pPr>
    <w:rPr>
      <w:rFonts w:hint="eastAsia" w:ascii="宋体" w:hAnsi="宋体"/>
      <w:sz w:val="18"/>
      <w:szCs w:val="18"/>
    </w:rPr>
  </w:style>
  <w:style w:type="paragraph" w:styleId="946" w:customStyle="1">
    <w:name w:val="xl66"/>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7" w:customStyle="1">
    <w:name w:val="Char"/>
    <w:basedOn w:val="858"/>
    <w:uiPriority w:val="0"/>
    <w:qFormat/>
    <w:pPr>
      <w:ind w:left="420" w:hanging="420"/>
      <w:tabs>
        <w:tab w:val="left" w:pos="420" w:leader="none"/>
      </w:tabs>
    </w:pPr>
    <w:rPr>
      <w:sz w:val="24"/>
    </w:rPr>
  </w:style>
  <w:style w:type="paragraph" w:styleId="948" w:customStyle="1">
    <w:name w:val="Char Char Char Char Char Char Char Char Char1 Char"/>
    <w:basedOn w:val="875"/>
    <w:uiPriority w:val="0"/>
    <w:qFormat/>
    <w:pPr>
      <w:spacing w:line="360" w:lineRule="auto"/>
    </w:pPr>
    <w:rPr>
      <w:rFonts w:ascii="Tahoma" w:hAnsi="Tahoma"/>
      <w:sz w:val="24"/>
    </w:rPr>
  </w:style>
  <w:style w:type="paragraph" w:styleId="949" w:customStyle="1">
    <w:name w:val="xl45"/>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0" w:customStyle="1">
    <w:name w:val="xl50"/>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51" w:customStyle="1">
    <w:name w:val="xl60"/>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2" w:customStyle="1">
    <w:name w:val="小四 段落 宋体 Char"/>
    <w:basedOn w:val="872"/>
    <w:uiPriority w:val="0"/>
    <w:qFormat/>
    <w:pPr>
      <w:ind w:left="0" w:right="-33" w:firstLine="480"/>
      <w:jc w:val="left"/>
      <w:spacing w:line="360" w:lineRule="auto"/>
      <w:tabs>
        <w:tab w:val="clear" w:pos="1125" w:leader="none"/>
      </w:tabs>
    </w:pPr>
    <w:rPr>
      <w:sz w:val="24"/>
    </w:rPr>
  </w:style>
  <w:style w:type="paragraph" w:styleId="953" w:customStyle="1">
    <w:name w:val="正文2"/>
    <w:basedOn w:val="858"/>
    <w:uiPriority w:val="0"/>
    <w:qFormat/>
    <w:pPr>
      <w:ind w:firstLine="200"/>
      <w:jc w:val="left"/>
      <w:spacing w:after="160" w:line="360" w:lineRule="auto"/>
      <w:widowControl/>
    </w:pPr>
    <w:rPr>
      <w:rFonts w:ascii="Verdana" w:hAnsi="Verdana" w:eastAsia="黑体"/>
      <w:szCs w:val="20"/>
      <w:lang w:eastAsia="en-US"/>
    </w:rPr>
  </w:style>
  <w:style w:type="paragraph" w:styleId="95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55" w:customStyle="1">
    <w:name w:val="+正文"/>
    <w:basedOn w:val="858"/>
    <w:link w:val="1005"/>
    <w:uiPriority w:val="0"/>
    <w:qFormat/>
    <w:pPr>
      <w:ind w:firstLine="200"/>
      <w:spacing w:line="360" w:lineRule="auto"/>
    </w:pPr>
    <w:rPr>
      <w:sz w:val="24"/>
      <w:szCs w:val="20"/>
    </w:rPr>
  </w:style>
  <w:style w:type="paragraph" w:styleId="956" w:customStyle="1">
    <w:name w:val="xl52"/>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7" w:customStyle="1">
    <w:name w:val="文字正文主体"/>
    <w:basedOn w:val="858"/>
    <w:link w:val="1017"/>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paragraph" w:styleId="958" w:customStyle="1">
    <w:name w:val="xl54"/>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9" w:customStyle="1">
    <w:name w:val="正文1"/>
    <w:basedOn w:val="858"/>
    <w:next w:val="858"/>
    <w:uiPriority w:val="0"/>
    <w:qFormat/>
    <w:pPr>
      <w:ind w:left="420" w:firstLine="527"/>
      <w:spacing w:before="120" w:line="360" w:lineRule="auto"/>
    </w:pPr>
    <w:rPr>
      <w:rFonts w:ascii="宋体" w:hAnsi="宋体"/>
    </w:rPr>
  </w:style>
  <w:style w:type="paragraph" w:styleId="960" w:customStyle="1">
    <w:name w:val="xl65"/>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1"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962" w:customStyle="1">
    <w:name w:val="Char2"/>
    <w:basedOn w:val="858"/>
    <w:uiPriority w:val="0"/>
    <w:qFormat/>
    <w:rPr>
      <w:rFonts w:ascii="Tahoma" w:hAnsi="Tahoma"/>
      <w:sz w:val="24"/>
      <w:szCs w:val="20"/>
    </w:rPr>
  </w:style>
  <w:style w:type="paragraph" w:styleId="963" w:customStyle="1">
    <w:name w:val="Char1"/>
    <w:basedOn w:val="858"/>
    <w:uiPriority w:val="0"/>
    <w:qFormat/>
    <w:rPr>
      <w:sz w:val="24"/>
    </w:rPr>
  </w:style>
  <w:style w:type="paragraph" w:styleId="964" w:customStyle="1">
    <w:name w:val="列出段落2"/>
    <w:basedOn w:val="858"/>
    <w:link w:val="992"/>
    <w:uiPriority w:val="0"/>
    <w:qFormat/>
    <w:pPr>
      <w:ind w:firstLine="420"/>
    </w:pPr>
    <w:rPr>
      <w:sz w:val="20"/>
    </w:rPr>
  </w:style>
  <w:style w:type="paragraph" w:styleId="965" w:customStyle="1">
    <w:name w:val="Char Char Char Char Char Char Char Char Char1 Char Char Char Char"/>
    <w:basedOn w:val="875"/>
    <w:uiPriority w:val="0"/>
    <w:qFormat/>
    <w:pPr>
      <w:spacing w:line="360" w:lineRule="auto"/>
    </w:pPr>
    <w:rPr>
      <w:rFonts w:eastAsia="KaiTi_GB2312"/>
      <w:sz w:val="26"/>
      <w:szCs w:val="20"/>
    </w:rPr>
  </w:style>
  <w:style w:type="paragraph" w:styleId="966" w:customStyle="1">
    <w:name w:val="xl49"/>
    <w:basedOn w:val="85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67" w:customStyle="1">
    <w:name w:val="xl48"/>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68" w:customStyle="1">
    <w:name w:val="纯文本3"/>
    <w:basedOn w:val="858"/>
    <w:uiPriority w:val="0"/>
    <w:qFormat/>
    <w:rPr>
      <w:rFonts w:ascii="宋体" w:hAnsi="Courier New" w:eastAsia="KaiTi_GB2312"/>
      <w:sz w:val="28"/>
    </w:rPr>
  </w:style>
  <w:style w:type="paragraph" w:styleId="969" w:customStyle="1">
    <w:name w:val="xl51"/>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70" w:customStyle="1">
    <w:name w:val="纯文本1"/>
    <w:basedOn w:val="858"/>
    <w:link w:val="1004"/>
    <w:uiPriority w:val="0"/>
    <w:qFormat/>
    <w:rPr>
      <w:rFonts w:ascii="宋体" w:hAnsi="Courier New" w:eastAsia="KaiTi_GB2312"/>
      <w:sz w:val="28"/>
      <w:szCs w:val="20"/>
    </w:rPr>
  </w:style>
  <w:style w:type="paragraph" w:styleId="971" w:customStyle="1">
    <w:name w:val="Char Char Char Char"/>
    <w:basedOn w:val="875"/>
    <w:uiPriority w:val="0"/>
    <w:qFormat/>
    <w:pPr>
      <w:spacing w:line="360" w:lineRule="auto"/>
    </w:pPr>
    <w:rPr>
      <w:sz w:val="24"/>
      <w:szCs w:val="20"/>
    </w:rPr>
  </w:style>
  <w:style w:type="paragraph" w:styleId="972" w:customStyle="1">
    <w:name w:val="xl62"/>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73" w:customStyle="1">
    <w:name w:val="xl61"/>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74" w:customStyle="1">
    <w:name w:val="Char Char Char1 Char Char Char Char"/>
    <w:basedOn w:val="858"/>
    <w:uiPriority w:val="0"/>
    <w:qFormat/>
    <w:pPr>
      <w:jc w:val="left"/>
      <w:spacing w:after="160" w:line="240" w:lineRule="exact"/>
      <w:widowControl/>
    </w:pPr>
    <w:rPr>
      <w:sz w:val="24"/>
    </w:rPr>
  </w:style>
  <w:style w:type="paragraph" w:styleId="975" w:customStyle="1">
    <w:name w:val="小四 段落 宋体 Char Char Char Char Char Char"/>
    <w:basedOn w:val="934"/>
    <w:uiPriority w:val="0"/>
    <w:qFormat/>
    <w:pPr>
      <w:ind w:firstLine="480"/>
    </w:pPr>
    <w:rPr>
      <w:rFonts w:ascii="宋体" w:hAnsi="宋体"/>
    </w:rPr>
  </w:style>
  <w:style w:type="paragraph" w:styleId="976" w:customStyle="1">
    <w:name w:val="xl46"/>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7" w:customStyle="1">
    <w:name w:val="Char Char Char"/>
    <w:basedOn w:val="875"/>
    <w:uiPriority w:val="0"/>
    <w:qFormat/>
    <w:pPr>
      <w:spacing w:line="360" w:lineRule="auto"/>
    </w:pPr>
    <w:rPr>
      <w:rFonts w:ascii="Tahoma" w:hAnsi="Tahoma"/>
      <w:sz w:val="24"/>
    </w:rPr>
  </w:style>
  <w:style w:type="paragraph" w:styleId="978" w:customStyle="1">
    <w:name w:val="Char Char Char Char Char Char Char Char Char Char"/>
    <w:basedOn w:val="858"/>
    <w:uiPriority w:val="0"/>
    <w:qFormat/>
    <w:pPr>
      <w:ind w:left="420" w:hanging="420"/>
      <w:tabs>
        <w:tab w:val="left" w:pos="420" w:leader="none"/>
      </w:tabs>
    </w:pPr>
    <w:rPr>
      <w:sz w:val="24"/>
    </w:rPr>
  </w:style>
  <w:style w:type="paragraph" w:styleId="979" w:customStyle="1">
    <w:name w:val="xl57"/>
    <w:basedOn w:val="85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0" w:customStyle="1">
    <w:name w:val="xl58"/>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1" w:customStyle="1">
    <w:name w:val="Char1 Char Char Char"/>
    <w:basedOn w:val="858"/>
    <w:uiPriority w:val="0"/>
    <w:qFormat/>
    <w:rPr>
      <w:rFonts w:ascii="Tahoma" w:hAnsi="Tahoma"/>
      <w:sz w:val="24"/>
      <w:szCs w:val="20"/>
    </w:rPr>
  </w:style>
  <w:style w:type="paragraph" w:styleId="982" w:customStyle="1">
    <w:name w:val="纯文本11"/>
    <w:basedOn w:val="858"/>
    <w:uiPriority w:val="0"/>
    <w:qFormat/>
    <w:rPr>
      <w:rFonts w:ascii="宋体" w:hAnsi="Courier New" w:eastAsia="KaiTi_GB2312"/>
      <w:sz w:val="28"/>
      <w:szCs w:val="20"/>
    </w:rPr>
  </w:style>
  <w:style w:type="paragraph" w:styleId="983" w:customStyle="1">
    <w:name w:val="列出段落1"/>
    <w:basedOn w:val="858"/>
    <w:uiPriority w:val="99"/>
    <w:qFormat/>
    <w:pPr>
      <w:ind w:firstLine="420"/>
    </w:pPr>
  </w:style>
  <w:style w:type="character" w:styleId="984" w:customStyle="1">
    <w:name w:val="标题 2 Char"/>
    <w:link w:val="860"/>
    <w:uiPriority w:val="0"/>
    <w:qFormat/>
    <w:rPr>
      <w:rFonts w:ascii="Cambria" w:hAnsi="Cambria" w:eastAsia="宋体" w:cs="Times New Roman"/>
      <w:b/>
      <w:bCs/>
      <w:sz w:val="32"/>
      <w:szCs w:val="32"/>
    </w:rPr>
  </w:style>
  <w:style w:type="character" w:styleId="985" w:customStyle="1">
    <w:name w:val="标题 1 Char"/>
    <w:link w:val="859"/>
    <w:uiPriority w:val="0"/>
    <w:qFormat/>
    <w:rPr>
      <w:rFonts w:ascii="Times New Roman" w:hAnsi="Times New Roman" w:eastAsia="宋体" w:cs="Times New Roman"/>
      <w:b/>
      <w:bCs/>
      <w:sz w:val="44"/>
      <w:szCs w:val="44"/>
    </w:rPr>
  </w:style>
  <w:style w:type="character" w:styleId="986" w:customStyle="1">
    <w:name w:val="尾注文本 Char"/>
    <w:uiPriority w:val="0"/>
    <w:qFormat/>
    <w:rPr>
      <w:rFonts w:eastAsia="KaiTi_GB2312"/>
      <w:sz w:val="26"/>
    </w:rPr>
  </w:style>
  <w:style w:type="character" w:styleId="987" w:customStyle="1">
    <w:name w:val="尾注文本 Char1"/>
    <w:link w:val="891"/>
    <w:uiPriority w:val="0"/>
    <w:qFormat/>
    <w:rPr>
      <w:rFonts w:ascii="Times New Roman" w:hAnsi="Times New Roman" w:eastAsia="宋体" w:cs="Times New Roman"/>
      <w:szCs w:val="24"/>
    </w:rPr>
  </w:style>
  <w:style w:type="character" w:styleId="988" w:customStyle="1">
    <w:name w:val="Char Char19"/>
    <w:uiPriority w:val="0"/>
    <w:qFormat/>
    <w:rPr>
      <w:rFonts w:hint="eastAsia" w:ascii="宋体" w:hAnsi="Courier New" w:eastAsia="KaiTi_GB2312"/>
      <w:sz w:val="28"/>
      <w:lang w:val="en-US" w:eastAsia="zh-CN"/>
    </w:rPr>
  </w:style>
  <w:style w:type="character" w:styleId="989" w:customStyle="1">
    <w:name w:val="纯文本 Char1"/>
    <w:link w:val="886"/>
    <w:uiPriority w:val="99"/>
    <w:semiHidden/>
    <w:qFormat/>
    <w:rPr>
      <w:rFonts w:ascii="宋体" w:hAnsi="Courier New" w:eastAsia="宋体" w:cs="Courier New"/>
      <w:szCs w:val="21"/>
    </w:rPr>
  </w:style>
  <w:style w:type="character" w:styleId="990" w:customStyle="1">
    <w:name w:val="font11"/>
    <w:uiPriority w:val="0"/>
    <w:qFormat/>
    <w:rPr>
      <w:rFonts w:ascii="Verdana" w:hAnsi="Verdana" w:cs="Verdana"/>
      <w:color w:val="000000"/>
      <w:sz w:val="24"/>
      <w:szCs w:val="24"/>
      <w:u w:val="none"/>
    </w:rPr>
  </w:style>
  <w:style w:type="character" w:styleId="991" w:customStyle="1">
    <w:name w:val="Char Char11"/>
    <w:uiPriority w:val="0"/>
    <w:qFormat/>
    <w:rPr>
      <w:sz w:val="21"/>
    </w:rPr>
  </w:style>
  <w:style w:type="character" w:styleId="992" w:customStyle="1">
    <w:name w:val="列出段落 Char"/>
    <w:link w:val="964"/>
    <w:uiPriority w:val="0"/>
    <w:qFormat/>
    <w:rPr>
      <w:rFonts w:ascii="Times New Roman" w:hAnsi="Times New Roman" w:eastAsia="宋体" w:cs="Times New Roman"/>
      <w:szCs w:val="24"/>
    </w:rPr>
  </w:style>
  <w:style w:type="character" w:styleId="993" w:customStyle="1">
    <w:name w:val="正文缩进 Char1"/>
    <w:uiPriority w:val="0"/>
    <w:qFormat/>
    <w:rPr>
      <w:rFonts w:eastAsia="KaiTi_GB2312"/>
      <w:sz w:val="24"/>
      <w:lang w:val="en-US" w:eastAsia="zh-CN" w:bidi="ar-SA"/>
    </w:rPr>
  </w:style>
  <w:style w:type="character" w:styleId="994" w:customStyle="1">
    <w:name w:val="HTML 预设格式 Char"/>
    <w:link w:val="909"/>
    <w:uiPriority w:val="0"/>
    <w:qFormat/>
    <w:rPr>
      <w:rFonts w:ascii="黑体" w:hAnsi="Courier New" w:eastAsia="黑体" w:cs="Times New Roman"/>
      <w:sz w:val="20"/>
      <w:szCs w:val="20"/>
    </w:rPr>
  </w:style>
  <w:style w:type="character" w:styleId="995" w:customStyle="1">
    <w:name w:val="标题 4 Char"/>
    <w:link w:val="862"/>
    <w:uiPriority w:val="0"/>
    <w:qFormat/>
    <w:rPr>
      <w:rFonts w:ascii="Times New Roman" w:hAnsi="Times New Roman" w:eastAsia="宋体" w:cs="Times New Roman"/>
      <w:b/>
      <w:bCs/>
      <w:sz w:val="28"/>
      <w:szCs w:val="28"/>
    </w:rPr>
  </w:style>
  <w:style w:type="character" w:styleId="996" w:customStyle="1">
    <w:name w:val="正文文本缩进 3 Char"/>
    <w:link w:val="902"/>
    <w:uiPriority w:val="0"/>
    <w:qFormat/>
    <w:rPr>
      <w:rFonts w:ascii="Times New Roman" w:hAnsi="Times New Roman" w:eastAsia="宋体" w:cs="Times New Roman"/>
      <w:sz w:val="24"/>
      <w:szCs w:val="24"/>
    </w:rPr>
  </w:style>
  <w:style w:type="character" w:styleId="997" w:customStyle="1">
    <w:name w:val="标题 3 Char"/>
    <w:link w:val="861"/>
    <w:uiPriority w:val="0"/>
    <w:qFormat/>
    <w:rPr>
      <w:rFonts w:ascii="Times New Roman" w:hAnsi="Times New Roman" w:eastAsia="宋体" w:cs="Times New Roman"/>
      <w:b/>
      <w:bCs/>
      <w:sz w:val="32"/>
      <w:szCs w:val="32"/>
    </w:rPr>
  </w:style>
  <w:style w:type="character" w:styleId="998" w:customStyle="1">
    <w:name w:val="列表段落 字符"/>
    <w:link w:val="938"/>
    <w:uiPriority w:val="0"/>
    <w:qFormat/>
    <w:rPr>
      <w:rFonts w:ascii="Calibri" w:hAnsi="Calibri"/>
    </w:rPr>
  </w:style>
  <w:style w:type="character" w:styleId="999" w:customStyle="1">
    <w:name w:val="标题 Char1"/>
    <w:link w:val="913"/>
    <w:uiPriority w:val="10"/>
    <w:qFormat/>
    <w:rPr>
      <w:rFonts w:ascii="Cambria" w:hAnsi="Cambria" w:eastAsia="宋体" w:cs="Times New Roman"/>
      <w:b/>
      <w:bCs/>
      <w:sz w:val="32"/>
      <w:szCs w:val="32"/>
    </w:rPr>
  </w:style>
  <w:style w:type="character" w:styleId="1000" w:customStyle="1">
    <w:name w:val="日期 Char"/>
    <w:uiPriority w:val="0"/>
    <w:qFormat/>
    <w:rPr>
      <w:sz w:val="36"/>
    </w:rPr>
  </w:style>
  <w:style w:type="character" w:styleId="1001" w:customStyle="1">
    <w:name w:val="样式 黑体 小四 自定义颜色(RGB(1500))"/>
    <w:uiPriority w:val="0"/>
    <w:qFormat/>
    <w:rPr>
      <w:rFonts w:ascii="Times New Roman" w:hAnsi="Times New Roman" w:eastAsia="黑体" w:cs="Times New Roman"/>
      <w:color w:val="0f0000"/>
      <w:sz w:val="24"/>
      <w:szCs w:val="24"/>
    </w:rPr>
  </w:style>
  <w:style w:type="character" w:styleId="1002" w:customStyle="1">
    <w:name w:val="脚注文本 Char"/>
    <w:link w:val="900"/>
    <w:uiPriority w:val="0"/>
    <w:qFormat/>
    <w:rPr>
      <w:rFonts w:ascii="Times New Roman" w:hAnsi="Times New Roman" w:eastAsia="KaiTi_GB2312" w:cs="Times New Roman"/>
      <w:sz w:val="18"/>
      <w:szCs w:val="20"/>
    </w:rPr>
  </w:style>
  <w:style w:type="character" w:styleId="1003" w:customStyle="1">
    <w:name w:val="正文文本 2 Char"/>
    <w:link w:val="908"/>
    <w:uiPriority w:val="0"/>
    <w:qFormat/>
    <w:rPr>
      <w:rFonts w:ascii="Times New Roman" w:hAnsi="Times New Roman" w:eastAsia="KaiTi_GB2312" w:cs="Times New Roman"/>
      <w:sz w:val="26"/>
      <w:szCs w:val="20"/>
    </w:rPr>
  </w:style>
  <w:style w:type="character" w:styleId="1004" w:customStyle="1">
    <w:name w:val="Plain Text Char Char"/>
    <w:link w:val="970"/>
    <w:uiPriority w:val="0"/>
    <w:qFormat/>
    <w:rPr>
      <w:rFonts w:ascii="宋体" w:hAnsi="Courier New" w:eastAsia="KaiTi_GB2312"/>
      <w:sz w:val="28"/>
    </w:rPr>
  </w:style>
  <w:style w:type="character" w:styleId="1005" w:customStyle="1">
    <w:name w:val="+正文 Char3"/>
    <w:link w:val="955"/>
    <w:uiPriority w:val="0"/>
    <w:qFormat/>
    <w:rPr>
      <w:rFonts w:eastAsia="宋体"/>
      <w:sz w:val="24"/>
    </w:rPr>
  </w:style>
  <w:style w:type="character" w:styleId="1006" w:customStyle="1">
    <w:name w:val="批注文字 Char1"/>
    <w:link w:val="876"/>
    <w:uiPriority w:val="99"/>
    <w:semiHidden/>
    <w:qFormat/>
    <w:rPr>
      <w:rFonts w:ascii="Times New Roman" w:hAnsi="Times New Roman" w:eastAsia="宋体" w:cs="Times New Roman"/>
      <w:szCs w:val="24"/>
    </w:rPr>
  </w:style>
  <w:style w:type="character" w:styleId="1007" w:customStyle="1">
    <w:name w:val="标题 7 Char"/>
    <w:link w:val="865"/>
    <w:uiPriority w:val="0"/>
    <w:qFormat/>
    <w:rPr>
      <w:rFonts w:ascii="宋体" w:hAnsi="Tms Rmn" w:eastAsia="宋体" w:cs="Times New Roman"/>
      <w:b/>
      <w:sz w:val="24"/>
      <w:szCs w:val="20"/>
    </w:rPr>
  </w:style>
  <w:style w:type="character" w:styleId="1008" w:customStyle="1">
    <w:name w:val="标题 Char"/>
    <w:uiPriority w:val="0"/>
    <w:qFormat/>
    <w:rPr>
      <w:rFonts w:ascii="Arial" w:hAnsi="Arial"/>
      <w:b/>
      <w:bCs/>
      <w:sz w:val="32"/>
      <w:szCs w:val="32"/>
    </w:rPr>
  </w:style>
  <w:style w:type="character" w:styleId="1009" w:customStyle="1">
    <w:name w:val="批注文字 Char"/>
    <w:uiPriority w:val="0"/>
    <w:semiHidden/>
    <w:qFormat/>
    <w:rPr>
      <w:rFonts w:eastAsia="宋体"/>
      <w:szCs w:val="24"/>
    </w:rPr>
  </w:style>
  <w:style w:type="character" w:styleId="1010" w:customStyle="1">
    <w:name w:val="页眉 Char"/>
    <w:link w:val="894"/>
    <w:uiPriority w:val="0"/>
    <w:qFormat/>
    <w:rPr>
      <w:sz w:val="18"/>
      <w:szCs w:val="18"/>
    </w:rPr>
  </w:style>
  <w:style w:type="character" w:styleId="1011" w:customStyle="1">
    <w:name w:val="日期 Char1"/>
    <w:link w:val="889"/>
    <w:uiPriority w:val="99"/>
    <w:semiHidden/>
    <w:qFormat/>
    <w:rPr>
      <w:rFonts w:ascii="Times New Roman" w:hAnsi="Times New Roman" w:eastAsia="宋体" w:cs="Times New Roman"/>
      <w:szCs w:val="24"/>
    </w:rPr>
  </w:style>
  <w:style w:type="character" w:styleId="1012" w:customStyle="1">
    <w:name w:val="批注框文本 Char"/>
    <w:link w:val="892"/>
    <w:uiPriority w:val="0"/>
    <w:semiHidden/>
    <w:qFormat/>
    <w:rPr>
      <w:rFonts w:ascii="Times New Roman" w:hAnsi="Times New Roman" w:eastAsia="宋体" w:cs="Times New Roman"/>
      <w:sz w:val="18"/>
      <w:szCs w:val="18"/>
    </w:rPr>
  </w:style>
  <w:style w:type="character" w:styleId="1013" w:customStyle="1">
    <w:name w:val="批注主题 Char"/>
    <w:link w:val="914"/>
    <w:uiPriority w:val="0"/>
    <w:semiHidden/>
    <w:qFormat/>
    <w:rPr>
      <w:rFonts w:ascii="Times New Roman" w:hAnsi="Times New Roman" w:eastAsia="宋体" w:cs="Times New Roman"/>
      <w:b/>
      <w:bCs/>
      <w:szCs w:val="24"/>
    </w:rPr>
  </w:style>
  <w:style w:type="character" w:styleId="1014" w:customStyle="1">
    <w:name w:val="正文文本缩进 Char"/>
    <w:link w:val="879"/>
    <w:uiPriority w:val="0"/>
    <w:qFormat/>
    <w:rPr>
      <w:rFonts w:ascii="Times New Roman" w:hAnsi="Times New Roman" w:eastAsia="宋体" w:cs="Times New Roman"/>
      <w:szCs w:val="24"/>
    </w:rPr>
  </w:style>
  <w:style w:type="character" w:styleId="1015" w:customStyle="1">
    <w:name w:val="正文首行缩进 Char"/>
    <w:link w:val="915"/>
    <w:uiPriority w:val="0"/>
    <w:qFormat/>
    <w:rPr>
      <w:rFonts w:ascii="Times New Roman" w:hAnsi="Times New Roman" w:eastAsia="KaiTi_GB2312" w:cs="Times New Roman"/>
      <w:sz w:val="26"/>
      <w:szCs w:val="20"/>
    </w:rPr>
  </w:style>
  <w:style w:type="character" w:styleId="1016" w:customStyle="1">
    <w:name w:val="正文缩进 Char"/>
    <w:link w:val="873"/>
    <w:uiPriority w:val="0"/>
    <w:qFormat/>
    <w:rPr>
      <w:rFonts w:eastAsia="KaiTi_GB2312"/>
      <w:sz w:val="24"/>
    </w:rPr>
  </w:style>
  <w:style w:type="character" w:styleId="1017" w:customStyle="1">
    <w:name w:val="文字正文主体 Char Char"/>
    <w:link w:val="957"/>
    <w:uiPriority w:val="0"/>
    <w:qFormat/>
    <w:rPr>
      <w:rFonts w:ascii="仿宋" w:hAnsi="仿宋" w:eastAsia="仿宋"/>
      <w:color w:val="3a3a3a"/>
      <w:sz w:val="28"/>
    </w:rPr>
  </w:style>
  <w:style w:type="character" w:styleId="1018" w:customStyle="1">
    <w:name w:val="正文文本缩进 2 Char"/>
    <w:link w:val="890"/>
    <w:uiPriority w:val="0"/>
    <w:qFormat/>
    <w:rPr>
      <w:rFonts w:ascii="Times New Roman" w:hAnsi="Times New Roman" w:eastAsia="宋体" w:cs="Times New Roman"/>
      <w:szCs w:val="24"/>
    </w:rPr>
  </w:style>
  <w:style w:type="character" w:styleId="1019" w:customStyle="1">
    <w:name w:val="副标题 Char"/>
    <w:link w:val="899"/>
    <w:uiPriority w:val="0"/>
    <w:qFormat/>
    <w:rPr>
      <w:rFonts w:ascii="宋体" w:hAnsi="Courier New" w:eastAsia="KaiTi_GB2312" w:cs="Times New Roman"/>
      <w:sz w:val="26"/>
      <w:szCs w:val="20"/>
    </w:rPr>
  </w:style>
  <w:style w:type="character" w:styleId="1020" w:customStyle="1">
    <w:name w:val="纯文本 Char"/>
    <w:uiPriority w:val="0"/>
    <w:qFormat/>
    <w:rPr>
      <w:rFonts w:ascii="宋体" w:hAnsi="Courier New" w:eastAsia="KaiTi_GB2312"/>
      <w:sz w:val="26"/>
      <w:szCs w:val="24"/>
    </w:rPr>
  </w:style>
  <w:style w:type="character" w:styleId="1021" w:customStyle="1">
    <w:name w:val="Char Char13"/>
    <w:uiPriority w:val="0"/>
    <w:qFormat/>
    <w:rPr>
      <w:rFonts w:eastAsia="宋体"/>
      <w:sz w:val="21"/>
      <w:lang w:val="en-US" w:eastAsia="zh-CN"/>
    </w:rPr>
  </w:style>
  <w:style w:type="character" w:styleId="1022" w:customStyle="1">
    <w:name w:val="标题 9 Char"/>
    <w:link w:val="867"/>
    <w:uiPriority w:val="0"/>
    <w:qFormat/>
    <w:rPr>
      <w:rFonts w:ascii="Arial" w:hAnsi="Arial" w:eastAsia="黑体" w:cs="Times New Roman"/>
      <w:szCs w:val="21"/>
    </w:rPr>
  </w:style>
  <w:style w:type="character" w:styleId="1023" w:customStyle="1">
    <w:name w:val="Char Char5"/>
    <w:uiPriority w:val="0"/>
    <w:qFormat/>
    <w:rPr>
      <w:sz w:val="24"/>
      <w:lang w:val="en-US" w:eastAsia="zh-CN"/>
    </w:rPr>
  </w:style>
  <w:style w:type="character" w:styleId="1024" w:customStyle="1">
    <w:name w:val="font01"/>
    <w:uiPriority w:val="0"/>
    <w:qFormat/>
    <w:rPr>
      <w:rFonts w:hint="eastAsia" w:ascii="宋体" w:hAnsi="宋体" w:eastAsia="宋体" w:cs="宋体"/>
      <w:color w:val="000000"/>
      <w:sz w:val="24"/>
      <w:szCs w:val="24"/>
      <w:u w:val="none"/>
    </w:rPr>
  </w:style>
  <w:style w:type="character" w:styleId="1025" w:customStyle="1">
    <w:name w:val="标题 8 Char"/>
    <w:link w:val="866"/>
    <w:uiPriority w:val="0"/>
    <w:qFormat/>
    <w:rPr>
      <w:rFonts w:ascii="Arial" w:hAnsi="Arial" w:eastAsia="黑体" w:cs="Times New Roman"/>
      <w:sz w:val="24"/>
      <w:szCs w:val="24"/>
    </w:rPr>
  </w:style>
  <w:style w:type="character" w:styleId="1026" w:customStyle="1">
    <w:name w:val="Char Char8"/>
    <w:uiPriority w:val="0"/>
    <w:qFormat/>
    <w:rPr>
      <w:sz w:val="18"/>
    </w:rPr>
  </w:style>
  <w:style w:type="character" w:styleId="1027" w:customStyle="1">
    <w:name w:val="标题 5 Char"/>
    <w:link w:val="863"/>
    <w:uiPriority w:val="0"/>
    <w:qFormat/>
    <w:rPr>
      <w:rFonts w:ascii="Times New Roman" w:hAnsi="Times New Roman" w:eastAsia="宋体" w:cs="Times New Roman"/>
      <w:b/>
      <w:bCs/>
      <w:i/>
      <w:iCs/>
      <w:sz w:val="26"/>
      <w:szCs w:val="26"/>
    </w:rPr>
  </w:style>
  <w:style w:type="character" w:styleId="1028" w:customStyle="1">
    <w:name w:val="页脚 Char"/>
    <w:link w:val="893"/>
    <w:uiPriority w:val="0"/>
    <w:qFormat/>
    <w:rPr>
      <w:sz w:val="18"/>
      <w:szCs w:val="18"/>
    </w:rPr>
  </w:style>
  <w:style w:type="character" w:styleId="1029" w:customStyle="1">
    <w:name w:val="c lh15"/>
    <w:basedOn w:val="868"/>
    <w:uiPriority w:val="0"/>
    <w:qFormat/>
  </w:style>
  <w:style w:type="character" w:styleId="1030" w:customStyle="1">
    <w:name w:val="ca-221"/>
    <w:uiPriority w:val="0"/>
    <w:qFormat/>
    <w:rPr>
      <w:rFonts w:hint="eastAsia" w:ascii="宋体" w:hAnsi="宋体" w:eastAsia="宋体"/>
      <w:color w:val="ff0000"/>
      <w:sz w:val="24"/>
      <w:szCs w:val="24"/>
    </w:rPr>
  </w:style>
  <w:style w:type="character" w:styleId="1031" w:customStyle="1">
    <w:name w:val="正文文本 Char"/>
    <w:link w:val="878"/>
    <w:uiPriority w:val="0"/>
    <w:qFormat/>
    <w:rPr>
      <w:rFonts w:ascii="Times New Roman" w:hAnsi="Times New Roman" w:eastAsia="宋体" w:cs="Times New Roman"/>
      <w:szCs w:val="24"/>
    </w:rPr>
  </w:style>
  <w:style w:type="character" w:styleId="1032" w:customStyle="1">
    <w:name w:val="标题 6 Char"/>
    <w:link w:val="864"/>
    <w:uiPriority w:val="0"/>
    <w:qFormat/>
    <w:rPr>
      <w:rFonts w:ascii="黑体" w:hAnsi="Tms Rmn" w:eastAsia="黑体" w:cs="Times New Roman"/>
      <w:b/>
      <w:sz w:val="24"/>
      <w:szCs w:val="20"/>
    </w:rPr>
  </w:style>
  <w:style w:type="character" w:styleId="1033" w:customStyle="1">
    <w:name w:val="文档结构图 Char"/>
    <w:link w:val="875"/>
    <w:uiPriority w:val="0"/>
    <w:semiHidden/>
    <w:qFormat/>
    <w:rPr>
      <w:rFonts w:ascii="Times New Roman" w:hAnsi="Times New Roman" w:eastAsia="宋体" w:cs="Times New Roman"/>
      <w:szCs w:val="24"/>
      <w:shd w:val="clear" w:color="auto" w:fill="000080"/>
    </w:rPr>
  </w:style>
  <w:style w:type="paragraph" w:styleId="1034" w:customStyle="1">
    <w:name w:val="列出段落3"/>
    <w:basedOn w:val="858"/>
    <w:uiPriority w:val="99"/>
    <w:unhideWhenUsed/>
    <w:qFormat/>
    <w:pPr>
      <w:ind w:firstLine="420"/>
    </w:pPr>
  </w:style>
  <w:style w:type="paragraph" w:styleId="103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36" w:customStyle="1">
    <w:name w:val="02 标题"/>
    <w:basedOn w:val="861"/>
    <w:uiPriority w:val="0"/>
    <w:qFormat/>
    <w:pPr>
      <w:jc w:val="center"/>
    </w:pPr>
    <w:rPr>
      <w:rFonts w:ascii="宋体" w:hAnsi="宋体"/>
      <w:sz w:val="22"/>
    </w:rPr>
  </w:style>
  <w:style w:type="paragraph" w:styleId="1037" w:customStyle="1">
    <w:name w:val="Table Paragraph"/>
    <w:basedOn w:val="858"/>
    <w:uiPriority w:val="1"/>
    <w:qFormat/>
    <w:pPr>
      <w:ind w:left="0" w:right="0"/>
      <w:jc w:val="left"/>
      <w:spacing w:before="0" w:after="0" w:line="240" w:lineRule="auto"/>
    </w:pPr>
    <w:rPr>
      <w:rFonts w:ascii="宋体" w:hAnsi="宋体" w:cs="宋体"/>
      <w:sz w:val="22"/>
      <w:szCs w:val="22"/>
      <w:lang w:val="zh-CN" w:bidi="zh-CN"/>
    </w:rPr>
  </w:style>
  <w:style w:type="paragraph" w:styleId="1038" w:customStyle="1">
    <w:name w:val="05 标题5"/>
    <w:basedOn w:val="858"/>
    <w:uiPriority w:val="0"/>
    <w:qFormat/>
    <w:pPr>
      <w:ind w:left="0" w:right="0" w:firstLine="422"/>
      <w:jc w:val="both"/>
      <w:keepNext/>
      <w:spacing w:before="0" w:after="0" w:line="360" w:lineRule="auto"/>
      <w:widowControl/>
      <w:outlineLvl w:val="4"/>
    </w:pPr>
    <w:rPr>
      <w:rFonts w:ascii="宋体" w:hAnsi="宋体" w:cs="Times New Roman"/>
      <w:b/>
      <w:sz w:val="21"/>
      <w:szCs w:val="32"/>
      <w:lang w:val="en-US" w:bidi="ar-SA"/>
    </w:rPr>
  </w:style>
  <w:style w:type="paragraph" w:styleId="1039" w:customStyle="1">
    <w:name w:val="06正文"/>
    <w:basedOn w:val="858"/>
    <w:uiPriority w:val="0"/>
    <w:qFormat/>
    <w:pPr>
      <w:ind w:left="0" w:right="0" w:firstLine="420"/>
      <w:jc w:val="both"/>
      <w:spacing w:before="0" w:after="0" w:line="360" w:lineRule="auto"/>
      <w:widowControl/>
    </w:pPr>
    <w:rPr>
      <w:rFonts w:ascii="宋体" w:hAnsi="宋体" w:eastAsia="宋体" w:cs="宋体"/>
      <w:sz w:val="21"/>
      <w:szCs w:val="21"/>
      <w:lang w:val="en-US" w:bidi="ar-SA"/>
    </w:rPr>
  </w:style>
  <w:style w:type="paragraph" w:styleId="1040" w:customStyle="1">
    <w:name w:val="04 标题4"/>
    <w:basedOn w:val="858"/>
    <w:uiPriority w:val="0"/>
    <w:qFormat/>
    <w:pPr>
      <w:ind w:left="0" w:right="0" w:firstLine="420"/>
      <w:jc w:val="both"/>
      <w:keepNext/>
      <w:spacing w:before="0" w:after="120" w:line="360" w:lineRule="auto"/>
      <w:widowControl/>
      <w:outlineLvl w:val="3"/>
    </w:pPr>
    <w:rPr>
      <w:rFonts w:ascii="宋体" w:hAnsi="宋体" w:eastAsia="黑体" w:cs="Times New Roman"/>
      <w:sz w:val="21"/>
      <w:szCs w:val="32"/>
      <w:lang w:val="en-US" w:bidi="ar-SA"/>
    </w:rPr>
  </w:style>
  <w:style w:type="character" w:styleId="1041" w:customStyle="1">
    <w:name w:val="页脚 字符"/>
    <w:basedOn w:val="868"/>
    <w:uiPriority w:val="0"/>
    <w:qFormat/>
    <w:rPr>
      <w:sz w:val="18"/>
      <w:szCs w:val="18"/>
    </w:rPr>
  </w:style>
  <w:style w:type="character" w:styleId="1042" w:customStyle="1">
    <w:name w:val="正文文本缩进 字符"/>
    <w:basedOn w:val="868"/>
    <w:uiPriority w:val="0"/>
    <w:qFormat/>
    <w:rPr>
      <w:sz w:val="21"/>
      <w:szCs w:val="22"/>
    </w:rPr>
  </w:style>
  <w:style w:type="character" w:styleId="1043" w:customStyle="1">
    <w:name w:val="页眉 字符"/>
    <w:basedOn w:val="868"/>
    <w:uiPriority w:val="0"/>
    <w:qFormat/>
    <w:rPr>
      <w:sz w:val="18"/>
      <w:szCs w:val="18"/>
    </w:rPr>
  </w:style>
  <w:style w:type="character" w:styleId="1044" w:customStyle="1">
    <w:name w:val="NormalCharacter"/>
    <w:uiPriority w:val="0"/>
    <w:semiHidden/>
    <w:qFormat/>
  </w:style>
  <w:style w:type="paragraph" w:styleId="1045" w:customStyle="1">
    <w:name w:val="paragraph"/>
    <w:basedOn w:val="858"/>
    <w:uiPriority w:val="0"/>
    <w:semiHidden/>
    <w:qFormat/>
    <w:pPr>
      <w:jc w:val="left"/>
      <w:spacing w:before="100" w:beforeAutospacing="1" w:after="100" w:afterAutospacing="1"/>
      <w:widowControl/>
    </w:pPr>
    <w:rPr>
      <w:rFonts w:ascii="等线" w:hAnsi="宋体" w:eastAsia="等线"/>
      <w:sz w:val="24"/>
      <w:szCs w:val="24"/>
    </w:rPr>
  </w:style>
  <w:style w:type="paragraph" w:styleId="1046" w:customStyle="1">
    <w:name w:val="Table Text"/>
    <w:basedOn w:val="858"/>
    <w:uiPriority w:val="0"/>
    <w:semiHidden/>
    <w:qFormat/>
    <w:rPr>
      <w:rFonts w:ascii="宋体" w:hAnsi="宋体" w:eastAsia="宋体" w:cs="宋体"/>
      <w:sz w:val="19"/>
      <w:szCs w:val="19"/>
      <w:lang w:val="en-US" w:eastAsia="en-US" w:bidi="ar-SA"/>
    </w:rPr>
  </w:style>
  <w:style w:type="table" w:styleId="1047" w:customStyle="1">
    <w:name w:val="Table Normal"/>
    <w:uiPriority w:val="0"/>
    <w:semiHidden/>
    <w:unhideWhenUsed/>
    <w:qFormat/>
    <w:tblPr>
      <w:tblCellMar>
        <w:left w:w="0" w:type="dxa"/>
        <w:top w:w="0" w:type="dxa"/>
        <w:right w:w="0" w:type="dxa"/>
        <w:bottom w:w="0" w:type="dxa"/>
      </w:tblCellMar>
    </w:tblPr>
  </w:style>
  <w:style w:type="paragraph" w:styleId="1048">
    <w:name w:val="List Paragraph"/>
    <w:basedOn w:val="858"/>
    <w:uiPriority w:val="1"/>
    <w:qFormat/>
    <w:pPr>
      <w:ind w:left="271" w:right="272" w:firstLine="628"/>
    </w:pPr>
    <w:rPr>
      <w:rFonts w:ascii="Arial Unicode MS" w:hAnsi="Arial Unicode MS" w:eastAsia="Arial Unicode MS" w:cs="Arial Unicode MS"/>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EF%BC%89%EF%BC%8C%E5%93%8D%E5%BA%94%E6%96%87%E4%BB%B6%E7%BD%91%E4%B8%8A%E9%80%92%E4%BA%A4%EF%BC%8C%E4%B8%8D%E9%9C%80%E8%A6%81%E7%8E%B0%E5%9C%BA%E5%8F%82%E5%8A%A0%E9%87%87%E8%B4%AD%E6%B4%BB%E5%8A%A8%E3%80%82" TargetMode="External"/><Relationship Id="rId13"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范朦</cp:lastModifiedBy>
  <cp:revision>159</cp:revision>
  <dcterms:created xsi:type="dcterms:W3CDTF">2021-03-21T02:37:00Z</dcterms:created>
  <dcterms:modified xsi:type="dcterms:W3CDTF">2026-07-28T06:21:34Z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C0B044A3F83ED46011A9616AD7F7F420_43</vt:lpwstr>
  </property>
  <property fmtid="{D5CDD505-2E9C-101B-9397-08002B2CF9AE}" pid="4" name="KSOTemplateDocerSaveRecord">
    <vt:lpwstr>eyJoZGlkIjoiZDY2N2IzM2M0NWVjN2Y4M2YxNzAyOWU1MTE3ZmEwMGQiLCJ1c2VySWQiOiIyNTI0ODIzNzAifQ==</vt:lpwstr>
  </property>
</Properties>
</file>