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caps/>
          <w:sz w:val="44"/>
          <w:szCs w:val="44"/>
          <w:highlight w:val="none"/>
        </w:rPr>
      </w:pPr>
      <w:r>
        <w:rPr>
          <w:rFonts w:ascii="宋体"/>
          <w:caps/>
          <w:sz w:val="44"/>
          <w:szCs w:val="44"/>
          <w:highlight w:val="none"/>
          <w:lang w:val="zh-CN"/>
        </w:rPr>
      </w:r>
      <w:r>
        <w:rPr>
          <w:highlight w:val="none"/>
        </w:rPr>
      </w:r>
      <w:r/>
    </w:p>
    <w:p>
      <w:pPr>
        <w:rPr>
          <w:rFonts w:ascii="宋体"/>
          <w:caps/>
          <w:sz w:val="44"/>
          <w:szCs w:val="44"/>
          <w:highlight w:val="none"/>
        </w:rPr>
      </w:pPr>
      <w:r>
        <w:rPr>
          <w:rFonts w:ascii="宋体"/>
          <w:caps/>
          <w:sz w:val="44"/>
          <w:szCs w:val="44"/>
          <w:highlight w:val="none"/>
          <w:lang w:val="zh-CN"/>
        </w:rPr>
      </w:r>
      <w:r>
        <w:rPr>
          <w:highlight w:val="none"/>
        </w:rPr>
      </w:r>
      <w:r/>
    </w:p>
    <w:p>
      <w:pPr>
        <w:jc w:val="center"/>
        <w:rPr>
          <w:rFonts w:ascii="仿宋" w:hAnsi="仿宋" w:eastAsia="仿宋" w:cs="仿宋"/>
          <w:b/>
          <w:sz w:val="20"/>
          <w:highlight w:val="none"/>
        </w:rPr>
      </w:pPr>
      <w:r>
        <w:rPr>
          <w:highlight w:val="none"/>
        </w:rPr>
      </w:r>
      <w:bookmarkStart w:id="0" w:name="_Toc503948053"/>
      <w:r>
        <w:rPr>
          <w:highlight w:val="none"/>
        </w:rPr>
      </w:r>
      <w:bookmarkStart w:id="1" w:name="_Toc503948559"/>
      <w:r>
        <w:rPr>
          <w:rFonts w:hint="eastAsia" w:ascii="仿宋" w:hAnsi="仿宋" w:eastAsia="仿宋" w:cs="仿宋"/>
          <w:b/>
          <w:sz w:val="72"/>
          <w:highlight w:val="none"/>
        </w:rPr>
        <w:t xml:space="preserve">竞争性磋商文件</w:t>
      </w:r>
      <w:bookmarkEnd w:id="0"/>
      <w:r>
        <w:rPr>
          <w:highlight w:val="none"/>
        </w:rPr>
      </w:r>
      <w:bookmarkEnd w:id="1"/>
      <w:r>
        <w:rPr>
          <w:highlight w:val="none"/>
        </w:rPr>
      </w:r>
      <w:r/>
    </w:p>
    <w:p>
      <w:pPr>
        <w:rPr>
          <w:rFonts w:ascii="黑体" w:eastAsia="黑体"/>
          <w:sz w:val="32"/>
          <w:szCs w:val="32"/>
          <w:highlight w:val="none"/>
        </w:rPr>
      </w:pPr>
      <w:r>
        <w:rPr>
          <w:rFonts w:ascii="黑体" w:eastAsia="黑体"/>
          <w:sz w:val="32"/>
          <w:szCs w:val="32"/>
          <w:highlight w:val="none"/>
          <w:lang w:val="zh-CN"/>
        </w:rPr>
      </w:r>
      <w:r>
        <w:rPr>
          <w:highlight w:val="none"/>
        </w:rPr>
      </w:r>
      <w:r/>
    </w:p>
    <w:p>
      <w:pPr>
        <w:rPr>
          <w:rFonts w:ascii="黑体" w:eastAsia="黑体"/>
          <w:sz w:val="32"/>
          <w:szCs w:val="32"/>
          <w:highlight w:val="none"/>
        </w:rPr>
      </w:pPr>
      <w:r>
        <w:rPr>
          <w:rFonts w:ascii="黑体" w:eastAsia="黑体"/>
          <w:sz w:val="32"/>
          <w:szCs w:val="32"/>
          <w:highlight w:val="none"/>
          <w:lang w:val="zh-CN"/>
        </w:rPr>
      </w:r>
      <w:r>
        <w:rPr>
          <w:highlight w:val="none"/>
        </w:rPr>
      </w:r>
      <w:r/>
    </w:p>
    <w:p>
      <w:pPr>
        <w:rPr>
          <w:rFonts w:ascii="黑体" w:eastAsia="黑体"/>
          <w:sz w:val="32"/>
          <w:szCs w:val="32"/>
          <w:highlight w:val="none"/>
        </w:rPr>
      </w:pPr>
      <w:r>
        <w:rPr>
          <w:rFonts w:ascii="黑体" w:eastAsia="黑体"/>
          <w:sz w:val="32"/>
          <w:szCs w:val="32"/>
          <w:highlight w:val="none"/>
          <w:lang w:val="zh-CN"/>
        </w:rPr>
      </w:r>
      <w:r>
        <w:rPr>
          <w:highlight w:val="none"/>
        </w:rPr>
      </w:r>
      <w:r/>
    </w:p>
    <w:p>
      <w:pPr>
        <w:rPr>
          <w:rFonts w:ascii="黑体" w:eastAsia="黑体"/>
          <w:sz w:val="44"/>
          <w:szCs w:val="44"/>
          <w:highlight w:val="none"/>
        </w:rPr>
      </w:pPr>
      <w:r>
        <w:rPr>
          <w:rFonts w:ascii="黑体" w:eastAsia="黑体"/>
          <w:sz w:val="44"/>
          <w:szCs w:val="44"/>
          <w:highlight w:val="none"/>
          <w:lang w:val="zh-CN"/>
        </w:rPr>
      </w:r>
      <w:r>
        <w:rPr>
          <w:highlight w:val="none"/>
        </w:rPr>
      </w:r>
      <w:r/>
    </w:p>
    <w:p>
      <w:pPr>
        <w:ind w:left="420"/>
        <w:rPr>
          <w:rFonts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w:t>
      </w:r>
      <w:r>
        <w:rPr>
          <w:rFonts w:hint="eastAsia" w:ascii="仿宋" w:hAnsi="仿宋" w:eastAsia="仿宋" w:cs="仿宋"/>
          <w:sz w:val="36"/>
          <w:szCs w:val="36"/>
          <w:highlight w:val="none"/>
          <w:lang w:val="zh-CN"/>
        </w:rPr>
        <w:t xml:space="preserve">JSZC-320116-JSGH-C2026-0007</w:t>
      </w:r>
      <w:r>
        <w:rPr>
          <w:highlight w:val="none"/>
        </w:rPr>
      </w:r>
      <w:r/>
    </w:p>
    <w:p>
      <w:pPr>
        <w:ind w:left="420"/>
        <w:rPr>
          <w:rFonts w:ascii="仿宋" w:hAnsi="仿宋" w:eastAsia="仿宋" w:cs="仿宋"/>
          <w:sz w:val="36"/>
          <w:szCs w:val="36"/>
          <w:highlight w:val="none"/>
        </w:rPr>
      </w:pPr>
      <w:r>
        <w:rPr>
          <w:rFonts w:ascii="仿宋" w:hAnsi="仿宋" w:eastAsia="仿宋" w:cs="仿宋"/>
          <w:sz w:val="36"/>
          <w:szCs w:val="36"/>
          <w:highlight w:val="none"/>
          <w:lang w:val="zh-CN"/>
        </w:rPr>
      </w:r>
      <w:r>
        <w:rPr>
          <w:highlight w:val="none"/>
        </w:rPr>
      </w:r>
      <w:r/>
    </w:p>
    <w:p>
      <w:pPr>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项目名称：马鞍街道鞍山骨灰堂（一期扩建）工程</w:t>
      </w:r>
      <w:r>
        <w:rPr>
          <w:highlight w:val="none"/>
        </w:rPr>
      </w:r>
      <w:r/>
    </w:p>
    <w:p>
      <w:pPr>
        <w:ind w:left="420"/>
        <w:rPr>
          <w:rFonts w:ascii="仿宋" w:hAnsi="仿宋" w:eastAsia="仿宋" w:cs="仿宋"/>
          <w:sz w:val="36"/>
          <w:szCs w:val="36"/>
          <w:highlight w:val="none"/>
        </w:rPr>
      </w:pPr>
      <w:r>
        <w:rPr>
          <w:rFonts w:ascii="仿宋" w:hAnsi="仿宋" w:eastAsia="仿宋" w:cs="仿宋"/>
          <w:sz w:val="36"/>
          <w:szCs w:val="36"/>
          <w:highlight w:val="none"/>
          <w:lang w:val="zh-CN"/>
        </w:rPr>
      </w:r>
      <w:r>
        <w:rPr>
          <w:highlight w:val="none"/>
        </w:rPr>
      </w:r>
      <w:r/>
    </w:p>
    <w:p>
      <w:pPr>
        <w:ind w:left="420"/>
        <w:rPr>
          <w:rFonts w:ascii="仿宋" w:hAnsi="仿宋" w:eastAsia="仿宋" w:cs="仿宋"/>
          <w:sz w:val="36"/>
          <w:szCs w:val="36"/>
          <w:highlight w:val="none"/>
        </w:rPr>
      </w:pPr>
      <w:r>
        <w:rPr>
          <w:rFonts w:hint="eastAsia" w:ascii="仿宋" w:hAnsi="仿宋" w:eastAsia="仿宋" w:cs="仿宋"/>
          <w:sz w:val="36"/>
          <w:szCs w:val="36"/>
          <w:highlight w:val="none"/>
          <w:lang w:val="zh-CN"/>
        </w:rPr>
        <w:t xml:space="preserve">采购人：</w:t>
      </w:r>
      <w:bookmarkStart w:id="2" w:name="_Toc503948560"/>
      <w:r>
        <w:rPr>
          <w:highlight w:val="none"/>
        </w:rPr>
      </w:r>
      <w:bookmarkStart w:id="3" w:name="_Toc503948054"/>
      <w:r>
        <w:rPr>
          <w:rFonts w:hint="eastAsia" w:ascii="仿宋" w:hAnsi="仿宋" w:eastAsia="仿宋" w:cs="仿宋"/>
          <w:sz w:val="36"/>
          <w:szCs w:val="36"/>
          <w:highlight w:val="none"/>
          <w:lang w:val="zh-CN"/>
        </w:rPr>
        <w:t xml:space="preserve">南京市六合区人民政府马鞍街道办事处</w:t>
      </w:r>
      <w:r>
        <w:rPr>
          <w:highlight w:val="none"/>
        </w:rPr>
      </w:r>
      <w:r/>
    </w:p>
    <w:p>
      <w:pPr>
        <w:ind w:left="420"/>
        <w:rPr>
          <w:rFonts w:ascii="仿宋" w:hAnsi="仿宋" w:eastAsia="仿宋" w:cs="仿宋"/>
          <w:sz w:val="36"/>
          <w:szCs w:val="36"/>
          <w:highlight w:val="none"/>
        </w:rPr>
      </w:pPr>
      <w:r>
        <w:rPr>
          <w:rFonts w:ascii="仿宋" w:hAnsi="仿宋" w:eastAsia="仿宋" w:cs="仿宋"/>
          <w:sz w:val="36"/>
          <w:szCs w:val="36"/>
          <w:highlight w:val="none"/>
          <w:lang w:val="zh-CN"/>
        </w:rPr>
      </w:r>
      <w:r>
        <w:rPr>
          <w:highlight w:val="none"/>
        </w:rPr>
      </w:r>
      <w:r/>
    </w:p>
    <w:p>
      <w:pPr>
        <w:rPr>
          <w:rFonts w:ascii="黑体" w:eastAsia="黑体"/>
          <w:sz w:val="32"/>
          <w:szCs w:val="44"/>
          <w:highlight w:val="none"/>
        </w:rPr>
      </w:pPr>
      <w:r>
        <w:rPr>
          <w:rFonts w:ascii="黑体" w:eastAsia="黑体"/>
          <w:sz w:val="32"/>
          <w:szCs w:val="44"/>
          <w:highlight w:val="none"/>
          <w:lang w:val="zh-CN"/>
        </w:rPr>
      </w:r>
      <w:r>
        <w:rPr>
          <w:highlight w:val="none"/>
        </w:rPr>
      </w:r>
      <w:r/>
    </w:p>
    <w:p>
      <w:pPr>
        <w:jc w:val="center"/>
        <w:rPr>
          <w:rFonts w:ascii="黑体" w:eastAsia="黑体"/>
          <w:sz w:val="32"/>
          <w:szCs w:val="44"/>
          <w:highlight w:val="none"/>
        </w:rPr>
      </w:pPr>
      <w:r>
        <w:rPr>
          <w:rFonts w:ascii="黑体" w:eastAsia="黑体"/>
          <w:sz w:val="32"/>
          <w:szCs w:val="44"/>
          <w:highlight w:val="none"/>
          <w:lang w:val="zh-CN"/>
        </w:rPr>
      </w:r>
      <w:bookmarkEnd w:id="2"/>
      <w:r/>
      <w:bookmarkEnd w:id="3"/>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hint="eastAsia" w:ascii="黑体" w:eastAsia="黑体"/>
          <w:sz w:val="44"/>
          <w:szCs w:val="44"/>
          <w:highlight w:val="none"/>
          <w:lang w:val="zh-CN"/>
        </w:rPr>
        <w:t xml:space="preserve">江苏国衡工程咨询有限公司</w:t>
      </w:r>
      <w:r>
        <w:rPr>
          <w:highlight w:val="none"/>
        </w:rPr>
      </w:r>
      <w:r/>
    </w:p>
    <w:p>
      <w:pPr>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六</w:t>
      </w:r>
      <w:r>
        <w:rPr>
          <w:rFonts w:hint="eastAsia" w:ascii="黑体" w:eastAsia="黑体"/>
          <w:sz w:val="44"/>
          <w:szCs w:val="44"/>
          <w:highlight w:val="none"/>
          <w:lang w:val="zh-CN"/>
        </w:rPr>
        <w:t xml:space="preserve">年</w:t>
      </w:r>
      <w:r>
        <w:rPr>
          <w:rFonts w:hint="eastAsia" w:ascii="黑体" w:eastAsia="黑体"/>
          <w:sz w:val="44"/>
          <w:szCs w:val="44"/>
          <w:highlight w:val="none"/>
        </w:rPr>
        <w:t xml:space="preserve">七</w:t>
      </w:r>
      <w:r>
        <w:rPr>
          <w:rFonts w:hint="eastAsia" w:ascii="黑体" w:eastAsia="黑体"/>
          <w:sz w:val="44"/>
          <w:szCs w:val="44"/>
          <w:highlight w:val="none"/>
          <w:lang w:val="zh-CN"/>
        </w:rPr>
        <w:t xml:space="preserve">月</w:t>
      </w:r>
      <w:r>
        <w:rPr>
          <w:highlight w:val="none"/>
        </w:rPr>
      </w:r>
      <w:r/>
    </w:p>
    <w:p>
      <w:pPr>
        <w:jc w:val="center"/>
        <w:rPr>
          <w:rFonts w:ascii="黑体" w:eastAsia="黑体"/>
          <w:sz w:val="44"/>
          <w:szCs w:val="44"/>
          <w:highlight w:val="none"/>
        </w:rPr>
      </w:pPr>
      <w:r>
        <w:rPr>
          <w:rFonts w:ascii="黑体" w:eastAsia="黑体"/>
          <w:sz w:val="44"/>
          <w:szCs w:val="44"/>
          <w:highlight w:val="none"/>
        </w:rPr>
      </w:r>
      <w:r>
        <w:rPr>
          <w:highlight w:val="none"/>
        </w:rPr>
      </w:r>
      <w:r/>
    </w:p>
    <w:p>
      <w:pPr>
        <w:pStyle w:val="1004"/>
        <w:ind w:left="187" w:hanging="187"/>
        <w:spacing w:line="240" w:lineRule="auto"/>
        <w:rPr>
          <w:sz w:val="22"/>
          <w:highlight w:val="none"/>
        </w:rPr>
        <w:sectPr>
          <w:headerReference w:type="first" r:id="rId8"/>
          <w:footerReference w:type="first" r:id="rId10"/>
          <w:footnotePr/>
          <w:endnotePr/>
          <w:type w:val="nextPage"/>
          <w:pgSz w:w="11906" w:h="16838" w:orient="portrait"/>
          <w:pgMar w:top="1440" w:right="1440" w:bottom="1440" w:left="1440" w:header="851" w:footer="992" w:gutter="0"/>
          <w:cols w:num="1" w:sep="0" w:space="1701" w:equalWidth="1"/>
          <w:docGrid w:linePitch="360"/>
          <w:titlePg/>
        </w:sectPr>
        <w:outlineLvl w:val="9"/>
      </w:pPr>
      <w:r>
        <w:rPr>
          <w:highlight w:val="none"/>
        </w:rPr>
      </w:r>
      <w:bookmarkStart w:id="4" w:name="_Toc503948055"/>
      <w:r>
        <w:rPr>
          <w:highlight w:val="none"/>
        </w:rPr>
      </w:r>
      <w:bookmarkStart w:id="5" w:name="_Toc503948561"/>
      <w:r>
        <w:rPr>
          <w:highlight w:val="none"/>
        </w:rPr>
      </w:r>
      <w:r/>
    </w:p>
    <w:p>
      <w:pPr>
        <w:pStyle w:val="875"/>
        <w:jc w:val="center"/>
        <w:spacing w:before="0" w:line="240" w:lineRule="auto"/>
        <w:rPr>
          <w:color w:val="000000"/>
          <w:sz w:val="40"/>
          <w:highlight w:val="none"/>
        </w:rPr>
      </w:pPr>
      <w:r>
        <w:rPr>
          <w:highlight w:val="none"/>
        </w:rPr>
      </w:r>
      <w:bookmarkStart w:id="6" w:name="_Toc10604"/>
      <w:r>
        <w:rPr>
          <w:highlight w:val="none"/>
        </w:rPr>
      </w:r>
      <w:bookmarkStart w:id="7" w:name="_Toc16154"/>
      <w:r>
        <w:rPr>
          <w:highlight w:val="none"/>
        </w:rPr>
      </w:r>
      <w:bookmarkStart w:id="8" w:name="_Toc7505"/>
      <w:r>
        <w:rPr>
          <w:highlight w:val="none"/>
        </w:rPr>
      </w:r>
      <w:bookmarkStart w:id="9" w:name="_Toc26356"/>
      <w:r>
        <w:rPr>
          <w:highlight w:val="none"/>
        </w:rPr>
      </w:r>
      <w:bookmarkStart w:id="10" w:name="_Toc17325"/>
      <w:r>
        <w:rPr>
          <w:highlight w:val="none"/>
        </w:rPr>
      </w:r>
      <w:bookmarkStart w:id="11" w:name="_Toc22540"/>
      <w:r>
        <w:rPr>
          <w:color w:val="000000"/>
          <w:sz w:val="40"/>
          <w:highlight w:val="none"/>
          <w:lang w:val="zh-CN"/>
        </w:rPr>
        <w:t xml:space="preserve">目录</w:t>
      </w:r>
      <w:bookmarkEnd w:id="6"/>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p>
    <w:p>
      <w:pPr>
        <w:pStyle w:val="866"/>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hyperlink w:tooltip="#_Toc345" w:anchor="_Toc345" w:history="1">
        <w:r>
          <w:rPr>
            <w:rFonts w:hint="eastAsia"/>
            <w:highlight w:val="none"/>
          </w:rPr>
          <w:t xml:space="preserve">第一章</w:t>
        </w:r>
        <w:r>
          <w:rPr>
            <w:rFonts w:hint="eastAsia"/>
            <w:highlight w:val="none"/>
          </w:rPr>
          <w:t xml:space="preserve">  </w:t>
        </w:r>
        <w:r>
          <w:rPr>
            <w:rFonts w:hint="eastAsia"/>
            <w:highlight w:val="none"/>
          </w:rPr>
          <w:t xml:space="preserve">竞争性磋商公告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hyperlink>
      <w:r>
        <w:rPr>
          <w:highlight w:val="none"/>
        </w:rPr>
      </w:r>
      <w:r/>
    </w:p>
    <w:p>
      <w:pPr>
        <w:pStyle w:val="866"/>
        <w:tabs>
          <w:tab w:val="right" w:pos="9026" w:leader="dot"/>
        </w:tabs>
        <w:rPr>
          <w:highlight w:val="none"/>
        </w:rPr>
      </w:pPr>
      <w:r>
        <w:rPr>
          <w:highlight w:val="none"/>
        </w:rPr>
      </w:r>
      <w:hyperlink w:tooltip="#_Toc13962" w:anchor="_Toc13962" w:history="1">
        <w:r>
          <w:rPr>
            <w:rFonts w:hint="eastAsia"/>
            <w:highlight w:val="none"/>
          </w:rPr>
          <w:t xml:space="preserve">第二章</w:t>
        </w:r>
        <w:r>
          <w:rPr>
            <w:rFonts w:hint="eastAsia"/>
            <w:highlight w:val="none"/>
          </w:rPr>
          <w:t xml:space="preserve">  </w:t>
        </w:r>
        <w:r>
          <w:rPr>
            <w:rFonts w:hint="eastAsia"/>
            <w:highlight w:val="none"/>
          </w:rPr>
          <w:t xml:space="preserve">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7112" w:anchor="_Toc7112" w:history="1">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6</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15504" w:anchor="_Toc15504" w:history="1">
        <w:r>
          <w:rPr>
            <w:rFonts w:hint="eastAsia" w:ascii="宋体" w:hAnsi="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8</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22177" w:anchor="_Toc22177" w:history="1">
        <w:r>
          <w:rPr>
            <w:rFonts w:hint="eastAsia" w:ascii="宋体" w:hAnsi="宋体" w:cs="宋体"/>
            <w:highlight w:val="none"/>
            <w:lang w:val="zh-CN"/>
          </w:rPr>
          <w:t xml:space="preserve">二、</w:t>
        </w:r>
        <w:r>
          <w:rPr>
            <w:rFonts w:hint="eastAsia" w:ascii="宋体" w:hAnsi="宋体" w:cs="宋体"/>
            <w:highlight w:val="none"/>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10</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2406" w:anchor="_Toc2406" w:history="1">
        <w:r>
          <w:rPr>
            <w:rFonts w:hint="eastAsia" w:ascii="宋体" w:hAnsi="宋体" w:cs="宋体"/>
            <w:highlight w:val="none"/>
          </w:rPr>
          <w:t xml:space="preserve">三</w:t>
        </w:r>
        <w:r>
          <w:rPr>
            <w:rFonts w:hint="eastAsia" w:ascii="宋体" w:hAnsi="宋体" w:cs="宋体"/>
            <w:highlight w:val="none"/>
            <w:lang w:val="zh-CN"/>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11</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19358" w:anchor="_Toc19358" w:history="1">
        <w:r>
          <w:rPr>
            <w:rFonts w:hint="eastAsia" w:ascii="宋体" w:hAnsi="宋体" w:cs="宋体"/>
            <w:highlight w:val="none"/>
          </w:rPr>
          <w:t xml:space="preserve">四</w:t>
        </w:r>
        <w:r>
          <w:rPr>
            <w:rFonts w:hint="eastAsia" w:ascii="宋体" w:hAnsi="宋体" w:cs="宋体"/>
            <w:highlight w:val="none"/>
            <w:lang w:val="zh-CN"/>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13</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7443" w:anchor="_Toc7443" w:history="1">
        <w:r>
          <w:rPr>
            <w:rFonts w:hint="eastAsia" w:ascii="宋体" w:hAnsi="宋体" w:cs="宋体"/>
            <w:highlight w:val="none"/>
          </w:rPr>
          <w:t xml:space="preserve">五</w:t>
        </w:r>
        <w:r>
          <w:rPr>
            <w:rFonts w:hint="eastAsia" w:ascii="宋体" w:hAnsi="宋体" w:cs="宋体"/>
            <w:highlight w:val="none"/>
            <w:lang w:val="zh-CN"/>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14</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10571" w:anchor="_Toc10571" w:history="1">
        <w:r>
          <w:rPr>
            <w:rFonts w:hint="eastAsia" w:ascii="宋体" w:hAnsi="宋体" w:cs="宋体"/>
            <w:highlight w:val="none"/>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18</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26637" w:anchor="_Toc26637" w:history="1">
        <w:r>
          <w:rPr>
            <w:rFonts w:hint="eastAsia" w:ascii="宋体" w:hAnsi="宋体" w:cs="宋体"/>
            <w:highlight w:val="none"/>
          </w:rPr>
          <w:t xml:space="preserve">七</w:t>
        </w:r>
        <w:r>
          <w:rPr>
            <w:rFonts w:hint="eastAsia" w:ascii="宋体" w:hAnsi="宋体" w:cs="宋体"/>
            <w:highlight w:val="none"/>
            <w:lang w:val="zh-CN"/>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20</w:t>
        </w:r>
        <w:r>
          <w:rPr>
            <w:highlight w:val="none"/>
          </w:rPr>
          <w:fldChar w:fldCharType="end"/>
        </w:r>
      </w:hyperlink>
      <w:r>
        <w:rPr>
          <w:highlight w:val="none"/>
        </w:rPr>
      </w:r>
      <w:r/>
    </w:p>
    <w:p>
      <w:pPr>
        <w:pStyle w:val="866"/>
        <w:tabs>
          <w:tab w:val="right" w:pos="9026" w:leader="dot"/>
        </w:tabs>
        <w:rPr>
          <w:highlight w:val="none"/>
        </w:rPr>
      </w:pPr>
      <w:r>
        <w:rPr>
          <w:highlight w:val="none"/>
        </w:rPr>
      </w:r>
      <w:hyperlink w:tooltip="#_Toc4602" w:anchor="_Toc4602" w:history="1">
        <w:r>
          <w:rPr>
            <w:rFonts w:hint="eastAsia"/>
            <w:highlight w:val="none"/>
          </w:rPr>
          <w:t xml:space="preserve">第三章</w:t>
        </w:r>
        <w:r>
          <w:rPr>
            <w:rFonts w:hint="eastAsia"/>
            <w:highlight w:val="none"/>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22</w:t>
        </w:r>
        <w:r>
          <w:rPr>
            <w:highlight w:val="none"/>
          </w:rPr>
          <w:fldChar w:fldCharType="end"/>
        </w:r>
      </w:hyperlink>
      <w:r>
        <w:rPr>
          <w:highlight w:val="none"/>
        </w:rPr>
      </w:r>
      <w:r/>
    </w:p>
    <w:p>
      <w:pPr>
        <w:pStyle w:val="866"/>
        <w:tabs>
          <w:tab w:val="right" w:pos="9026" w:leader="dot"/>
        </w:tabs>
        <w:rPr>
          <w:color w:val="000000"/>
          <w:highlight w:val="none"/>
        </w:rPr>
      </w:pPr>
      <w:r>
        <w:rPr>
          <w:highlight w:val="none"/>
        </w:rPr>
      </w:r>
      <w:hyperlink w:tooltip="#_Toc28743" w:anchor="_Toc28743" w:history="1">
        <w:r>
          <w:rPr>
            <w:rFonts w:hint="eastAsia"/>
            <w:color w:val="000000"/>
            <w:highlight w:val="none"/>
          </w:rPr>
          <w:t xml:space="preserve">第四章</w:t>
        </w:r>
        <w:r>
          <w:rPr>
            <w:rFonts w:hint="eastAsia"/>
            <w:color w:val="000000"/>
            <w:highlight w:val="none"/>
          </w:rPr>
          <w:t xml:space="preserve">  </w:t>
        </w:r>
        <w:r>
          <w:rPr>
            <w:rFonts w:hint="eastAsia"/>
            <w:color w:val="000000"/>
            <w:highlight w:val="none"/>
          </w:rPr>
          <w:t xml:space="preserve">采购项目概况</w:t>
        </w:r>
        <w:r>
          <w:rPr>
            <w:color w:val="000000"/>
            <w:highlight w:val="none"/>
          </w:rPr>
          <w:tab/>
        </w:r>
        <w:r>
          <w:rPr>
            <w:color w:val="000000"/>
            <w:highlight w:val="none"/>
          </w:rPr>
          <w:fldChar w:fldCharType="begin"/>
        </w:r>
        <w:r>
          <w:rPr>
            <w:color w:val="000000"/>
            <w:highlight w:val="none"/>
          </w:rPr>
          <w:instrText xml:space="preserve"> PAGEREF _Toc28743 \h </w:instrText>
        </w:r>
        <w:r>
          <w:rPr>
            <w:color w:val="000000"/>
            <w:highlight w:val="none"/>
          </w:rPr>
        </w:r>
        <w:r>
          <w:rPr>
            <w:color w:val="000000"/>
            <w:highlight w:val="none"/>
          </w:rPr>
          <w:fldChar w:fldCharType="separate"/>
        </w:r>
        <w:r>
          <w:rPr>
            <w:color w:val="000000"/>
            <w:highlight w:val="none"/>
          </w:rPr>
          <w:t xml:space="preserve">25</w:t>
        </w:r>
        <w:r>
          <w:rPr>
            <w:color w:val="000000"/>
            <w:highlight w:val="none"/>
          </w:rPr>
          <w:fldChar w:fldCharType="end"/>
        </w:r>
      </w:hyperlink>
      <w:r>
        <w:rPr>
          <w:highlight w:val="none"/>
        </w:rPr>
      </w:r>
      <w:r/>
    </w:p>
    <w:p>
      <w:pPr>
        <w:pStyle w:val="866"/>
        <w:tabs>
          <w:tab w:val="right" w:pos="9026" w:leader="dot"/>
        </w:tabs>
        <w:rPr>
          <w:color w:val="000000"/>
          <w:highlight w:val="none"/>
        </w:rPr>
      </w:pPr>
      <w:r>
        <w:rPr>
          <w:highlight w:val="none"/>
        </w:rPr>
      </w:r>
      <w:hyperlink w:tooltip="#_Toc11204" w:anchor="_Toc11204" w:history="1">
        <w:r>
          <w:rPr>
            <w:rFonts w:hint="eastAsia"/>
            <w:color w:val="000000"/>
            <w:highlight w:val="none"/>
            <w:lang w:val="zh-CN"/>
          </w:rPr>
          <w:t xml:space="preserve">第五章</w:t>
        </w:r>
        <w:r>
          <w:rPr>
            <w:rFonts w:hint="eastAsia"/>
            <w:color w:val="000000"/>
            <w:highlight w:val="none"/>
            <w:lang w:val="zh-CN"/>
          </w:rPr>
          <w:t xml:space="preserve">  </w:t>
        </w:r>
        <w:r>
          <w:rPr>
            <w:rFonts w:hint="eastAsia"/>
            <w:color w:val="000000"/>
            <w:highlight w:val="none"/>
            <w:lang w:val="zh-CN"/>
          </w:rPr>
          <w:t xml:space="preserve">合同主要条款及格式</w:t>
        </w:r>
        <w:r>
          <w:rPr>
            <w:color w:val="000000"/>
            <w:highlight w:val="none"/>
          </w:rPr>
          <w:tab/>
        </w:r>
        <w:r>
          <w:rPr>
            <w:color w:val="000000"/>
            <w:highlight w:val="none"/>
          </w:rPr>
          <w:fldChar w:fldCharType="begin"/>
        </w:r>
        <w:r>
          <w:rPr>
            <w:color w:val="000000"/>
            <w:highlight w:val="none"/>
          </w:rPr>
          <w:instrText xml:space="preserve"> PAGEREF _Toc11204 \h </w:instrText>
        </w:r>
        <w:r>
          <w:rPr>
            <w:color w:val="000000"/>
            <w:highlight w:val="none"/>
          </w:rPr>
        </w:r>
        <w:r>
          <w:rPr>
            <w:color w:val="000000"/>
            <w:highlight w:val="none"/>
          </w:rPr>
          <w:fldChar w:fldCharType="separate"/>
        </w:r>
        <w:r>
          <w:rPr>
            <w:color w:val="000000"/>
            <w:highlight w:val="none"/>
          </w:rPr>
          <w:t xml:space="preserve">32</w:t>
        </w:r>
        <w:r>
          <w:rPr>
            <w:color w:val="000000"/>
            <w:highlight w:val="none"/>
          </w:rPr>
          <w:fldChar w:fldCharType="end"/>
        </w:r>
      </w:hyperlink>
      <w:r>
        <w:rPr>
          <w:highlight w:val="none"/>
        </w:rPr>
      </w:r>
      <w:r/>
    </w:p>
    <w:p>
      <w:pPr>
        <w:pStyle w:val="866"/>
        <w:tabs>
          <w:tab w:val="right" w:pos="9026" w:leader="dot"/>
        </w:tabs>
        <w:rPr>
          <w:highlight w:val="none"/>
        </w:rPr>
      </w:pPr>
      <w:r>
        <w:rPr>
          <w:highlight w:val="none"/>
        </w:rPr>
      </w:r>
      <w:hyperlink w:tooltip="#_Toc9391" w:anchor="_Toc9391" w:history="1">
        <w:r>
          <w:rPr>
            <w:rFonts w:hint="eastAsia"/>
            <w:color w:val="000000"/>
            <w:highlight w:val="none"/>
          </w:rPr>
          <w:t xml:space="preserve">第六章</w:t>
        </w:r>
        <w:r>
          <w:rPr>
            <w:rFonts w:hint="eastAsia"/>
            <w:color w:val="000000"/>
            <w:highlight w:val="none"/>
          </w:rPr>
          <w:t xml:space="preserve">  </w:t>
        </w:r>
        <w:r>
          <w:rPr>
            <w:rFonts w:hint="eastAsia"/>
            <w:color w:val="000000"/>
            <w:highlight w:val="none"/>
          </w:rPr>
          <w:t xml:space="preserve">磋商响应文件格式</w:t>
        </w:r>
        <w:r>
          <w:rPr>
            <w:color w:val="000000"/>
            <w:highlight w:val="none"/>
          </w:rPr>
          <w:tab/>
        </w:r>
        <w:r>
          <w:rPr>
            <w:color w:val="000000"/>
            <w:highlight w:val="none"/>
          </w:rPr>
          <w:fldChar w:fldCharType="begin"/>
        </w:r>
        <w:r>
          <w:rPr>
            <w:color w:val="000000"/>
            <w:highlight w:val="none"/>
          </w:rPr>
          <w:instrText xml:space="preserve"> PAGEREF _Toc9391 \h </w:instrText>
        </w:r>
        <w:r>
          <w:rPr>
            <w:color w:val="000000"/>
            <w:highlight w:val="none"/>
          </w:rPr>
        </w:r>
        <w:r>
          <w:rPr>
            <w:color w:val="000000"/>
            <w:highlight w:val="none"/>
          </w:rPr>
          <w:fldChar w:fldCharType="separate"/>
        </w:r>
        <w:r>
          <w:rPr>
            <w:color w:val="000000"/>
            <w:highlight w:val="none"/>
          </w:rPr>
          <w:t xml:space="preserve">53</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15809" w:anchor="_Toc15809" w:history="1">
        <w:r>
          <w:rPr>
            <w:rFonts w:hint="eastAsia"/>
            <w:color w:val="000000"/>
            <w:highlight w:val="none"/>
            <w:lang w:val="zh-CN"/>
          </w:rPr>
          <w:t xml:space="preserve">附件一、磋商申请及声明</w:t>
        </w:r>
        <w:r>
          <w:rPr>
            <w:color w:val="000000"/>
            <w:highlight w:val="none"/>
          </w:rPr>
          <w:tab/>
        </w:r>
        <w:r>
          <w:rPr>
            <w:color w:val="000000"/>
            <w:highlight w:val="none"/>
          </w:rPr>
          <w:fldChar w:fldCharType="begin"/>
        </w:r>
        <w:r>
          <w:rPr>
            <w:color w:val="000000"/>
            <w:highlight w:val="none"/>
          </w:rPr>
          <w:instrText xml:space="preserve"> PAGEREF _Toc15809 \h </w:instrText>
        </w:r>
        <w:r>
          <w:rPr>
            <w:color w:val="000000"/>
            <w:highlight w:val="none"/>
          </w:rPr>
        </w:r>
        <w:r>
          <w:rPr>
            <w:color w:val="000000"/>
            <w:highlight w:val="none"/>
          </w:rPr>
          <w:fldChar w:fldCharType="separate"/>
        </w:r>
        <w:r>
          <w:rPr>
            <w:color w:val="000000"/>
            <w:highlight w:val="none"/>
          </w:rPr>
          <w:t xml:space="preserve">53</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23370" w:anchor="_Toc23370" w:history="1">
        <w:r>
          <w:rPr>
            <w:rFonts w:hint="eastAsia"/>
            <w:color w:val="000000"/>
            <w:highlight w:val="none"/>
          </w:rPr>
          <w:t xml:space="preserve">附件二、法定代表人授权委托书</w:t>
        </w:r>
        <w:r>
          <w:rPr>
            <w:color w:val="000000"/>
            <w:highlight w:val="none"/>
          </w:rPr>
          <w:tab/>
        </w:r>
        <w:r>
          <w:rPr>
            <w:color w:val="000000"/>
            <w:highlight w:val="none"/>
          </w:rPr>
          <w:fldChar w:fldCharType="begin"/>
        </w:r>
        <w:r>
          <w:rPr>
            <w:color w:val="000000"/>
            <w:highlight w:val="none"/>
          </w:rPr>
          <w:instrText xml:space="preserve"> PAGEREF _Toc23370 \h </w:instrText>
        </w:r>
        <w:r>
          <w:rPr>
            <w:color w:val="000000"/>
            <w:highlight w:val="none"/>
          </w:rPr>
        </w:r>
        <w:r>
          <w:rPr>
            <w:color w:val="000000"/>
            <w:highlight w:val="none"/>
          </w:rPr>
          <w:fldChar w:fldCharType="separate"/>
        </w:r>
        <w:r>
          <w:rPr>
            <w:color w:val="000000"/>
            <w:highlight w:val="none"/>
          </w:rPr>
          <w:t xml:space="preserve">54</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3811" w:anchor="_Toc3811" w:history="1">
        <w:r>
          <w:rPr>
            <w:rFonts w:hint="eastAsia"/>
            <w:color w:val="000000"/>
            <w:highlight w:val="none"/>
            <w:lang w:val="zh-CN"/>
          </w:rPr>
          <w:t xml:space="preserve">附件三、磋商报价表</w:t>
        </w:r>
        <w:r>
          <w:rPr>
            <w:color w:val="000000"/>
            <w:highlight w:val="none"/>
          </w:rPr>
          <w:tab/>
        </w:r>
        <w:r>
          <w:rPr>
            <w:color w:val="000000"/>
            <w:highlight w:val="none"/>
          </w:rPr>
          <w:fldChar w:fldCharType="begin"/>
        </w:r>
        <w:r>
          <w:rPr>
            <w:color w:val="000000"/>
            <w:highlight w:val="none"/>
          </w:rPr>
          <w:instrText xml:space="preserve"> PAGEREF _Toc3811 \h </w:instrText>
        </w:r>
        <w:r>
          <w:rPr>
            <w:color w:val="000000"/>
            <w:highlight w:val="none"/>
          </w:rPr>
        </w:r>
        <w:r>
          <w:rPr>
            <w:color w:val="000000"/>
            <w:highlight w:val="none"/>
          </w:rPr>
          <w:fldChar w:fldCharType="separate"/>
        </w:r>
        <w:r>
          <w:rPr>
            <w:color w:val="000000"/>
            <w:highlight w:val="none"/>
          </w:rPr>
          <w:t xml:space="preserve">55</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15405" w:anchor="_Toc15405" w:history="1">
        <w:r>
          <w:rPr>
            <w:rFonts w:hint="eastAsia"/>
            <w:color w:val="000000"/>
            <w:highlight w:val="none"/>
            <w:lang w:val="zh-CN"/>
          </w:rPr>
          <w:t xml:space="preserve">附件</w:t>
        </w:r>
        <w:r>
          <w:rPr>
            <w:rFonts w:hint="eastAsia"/>
            <w:color w:val="000000"/>
            <w:highlight w:val="none"/>
          </w:rPr>
          <w:t xml:space="preserve">四</w:t>
        </w:r>
        <w:r>
          <w:rPr>
            <w:rFonts w:hint="eastAsia"/>
            <w:color w:val="000000"/>
            <w:highlight w:val="none"/>
            <w:lang w:val="zh-CN"/>
          </w:rPr>
          <w:t xml:space="preserve">、</w:t>
        </w:r>
        <w:r>
          <w:rPr>
            <w:rFonts w:hint="eastAsia"/>
            <w:color w:val="000000"/>
            <w:highlight w:val="none"/>
          </w:rPr>
          <w:t xml:space="preserve">分项报价明细表</w:t>
        </w:r>
        <w:r>
          <w:rPr>
            <w:color w:val="000000"/>
            <w:highlight w:val="none"/>
          </w:rPr>
          <w:tab/>
        </w:r>
        <w:r>
          <w:rPr>
            <w:color w:val="000000"/>
            <w:highlight w:val="none"/>
          </w:rPr>
          <w:fldChar w:fldCharType="begin"/>
        </w:r>
        <w:r>
          <w:rPr>
            <w:color w:val="000000"/>
            <w:highlight w:val="none"/>
          </w:rPr>
          <w:instrText xml:space="preserve"> PAGEREF _Toc15405 \h </w:instrText>
        </w:r>
        <w:r>
          <w:rPr>
            <w:color w:val="000000"/>
            <w:highlight w:val="none"/>
          </w:rPr>
        </w:r>
        <w:r>
          <w:rPr>
            <w:color w:val="000000"/>
            <w:highlight w:val="none"/>
          </w:rPr>
          <w:fldChar w:fldCharType="separate"/>
        </w:r>
        <w:r>
          <w:rPr>
            <w:color w:val="000000"/>
            <w:highlight w:val="none"/>
          </w:rPr>
          <w:t xml:space="preserve">55</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30128" w:anchor="_Toc30128" w:history="1">
        <w:r>
          <w:rPr>
            <w:rFonts w:hint="eastAsia"/>
            <w:color w:val="000000"/>
            <w:highlight w:val="none"/>
            <w:lang w:val="zh-CN"/>
          </w:rPr>
          <w:t xml:space="preserve">附件五、商务条款响应表</w:t>
        </w:r>
        <w:r>
          <w:rPr>
            <w:color w:val="000000"/>
            <w:highlight w:val="none"/>
          </w:rPr>
          <w:tab/>
        </w:r>
        <w:r>
          <w:rPr>
            <w:color w:val="000000"/>
            <w:highlight w:val="none"/>
          </w:rPr>
          <w:fldChar w:fldCharType="begin"/>
        </w:r>
        <w:r>
          <w:rPr>
            <w:color w:val="000000"/>
            <w:highlight w:val="none"/>
          </w:rPr>
          <w:instrText xml:space="preserve"> PAGEREF _Toc30128 \h </w:instrText>
        </w:r>
        <w:r>
          <w:rPr>
            <w:color w:val="000000"/>
            <w:highlight w:val="none"/>
          </w:rPr>
        </w:r>
        <w:r>
          <w:rPr>
            <w:color w:val="000000"/>
            <w:highlight w:val="none"/>
          </w:rPr>
          <w:fldChar w:fldCharType="separate"/>
        </w:r>
        <w:r>
          <w:rPr>
            <w:color w:val="000000"/>
            <w:highlight w:val="none"/>
          </w:rPr>
          <w:t xml:space="preserve">56</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6302" w:anchor="_Toc6302" w:history="1">
        <w:r>
          <w:rPr>
            <w:rFonts w:hint="eastAsia"/>
            <w:color w:val="000000"/>
            <w:highlight w:val="none"/>
            <w:lang w:val="zh-CN"/>
          </w:rPr>
          <w:t xml:space="preserve">附件六、技术规格偏离表</w:t>
        </w:r>
        <w:r>
          <w:rPr>
            <w:color w:val="000000"/>
            <w:highlight w:val="none"/>
          </w:rPr>
          <w:tab/>
        </w:r>
        <w:r>
          <w:rPr>
            <w:color w:val="000000"/>
            <w:highlight w:val="none"/>
          </w:rPr>
          <w:fldChar w:fldCharType="begin"/>
        </w:r>
        <w:r>
          <w:rPr>
            <w:color w:val="000000"/>
            <w:highlight w:val="none"/>
          </w:rPr>
          <w:instrText xml:space="preserve"> PAGEREF _Toc6302 \h </w:instrText>
        </w:r>
        <w:r>
          <w:rPr>
            <w:color w:val="000000"/>
            <w:highlight w:val="none"/>
          </w:rPr>
        </w:r>
        <w:r>
          <w:rPr>
            <w:color w:val="000000"/>
            <w:highlight w:val="none"/>
          </w:rPr>
          <w:fldChar w:fldCharType="separate"/>
        </w:r>
        <w:r>
          <w:rPr>
            <w:color w:val="000000"/>
            <w:highlight w:val="none"/>
          </w:rPr>
          <w:t xml:space="preserve">57</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3445" w:anchor="_Toc3445" w:history="1">
        <w:r>
          <w:rPr>
            <w:rFonts w:hint="eastAsia"/>
            <w:color w:val="000000"/>
            <w:highlight w:val="none"/>
          </w:rPr>
          <w:t xml:space="preserve">附件七、</w:t>
        </w:r>
        <w:r>
          <w:rPr>
            <w:rFonts w:hint="eastAsia"/>
            <w:color w:val="000000"/>
            <w:highlight w:val="none"/>
            <w:lang w:val="zh-CN"/>
          </w:rPr>
          <w:t xml:space="preserve">第一章磋商邀请中规定的资格条件证明文件</w:t>
        </w:r>
        <w:r>
          <w:rPr>
            <w:color w:val="000000"/>
            <w:highlight w:val="none"/>
          </w:rPr>
          <w:tab/>
        </w:r>
        <w:r>
          <w:rPr>
            <w:color w:val="000000"/>
            <w:highlight w:val="none"/>
          </w:rPr>
          <w:fldChar w:fldCharType="begin"/>
        </w:r>
        <w:r>
          <w:rPr>
            <w:color w:val="000000"/>
            <w:highlight w:val="none"/>
          </w:rPr>
          <w:instrText xml:space="preserve"> PAGEREF _Toc3445 \h </w:instrText>
        </w:r>
        <w:r>
          <w:rPr>
            <w:color w:val="000000"/>
            <w:highlight w:val="none"/>
          </w:rPr>
        </w:r>
        <w:r>
          <w:rPr>
            <w:color w:val="000000"/>
            <w:highlight w:val="none"/>
          </w:rPr>
          <w:fldChar w:fldCharType="separate"/>
        </w:r>
        <w:r>
          <w:rPr>
            <w:color w:val="000000"/>
            <w:highlight w:val="none"/>
          </w:rPr>
          <w:t xml:space="preserve">58</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11005" w:anchor="_Toc11005" w:history="1">
        <w:r>
          <w:rPr>
            <w:rFonts w:hint="eastAsia"/>
            <w:color w:val="000000"/>
            <w:highlight w:val="none"/>
          </w:rPr>
          <w:t xml:space="preserve">附件八、无重大违法记录声明</w:t>
        </w:r>
        <w:r>
          <w:rPr>
            <w:color w:val="000000"/>
            <w:highlight w:val="none"/>
          </w:rPr>
          <w:tab/>
        </w:r>
        <w:r>
          <w:rPr>
            <w:color w:val="000000"/>
            <w:highlight w:val="none"/>
          </w:rPr>
          <w:fldChar w:fldCharType="begin"/>
        </w:r>
        <w:r>
          <w:rPr>
            <w:color w:val="000000"/>
            <w:highlight w:val="none"/>
          </w:rPr>
          <w:instrText xml:space="preserve"> PAGEREF _Toc11005 \h </w:instrText>
        </w:r>
        <w:r>
          <w:rPr>
            <w:color w:val="000000"/>
            <w:highlight w:val="none"/>
          </w:rPr>
        </w:r>
        <w:r>
          <w:rPr>
            <w:color w:val="000000"/>
            <w:highlight w:val="none"/>
          </w:rPr>
          <w:fldChar w:fldCharType="separate"/>
        </w:r>
        <w:r>
          <w:rPr>
            <w:color w:val="000000"/>
            <w:highlight w:val="none"/>
          </w:rPr>
          <w:t xml:space="preserve">58</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24427" w:anchor="_Toc24427" w:history="1">
        <w:r>
          <w:rPr>
            <w:rFonts w:hint="eastAsia"/>
            <w:color w:val="000000"/>
            <w:highlight w:val="none"/>
          </w:rPr>
          <w:t xml:space="preserve">附件九、安全生产责任承诺书</w:t>
        </w:r>
        <w:r>
          <w:rPr>
            <w:color w:val="000000"/>
            <w:highlight w:val="none"/>
          </w:rPr>
          <w:tab/>
        </w:r>
        <w:r>
          <w:rPr>
            <w:color w:val="000000"/>
            <w:highlight w:val="none"/>
          </w:rPr>
          <w:fldChar w:fldCharType="begin"/>
        </w:r>
        <w:r>
          <w:rPr>
            <w:color w:val="000000"/>
            <w:highlight w:val="none"/>
          </w:rPr>
          <w:instrText xml:space="preserve"> PAGEREF _Toc24427 \h </w:instrText>
        </w:r>
        <w:r>
          <w:rPr>
            <w:color w:val="000000"/>
            <w:highlight w:val="none"/>
          </w:rPr>
        </w:r>
        <w:r>
          <w:rPr>
            <w:color w:val="000000"/>
            <w:highlight w:val="none"/>
          </w:rPr>
          <w:fldChar w:fldCharType="separate"/>
        </w:r>
        <w:r>
          <w:rPr>
            <w:color w:val="000000"/>
            <w:highlight w:val="none"/>
          </w:rPr>
          <w:t xml:space="preserve">59</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14786" w:anchor="_Toc14786" w:history="1">
        <w:r>
          <w:rPr>
            <w:rFonts w:hint="eastAsia"/>
            <w:color w:val="000000"/>
            <w:highlight w:val="none"/>
          </w:rPr>
          <w:t xml:space="preserve">附件十、具备履行合同所必需的设备和专业技术能力的声明</w:t>
        </w:r>
        <w:r>
          <w:rPr>
            <w:color w:val="000000"/>
            <w:highlight w:val="none"/>
          </w:rPr>
          <w:tab/>
        </w:r>
        <w:r>
          <w:rPr>
            <w:color w:val="000000"/>
            <w:highlight w:val="none"/>
          </w:rPr>
          <w:fldChar w:fldCharType="begin"/>
        </w:r>
        <w:r>
          <w:rPr>
            <w:color w:val="000000"/>
            <w:highlight w:val="none"/>
          </w:rPr>
          <w:instrText xml:space="preserve"> PAGEREF _Toc14786 \h </w:instrText>
        </w:r>
        <w:r>
          <w:rPr>
            <w:color w:val="000000"/>
            <w:highlight w:val="none"/>
          </w:rPr>
        </w:r>
        <w:r>
          <w:rPr>
            <w:color w:val="000000"/>
            <w:highlight w:val="none"/>
          </w:rPr>
          <w:fldChar w:fldCharType="separate"/>
        </w:r>
        <w:r>
          <w:rPr>
            <w:color w:val="000000"/>
            <w:highlight w:val="none"/>
          </w:rPr>
          <w:t xml:space="preserve">59</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21344" w:anchor="_Toc21344" w:history="1">
        <w:r>
          <w:rPr>
            <w:rFonts w:hint="eastAsia"/>
            <w:color w:val="000000"/>
            <w:highlight w:val="none"/>
          </w:rPr>
          <w:t xml:space="preserve">附件十一</w:t>
        </w:r>
        <w:r>
          <w:rPr>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_Toc21344 \h </w:instrText>
        </w:r>
        <w:r>
          <w:rPr>
            <w:color w:val="000000"/>
            <w:highlight w:val="none"/>
          </w:rPr>
        </w:r>
        <w:r>
          <w:rPr>
            <w:color w:val="000000"/>
            <w:highlight w:val="none"/>
          </w:rPr>
          <w:fldChar w:fldCharType="separate"/>
        </w:r>
        <w:r>
          <w:rPr>
            <w:color w:val="000000"/>
            <w:highlight w:val="none"/>
          </w:rPr>
          <w:t xml:space="preserve">60</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9640" w:anchor="_Toc9640" w:history="1">
        <w:r>
          <w:rPr>
            <w:color w:val="000000"/>
            <w:highlight w:val="none"/>
          </w:rPr>
          <w:t xml:space="preserve">附件</w:t>
        </w:r>
        <w:r>
          <w:rPr>
            <w:rFonts w:hint="eastAsia"/>
            <w:color w:val="000000"/>
            <w:highlight w:val="none"/>
          </w:rPr>
          <w:t xml:space="preserve">十二</w:t>
        </w:r>
        <w:r>
          <w:rPr>
            <w:color w:val="000000"/>
            <w:highlight w:val="none"/>
          </w:rPr>
          <w:t xml:space="preserve">、残疾人福利性单位声明函</w:t>
        </w:r>
        <w:r>
          <w:rPr>
            <w:rFonts w:hint="eastAsia"/>
            <w:color w:val="000000"/>
            <w:highlight w:val="none"/>
          </w:rPr>
          <w:t xml:space="preserve">（如有，无则不提供此项）</w:t>
        </w:r>
        <w:r>
          <w:rPr>
            <w:color w:val="000000"/>
            <w:highlight w:val="none"/>
          </w:rPr>
          <w:tab/>
        </w:r>
        <w:r>
          <w:rPr>
            <w:color w:val="000000"/>
            <w:highlight w:val="none"/>
          </w:rPr>
          <w:fldChar w:fldCharType="begin"/>
        </w:r>
        <w:r>
          <w:rPr>
            <w:color w:val="000000"/>
            <w:highlight w:val="none"/>
          </w:rPr>
          <w:instrText xml:space="preserve"> PAGEREF _Toc9640 \h </w:instrText>
        </w:r>
        <w:r>
          <w:rPr>
            <w:color w:val="000000"/>
            <w:highlight w:val="none"/>
          </w:rPr>
        </w:r>
        <w:r>
          <w:rPr>
            <w:color w:val="000000"/>
            <w:highlight w:val="none"/>
          </w:rPr>
          <w:fldChar w:fldCharType="separate"/>
        </w:r>
        <w:r>
          <w:rPr>
            <w:color w:val="000000"/>
            <w:highlight w:val="none"/>
          </w:rPr>
          <w:t xml:space="preserve">61</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28893" w:anchor="_Toc28893" w:history="1">
        <w:r>
          <w:rPr>
            <w:color w:val="000000"/>
            <w:highlight w:val="none"/>
          </w:rPr>
          <w:t xml:space="preserve">附</w:t>
        </w:r>
        <w:r>
          <w:rPr>
            <w:rFonts w:hint="eastAsia"/>
            <w:color w:val="000000"/>
            <w:highlight w:val="none"/>
          </w:rPr>
          <w:t xml:space="preserve">件十三、属于监狱企业的证明文件（如有，无则不提供此项）</w:t>
        </w:r>
        <w:r>
          <w:rPr>
            <w:color w:val="000000"/>
            <w:highlight w:val="none"/>
          </w:rPr>
          <w:tab/>
        </w:r>
        <w:r>
          <w:rPr>
            <w:color w:val="000000"/>
            <w:highlight w:val="none"/>
          </w:rPr>
          <w:fldChar w:fldCharType="begin"/>
        </w:r>
        <w:r>
          <w:rPr>
            <w:color w:val="000000"/>
            <w:highlight w:val="none"/>
          </w:rPr>
          <w:instrText xml:space="preserve"> PAGEREF _Toc28893 \h </w:instrText>
        </w:r>
        <w:r>
          <w:rPr>
            <w:color w:val="000000"/>
            <w:highlight w:val="none"/>
          </w:rPr>
        </w:r>
        <w:r>
          <w:rPr>
            <w:color w:val="000000"/>
            <w:highlight w:val="none"/>
          </w:rPr>
          <w:fldChar w:fldCharType="separate"/>
        </w:r>
        <w:r>
          <w:rPr>
            <w:color w:val="000000"/>
            <w:highlight w:val="none"/>
          </w:rPr>
          <w:t xml:space="preserve">61</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10952" w:anchor="_Toc10952" w:history="1">
        <w:r>
          <w:rPr>
            <w:rFonts w:hint="eastAsia"/>
            <w:color w:val="000000"/>
            <w:highlight w:val="none"/>
          </w:rPr>
          <w:t xml:space="preserve">附件十四、节能产品认证文件（如有，无则不提供此项）</w:t>
        </w:r>
        <w:r>
          <w:rPr>
            <w:color w:val="000000"/>
            <w:highlight w:val="none"/>
          </w:rPr>
          <w:tab/>
        </w:r>
        <w:r>
          <w:rPr>
            <w:color w:val="000000"/>
            <w:highlight w:val="none"/>
          </w:rPr>
          <w:fldChar w:fldCharType="begin"/>
        </w:r>
        <w:r>
          <w:rPr>
            <w:color w:val="000000"/>
            <w:highlight w:val="none"/>
          </w:rPr>
          <w:instrText xml:space="preserve"> PAGEREF _Toc10952 \h </w:instrText>
        </w:r>
        <w:r>
          <w:rPr>
            <w:color w:val="000000"/>
            <w:highlight w:val="none"/>
          </w:rPr>
        </w:r>
        <w:r>
          <w:rPr>
            <w:color w:val="000000"/>
            <w:highlight w:val="none"/>
          </w:rPr>
          <w:fldChar w:fldCharType="separate"/>
        </w:r>
        <w:r>
          <w:rPr>
            <w:color w:val="000000"/>
            <w:highlight w:val="none"/>
          </w:rPr>
          <w:t xml:space="preserve">61</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17753" w:anchor="_Toc17753" w:history="1">
        <w:r>
          <w:rPr>
            <w:rFonts w:hint="eastAsia"/>
            <w:color w:val="000000"/>
            <w:highlight w:val="none"/>
          </w:rPr>
          <w:t xml:space="preserve">附件十五、环境标志产品认证文件（如有，无则不提供此项）</w:t>
        </w:r>
        <w:r>
          <w:rPr>
            <w:color w:val="000000"/>
            <w:highlight w:val="none"/>
          </w:rPr>
          <w:tab/>
        </w:r>
        <w:r>
          <w:rPr>
            <w:color w:val="000000"/>
            <w:highlight w:val="none"/>
          </w:rPr>
          <w:fldChar w:fldCharType="begin"/>
        </w:r>
        <w:r>
          <w:rPr>
            <w:color w:val="000000"/>
            <w:highlight w:val="none"/>
          </w:rPr>
          <w:instrText xml:space="preserve"> PAGEREF _Toc17753 \h </w:instrText>
        </w:r>
        <w:r>
          <w:rPr>
            <w:color w:val="000000"/>
            <w:highlight w:val="none"/>
          </w:rPr>
        </w:r>
        <w:r>
          <w:rPr>
            <w:color w:val="000000"/>
            <w:highlight w:val="none"/>
          </w:rPr>
          <w:fldChar w:fldCharType="separate"/>
        </w:r>
        <w:r>
          <w:rPr>
            <w:color w:val="000000"/>
            <w:highlight w:val="none"/>
          </w:rPr>
          <w:t xml:space="preserve">61</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3039" w:anchor="_Toc3039" w:history="1">
        <w:r>
          <w:rPr>
            <w:rFonts w:hint="eastAsia"/>
            <w:color w:val="000000"/>
            <w:highlight w:val="none"/>
          </w:rPr>
          <w:t xml:space="preserve">附件十六、进口产品转让技术、消化吸收再创新方案（如有，无则不提供此项）</w:t>
        </w:r>
        <w:r>
          <w:rPr>
            <w:color w:val="000000"/>
            <w:highlight w:val="none"/>
          </w:rPr>
          <w:tab/>
        </w:r>
        <w:r>
          <w:rPr>
            <w:color w:val="000000"/>
            <w:highlight w:val="none"/>
          </w:rPr>
          <w:fldChar w:fldCharType="begin"/>
        </w:r>
        <w:r>
          <w:rPr>
            <w:color w:val="000000"/>
            <w:highlight w:val="none"/>
          </w:rPr>
          <w:instrText xml:space="preserve"> PAGEREF _Toc3039 \h </w:instrText>
        </w:r>
        <w:r>
          <w:rPr>
            <w:color w:val="000000"/>
            <w:highlight w:val="none"/>
          </w:rPr>
        </w:r>
        <w:r>
          <w:rPr>
            <w:color w:val="000000"/>
            <w:highlight w:val="none"/>
          </w:rPr>
          <w:fldChar w:fldCharType="separate"/>
        </w:r>
        <w:r>
          <w:rPr>
            <w:color w:val="000000"/>
            <w:highlight w:val="none"/>
          </w:rPr>
          <w:t xml:space="preserve">61</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26638" w:anchor="_Toc26638" w:history="1">
        <w:r>
          <w:rPr>
            <w:rFonts w:hint="eastAsia"/>
            <w:color w:val="000000"/>
            <w:highlight w:val="none"/>
          </w:rPr>
          <w:t xml:space="preserve">附件十七、南京市政府采购供应商信用记录表暨信用承诺书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_Toc26638 \h </w:instrText>
        </w:r>
        <w:r>
          <w:rPr>
            <w:color w:val="000000"/>
            <w:highlight w:val="none"/>
          </w:rPr>
        </w:r>
        <w:r>
          <w:rPr>
            <w:color w:val="000000"/>
            <w:highlight w:val="none"/>
          </w:rPr>
          <w:fldChar w:fldCharType="separate"/>
        </w:r>
        <w:r>
          <w:rPr>
            <w:color w:val="000000"/>
            <w:highlight w:val="none"/>
          </w:rPr>
          <w:t xml:space="preserve">6</w:t>
        </w:r>
        <w:r>
          <w:rPr>
            <w:color w:val="000000"/>
            <w:highlight w:val="none"/>
          </w:rPr>
          <w:t xml:space="preserve">1</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22543" w:anchor="_Toc22543" w:history="1">
        <w:r>
          <w:rPr>
            <w:rFonts w:hint="eastAsia"/>
            <w:color w:val="000000"/>
            <w:highlight w:val="none"/>
          </w:rPr>
          <w:t xml:space="preserve">附件十</w:t>
        </w:r>
        <w:r>
          <w:rPr>
            <w:rFonts w:hint="eastAsia"/>
            <w:color w:val="000000"/>
            <w:highlight w:val="none"/>
          </w:rPr>
          <w:t xml:space="preserve">八</w:t>
        </w:r>
        <w:r>
          <w:rPr>
            <w:rFonts w:hint="eastAsia"/>
            <w:color w:val="000000"/>
            <w:highlight w:val="none"/>
          </w:rPr>
          <w:t xml:space="preserve">、“信用中国”、“中国政府采购网”网站截图</w:t>
        </w:r>
        <w:r>
          <w:rPr>
            <w:color w:val="000000"/>
            <w:highlight w:val="none"/>
          </w:rPr>
          <w:tab/>
        </w:r>
        <w:r>
          <w:rPr>
            <w:color w:val="000000"/>
            <w:highlight w:val="none"/>
          </w:rPr>
          <w:fldChar w:fldCharType="begin"/>
        </w:r>
        <w:r>
          <w:rPr>
            <w:color w:val="000000"/>
            <w:highlight w:val="none"/>
          </w:rPr>
          <w:instrText xml:space="preserve"> PAGEREF _Toc22543 \h </w:instrText>
        </w:r>
        <w:r>
          <w:rPr>
            <w:color w:val="000000"/>
            <w:highlight w:val="none"/>
          </w:rPr>
        </w:r>
        <w:r>
          <w:rPr>
            <w:color w:val="000000"/>
            <w:highlight w:val="none"/>
          </w:rPr>
          <w:fldChar w:fldCharType="separate"/>
        </w:r>
        <w:r>
          <w:rPr>
            <w:color w:val="000000"/>
            <w:highlight w:val="none"/>
          </w:rPr>
          <w:t xml:space="preserve">6</w:t>
        </w:r>
        <w:r>
          <w:rPr>
            <w:color w:val="000000"/>
            <w:highlight w:val="none"/>
          </w:rPr>
          <w:t xml:space="preserve">2</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22543" w:anchor="_Toc22543" w:history="1">
        <w:r>
          <w:rPr>
            <w:rFonts w:hint="eastAsia"/>
            <w:color w:val="000000"/>
            <w:highlight w:val="none"/>
          </w:rPr>
          <w:t xml:space="preserve">附件</w:t>
        </w:r>
        <w:r>
          <w:rPr>
            <w:rFonts w:hint="eastAsia"/>
            <w:color w:val="000000"/>
            <w:highlight w:val="none"/>
          </w:rPr>
          <w:t xml:space="preserve">十九</w:t>
        </w:r>
        <w:r>
          <w:rPr>
            <w:rFonts w:hint="eastAsia"/>
            <w:color w:val="000000"/>
            <w:highlight w:val="none"/>
          </w:rPr>
          <w:t xml:space="preserve">、磋商供应商认为需提供的其他资料</w:t>
        </w:r>
        <w:r>
          <w:rPr>
            <w:color w:val="000000"/>
            <w:highlight w:val="none"/>
          </w:rPr>
          <w:tab/>
        </w:r>
        <w:r>
          <w:rPr>
            <w:color w:val="000000"/>
            <w:highlight w:val="none"/>
          </w:rPr>
          <w:fldChar w:fldCharType="begin"/>
        </w:r>
        <w:r>
          <w:rPr>
            <w:color w:val="000000"/>
            <w:highlight w:val="none"/>
          </w:rPr>
          <w:instrText xml:space="preserve"> PAGEREF _Toc22543 \h </w:instrText>
        </w:r>
        <w:r>
          <w:rPr>
            <w:color w:val="000000"/>
            <w:highlight w:val="none"/>
          </w:rPr>
        </w:r>
        <w:r>
          <w:rPr>
            <w:color w:val="000000"/>
            <w:highlight w:val="none"/>
          </w:rPr>
          <w:fldChar w:fldCharType="separate"/>
        </w:r>
        <w:r>
          <w:rPr>
            <w:color w:val="000000"/>
            <w:highlight w:val="none"/>
          </w:rPr>
          <w:t xml:space="preserve">6</w:t>
        </w:r>
        <w:r>
          <w:rPr>
            <w:color w:val="000000"/>
            <w:highlight w:val="none"/>
          </w:rPr>
          <w:t xml:space="preserve">2</w:t>
        </w:r>
        <w:r>
          <w:rPr>
            <w:color w:val="000000"/>
            <w:highlight w:val="none"/>
          </w:rPr>
          <w:fldChar w:fldCharType="end"/>
        </w:r>
      </w:hyperlink>
      <w:r>
        <w:rPr>
          <w:highlight w:val="none"/>
        </w:rPr>
      </w:r>
      <w:r/>
    </w:p>
    <w:p>
      <w:pPr>
        <w:rPr>
          <w:highlight w:val="none"/>
        </w:rPr>
      </w:pPr>
      <w:r>
        <w:rPr>
          <w:highlight w:val="none"/>
        </w:rPr>
      </w:r>
      <w:r>
        <w:rPr>
          <w:highlight w:val="none"/>
        </w:rPr>
      </w:r>
      <w:r/>
    </w:p>
    <w:p>
      <w:pPr>
        <w:pStyle w:val="1004"/>
        <w:spacing w:line="240" w:lineRule="auto"/>
        <w:rPr>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highlight w:val="none"/>
        </w:rPr>
        <w:fldChar w:fldCharType="end"/>
      </w:r>
      <w:r>
        <w:rPr>
          <w:highlight w:val="none"/>
        </w:rPr>
      </w:r>
      <w:r/>
    </w:p>
    <w:p>
      <w:pPr>
        <w:pStyle w:val="1004"/>
        <w:spacing w:line="240" w:lineRule="auto"/>
        <w:rPr>
          <w:highlight w:val="none"/>
        </w:rPr>
      </w:pPr>
      <w:r>
        <w:rPr>
          <w:highlight w:val="none"/>
        </w:rPr>
      </w:r>
      <w:bookmarkStart w:id="12" w:name="_Toc535597864"/>
      <w:r>
        <w:rPr>
          <w:highlight w:val="none"/>
        </w:rPr>
      </w:r>
      <w:bookmarkStart w:id="13" w:name="_Toc345"/>
      <w:r>
        <w:rPr>
          <w:rFonts w:hint="eastAsia"/>
          <w:highlight w:val="none"/>
        </w:rPr>
        <w:t xml:space="preserve">第一章</w:t>
      </w:r>
      <w:r>
        <w:rPr>
          <w:rFonts w:hint="eastAsia"/>
          <w:highlight w:val="none"/>
        </w:rPr>
        <w:t xml:space="preserve">  </w:t>
      </w:r>
      <w:r>
        <w:rPr>
          <w:rFonts w:hint="eastAsia"/>
          <w:highlight w:val="none"/>
          <w:lang w:val="en-US"/>
        </w:rPr>
        <w:t xml:space="preserve">竞争性</w:t>
      </w:r>
      <w:r>
        <w:rPr>
          <w:rFonts w:hint="eastAsia"/>
          <w:highlight w:val="none"/>
        </w:rPr>
        <w:t xml:space="preserve">磋商</w:t>
      </w:r>
      <w:bookmarkEnd w:id="4"/>
      <w:r>
        <w:rPr>
          <w:highlight w:val="none"/>
        </w:rPr>
      </w:r>
      <w:bookmarkEnd w:id="5"/>
      <w:r>
        <w:rPr>
          <w:highlight w:val="none"/>
        </w:rPr>
      </w:r>
      <w:bookmarkEnd w:id="12"/>
      <w:r>
        <w:rPr>
          <w:rFonts w:hint="eastAsia"/>
          <w:highlight w:val="none"/>
          <w:lang w:val="en-US"/>
        </w:rPr>
        <w:t xml:space="preserve">公告</w:t>
      </w:r>
      <w:bookmarkEnd w:id="13"/>
      <w:r>
        <w:rPr>
          <w:highlight w:val="none"/>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left w:w="15" w:type="dxa"/>
          <w:top w:w="15" w:type="dxa"/>
          <w:right w:w="15" w:type="dxa"/>
          <w:bottom w:w="15" w:type="dxa"/>
        </w:tblCellMar>
        <w:tblLook w:val="04A0" w:firstRow="1" w:lastRow="0" w:firstColumn="1" w:lastColumn="0" w:noHBand="0" w:noVBand="1"/>
      </w:tblPr>
      <w:tblGrid>
        <w:gridCol w:w="9054"/>
      </w:tblGrid>
      <w:tr>
        <w:trPr/>
        <w:tc>
          <w:tcPr>
            <w:shd w:val="clear" w:color="auto" w:fill="ffffff"/>
            <w:tcW w:w="5000" w:type="dxa"/>
            <w:vAlign w:val="center"/>
            <w:textDirection w:val="lrTb"/>
            <w:noWrap w:val="false"/>
          </w:tcPr>
          <w:p>
            <w:pPr>
              <w:pStyle w:val="912"/>
              <w:spacing w:before="0" w:beforeAutospacing="0" w:after="0" w:afterAutospacing="0" w:line="360" w:lineRule="auto"/>
              <w:rPr>
                <w:sz w:val="21"/>
                <w:szCs w:val="21"/>
                <w:highlight w:val="none"/>
              </w:rPr>
            </w:pPr>
            <w:r>
              <w:rPr>
                <w:highlight w:val="none"/>
              </w:rPr>
            </w:r>
            <w:bookmarkStart w:id="14" w:name="_Toc535597865"/>
            <w:r>
              <w:rPr>
                <w:highlight w:val="none"/>
              </w:rPr>
            </w:r>
            <w:bookmarkStart w:id="15" w:name="_Toc503948563"/>
            <w:r>
              <w:rPr>
                <w:highlight w:val="none"/>
              </w:rPr>
            </w:r>
            <w:bookmarkStart w:id="16" w:name="_Toc503948056"/>
            <w:r>
              <w:rPr>
                <w:highlight w:val="none"/>
              </w:rPr>
            </w:r>
            <w:bookmarkStart w:id="17" w:name="_Toc503948562"/>
            <w:r>
              <w:rPr>
                <w:rFonts w:hint="eastAsia"/>
                <w:color w:val="000000"/>
                <w:sz w:val="21"/>
                <w:szCs w:val="21"/>
                <w:highlight w:val="none"/>
              </w:rPr>
              <w:t xml:space="preserve">项目概况</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rPr>
              <w:t xml:space="preserve">马鞍街道鞍山骨灰堂（一期扩建）工程 </w:t>
            </w:r>
            <w:r>
              <w:rPr>
                <w:rFonts w:hint="eastAsia"/>
                <w:color w:val="000000"/>
                <w:sz w:val="21"/>
                <w:szCs w:val="21"/>
                <w:highlight w:val="none"/>
              </w:rPr>
              <w:t xml:space="preserve">JSZC-320116-JSGH-C2026-0007</w:t>
            </w:r>
            <w:r>
              <w:rPr>
                <w:rFonts w:hint="eastAsia"/>
                <w:color w:val="000000"/>
                <w:sz w:val="21"/>
                <w:szCs w:val="21"/>
                <w:highlight w:val="none"/>
              </w:rPr>
              <w:t xml:space="preserve"> 采购项目的潜在供应商应在“苏采云”江苏省政府采购交易系统 获取采购文件，并于</w:t>
            </w:r>
            <w:r>
              <w:rPr>
                <w:rFonts w:hint="eastAsia"/>
                <w:sz w:val="21"/>
                <w:szCs w:val="21"/>
                <w:highlight w:val="none"/>
              </w:rPr>
              <w:t xml:space="preserve">2026年</w:t>
            </w:r>
            <w:r>
              <w:rPr>
                <w:sz w:val="21"/>
                <w:szCs w:val="21"/>
                <w:highlight w:val="none"/>
              </w:rPr>
              <w:t xml:space="preserve">07</w:t>
            </w:r>
            <w:r>
              <w:rPr>
                <w:rFonts w:hint="eastAsia"/>
                <w:sz w:val="21"/>
                <w:szCs w:val="21"/>
                <w:highlight w:val="none"/>
              </w:rPr>
              <w:t xml:space="preserve">月</w:t>
            </w:r>
            <w:r>
              <w:rPr>
                <w:sz w:val="21"/>
                <w:szCs w:val="21"/>
                <w:highlight w:val="none"/>
              </w:rPr>
              <w:t xml:space="preserve">31</w:t>
            </w:r>
            <w:r>
              <w:rPr>
                <w:rFonts w:hint="eastAsia"/>
                <w:sz w:val="21"/>
                <w:szCs w:val="21"/>
                <w:highlight w:val="none"/>
              </w:rPr>
              <w:t xml:space="preserve">日9:30</w:t>
            </w:r>
            <w:r>
              <w:rPr>
                <w:rFonts w:hint="eastAsia"/>
                <w:color w:val="000000"/>
                <w:sz w:val="21"/>
                <w:szCs w:val="21"/>
                <w:highlight w:val="none"/>
              </w:rPr>
              <w:t xml:space="preserve">（北京时间）前提交响应文件。</w:t>
            </w:r>
            <w:r>
              <w:rPr>
                <w:highlight w:val="none"/>
              </w:rPr>
            </w:r>
            <w:r/>
          </w:p>
        </w:tc>
      </w:tr>
    </w:tbl>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18" w:name="_Toc23476"/>
      <w:r>
        <w:rPr>
          <w:highlight w:val="none"/>
        </w:rPr>
      </w:r>
      <w:bookmarkStart w:id="19" w:name="_Toc26983"/>
      <w:r>
        <w:rPr>
          <w:highlight w:val="none"/>
        </w:rPr>
      </w:r>
      <w:bookmarkStart w:id="20" w:name="_Toc23041"/>
      <w:r>
        <w:rPr>
          <w:rStyle w:val="917"/>
          <w:rFonts w:hint="eastAsia" w:ascii="宋体" w:hAnsi="宋体" w:eastAsia="宋体" w:cs="宋体"/>
          <w:color w:val="000000"/>
          <w:sz w:val="21"/>
          <w:szCs w:val="21"/>
          <w:highlight w:val="none"/>
          <w:shd w:val="clear" w:color="auto" w:fill="ffffff"/>
        </w:rPr>
        <w:t xml:space="preserve">一、项目基本情况</w:t>
      </w:r>
      <w:bookmarkEnd w:id="18"/>
      <w:r>
        <w:rPr>
          <w:highlight w:val="none"/>
        </w:rPr>
      </w:r>
      <w:bookmarkEnd w:id="19"/>
      <w:r>
        <w:rPr>
          <w:highlight w:val="none"/>
        </w:rPr>
      </w:r>
      <w:bookmarkEnd w:id="20"/>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rPr>
        <w:t xml:space="preserve">JSZC-320116-JSGH-C2026-0007</w:t>
      </w:r>
      <w:r>
        <w:rPr>
          <w:rFonts w:hint="eastAsia"/>
          <w:color w:val="000000"/>
          <w:sz w:val="21"/>
          <w:szCs w:val="21"/>
          <w:highlight w:val="none"/>
          <w:shd w:val="clear" w:color="auto" w:fill="ffffff"/>
        </w:rPr>
        <w:t xml:space="preserve"> </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项目名称：马鞍街道鞍山骨灰堂（一期扩建）工程 </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采购方式：竞争性磋商 </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预算金额：</w:t>
      </w:r>
      <w:r>
        <w:rPr>
          <w:color w:val="000000"/>
          <w:sz w:val="21"/>
          <w:szCs w:val="21"/>
          <w:highlight w:val="none"/>
          <w:shd w:val="clear" w:color="auto" w:fill="ffffff"/>
        </w:rPr>
        <w:t xml:space="preserve">220</w:t>
      </w:r>
      <w:r>
        <w:rPr>
          <w:rFonts w:hint="eastAsia"/>
          <w:color w:val="000000"/>
          <w:sz w:val="21"/>
          <w:szCs w:val="21"/>
          <w:highlight w:val="none"/>
          <w:shd w:val="clear" w:color="auto" w:fill="ffffff"/>
        </w:rPr>
        <w:t xml:space="preserve">万元 </w:t>
      </w:r>
      <w:r>
        <w:rPr>
          <w:highlight w:val="none"/>
        </w:rPr>
      </w:r>
      <w:r/>
    </w:p>
    <w:p>
      <w:pPr>
        <w:spacing w:line="360" w:lineRule="auto"/>
        <w:rPr>
          <w:highlight w:val="none"/>
        </w:rPr>
      </w:pPr>
      <w:r>
        <w:rPr>
          <w:rFonts w:hint="eastAsia"/>
          <w:color w:val="000000"/>
          <w:szCs w:val="21"/>
          <w:highlight w:val="none"/>
          <w:shd w:val="clear" w:color="auto" w:fill="ffffff"/>
        </w:rPr>
        <w:t xml:space="preserve">最高限价：</w:t>
      </w:r>
      <w:r>
        <w:rPr>
          <w:rFonts w:hint="eastAsia" w:ascii="宋体" w:hAnsi="宋体" w:cs="宋体"/>
          <w:color w:val="000000"/>
          <w:szCs w:val="21"/>
          <w:highlight w:val="none"/>
          <w:shd w:val="clear" w:color="auto" w:fill="ffffff"/>
        </w:rPr>
        <w:t xml:space="preserve">200.097161万元</w:t>
      </w:r>
      <w:r>
        <w:rPr>
          <w:rFonts w:hint="eastAsia" w:ascii="宋体" w:hAnsi="宋体"/>
          <w:szCs w:val="21"/>
          <w:highlight w:val="none"/>
        </w:rPr>
        <w:t xml:space="preserve">（</w:t>
      </w:r>
      <w:r>
        <w:rPr>
          <w:rFonts w:hint="eastAsia" w:ascii="宋体" w:hAnsi="宋体" w:cs="宋体"/>
          <w:szCs w:val="21"/>
          <w:highlight w:val="none"/>
        </w:rPr>
        <w:t xml:space="preserve">供应商的磋商报价超过最高限价的其响应文件将被作为无效响应处理）</w:t>
      </w:r>
      <w:r>
        <w:rPr>
          <w:highlight w:val="none"/>
        </w:rPr>
      </w:r>
      <w:r/>
    </w:p>
    <w:p>
      <w:pPr>
        <w:pStyle w:val="912"/>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采购需求：马鞍街道鞍山骨灰堂（一期扩建）工程</w:t>
      </w:r>
      <w:r>
        <w:rPr>
          <w:rFonts w:hint="eastAsia"/>
          <w:color w:val="000000"/>
          <w:sz w:val="21"/>
          <w:szCs w:val="21"/>
          <w:highlight w:val="none"/>
          <w:shd w:val="clear" w:color="auto" w:fill="ffffff"/>
          <w:lang w:bidi="ar"/>
        </w:rPr>
        <w:t xml:space="preserve">，具体详见采购文件及工程量清单。</w:t>
      </w:r>
      <w:r>
        <w:rPr>
          <w:highlight w:val="none"/>
        </w:rPr>
      </w:r>
      <w:r/>
    </w:p>
    <w:p>
      <w:pPr>
        <w:pStyle w:val="912"/>
        <w:spacing w:before="0" w:beforeAutospacing="0" w:after="0"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合同履行期限：</w:t>
      </w:r>
      <w:r>
        <w:rPr>
          <w:color w:val="000000"/>
          <w:sz w:val="21"/>
          <w:szCs w:val="21"/>
          <w:highlight w:val="none"/>
          <w:shd w:val="clear" w:color="auto" w:fill="ffffff"/>
        </w:rPr>
        <w:t xml:space="preserve">120</w:t>
      </w:r>
      <w:r>
        <w:rPr>
          <w:color w:val="000000"/>
          <w:sz w:val="21"/>
          <w:szCs w:val="21"/>
          <w:highlight w:val="none"/>
          <w:shd w:val="clear" w:color="auto" w:fill="ffffff"/>
        </w:rPr>
        <w:t xml:space="preserve">日历</w:t>
      </w:r>
      <w:r>
        <w:rPr>
          <w:rFonts w:hint="eastAsia"/>
          <w:color w:val="000000"/>
          <w:sz w:val="21"/>
          <w:szCs w:val="21"/>
          <w:highlight w:val="none"/>
          <w:shd w:val="clear" w:color="auto" w:fill="ffffff"/>
        </w:rPr>
        <w:t xml:space="preserve">天</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w:t>
      </w:r>
      <w:r>
        <w:rPr>
          <w:rFonts w:hint="eastAsia"/>
          <w:color w:val="000000"/>
          <w:sz w:val="21"/>
          <w:szCs w:val="21"/>
          <w:highlight w:val="none"/>
          <w:shd w:val="clear" w:color="auto" w:fill="ffffff"/>
        </w:rPr>
        <w:t xml:space="preserve">。</w:t>
      </w:r>
      <w:r>
        <w:rPr>
          <w:rFonts w:hint="eastAsia"/>
          <w:color w:val="000000"/>
          <w:sz w:val="21"/>
          <w:szCs w:val="21"/>
          <w:highlight w:val="none"/>
          <w:shd w:val="clear" w:color="auto" w:fill="ffffff"/>
        </w:rPr>
        <w:t xml:space="preserve"> </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21" w:name="_Toc32620"/>
      <w:r>
        <w:rPr>
          <w:highlight w:val="none"/>
        </w:rPr>
      </w:r>
      <w:bookmarkStart w:id="22" w:name="_Toc850"/>
      <w:r>
        <w:rPr>
          <w:highlight w:val="none"/>
        </w:rPr>
      </w:r>
      <w:bookmarkStart w:id="23" w:name="_Toc4177"/>
      <w:r>
        <w:rPr>
          <w:rStyle w:val="917"/>
          <w:rFonts w:hint="eastAsia" w:ascii="宋体" w:hAnsi="宋体" w:eastAsia="宋体" w:cs="宋体"/>
          <w:color w:val="000000"/>
          <w:sz w:val="21"/>
          <w:szCs w:val="21"/>
          <w:highlight w:val="none"/>
          <w:shd w:val="clear" w:color="auto" w:fill="ffffff"/>
        </w:rPr>
        <w:t xml:space="preserve">二、申请人的资格要求</w:t>
      </w:r>
      <w:bookmarkEnd w:id="21"/>
      <w:r>
        <w:rPr>
          <w:highlight w:val="none"/>
        </w:rPr>
      </w:r>
      <w:bookmarkEnd w:id="22"/>
      <w:r>
        <w:rPr>
          <w:highlight w:val="none"/>
        </w:rPr>
      </w:r>
      <w:bookmarkEnd w:id="23"/>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1.具有独立承担民事责任的能力。（提供法人或者其他组织的营业执照，自然人的身份证明，复印件加盖公章）</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2.具有良好的商业信誉和健全的财务会计制度。（提供参加本次采购活动前半年内至少一个月的财务报表，复印件加盖公章）</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3.具有履行合同所必需的设备和专业技术能力。（提供书面声明加盖公章）</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5.参加政府采购活动前3年内，在经营活动中没有重大违法记录。（提供书面声明加盖公章）</w:t>
      </w:r>
      <w:r>
        <w:rPr>
          <w:highlight w:val="none"/>
        </w:rPr>
      </w:r>
      <w:r/>
    </w:p>
    <w:p>
      <w:pPr>
        <w:pStyle w:val="912"/>
        <w:spacing w:before="0" w:beforeAutospacing="0" w:after="0"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Pr>
          <w:rFonts w:hint="eastAsia"/>
          <w:color w:val="000000"/>
          <w:sz w:val="21"/>
          <w:szCs w:val="21"/>
          <w:highlight w:val="none"/>
          <w:shd w:val="clear" w:color="auto" w:fill="ffffff"/>
          <w:lang w:val="zh-CN"/>
        </w:rPr>
        <w:t xml:space="preserve">如作出虚假信用承诺，视同为“提供虚假材料谋取中标、成交”的违法行为</w:t>
      </w:r>
      <w:r>
        <w:rPr>
          <w:rFonts w:hint="eastAsia"/>
          <w:color w:val="000000"/>
          <w:sz w:val="21"/>
          <w:szCs w:val="21"/>
          <w:highlight w:val="none"/>
          <w:shd w:val="clear" w:color="auto" w:fill="ffffff"/>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②被相关监管部门作出行政处罚且尚在处罚有效期内；③其他法律、行政法规规定的不适用信用承诺的情形。注：</w:t>
      </w:r>
      <w:r>
        <w:rPr>
          <w:rFonts w:hint="eastAsia"/>
          <w:color w:val="000000"/>
          <w:sz w:val="21"/>
          <w:szCs w:val="21"/>
          <w:highlight w:val="none"/>
          <w:shd w:val="clear" w:color="auto" w:fill="ffffff"/>
          <w:lang w:val="zh-CN"/>
        </w:rPr>
        <w:t xml:space="preserve">信用记录表打印时间为本竞争性磋商</w:t>
      </w:r>
      <w:r>
        <w:rPr>
          <w:rFonts w:hint="eastAsia"/>
          <w:color w:val="000000"/>
          <w:sz w:val="21"/>
          <w:szCs w:val="21"/>
          <w:highlight w:val="none"/>
          <w:shd w:val="clear" w:color="auto" w:fill="ffffff"/>
        </w:rPr>
        <w:t xml:space="preserve">公告</w:t>
      </w:r>
      <w:r>
        <w:rPr>
          <w:rFonts w:hint="eastAsia"/>
          <w:color w:val="000000"/>
          <w:sz w:val="21"/>
          <w:szCs w:val="21"/>
          <w:highlight w:val="none"/>
          <w:shd w:val="clear" w:color="auto" w:fill="ffffff"/>
          <w:lang w:val="zh-CN"/>
        </w:rPr>
        <w:t xml:space="preserve">发布之日起至递交响应文件</w:t>
      </w:r>
      <w:r>
        <w:rPr>
          <w:rFonts w:hint="eastAsia"/>
          <w:color w:val="000000"/>
          <w:sz w:val="21"/>
          <w:szCs w:val="21"/>
          <w:highlight w:val="none"/>
          <w:shd w:val="clear" w:color="auto" w:fill="ffffff"/>
        </w:rPr>
        <w:t xml:space="preserve">截止</w:t>
      </w:r>
      <w:r>
        <w:rPr>
          <w:rFonts w:hint="eastAsia"/>
          <w:color w:val="000000"/>
          <w:sz w:val="21"/>
          <w:szCs w:val="21"/>
          <w:highlight w:val="none"/>
          <w:shd w:val="clear" w:color="auto" w:fill="ffffff"/>
          <w:lang w:val="zh-CN"/>
        </w:rPr>
        <w:t xml:space="preserve">日前，未按上述要求提供信用记录表的，响应文件</w:t>
      </w:r>
      <w:r>
        <w:rPr>
          <w:rFonts w:hint="eastAsia"/>
          <w:color w:val="000000"/>
          <w:sz w:val="21"/>
          <w:szCs w:val="21"/>
          <w:highlight w:val="none"/>
          <w:shd w:val="clear" w:color="auto" w:fill="ffffff"/>
        </w:rPr>
        <w:t xml:space="preserve">按无效磋商处理</w:t>
      </w:r>
      <w:r>
        <w:rPr>
          <w:rFonts w:hint="eastAsia"/>
          <w:color w:val="000000"/>
          <w:sz w:val="21"/>
          <w:szCs w:val="21"/>
          <w:highlight w:val="none"/>
          <w:shd w:val="clear" w:color="auto" w:fill="ffffff"/>
          <w:lang w:val="zh-CN"/>
        </w:rPr>
        <w:t xml:space="preserve">。</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highlight w:val="none"/>
        </w:rPr>
      </w:r>
      <w:r/>
    </w:p>
    <w:p>
      <w:pPr>
        <w:jc w:val="left"/>
        <w:spacing w:line="360" w:lineRule="auto"/>
        <w:widowControl/>
        <w:rPr>
          <w:rFonts w:ascii="宋体" w:hAnsi="宋体" w:cs="宋体"/>
          <w:szCs w:val="21"/>
          <w:highlight w:val="none"/>
        </w:rPr>
      </w:pPr>
      <w:r>
        <w:rPr>
          <w:rStyle w:val="917"/>
          <w:rFonts w:hint="eastAsia" w:ascii="宋体" w:hAnsi="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highlight w:val="none"/>
        </w:rPr>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Cs w:val="21"/>
          <w:highlight w:val="none"/>
          <w:shd w:val="clear" w:color="auto" w:fill="ffffff"/>
          <w:lang w:bidi="ar"/>
        </w:rPr>
        <w:t xml:space="preserve">（三）</w:t>
      </w:r>
      <w:r>
        <w:rPr>
          <w:rFonts w:hint="eastAsia"/>
          <w:color w:val="000000"/>
          <w:sz w:val="21"/>
          <w:szCs w:val="21"/>
          <w:highlight w:val="none"/>
          <w:shd w:val="clear" w:color="auto" w:fill="ffffff"/>
        </w:rPr>
        <w:t xml:space="preserve">本项目的特定资格要求：</w:t>
      </w:r>
      <w:r>
        <w:rPr>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color w:val="000000"/>
          <w:szCs w:val="21"/>
          <w:highlight w:val="none"/>
          <w:shd w:val="clear" w:color="auto" w:fill="ffffff"/>
          <w:lang w:bidi="ar"/>
        </w:rPr>
        <w:t xml:space="preserve">供应商具有</w:t>
      </w:r>
      <w:r>
        <w:rPr>
          <w:rFonts w:hint="eastAsia" w:ascii="宋体" w:hAnsi="宋体" w:cs="宋体"/>
          <w:szCs w:val="21"/>
          <w:highlight w:val="none"/>
        </w:rPr>
        <w:t xml:space="preserve">建筑工程施工总承包三级（含）以上</w:t>
      </w:r>
      <w:r>
        <w:rPr>
          <w:rFonts w:hint="eastAsia" w:ascii="宋体" w:hAnsi="宋体" w:cs="宋体"/>
          <w:color w:val="000000"/>
          <w:szCs w:val="21"/>
          <w:highlight w:val="none"/>
          <w:shd w:val="clear" w:color="auto" w:fill="ffffff"/>
          <w:lang w:bidi="ar"/>
        </w:rPr>
        <w:t xml:space="preserve">资质 ，供应商应同时具备有效的安全生产许可证。</w:t>
      </w:r>
      <w:r>
        <w:rPr>
          <w:rFonts w:hint="eastAsia" w:ascii="宋体" w:hAnsi="宋体" w:cs="宋体"/>
          <w:szCs w:val="21"/>
          <w:highlight w:val="none"/>
        </w:rPr>
        <w:t xml:space="preserve">（提供加盖供应商公章的有效证书复印件）</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szCs w:val="21"/>
          <w:highlight w:val="none"/>
        </w:rPr>
        <w:t xml:space="preserve">2.</w:t>
      </w:r>
      <w:r>
        <w:rPr>
          <w:rFonts w:hint="eastAsia" w:ascii="宋体" w:hAnsi="宋体" w:cs="宋体"/>
          <w:color w:val="000000"/>
          <w:szCs w:val="21"/>
          <w:highlight w:val="none"/>
          <w:shd w:val="clear" w:color="auto" w:fill="ffffff"/>
          <w:lang w:bidi="ar"/>
        </w:rPr>
        <w:t xml:space="preserve">项目负责人资质类别和等级：</w:t>
      </w:r>
      <w:r>
        <w:rPr>
          <w:rFonts w:hint="eastAsia" w:ascii="宋体" w:hAnsi="宋体" w:cs="宋体"/>
          <w:szCs w:val="21"/>
          <w:highlight w:val="none"/>
        </w:rPr>
        <w:t xml:space="preserve">具有注册建造师证建筑工程二级(含)以上，并且取得有效期内的安全生产考核合格证（B 证）。（提供加盖供应商公章的有效证书复印件、提供</w:t>
      </w:r>
      <w:r>
        <w:rPr>
          <w:rFonts w:hint="eastAsia" w:ascii="宋体" w:hAnsi="宋体" w:cs="宋体"/>
          <w:szCs w:val="21"/>
          <w:highlight w:val="none"/>
          <w:lang w:val="zh-CN"/>
        </w:rPr>
        <w:t xml:space="preserve">采购公告前近三个月</w:t>
      </w:r>
      <w:r>
        <w:rPr>
          <w:rFonts w:hint="eastAsia" w:ascii="宋体" w:hAnsi="宋体" w:cs="宋体"/>
          <w:szCs w:val="21"/>
          <w:highlight w:val="none"/>
        </w:rPr>
        <w:t xml:space="preserve">中任意一个月</w:t>
      </w:r>
      <w:r>
        <w:rPr>
          <w:rFonts w:hint="eastAsia" w:ascii="宋体" w:hAnsi="宋体" w:cs="宋体"/>
          <w:szCs w:val="21"/>
          <w:highlight w:val="none"/>
          <w:lang w:val="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cs="宋体"/>
          <w:color w:val="000000"/>
          <w:szCs w:val="21"/>
          <w:highlight w:val="none"/>
          <w:shd w:val="clear" w:color="auto" w:fill="ffffff"/>
          <w:lang w:bidi="ar"/>
        </w:rPr>
        <w:t xml:space="preserve">）</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3.项目负责人未担任其他在建建设工程项目的项目负责人，供应商拟任的项目负责人必须满足下列条件之一：</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1）项目负责人是非变更后无在建工程（提供供应商出具的承诺书，时间为招标公告发布时间以后，投标截止时间以前。备注：拟任项目负责人在本项目投标截止时间前已在其它投标项目中拟任项目负责人并中标，虽尚未签订承包合同但该项目中标通知书已发出的，该项目负责人视为有在建工程）。</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（2）项目负责人是变更后无在建工程（必须原合同工期已满且原建设单位同意变更手续办理已满6个月，须提供相关证明材料）</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（3）项目负责人</w:t>
      </w:r>
      <w:r>
        <w:rPr>
          <w:rFonts w:ascii="宋体" w:hAnsi="宋体" w:cs="宋体"/>
          <w:color w:val="000000"/>
          <w:szCs w:val="21"/>
          <w:highlight w:val="none"/>
          <w:shd w:val="clear" w:color="auto" w:fill="ffffff"/>
          <w:lang w:bidi="ar"/>
        </w:rPr>
        <w:t xml:space="preserve">虽有在建工程，但符合以下情形之一的，视为无在建工程</w:t>
      </w:r>
      <w:r>
        <w:rPr>
          <w:rFonts w:hint="eastAsia" w:ascii="宋体" w:hAnsi="宋体" w:cs="宋体"/>
          <w:color w:val="000000"/>
          <w:szCs w:val="21"/>
          <w:highlight w:val="none"/>
          <w:shd w:val="clear" w:color="auto" w:fill="ffffff"/>
          <w:lang w:bidi="ar"/>
        </w:rPr>
        <w:t xml:space="preserve">：</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t xml:space="preserve">①通过合同完工验收（</w:t>
      </w:r>
      <w:r>
        <w:rPr>
          <w:rFonts w:hint="eastAsia" w:ascii="宋体" w:hAnsi="宋体" w:cs="宋体"/>
          <w:color w:val="000000"/>
          <w:szCs w:val="21"/>
          <w:highlight w:val="none"/>
          <w:shd w:val="clear" w:color="auto" w:fill="ffffff"/>
          <w:lang w:bidi="ar"/>
        </w:rPr>
        <w:t xml:space="preserve">须提供参建各方盖章的合同完工验收证明</w:t>
      </w:r>
      <w:r>
        <w:rPr>
          <w:rFonts w:ascii="宋体" w:hAnsi="宋体" w:cs="宋体"/>
          <w:color w:val="000000"/>
          <w:szCs w:val="21"/>
          <w:highlight w:val="none"/>
          <w:shd w:val="clear" w:color="auto" w:fill="ffffff"/>
          <w:lang w:bidi="ar"/>
        </w:rPr>
        <w:t xml:space="preserve">）</w:t>
      </w:r>
      <w:r>
        <w:rPr>
          <w:rFonts w:hint="eastAsia" w:ascii="宋体" w:hAnsi="宋体" w:cs="宋体"/>
          <w:color w:val="000000"/>
          <w:szCs w:val="21"/>
          <w:highlight w:val="none"/>
          <w:shd w:val="clear" w:color="auto" w:fill="ffffff"/>
          <w:lang w:bidi="ar"/>
        </w:rPr>
        <w:t xml:space="preserve">；</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t xml:space="preserve">②工程具备合同完工验收条件，已向建设单位提出合同完工验收申请，并经建设单位确认（</w:t>
      </w:r>
      <w:r>
        <w:rPr>
          <w:rFonts w:hint="eastAsia" w:ascii="宋体" w:hAnsi="宋体" w:cs="宋体"/>
          <w:color w:val="000000"/>
          <w:szCs w:val="21"/>
          <w:highlight w:val="none"/>
          <w:shd w:val="clear" w:color="auto" w:fill="ffffff"/>
          <w:lang w:bidi="ar"/>
        </w:rPr>
        <w:t xml:space="preserve">须提供以下资料：</w:t>
      </w:r>
      <w:r>
        <w:rPr>
          <w:rFonts w:ascii="宋体" w:hAnsi="宋体" w:cs="宋体"/>
          <w:color w:val="000000"/>
          <w:szCs w:val="21"/>
          <w:highlight w:val="none"/>
          <w:shd w:val="clear" w:color="auto" w:fill="ffffff"/>
          <w:lang w:bidi="ar"/>
        </w:rPr>
        <w:t xml:space="preserve">a</w:t>
      </w:r>
      <w:r>
        <w:rPr>
          <w:rFonts w:hint="eastAsia" w:ascii="宋体" w:hAnsi="宋体" w:cs="宋体"/>
          <w:color w:val="000000"/>
          <w:szCs w:val="21"/>
          <w:highlight w:val="none"/>
          <w:shd w:val="clear" w:color="auto" w:fill="ffffff"/>
          <w:lang w:bidi="ar"/>
        </w:rPr>
        <w:t xml:space="preserve">.经建设单位确认的合同完工验收申请，</w:t>
      </w:r>
      <w:r>
        <w:rPr>
          <w:rFonts w:ascii="宋体" w:hAnsi="宋体" w:cs="宋体"/>
          <w:color w:val="000000"/>
          <w:szCs w:val="21"/>
          <w:highlight w:val="none"/>
          <w:shd w:val="clear" w:color="auto" w:fill="ffffff"/>
          <w:lang w:bidi="ar"/>
        </w:rPr>
        <w:t xml:space="preserve">b</w:t>
      </w:r>
      <w:r>
        <w:rPr>
          <w:rFonts w:hint="eastAsia" w:ascii="宋体" w:hAnsi="宋体" w:cs="宋体"/>
          <w:color w:val="000000"/>
          <w:szCs w:val="21"/>
          <w:highlight w:val="none"/>
          <w:shd w:val="clear" w:color="auto" w:fill="ffffff"/>
          <w:lang w:bidi="ar"/>
        </w:rPr>
        <w:t xml:space="preserve">.</w:t>
      </w:r>
      <w:r>
        <w:rPr>
          <w:rFonts w:ascii="宋体" w:hAnsi="宋体" w:cs="宋体"/>
          <w:color w:val="000000"/>
          <w:szCs w:val="21"/>
          <w:highlight w:val="none"/>
          <w:shd w:val="clear" w:color="auto" w:fill="ffffff"/>
          <w:lang w:bidi="ar"/>
        </w:rPr>
        <w:t xml:space="preserve">在建工程建设单位出具的允许</w:t>
      </w:r>
      <w:r>
        <w:rPr>
          <w:rFonts w:hint="eastAsia" w:ascii="宋体" w:hAnsi="宋体" w:cs="宋体"/>
          <w:color w:val="000000"/>
          <w:szCs w:val="21"/>
          <w:highlight w:val="none"/>
          <w:shd w:val="clear" w:color="auto" w:fill="ffffff"/>
          <w:lang w:bidi="ar"/>
        </w:rPr>
        <w:t xml:space="preserve">项目负责人</w:t>
      </w:r>
      <w:r>
        <w:rPr>
          <w:rFonts w:ascii="宋体" w:hAnsi="宋体" w:cs="宋体"/>
          <w:color w:val="000000"/>
          <w:szCs w:val="21"/>
          <w:highlight w:val="none"/>
          <w:shd w:val="clear" w:color="auto" w:fill="ffffff"/>
          <w:lang w:bidi="ar"/>
        </w:rPr>
        <w:t xml:space="preserve">撤出原在建工程项目的证明材料）</w:t>
      </w:r>
      <w:r>
        <w:rPr>
          <w:rFonts w:hint="eastAsia" w:ascii="宋体" w:hAnsi="宋体" w:cs="宋体"/>
          <w:color w:val="000000"/>
          <w:szCs w:val="21"/>
          <w:highlight w:val="none"/>
          <w:shd w:val="clear" w:color="auto" w:fill="ffffff"/>
          <w:lang w:bidi="ar"/>
        </w:rPr>
        <w:t xml:space="preserve">；</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t xml:space="preserve">③因非承包方原因致使工程项目停工超过120天（含）</w:t>
      </w:r>
      <w:r>
        <w:rPr>
          <w:rFonts w:hint="eastAsia" w:ascii="宋体" w:hAnsi="宋体" w:cs="宋体"/>
          <w:color w:val="000000"/>
          <w:szCs w:val="21"/>
          <w:highlight w:val="none"/>
          <w:shd w:val="clear" w:color="auto" w:fill="ffffff"/>
          <w:lang w:bidi="ar"/>
        </w:rPr>
        <w:t xml:space="preserve">，</w:t>
      </w:r>
      <w:r>
        <w:rPr>
          <w:rFonts w:ascii="宋体" w:hAnsi="宋体" w:cs="宋体"/>
          <w:color w:val="000000"/>
          <w:szCs w:val="21"/>
          <w:highlight w:val="none"/>
          <w:shd w:val="clear" w:color="auto" w:fill="ffffff"/>
          <w:lang w:bidi="ar"/>
        </w:rPr>
        <w:t xml:space="preserve">停工事项在投标截止之前</w:t>
      </w:r>
      <w:r>
        <w:rPr>
          <w:rFonts w:hint="eastAsia" w:ascii="宋体" w:hAnsi="宋体" w:cs="宋体"/>
          <w:color w:val="000000"/>
          <w:szCs w:val="21"/>
          <w:highlight w:val="none"/>
          <w:shd w:val="clear" w:color="auto" w:fill="ffffff"/>
          <w:lang w:bidi="ar"/>
        </w:rPr>
        <w:t xml:space="preserve">按照项目所在地的规定</w:t>
      </w:r>
      <w:r>
        <w:rPr>
          <w:rFonts w:ascii="宋体" w:hAnsi="宋体" w:cs="宋体"/>
          <w:color w:val="000000"/>
          <w:szCs w:val="21"/>
          <w:highlight w:val="none"/>
          <w:shd w:val="clear" w:color="auto" w:fill="ffffff"/>
          <w:lang w:bidi="ar"/>
        </w:rPr>
        <w:t xml:space="preserve">报</w:t>
      </w:r>
      <w:r>
        <w:rPr>
          <w:rFonts w:hint="eastAsia" w:ascii="宋体" w:hAnsi="宋体" w:cs="宋体"/>
          <w:color w:val="000000"/>
          <w:szCs w:val="21"/>
          <w:highlight w:val="none"/>
          <w:shd w:val="clear" w:color="auto" w:fill="ffffff"/>
          <w:lang w:bidi="ar"/>
        </w:rPr>
        <w:t xml:space="preserve">相应管理</w:t>
      </w:r>
      <w:r>
        <w:rPr>
          <w:rFonts w:ascii="宋体" w:hAnsi="宋体" w:cs="宋体"/>
          <w:color w:val="000000"/>
          <w:szCs w:val="21"/>
          <w:highlight w:val="none"/>
          <w:shd w:val="clear" w:color="auto" w:fill="ffffff"/>
          <w:lang w:bidi="ar"/>
        </w:rPr>
        <w:t xml:space="preserve">部门</w:t>
      </w:r>
      <w:r>
        <w:rPr>
          <w:rFonts w:hint="eastAsia" w:ascii="宋体" w:hAnsi="宋体" w:cs="宋体"/>
          <w:color w:val="000000"/>
          <w:szCs w:val="21"/>
          <w:highlight w:val="none"/>
          <w:shd w:val="clear" w:color="auto" w:fill="ffffff"/>
          <w:lang w:bidi="ar"/>
        </w:rPr>
        <w:t xml:space="preserve">确认</w:t>
      </w:r>
      <w:r>
        <w:rPr>
          <w:rFonts w:ascii="宋体" w:hAnsi="宋体" w:cs="宋体"/>
          <w:color w:val="000000"/>
          <w:szCs w:val="21"/>
          <w:highlight w:val="none"/>
          <w:shd w:val="clear" w:color="auto" w:fill="ffffff"/>
          <w:lang w:bidi="ar"/>
        </w:rPr>
        <w:t xml:space="preserve">（</w:t>
      </w:r>
      <w:r>
        <w:rPr>
          <w:rFonts w:hint="eastAsia" w:ascii="宋体" w:hAnsi="宋体" w:cs="宋体"/>
          <w:color w:val="000000"/>
          <w:szCs w:val="21"/>
          <w:highlight w:val="none"/>
          <w:shd w:val="clear" w:color="auto" w:fill="ffffff"/>
          <w:lang w:bidi="ar"/>
        </w:rPr>
        <w:t xml:space="preserve">须提供以下资料：</w:t>
      </w:r>
      <w:r>
        <w:rPr>
          <w:rFonts w:ascii="宋体" w:hAnsi="宋体" w:cs="宋体"/>
          <w:color w:val="000000"/>
          <w:szCs w:val="21"/>
          <w:highlight w:val="none"/>
          <w:shd w:val="clear" w:color="auto" w:fill="ffffff"/>
          <w:lang w:bidi="ar"/>
        </w:rPr>
        <w:t xml:space="preserve">a</w:t>
      </w:r>
      <w:r>
        <w:rPr>
          <w:rFonts w:hint="eastAsia" w:ascii="宋体" w:hAnsi="宋体" w:cs="宋体"/>
          <w:color w:val="000000"/>
          <w:szCs w:val="21"/>
          <w:highlight w:val="none"/>
          <w:shd w:val="clear" w:color="auto" w:fill="ffffff"/>
          <w:lang w:bidi="ar"/>
        </w:rPr>
        <w:t xml:space="preserve">.管理</w:t>
      </w:r>
      <w:r>
        <w:rPr>
          <w:rFonts w:ascii="宋体" w:hAnsi="宋体" w:cs="宋体"/>
          <w:color w:val="000000"/>
          <w:szCs w:val="21"/>
          <w:highlight w:val="none"/>
          <w:shd w:val="clear" w:color="auto" w:fill="ffffff"/>
          <w:lang w:bidi="ar"/>
        </w:rPr>
        <w:t xml:space="preserve">部门</w:t>
      </w:r>
      <w:r>
        <w:rPr>
          <w:rFonts w:hint="eastAsia" w:ascii="宋体" w:hAnsi="宋体" w:cs="宋体"/>
          <w:color w:val="000000"/>
          <w:szCs w:val="21"/>
          <w:highlight w:val="none"/>
          <w:shd w:val="clear" w:color="auto" w:fill="ffffff"/>
          <w:lang w:bidi="ar"/>
        </w:rPr>
        <w:t xml:space="preserve">确认停工的材料，b.</w:t>
      </w:r>
      <w:r>
        <w:rPr>
          <w:rFonts w:ascii="宋体" w:hAnsi="宋体" w:cs="宋体"/>
          <w:color w:val="000000"/>
          <w:szCs w:val="21"/>
          <w:highlight w:val="none"/>
          <w:shd w:val="clear" w:color="auto" w:fill="ffffff"/>
          <w:lang w:bidi="ar"/>
        </w:rPr>
        <w:t xml:space="preserve">在建工程建设单位出具的允许</w:t>
      </w:r>
      <w:r>
        <w:rPr>
          <w:rFonts w:hint="eastAsia" w:ascii="宋体" w:hAnsi="宋体" w:cs="宋体"/>
          <w:color w:val="000000"/>
          <w:szCs w:val="21"/>
          <w:highlight w:val="none"/>
          <w:shd w:val="clear" w:color="auto" w:fill="ffffff"/>
          <w:lang w:bidi="ar"/>
        </w:rPr>
        <w:t xml:space="preserve">项目负责人</w:t>
      </w:r>
      <w:r>
        <w:rPr>
          <w:rFonts w:ascii="宋体" w:hAnsi="宋体" w:cs="宋体"/>
          <w:color w:val="000000"/>
          <w:szCs w:val="21"/>
          <w:highlight w:val="none"/>
          <w:shd w:val="clear" w:color="auto" w:fill="ffffff"/>
          <w:lang w:bidi="ar"/>
        </w:rPr>
        <w:t xml:space="preserve">撤出原在建工程项目的证明材料）。</w:t>
      </w:r>
      <w:r>
        <w:rPr>
          <w:highlight w:val="none"/>
        </w:rPr>
      </w:r>
      <w:r/>
    </w:p>
    <w:p>
      <w:pPr>
        <w:jc w:val="left"/>
        <w:spacing w:line="360" w:lineRule="auto"/>
        <w:widowControl/>
        <w:rPr>
          <w:rFonts w:ascii="宋体" w:hAnsi="宋体" w:cs="宋体"/>
          <w:color w:val="000000"/>
          <w:szCs w:val="21"/>
          <w:highlight w:val="none"/>
        </w:rPr>
      </w:pPr>
      <w:r>
        <w:rPr>
          <w:rStyle w:val="917"/>
          <w:rFonts w:hint="eastAsia" w:ascii="宋体" w:hAnsi="宋体" w:cs="宋体"/>
          <w:color w:val="000000"/>
          <w:szCs w:val="21"/>
          <w:highlight w:val="none"/>
          <w:shd w:val="clear" w:color="auto" w:fill="ffffff"/>
        </w:rPr>
        <w:t xml:space="preserve">三、获取采购文件</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时间：自磋商文件公告发布之日起5个工作日</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地点：</w:t>
      </w:r>
      <w:r>
        <w:rPr>
          <w:rFonts w:hint="eastAsia" w:ascii="宋体" w:hAnsi="宋体" w:cs="宋体"/>
          <w:color w:val="000000"/>
          <w:szCs w:val="21"/>
          <w:highlight w:val="none"/>
          <w:shd w:val="clear" w:color="auto" w:fill="ffffff"/>
        </w:rPr>
        <w:t xml:space="preserve">“苏采云”江苏省政府采购交易系统</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售价：0.00元 </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24" w:name="_Toc2296"/>
      <w:r>
        <w:rPr>
          <w:highlight w:val="none"/>
        </w:rPr>
      </w:r>
      <w:bookmarkStart w:id="25" w:name="_Toc6798"/>
      <w:r>
        <w:rPr>
          <w:highlight w:val="none"/>
        </w:rPr>
      </w:r>
      <w:bookmarkStart w:id="26" w:name="_Toc5152"/>
      <w:r>
        <w:rPr>
          <w:rStyle w:val="917"/>
          <w:rFonts w:hint="eastAsia" w:ascii="宋体" w:hAnsi="宋体" w:eastAsia="宋体" w:cs="宋体"/>
          <w:b/>
          <w:bCs/>
          <w:color w:val="000000"/>
          <w:sz w:val="21"/>
          <w:szCs w:val="21"/>
          <w:highlight w:val="none"/>
          <w:shd w:val="clear" w:color="auto" w:fill="ffffff"/>
        </w:rPr>
        <w:t xml:space="preserve">四、响应文件提交</w:t>
      </w:r>
      <w:bookmarkEnd w:id="24"/>
      <w:r>
        <w:rPr>
          <w:highlight w:val="none"/>
        </w:rPr>
      </w:r>
      <w:bookmarkEnd w:id="25"/>
      <w:r>
        <w:rPr>
          <w:highlight w:val="none"/>
        </w:rPr>
      </w:r>
      <w:bookmarkEnd w:id="26"/>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rPr>
        <w:t xml:space="preserve">2026年</w:t>
      </w:r>
      <w:r>
        <w:rPr>
          <w:sz w:val="21"/>
          <w:szCs w:val="21"/>
          <w:highlight w:val="none"/>
        </w:rPr>
        <w:t xml:space="preserve">07</w:t>
      </w:r>
      <w:r>
        <w:rPr>
          <w:rFonts w:hint="eastAsia"/>
          <w:sz w:val="21"/>
          <w:szCs w:val="21"/>
          <w:highlight w:val="none"/>
        </w:rPr>
        <w:t xml:space="preserve">月</w:t>
      </w:r>
      <w:r>
        <w:rPr>
          <w:sz w:val="21"/>
          <w:szCs w:val="21"/>
          <w:highlight w:val="none"/>
        </w:rPr>
        <w:t xml:space="preserve">31</w:t>
      </w:r>
      <w:r>
        <w:rPr>
          <w:rFonts w:hint="eastAsia"/>
          <w:sz w:val="21"/>
          <w:szCs w:val="21"/>
          <w:highlight w:val="none"/>
        </w:rPr>
        <w:t xml:space="preserve">日</w:t>
      </w:r>
      <w:r>
        <w:rPr>
          <w:sz w:val="21"/>
          <w:szCs w:val="21"/>
          <w:highlight w:val="none"/>
        </w:rPr>
        <w:t xml:space="preserve">14</w:t>
      </w:r>
      <w:r>
        <w:rPr>
          <w:rFonts w:hint="eastAsia"/>
          <w:sz w:val="21"/>
          <w:szCs w:val="21"/>
          <w:highlight w:val="none"/>
        </w:rPr>
        <w:t xml:space="preserve">:30</w:t>
      </w:r>
      <w:r>
        <w:rPr>
          <w:rFonts w:hint="eastAsia"/>
          <w:color w:val="000000"/>
          <w:sz w:val="21"/>
          <w:szCs w:val="21"/>
          <w:highlight w:val="none"/>
          <w:shd w:val="clear" w:color="auto" w:fill="ffffff"/>
        </w:rPr>
        <w:t xml:space="preserve">（北京时间）</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地点：“苏采云”江苏省政府采购交易系统 </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27" w:name="_Toc3250"/>
      <w:r>
        <w:rPr>
          <w:highlight w:val="none"/>
        </w:rPr>
      </w:r>
      <w:bookmarkStart w:id="28" w:name="_Toc16337"/>
      <w:r>
        <w:rPr>
          <w:highlight w:val="none"/>
        </w:rPr>
      </w:r>
      <w:bookmarkStart w:id="29" w:name="_Toc10013"/>
      <w:r>
        <w:rPr>
          <w:rStyle w:val="917"/>
          <w:rFonts w:hint="eastAsia" w:ascii="宋体" w:hAnsi="宋体" w:eastAsia="宋体" w:cs="宋体"/>
          <w:b/>
          <w:bCs/>
          <w:color w:val="000000"/>
          <w:sz w:val="21"/>
          <w:szCs w:val="21"/>
          <w:highlight w:val="none"/>
          <w:shd w:val="clear" w:color="auto" w:fill="ffffff"/>
        </w:rPr>
        <w:t xml:space="preserve">五、开启</w:t>
      </w:r>
      <w:bookmarkEnd w:id="27"/>
      <w:r>
        <w:rPr>
          <w:highlight w:val="none"/>
        </w:rPr>
      </w:r>
      <w:bookmarkEnd w:id="28"/>
      <w:r>
        <w:rPr>
          <w:highlight w:val="none"/>
        </w:rPr>
      </w:r>
      <w:bookmarkEnd w:id="29"/>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rPr>
        <w:t xml:space="preserve">2026年</w:t>
      </w:r>
      <w:r>
        <w:rPr>
          <w:sz w:val="21"/>
          <w:szCs w:val="21"/>
          <w:highlight w:val="none"/>
        </w:rPr>
        <w:t xml:space="preserve">07</w:t>
      </w:r>
      <w:r>
        <w:rPr>
          <w:rFonts w:hint="eastAsia"/>
          <w:sz w:val="21"/>
          <w:szCs w:val="21"/>
          <w:highlight w:val="none"/>
        </w:rPr>
        <w:t xml:space="preserve">月</w:t>
      </w:r>
      <w:r>
        <w:rPr>
          <w:sz w:val="21"/>
          <w:szCs w:val="21"/>
          <w:highlight w:val="none"/>
        </w:rPr>
        <w:t xml:space="preserve">31</w:t>
      </w:r>
      <w:r>
        <w:rPr>
          <w:rFonts w:hint="eastAsia"/>
          <w:sz w:val="21"/>
          <w:szCs w:val="21"/>
          <w:highlight w:val="none"/>
        </w:rPr>
        <w:t xml:space="preserve">日</w:t>
      </w:r>
      <w:r>
        <w:rPr>
          <w:sz w:val="21"/>
          <w:szCs w:val="21"/>
          <w:highlight w:val="none"/>
        </w:rPr>
        <w:t xml:space="preserve">14</w:t>
      </w:r>
      <w:r>
        <w:rPr>
          <w:rFonts w:hint="eastAsia"/>
          <w:sz w:val="21"/>
          <w:szCs w:val="21"/>
          <w:highlight w:val="none"/>
        </w:rPr>
        <w:t xml:space="preserve">:30</w:t>
      </w:r>
      <w:r>
        <w:rPr>
          <w:rFonts w:hint="eastAsia"/>
          <w:color w:val="000000"/>
          <w:sz w:val="21"/>
          <w:szCs w:val="21"/>
          <w:highlight w:val="none"/>
          <w:shd w:val="clear" w:color="auto" w:fill="ffffff"/>
        </w:rPr>
        <w:t xml:space="preserve">（北京时间）</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地点：“苏采云”江苏省政府采购交易系统网上开标大厅 </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30" w:name="_Toc25532"/>
      <w:r>
        <w:rPr>
          <w:highlight w:val="none"/>
        </w:rPr>
      </w:r>
      <w:bookmarkStart w:id="31" w:name="_Toc7212"/>
      <w:r>
        <w:rPr>
          <w:highlight w:val="none"/>
        </w:rPr>
      </w:r>
      <w:bookmarkStart w:id="32" w:name="_Toc339"/>
      <w:r>
        <w:rPr>
          <w:rStyle w:val="917"/>
          <w:rFonts w:hint="eastAsia" w:ascii="宋体" w:hAnsi="宋体" w:eastAsia="宋体" w:cs="宋体"/>
          <w:b/>
          <w:bCs/>
          <w:color w:val="000000"/>
          <w:sz w:val="21"/>
          <w:szCs w:val="21"/>
          <w:highlight w:val="none"/>
          <w:shd w:val="clear" w:color="auto" w:fill="ffffff"/>
        </w:rPr>
        <w:t xml:space="preserve">六、公告期限</w:t>
      </w:r>
      <w:bookmarkEnd w:id="30"/>
      <w:r>
        <w:rPr>
          <w:highlight w:val="none"/>
        </w:rPr>
      </w:r>
      <w:bookmarkEnd w:id="31"/>
      <w:r>
        <w:rPr>
          <w:highlight w:val="none"/>
        </w:rPr>
      </w:r>
      <w:bookmarkEnd w:id="32"/>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33" w:name="_Toc12955"/>
      <w:r>
        <w:rPr>
          <w:highlight w:val="none"/>
        </w:rPr>
      </w:r>
      <w:bookmarkStart w:id="34" w:name="_Toc21092"/>
      <w:r>
        <w:rPr>
          <w:highlight w:val="none"/>
        </w:rPr>
      </w:r>
      <w:bookmarkStart w:id="35" w:name="_Toc4699"/>
      <w:r>
        <w:rPr>
          <w:rStyle w:val="917"/>
          <w:rFonts w:hint="eastAsia" w:ascii="宋体" w:hAnsi="宋体" w:eastAsia="宋体" w:cs="宋体"/>
          <w:b/>
          <w:bCs/>
          <w:color w:val="000000"/>
          <w:sz w:val="21"/>
          <w:szCs w:val="21"/>
          <w:highlight w:val="none"/>
          <w:shd w:val="clear" w:color="auto" w:fill="ffffff"/>
        </w:rPr>
        <w:t xml:space="preserve">七、其他补充事宜</w:t>
      </w:r>
      <w:bookmarkEnd w:id="33"/>
      <w:r>
        <w:rPr>
          <w:highlight w:val="none"/>
        </w:rPr>
      </w:r>
      <w:bookmarkEnd w:id="34"/>
      <w:r>
        <w:rPr>
          <w:highlight w:val="none"/>
        </w:rPr>
      </w:r>
      <w:bookmarkEnd w:id="35"/>
      <w:r>
        <w:rPr>
          <w:highlight w:val="none"/>
        </w:rPr>
      </w:r>
      <w:r/>
    </w:p>
    <w:p>
      <w:pPr>
        <w:jc w:val="left"/>
        <w:spacing w:line="360" w:lineRule="auto"/>
        <w:shd w:val="clear" w:color="auto" w:fill="ffffff"/>
        <w:widowControl/>
        <w:rPr>
          <w:rFonts w:ascii="宋体" w:hAnsi="宋体" w:cs="Trebuchet MS"/>
          <w:color w:val="000000"/>
          <w:szCs w:val="21"/>
          <w:highlight w:val="none"/>
        </w:rPr>
      </w:pPr>
      <w:r>
        <w:rPr>
          <w:rFonts w:hint="eastAsia" w:ascii="宋体" w:hAnsi="宋体" w:cs="Trebuchet MS"/>
          <w:color w:val="000000"/>
          <w:szCs w:val="21"/>
          <w:highlight w:val="none"/>
        </w:rPr>
        <w:t xml:space="preserve">1.本次采购采用“政府采购管理交易系统（苏采云）”，招标、投标、评标和中标结果发布全程电子化，</w:t>
      </w:r>
      <w:r>
        <w:rPr>
          <w:rFonts w:hint="eastAsia" w:ascii="宋体" w:hAnsi="宋体" w:cs="Trebuchet MS"/>
          <w:color w:val="000000"/>
          <w:szCs w:val="21"/>
          <w:highlight w:val="none"/>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2. 潜在供应商访问政府采购管理交易系统（苏采云）的网络地址和方法：</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（3）“CA数字证书”的办理材料以及供应商操作手册详见：http://jsxcmm.com/help/gys.html。</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（4）潜在供应商访问“苏采云”系统的网络地址和方法：“苏采云”系统的网址：http</w:t>
      </w:r>
      <w:r>
        <w:rPr>
          <w:rFonts w:hint="eastAsia" w:ascii="宋体" w:hAnsi="宋体" w:cs="Trebuchet MS"/>
          <w:color w:val="000000"/>
          <w:szCs w:val="21"/>
          <w:highlight w:val="none"/>
        </w:rPr>
        <w:t xml:space="preserve">s</w:t>
      </w:r>
      <w:r>
        <w:rPr>
          <w:rFonts w:hint="eastAsia" w:ascii="宋体" w:hAnsi="宋体" w:cs="Trebuchet MS"/>
          <w:color w:val="000000"/>
          <w:szCs w:val="21"/>
          <w:highlight w:val="none"/>
        </w:rPr>
        <w:t xml:space="preserve">://jszfcg.jsczt.cn/jszc/login。</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（6）招标代理机构（采购代理机构）将数据电文形式的采购文件加载至“苏采云”系统，供潜在供应商下载或者查阅。 </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Trebuchet MS"/>
          <w:color w:val="000000"/>
          <w:szCs w:val="21"/>
          <w:highlight w:val="none"/>
        </w:rPr>
        <w:t xml:space="preserve">根据《关于在政府采</w:t>
      </w:r>
      <w:r>
        <w:rPr>
          <w:rFonts w:hint="eastAsia" w:ascii="宋体" w:hAnsi="宋体" w:cs="Trebuchet MS"/>
          <w:color w:val="000000"/>
          <w:szCs w:val="21"/>
          <w:highlight w:val="none"/>
        </w:rPr>
        <w:t xml:space="preserve">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4..供应商诚信档案注册登记，按以下程序进行： </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5.有关本次磋商的事项若存在变动或修改，敬请及时关注原公告平台发布的信息更正公告。</w:t>
      </w:r>
      <w:r>
        <w:rPr>
          <w:highlight w:val="none"/>
        </w:rPr>
      </w:r>
      <w:r/>
    </w:p>
    <w:p>
      <w:pPr>
        <w:jc w:val="left"/>
        <w:spacing w:line="360" w:lineRule="auto"/>
        <w:widowControl/>
        <w:rPr>
          <w:rFonts w:ascii="宋体" w:hAnsi="宋体" w:cs="宋体"/>
          <w:szCs w:val="21"/>
          <w:highlight w:val="none"/>
        </w:rPr>
      </w:pPr>
      <w:r>
        <w:rPr>
          <w:rFonts w:hint="eastAsia" w:ascii="宋体" w:hAnsi="宋体" w:cs="宋体"/>
          <w:b/>
          <w:bCs/>
          <w:color w:val="000000"/>
          <w:szCs w:val="21"/>
          <w:highlight w:val="none"/>
          <w:shd w:val="clear" w:color="auto" w:fill="ffffff"/>
          <w:lang w:bidi="ar"/>
        </w:rPr>
        <w:t xml:space="preserve">*</w:t>
      </w:r>
      <w:r>
        <w:rPr>
          <w:rFonts w:hint="eastAsia" w:ascii="宋体" w:hAnsi="宋体" w:cs="宋体"/>
          <w:color w:val="000000"/>
          <w:szCs w:val="21"/>
          <w:highlight w:val="none"/>
          <w:shd w:val="clear" w:color="auto" w:fill="ffffff"/>
          <w:lang w:bidi="ar"/>
        </w:rPr>
        <w:t xml:space="preserve">6.拒绝下述供应商参加本次采购活动（提供承诺书</w:t>
      </w:r>
      <w:r>
        <w:rPr>
          <w:rFonts w:hint="eastAsia" w:ascii="宋体" w:hAnsi="宋体"/>
          <w:color w:val="000000"/>
          <w:szCs w:val="21"/>
          <w:highlight w:val="none"/>
        </w:rPr>
        <w:t xml:space="preserve">加盖公章</w:t>
      </w:r>
      <w:r>
        <w:rPr>
          <w:rFonts w:hint="eastAsia" w:ascii="宋体" w:hAnsi="宋体" w:cs="宋体"/>
          <w:color w:val="000000"/>
          <w:szCs w:val="21"/>
          <w:highlight w:val="none"/>
          <w:shd w:val="clear" w:color="auto" w:fill="ffffff"/>
          <w:lang w:bidi="ar"/>
        </w:rPr>
        <w:t xml:space="preserve">，格式自拟）：</w:t>
      </w:r>
      <w:r>
        <w:rPr>
          <w:highlight w:val="none"/>
        </w:rPr>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highlight w:val="none"/>
        </w:rPr>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7.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8.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9.根据苏建函建管〔2019〕393号文及建办市〔2019〕50号文规定,已取消一级、二级临时建造师执业证书，因此本项目不接受持临时建造师执业资格的项目负责人投标，否则将作为资格审查不通过处理。</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36" w:name="_Toc7122"/>
      <w:r>
        <w:rPr>
          <w:highlight w:val="none"/>
        </w:rPr>
      </w:r>
      <w:bookmarkStart w:id="37" w:name="_Toc25164"/>
      <w:r>
        <w:rPr>
          <w:highlight w:val="none"/>
        </w:rPr>
      </w:r>
      <w:bookmarkStart w:id="38" w:name="_Toc20331"/>
      <w:r>
        <w:rPr>
          <w:rStyle w:val="917"/>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rPr>
          <w:highlight w:val="none"/>
        </w:rPr>
      </w:r>
      <w:bookmarkEnd w:id="37"/>
      <w:r>
        <w:rPr>
          <w:highlight w:val="none"/>
        </w:rPr>
      </w:r>
      <w:bookmarkEnd w:id="38"/>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1.采购人信息</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rPr>
        <w:t xml:space="preserve">南京市六合区人民政府马鞍街道办事处</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单位地址：南京市六合区马鞍街道人民路54号</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联系人：马主任</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联系电话：</w:t>
      </w:r>
      <w:r>
        <w:rPr>
          <w:color w:val="000000"/>
          <w:sz w:val="21"/>
          <w:szCs w:val="21"/>
          <w:highlight w:val="none"/>
          <w:shd w:val="clear" w:color="auto" w:fill="ffffff"/>
        </w:rPr>
        <w:t xml:space="preserve">18151646898</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2.采购代理机构信息（如有）</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单位名称：江苏国衡工程咨询有限公司</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单位地址：南京市六合区方州路6</w:t>
      </w:r>
      <w:r>
        <w:rPr>
          <w:color w:val="000000"/>
          <w:sz w:val="21"/>
          <w:szCs w:val="21"/>
          <w:highlight w:val="none"/>
          <w:shd w:val="clear" w:color="auto" w:fill="ffffff"/>
        </w:rPr>
        <w:t xml:space="preserve">66号</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联系人：卞工</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联系电话：</w:t>
      </w:r>
      <w:r>
        <w:rPr>
          <w:color w:val="000000"/>
          <w:sz w:val="21"/>
          <w:szCs w:val="21"/>
          <w:highlight w:val="none"/>
          <w:shd w:val="clear" w:color="auto" w:fill="ffffff"/>
        </w:rPr>
        <w:t xml:space="preserve">18118819621</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3.项目联系方式</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项目联系人：卞工</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电话：</w:t>
      </w:r>
      <w:r>
        <w:rPr>
          <w:color w:val="000000"/>
          <w:sz w:val="21"/>
          <w:szCs w:val="21"/>
          <w:highlight w:val="none"/>
          <w:shd w:val="clear" w:color="auto" w:fill="ffffff"/>
        </w:rPr>
        <w:t xml:space="preserve">181188</w:t>
      </w:r>
      <w:bookmarkStart w:id="39" w:name="_GoBack"/>
      <w:r>
        <w:rPr>
          <w:highlight w:val="none"/>
        </w:rPr>
      </w:r>
      <w:bookmarkEnd w:id="39"/>
      <w:r>
        <w:rPr>
          <w:color w:val="000000"/>
          <w:sz w:val="21"/>
          <w:szCs w:val="21"/>
          <w:highlight w:val="none"/>
          <w:shd w:val="clear" w:color="auto" w:fill="ffffff"/>
        </w:rPr>
        <w:t xml:space="preserve">19621</w:t>
      </w:r>
      <w:r>
        <w:rPr>
          <w:highlight w:val="none"/>
        </w:rPr>
      </w:r>
      <w:r/>
    </w:p>
    <w:p>
      <w:pPr>
        <w:pStyle w:val="1004"/>
        <w:spacing w:line="240" w:lineRule="auto"/>
        <w:rPr>
          <w:highlight w:val="none"/>
        </w:rPr>
      </w:pPr>
      <w:r>
        <w:rPr>
          <w:rFonts w:hint="eastAsia"/>
          <w:highlight w:val="none"/>
        </w:rPr>
        <w:br w:type="page" w:clear="all"/>
      </w:r>
      <w:bookmarkStart w:id="40" w:name="_Toc13962"/>
      <w:r>
        <w:rPr>
          <w:rFonts w:hint="eastAsia"/>
          <w:highlight w:val="none"/>
        </w:rPr>
        <w:t xml:space="preserve">第二章</w:t>
      </w:r>
      <w:r>
        <w:rPr>
          <w:rFonts w:hint="eastAsia"/>
          <w:highlight w:val="none"/>
        </w:rPr>
        <w:t xml:space="preserve">  </w:t>
      </w:r>
      <w:r>
        <w:rPr>
          <w:rFonts w:hint="eastAsia"/>
          <w:highlight w:val="none"/>
        </w:rPr>
        <w:t xml:space="preserve">磋商供应商须知</w:t>
      </w:r>
      <w:bookmarkEnd w:id="14"/>
      <w:r>
        <w:rPr>
          <w:highlight w:val="none"/>
        </w:rPr>
      </w:r>
      <w:bookmarkEnd w:id="15"/>
      <w:r>
        <w:rPr>
          <w:highlight w:val="none"/>
        </w:rPr>
      </w:r>
      <w:bookmarkEnd w:id="16"/>
      <w:r>
        <w:rPr>
          <w:highlight w:val="none"/>
        </w:rPr>
      </w:r>
      <w:bookmarkEnd w:id="40"/>
      <w:r>
        <w:rPr>
          <w:highlight w:val="none"/>
        </w:rPr>
      </w:r>
      <w:r/>
    </w:p>
    <w:p>
      <w:pPr>
        <w:jc w:val="center"/>
        <w:rPr>
          <w:b/>
          <w:sz w:val="28"/>
          <w:highlight w:val="none"/>
        </w:rPr>
        <w:outlineLvl w:val="1"/>
      </w:pPr>
      <w:r>
        <w:rPr>
          <w:highlight w:val="none"/>
        </w:rPr>
      </w:r>
      <w:bookmarkStart w:id="41" w:name="_Toc7112"/>
      <w:r>
        <w:rPr>
          <w:rFonts w:hint="eastAsia"/>
          <w:b/>
          <w:sz w:val="28"/>
          <w:highlight w:val="none"/>
          <w:lang w:val="zh-CN"/>
        </w:rPr>
        <w:t xml:space="preserve">前附表</w:t>
      </w:r>
      <w:bookmarkEnd w:id="17"/>
      <w:r>
        <w:rPr>
          <w:highlight w:val="none"/>
        </w:rPr>
      </w:r>
      <w:bookmarkEnd w:id="41"/>
      <w:r>
        <w:rPr>
          <w:highlight w:val="none"/>
        </w:rPr>
      </w:r>
      <w:r/>
    </w:p>
    <w:tbl>
      <w:tblPr>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459"/>
        <w:gridCol w:w="1837"/>
        <w:gridCol w:w="775"/>
        <w:gridCol w:w="5510"/>
      </w:tblGrid>
      <w:tr>
        <w:trPr>
          <w:jc w:val="center"/>
          <w:trHeight w:val="493"/>
        </w:trPr>
        <w:tc>
          <w:tcPr>
            <w:tcW w:w="449"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序号</w:t>
            </w:r>
            <w:r>
              <w:rPr>
                <w:highlight w:val="none"/>
              </w:rPr>
            </w:r>
            <w:r/>
          </w:p>
        </w:tc>
        <w:tc>
          <w:tcPr>
            <w:gridSpan w:val="2"/>
            <w:tcW w:w="2256"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项  目</w:t>
            </w:r>
            <w:r>
              <w:rPr>
                <w:highlight w:val="none"/>
              </w:rPr>
            </w:r>
            <w:r/>
          </w:p>
        </w:tc>
        <w:tc>
          <w:tcPr>
            <w:gridSpan w:val="2"/>
            <w:tcW w:w="6176"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内        容</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1</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项目编号</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JSZC-320116-JSGH-C2026-0007</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2</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项目名称</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马鞍街道鞍山骨灰堂（一期扩建）工程</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3</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招标代理机构</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江苏国衡工程咨询有限公司</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4</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招标代理机构地址</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南京市六合区方州路666号</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5</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踏勘现场</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highlight w:val="none"/>
              </w:rPr>
            </w:r>
            <w:r/>
          </w:p>
        </w:tc>
      </w:tr>
      <w:tr>
        <w:trPr>
          <w:jc w:val="center"/>
          <w:trHeight w:val="401"/>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6</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项目最高限价</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200</w:t>
            </w:r>
            <w:r>
              <w:rPr>
                <w:rFonts w:ascii="宋体" w:hAnsi="宋体" w:cs="宋体"/>
                <w:highlight w:val="none"/>
              </w:rPr>
              <w:t xml:space="preserve">.</w:t>
            </w:r>
            <w:r>
              <w:rPr>
                <w:rFonts w:hint="eastAsia" w:ascii="宋体" w:hAnsi="宋体" w:cs="宋体"/>
                <w:highlight w:val="none"/>
              </w:rPr>
              <w:t xml:space="preserve">0971</w:t>
            </w:r>
            <w:r>
              <w:rPr>
                <w:rFonts w:hint="eastAsia" w:ascii="宋体" w:hAnsi="宋体" w:cs="宋体"/>
                <w:highlight w:val="none"/>
              </w:rPr>
              <w:t xml:space="preserve">61</w:t>
            </w:r>
            <w:r>
              <w:rPr>
                <w:rFonts w:hint="eastAsia" w:ascii="宋体" w:hAnsi="宋体" w:cs="宋体"/>
                <w:highlight w:val="none"/>
              </w:rPr>
              <w:t xml:space="preserve">万</w:t>
            </w:r>
            <w:r>
              <w:rPr>
                <w:rFonts w:hint="eastAsia" w:ascii="宋体" w:hAnsi="宋体" w:cs="宋体"/>
                <w:highlight w:val="none"/>
              </w:rPr>
              <w:t xml:space="preserve">元</w:t>
            </w:r>
            <w:r>
              <w:rPr>
                <w:rFonts w:hint="eastAsia" w:ascii="宋体" w:hAnsi="宋体" w:cs="宋体"/>
                <w:highlight w:val="none"/>
              </w:rPr>
              <w:t xml:space="preserve">（</w:t>
            </w:r>
            <w:r>
              <w:rPr>
                <w:rFonts w:hint="eastAsia" w:ascii="宋体" w:hAnsi="宋体" w:cs="宋体"/>
                <w:szCs w:val="21"/>
                <w:highlight w:val="none"/>
              </w:rPr>
              <w:t xml:space="preserve">供应商的磋商报价超过最高限价的其响应文件将被作为无效响应处理</w:t>
            </w:r>
            <w:r>
              <w:rPr>
                <w:rFonts w:hint="eastAsia" w:ascii="宋体" w:hAnsi="宋体" w:cs="宋体"/>
                <w:highlight w:val="none"/>
              </w:rPr>
              <w:t xml:space="preserve">）</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7</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合同履行期限</w:t>
            </w:r>
            <w:r>
              <w:rPr>
                <w:highlight w:val="none"/>
              </w:rPr>
            </w:r>
            <w:r/>
          </w:p>
        </w:tc>
        <w:tc>
          <w:tcPr>
            <w:gridSpan w:val="2"/>
            <w:tcW w:w="6176" w:type="dxa"/>
            <w:vAlign w:val="center"/>
            <w:textDirection w:val="lrTb"/>
            <w:noWrap w:val="false"/>
          </w:tcPr>
          <w:p>
            <w:pPr>
              <w:rPr>
                <w:rFonts w:ascii="宋体" w:hAnsi="宋体" w:cs="宋体"/>
                <w:highlight w:val="none"/>
              </w:rPr>
            </w:pPr>
            <w:r>
              <w:rPr>
                <w:rFonts w:ascii="宋体" w:hAnsi="宋体" w:cs="宋体"/>
                <w:color w:val="000000"/>
                <w:szCs w:val="21"/>
                <w:highlight w:val="none"/>
                <w:shd w:val="clear" w:color="auto" w:fill="ffffff"/>
              </w:rPr>
              <w:t xml:space="preserve">120</w:t>
            </w:r>
            <w:r>
              <w:rPr>
                <w:rFonts w:ascii="宋体" w:hAnsi="宋体" w:cs="宋体"/>
                <w:color w:val="000000"/>
                <w:szCs w:val="21"/>
                <w:highlight w:val="none"/>
                <w:shd w:val="clear" w:color="auto" w:fill="ffffff"/>
              </w:rPr>
              <w:t xml:space="preserve">日历</w:t>
            </w:r>
            <w:r>
              <w:rPr>
                <w:rFonts w:hint="eastAsia" w:ascii="宋体" w:hAnsi="宋体" w:cs="宋体"/>
                <w:color w:val="000000"/>
                <w:szCs w:val="21"/>
                <w:highlight w:val="none"/>
                <w:shd w:val="clear" w:color="auto" w:fill="ffffff"/>
              </w:rPr>
              <w:t xml:space="preserve">天</w:t>
            </w:r>
            <w:r>
              <w:rPr>
                <w:highlight w:val="none"/>
              </w:rPr>
            </w:r>
            <w:r/>
          </w:p>
        </w:tc>
      </w:tr>
      <w:tr>
        <w:trPr>
          <w:jc w:val="center"/>
          <w:trHeight w:val="510"/>
        </w:trPr>
        <w:tc>
          <w:tcPr>
            <w:tcW w:w="449"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8</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磋商有效期</w:t>
            </w:r>
            <w:r>
              <w:rPr>
                <w:highlight w:val="none"/>
              </w:rPr>
            </w:r>
            <w:r/>
          </w:p>
        </w:tc>
        <w:tc>
          <w:tcPr>
            <w:gridSpan w:val="2"/>
            <w:tcW w:w="6176" w:type="dxa"/>
            <w:vAlign w:val="center"/>
            <w:textDirection w:val="lrTb"/>
            <w:noWrap w:val="false"/>
          </w:tcPr>
          <w:p>
            <w:pPr>
              <w:jc w:val="left"/>
              <w:rPr>
                <w:rFonts w:ascii="宋体" w:hAnsi="宋体" w:cs="宋体"/>
                <w:highlight w:val="none"/>
              </w:rPr>
            </w:pPr>
            <w:r>
              <w:rPr>
                <w:rFonts w:hint="eastAsia" w:ascii="宋体" w:hAnsi="宋体" w:cs="宋体"/>
                <w:highlight w:val="none"/>
                <w:lang w:val="zh-CN"/>
              </w:rPr>
              <w:t xml:space="preserve">磋商后九十（90）天</w:t>
            </w:r>
            <w:r>
              <w:rPr>
                <w:highlight w:val="none"/>
              </w:rPr>
            </w:r>
            <w:r/>
          </w:p>
        </w:tc>
      </w:tr>
      <w:tr>
        <w:trPr>
          <w:jc w:val="center"/>
          <w:trHeight w:val="510"/>
        </w:trPr>
        <w:tc>
          <w:tcPr>
            <w:tcW w:w="449" w:type="dxa"/>
            <w:vAlign w:val="center"/>
            <w:vMerge w:val="restart"/>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9</w:t>
            </w:r>
            <w:r>
              <w:rPr>
                <w:highlight w:val="none"/>
              </w:rPr>
            </w:r>
            <w:r/>
          </w:p>
        </w:tc>
        <w:tc>
          <w:tcPr>
            <w:tcW w:w="451"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rPr>
              <w:t xml:space="preserve">磋商文件获取方法</w:t>
            </w:r>
            <w:r>
              <w:rPr>
                <w:highlight w:val="none"/>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时间</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000000"/>
                <w:szCs w:val="21"/>
                <w:highlight w:val="none"/>
                <w:shd w:val="clear" w:color="auto" w:fill="ffffff"/>
              </w:rPr>
              <w:t xml:space="preserve">自磋商文件公告发布之日起5个工作日</w:t>
            </w:r>
            <w:r>
              <w:rPr>
                <w:highlight w:val="none"/>
              </w:rPr>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地点</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000000"/>
                <w:szCs w:val="21"/>
                <w:highlight w:val="none"/>
                <w:shd w:val="clear" w:color="auto" w:fill="ffffff"/>
              </w:rPr>
              <w:t xml:space="preserve">“苏采云”江苏省政府采购交易系统</w:t>
            </w:r>
            <w:r>
              <w:rPr>
                <w:highlight w:val="none"/>
              </w:rPr>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要求</w:t>
            </w:r>
            <w:r>
              <w:rPr>
                <w:highlight w:val="none"/>
              </w:rPr>
            </w:r>
            <w:r/>
          </w:p>
        </w:tc>
        <w:tc>
          <w:tcPr>
            <w:gridSpan w:val="2"/>
            <w:tcW w:w="6176" w:type="dxa"/>
            <w:vAlign w:val="center"/>
            <w:textDirection w:val="lrTb"/>
            <w:noWrap w:val="false"/>
          </w:tcPr>
          <w:p>
            <w:pPr>
              <w:rPr>
                <w:rFonts w:ascii="宋体" w:hAnsi="宋体" w:cs="宋体"/>
                <w:szCs w:val="22"/>
                <w:highlight w:val="none"/>
              </w:rPr>
            </w:pPr>
            <w:r>
              <w:rPr>
                <w:rFonts w:hint="eastAsia" w:ascii="宋体" w:hAnsi="宋体" w:cs="宋体"/>
                <w:color w:val="000000"/>
                <w:szCs w:val="21"/>
                <w:highlight w:val="none"/>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highlight w:val="none"/>
              </w:rPr>
            </w:r>
            <w:r/>
          </w:p>
        </w:tc>
      </w:tr>
      <w:tr>
        <w:trPr>
          <w:jc w:val="center"/>
          <w:trHeight w:val="510"/>
        </w:trPr>
        <w:tc>
          <w:tcPr>
            <w:tcW w:w="449" w:type="dxa"/>
            <w:vAlign w:val="center"/>
            <w:vMerge w:val="restart"/>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10</w:t>
            </w:r>
            <w:r>
              <w:rPr>
                <w:highlight w:val="none"/>
              </w:rPr>
            </w:r>
            <w:r/>
          </w:p>
        </w:tc>
        <w:tc>
          <w:tcPr>
            <w:tcW w:w="451"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rPr>
              <w:t xml:space="preserve">响应文件的递交</w:t>
            </w:r>
            <w:r>
              <w:rPr>
                <w:highlight w:val="none"/>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截止</w:t>
            </w:r>
            <w:r>
              <w:rPr>
                <w:rFonts w:hint="eastAsia" w:ascii="宋体" w:hAnsi="宋体" w:cs="宋体"/>
                <w:b/>
                <w:bCs/>
                <w:highlight w:val="none"/>
                <w:lang w:val="zh-CN"/>
              </w:rPr>
              <w:t xml:space="preserve">时间</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szCs w:val="21"/>
                <w:highlight w:val="none"/>
              </w:rPr>
              <w:t xml:space="preserve">2026年</w:t>
            </w:r>
            <w:r>
              <w:rPr>
                <w:rFonts w:ascii="宋体" w:hAnsi="宋体" w:cs="宋体"/>
                <w:szCs w:val="21"/>
                <w:highlight w:val="none"/>
              </w:rPr>
              <w:t xml:space="preserve">07</w:t>
            </w:r>
            <w:r>
              <w:rPr>
                <w:rFonts w:hint="eastAsia" w:ascii="宋体" w:hAnsi="宋体" w:cs="宋体"/>
                <w:szCs w:val="21"/>
                <w:highlight w:val="none"/>
              </w:rPr>
              <w:t xml:space="preserve">月</w:t>
            </w:r>
            <w:r>
              <w:rPr>
                <w:rFonts w:ascii="宋体" w:hAnsi="宋体" w:cs="宋体"/>
                <w:szCs w:val="21"/>
                <w:highlight w:val="none"/>
              </w:rPr>
              <w:t xml:space="preserve">31</w:t>
            </w:r>
            <w:r>
              <w:rPr>
                <w:rFonts w:hint="eastAsia" w:ascii="宋体" w:hAnsi="宋体" w:cs="宋体"/>
                <w:szCs w:val="21"/>
                <w:highlight w:val="none"/>
              </w:rPr>
              <w:t xml:space="preserve">日</w:t>
            </w:r>
            <w:r>
              <w:rPr>
                <w:rFonts w:ascii="宋体" w:hAnsi="宋体" w:cs="宋体"/>
                <w:szCs w:val="21"/>
                <w:highlight w:val="none"/>
              </w:rPr>
              <w:t xml:space="preserve">14</w:t>
            </w:r>
            <w:r>
              <w:rPr>
                <w:rFonts w:hint="eastAsia" w:ascii="宋体" w:hAnsi="宋体" w:cs="宋体"/>
                <w:szCs w:val="21"/>
                <w:highlight w:val="none"/>
              </w:rPr>
              <w:t xml:space="preserve">:30</w:t>
            </w:r>
            <w:r>
              <w:rPr>
                <w:highlight w:val="none"/>
              </w:rPr>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地点</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000000"/>
                <w:szCs w:val="21"/>
                <w:highlight w:val="none"/>
                <w:shd w:val="clear" w:color="auto" w:fill="ffffff"/>
              </w:rPr>
              <w:t xml:space="preserve">“苏采云”江苏省政府采购交易系统网上开标大厅</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11</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响应文件</w:t>
            </w:r>
            <w:r>
              <w:rPr>
                <w:rFonts w:hint="eastAsia" w:ascii="宋体" w:hAnsi="宋体" w:cs="宋体"/>
                <w:b/>
                <w:bCs/>
                <w:highlight w:val="none"/>
                <w:lang w:val="zh-CN"/>
              </w:rPr>
              <w:t xml:space="preserve">份数</w:t>
            </w:r>
            <w:r>
              <w:rPr>
                <w:highlight w:val="none"/>
              </w:rPr>
            </w:r>
            <w:r/>
          </w:p>
        </w:tc>
        <w:tc>
          <w:tcPr>
            <w:gridSpan w:val="2"/>
            <w:tcW w:w="6176" w:type="dxa"/>
            <w:vAlign w:val="center"/>
            <w:textDirection w:val="lrTb"/>
            <w:noWrap w:val="false"/>
          </w:tcPr>
          <w:p>
            <w:pPr>
              <w:pStyle w:val="893"/>
              <w:jc w:val="left"/>
              <w:rPr>
                <w:rFonts w:ascii="宋体" w:hAnsi="宋体" w:eastAsia="宋体" w:cs="宋体"/>
                <w:position w:val="0"/>
                <w:sz w:val="21"/>
                <w:szCs w:val="24"/>
                <w:highlight w:val="none"/>
              </w:rPr>
            </w:pPr>
            <w:r>
              <w:rPr>
                <w:rFonts w:hint="eastAsia" w:ascii="宋体" w:hAnsi="宋体" w:eastAsia="宋体" w:cs="宋体"/>
                <w:color w:val="000000"/>
                <w:position w:val="0"/>
                <w:sz w:val="21"/>
                <w:szCs w:val="21"/>
                <w:highlight w:val="none"/>
                <w:shd w:val="clear" w:color="auto" w:fill="ffffff"/>
                <w:lang w:bidi="ar"/>
              </w:rPr>
              <w:t xml:space="preserve">成交供应商在领取成交通知书时递交纸质盖章版响应文件一式叁份（壹份正本、贰份副本），用于归档。纸质响应文件须与苏采云提交的电子响应文件保持一致。</w:t>
            </w:r>
            <w:r>
              <w:rPr>
                <w:highlight w:val="none"/>
              </w:rPr>
            </w:r>
            <w:r/>
          </w:p>
        </w:tc>
      </w:tr>
      <w:tr>
        <w:trPr>
          <w:jc w:val="center"/>
          <w:trHeight w:val="388"/>
        </w:trPr>
        <w:tc>
          <w:tcPr>
            <w:tcW w:w="449" w:type="dxa"/>
            <w:vAlign w:val="center"/>
            <w:vMerge w:val="restart"/>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12</w:t>
            </w:r>
            <w:r>
              <w:rPr>
                <w:highlight w:val="none"/>
              </w:rPr>
            </w:r>
            <w:r/>
          </w:p>
        </w:tc>
        <w:tc>
          <w:tcPr>
            <w:tcW w:w="451"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rPr>
              <w:t xml:space="preserve">磋商 信息</w:t>
            </w:r>
            <w:r>
              <w:rPr>
                <w:highlight w:val="none"/>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开启</w:t>
            </w:r>
            <w:r>
              <w:rPr>
                <w:rFonts w:hint="eastAsia" w:ascii="宋体" w:hAnsi="宋体" w:cs="宋体"/>
                <w:b/>
                <w:bCs/>
                <w:highlight w:val="none"/>
                <w:lang w:val="zh-CN"/>
              </w:rPr>
              <w:t xml:space="preserve">时间</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szCs w:val="21"/>
                <w:highlight w:val="none"/>
              </w:rPr>
              <w:t xml:space="preserve">2026年</w:t>
            </w:r>
            <w:r>
              <w:rPr>
                <w:rFonts w:ascii="宋体" w:hAnsi="宋体" w:cs="宋体"/>
                <w:szCs w:val="21"/>
                <w:highlight w:val="none"/>
              </w:rPr>
              <w:t xml:space="preserve">07</w:t>
            </w:r>
            <w:r>
              <w:rPr>
                <w:rFonts w:hint="eastAsia" w:ascii="宋体" w:hAnsi="宋体" w:cs="宋体"/>
                <w:szCs w:val="21"/>
                <w:highlight w:val="none"/>
              </w:rPr>
              <w:t xml:space="preserve">月</w:t>
            </w:r>
            <w:r>
              <w:rPr>
                <w:rFonts w:ascii="宋体" w:hAnsi="宋体" w:cs="宋体"/>
                <w:szCs w:val="21"/>
                <w:highlight w:val="none"/>
              </w:rPr>
              <w:t xml:space="preserve">31</w:t>
            </w:r>
            <w:r>
              <w:rPr>
                <w:rFonts w:hint="eastAsia" w:ascii="宋体" w:hAnsi="宋体" w:cs="宋体"/>
                <w:szCs w:val="21"/>
                <w:highlight w:val="none"/>
              </w:rPr>
              <w:t xml:space="preserve">日</w:t>
            </w:r>
            <w:r>
              <w:rPr>
                <w:rFonts w:ascii="宋体" w:hAnsi="宋体" w:cs="宋体"/>
                <w:szCs w:val="21"/>
                <w:highlight w:val="none"/>
              </w:rPr>
              <w:t xml:space="preserve">14</w:t>
            </w:r>
            <w:r>
              <w:rPr>
                <w:rFonts w:hint="eastAsia" w:ascii="宋体" w:hAnsi="宋体" w:cs="宋体"/>
                <w:szCs w:val="21"/>
                <w:highlight w:val="none"/>
              </w:rPr>
              <w:t xml:space="preserve">:30</w:t>
            </w:r>
            <w:r>
              <w:rPr>
                <w:highlight w:val="none"/>
              </w:rPr>
            </w:r>
            <w:r/>
          </w:p>
        </w:tc>
      </w:tr>
      <w:tr>
        <w:trPr>
          <w:jc w:val="center"/>
          <w:trHeight w:val="45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地点</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000000"/>
                <w:szCs w:val="21"/>
                <w:highlight w:val="none"/>
                <w:shd w:val="clear" w:color="auto" w:fill="ffffff"/>
              </w:rPr>
              <w:t xml:space="preserve">“苏采云”江苏省政府采购交易系统网上开标大厅</w:t>
            </w:r>
            <w:r>
              <w:rPr>
                <w:highlight w:val="none"/>
              </w:rPr>
            </w:r>
            <w:r/>
          </w:p>
        </w:tc>
      </w:tr>
      <w:tr>
        <w:trPr>
          <w:jc w:val="center"/>
          <w:trHeight w:val="450"/>
        </w:trPr>
        <w:tc>
          <w:tcPr>
            <w:tcW w:w="449"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13</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评分办法</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szCs w:val="21"/>
                <w:highlight w:val="none"/>
              </w:rPr>
              <w:t xml:space="preserve">综合评分法</w:t>
            </w:r>
            <w:r>
              <w:rPr>
                <w:highlight w:val="none"/>
              </w:rPr>
            </w:r>
            <w:r/>
          </w:p>
        </w:tc>
      </w:tr>
      <w:tr>
        <w:trPr>
          <w:jc w:val="center"/>
          <w:trHeight w:val="450"/>
        </w:trPr>
        <w:tc>
          <w:tcPr>
            <w:tcW w:w="449"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14</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szCs w:val="21"/>
                <w:highlight w:val="none"/>
              </w:rPr>
              <w:t xml:space="preserve">响应文件拒收情形</w:t>
            </w:r>
            <w:r>
              <w:rPr>
                <w:highlight w:val="none"/>
              </w:rPr>
            </w:r>
            <w:r/>
          </w:p>
        </w:tc>
        <w:tc>
          <w:tcPr>
            <w:gridSpan w:val="2"/>
            <w:tcW w:w="6176" w:type="dxa"/>
            <w:vAlign w:val="center"/>
            <w:textDirection w:val="lrTb"/>
            <w:noWrap w:val="false"/>
          </w:tcPr>
          <w:p>
            <w:pPr>
              <w:rPr>
                <w:rFonts w:ascii="宋体" w:hAnsi="宋体" w:cs="宋体"/>
                <w:szCs w:val="21"/>
                <w:highlight w:val="none"/>
              </w:rPr>
            </w:pPr>
            <w:r>
              <w:rPr>
                <w:rFonts w:hint="eastAsia" w:ascii="宋体" w:hAnsi="宋体" w:cs="宋体"/>
                <w:bCs/>
                <w:highlight w:val="none"/>
                <w:shd w:val="clear" w:color="auto" w:fill="ffffff"/>
              </w:rPr>
              <w:t xml:space="preserve">在磋商文件要求提交磋商响应文件的截止时间之后上传的任何电子响应文件</w:t>
            </w:r>
            <w:r>
              <w:rPr>
                <w:highlight w:val="none"/>
              </w:rPr>
            </w:r>
            <w:r/>
          </w:p>
        </w:tc>
      </w:tr>
      <w:tr>
        <w:trPr>
          <w:jc w:val="center"/>
          <w:trHeight w:val="462"/>
        </w:trPr>
        <w:tc>
          <w:tcPr>
            <w:tcW w:w="449" w:type="dxa"/>
            <w:vAlign w:val="center"/>
            <w:vMerge w:val="restart"/>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15</w:t>
            </w:r>
            <w:r>
              <w:rPr>
                <w:highlight w:val="none"/>
              </w:rPr>
            </w:r>
            <w:r/>
          </w:p>
        </w:tc>
        <w:tc>
          <w:tcPr>
            <w:tcW w:w="451"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rPr>
              <w:t xml:space="preserve">联系 事项</w:t>
            </w:r>
            <w:r>
              <w:rPr>
                <w:highlight w:val="none"/>
              </w:rPr>
            </w:r>
            <w:r/>
          </w:p>
        </w:tc>
        <w:tc>
          <w:tcPr>
            <w:tcW w:w="765"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采购单位</w:t>
            </w:r>
            <w:r>
              <w:rPr>
                <w:highlight w:val="none"/>
              </w:rPr>
            </w:r>
            <w:r/>
          </w:p>
        </w:tc>
        <w:tc>
          <w:tcPr>
            <w:tcW w:w="762" w:type="dxa"/>
            <w:vAlign w:val="center"/>
            <w:textDirection w:val="lrTb"/>
            <w:noWrap w:val="false"/>
          </w:tcPr>
          <w:p>
            <w:pPr>
              <w:rPr>
                <w:rFonts w:ascii="宋体" w:hAnsi="宋体" w:cs="宋体"/>
                <w:highlight w:val="none"/>
              </w:rPr>
            </w:pPr>
            <w:r>
              <w:rPr>
                <w:rFonts w:hint="eastAsia" w:ascii="宋体" w:hAnsi="宋体" w:cs="宋体"/>
                <w:highlight w:val="none"/>
                <w:lang w:val="zh-CN"/>
              </w:rPr>
              <w:t xml:space="preserve">联系人</w:t>
            </w:r>
            <w:r>
              <w:rPr>
                <w:highlight w:val="none"/>
              </w:rPr>
            </w:r>
            <w:r/>
          </w:p>
        </w:tc>
        <w:tc>
          <w:tcPr>
            <w:tcW w:w="2569" w:type="dxa"/>
            <w:vAlign w:val="center"/>
            <w:textDirection w:val="lrTb"/>
            <w:noWrap w:val="false"/>
          </w:tcPr>
          <w:p>
            <w:pPr>
              <w:rPr>
                <w:rFonts w:ascii="宋体" w:hAnsi="宋体" w:cs="宋体"/>
                <w:highlight w:val="none"/>
              </w:rPr>
            </w:pPr>
            <w:r>
              <w:rPr>
                <w:rFonts w:hint="eastAsia" w:ascii="宋体" w:hAnsi="宋体" w:cs="宋体"/>
                <w:highlight w:val="none"/>
              </w:rPr>
              <w:t xml:space="preserve">马主任</w:t>
            </w:r>
            <w:r>
              <w:rPr>
                <w:highlight w:val="none"/>
              </w:rPr>
            </w:r>
            <w:r/>
          </w:p>
        </w:tc>
      </w:tr>
      <w:tr>
        <w:trPr>
          <w:jc w:val="center"/>
          <w:trHeight w:val="462"/>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continue"/>
            <w:textDirection w:val="lrTb"/>
            <w:noWrap w:val="false"/>
          </w:tcPr>
          <w:p>
            <w:pPr>
              <w:jc w:val="center"/>
              <w:rPr>
                <w:rFonts w:ascii="宋体" w:hAnsi="宋体" w:cs="宋体"/>
                <w:b/>
                <w:bCs/>
                <w:lang w:val="zh-CN"/>
              </w:rPr>
            </w:pPr>
            <w:r>
              <w:rPr>
                <w:rFonts w:ascii="宋体" w:hAnsi="宋体" w:cs="宋体"/>
                <w:b/>
                <w:bCs/>
                <w:lang w:val="zh-CN"/>
              </w:rPr>
            </w:r>
            <w:r/>
          </w:p>
        </w:tc>
        <w:tc>
          <w:tcPr>
            <w:tcW w:w="762" w:type="dxa"/>
            <w:vAlign w:val="center"/>
            <w:textDirection w:val="lrTb"/>
            <w:noWrap w:val="false"/>
          </w:tcPr>
          <w:p>
            <w:pPr>
              <w:rPr>
                <w:rFonts w:ascii="宋体" w:hAnsi="宋体" w:cs="宋体"/>
                <w:highlight w:val="none"/>
              </w:rPr>
            </w:pPr>
            <w:r>
              <w:rPr>
                <w:rFonts w:hint="eastAsia" w:ascii="宋体" w:hAnsi="宋体" w:cs="宋体"/>
                <w:highlight w:val="none"/>
                <w:lang w:val="zh-CN"/>
              </w:rPr>
              <w:t xml:space="preserve">联系电话</w:t>
            </w:r>
            <w:r>
              <w:rPr>
                <w:highlight w:val="none"/>
              </w:rPr>
            </w:r>
            <w:r/>
          </w:p>
        </w:tc>
        <w:tc>
          <w:tcPr>
            <w:tcW w:w="2569" w:type="dxa"/>
            <w:vAlign w:val="center"/>
            <w:textDirection w:val="lrTb"/>
            <w:noWrap w:val="false"/>
          </w:tcPr>
          <w:p>
            <w:pPr>
              <w:rPr>
                <w:rFonts w:ascii="宋体" w:hAnsi="宋体" w:cs="宋体"/>
                <w:highlight w:val="none"/>
              </w:rPr>
            </w:pPr>
            <w:r>
              <w:rPr>
                <w:rFonts w:ascii="宋体" w:hAnsi="宋体" w:cs="宋体"/>
                <w:color w:val="000000"/>
                <w:szCs w:val="21"/>
                <w:highlight w:val="none"/>
                <w:shd w:val="clear" w:color="auto" w:fill="ffffff"/>
              </w:rPr>
              <w:t xml:space="preserve">18151646898</w:t>
            </w:r>
            <w:r>
              <w:rPr>
                <w:highlight w:val="none"/>
              </w:rPr>
            </w:r>
            <w:r/>
          </w:p>
        </w:tc>
      </w:tr>
      <w:tr>
        <w:trPr>
          <w:jc w:val="center"/>
          <w:trHeight w:val="435"/>
        </w:trPr>
        <w:tc>
          <w:tcPr>
            <w:tcW w:w="449"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招标代理机构</w:t>
            </w:r>
            <w:r>
              <w:rPr>
                <w:highlight w:val="none"/>
              </w:rPr>
            </w:r>
            <w:r/>
          </w:p>
        </w:tc>
        <w:tc>
          <w:tcPr>
            <w:tcW w:w="762" w:type="dxa"/>
            <w:vAlign w:val="center"/>
            <w:textDirection w:val="lrTb"/>
            <w:noWrap w:val="false"/>
          </w:tcPr>
          <w:p>
            <w:pPr>
              <w:rPr>
                <w:rFonts w:ascii="宋体" w:hAnsi="宋体" w:cs="宋体"/>
                <w:highlight w:val="none"/>
              </w:rPr>
            </w:pPr>
            <w:r>
              <w:rPr>
                <w:rFonts w:hint="eastAsia" w:ascii="宋体" w:hAnsi="宋体" w:cs="宋体"/>
                <w:highlight w:val="none"/>
                <w:lang w:val="zh-CN"/>
              </w:rPr>
              <w:t xml:space="preserve">联系人</w:t>
            </w:r>
            <w:r>
              <w:rPr>
                <w:highlight w:val="none"/>
              </w:rPr>
            </w:r>
            <w:r/>
          </w:p>
        </w:tc>
        <w:tc>
          <w:tcPr>
            <w:tcW w:w="2569" w:type="dxa"/>
            <w:vAlign w:val="center"/>
            <w:textDirection w:val="lrTb"/>
            <w:noWrap w:val="false"/>
          </w:tcPr>
          <w:p>
            <w:pPr>
              <w:rPr>
                <w:rFonts w:ascii="宋体" w:hAnsi="宋体" w:cs="宋体"/>
                <w:highlight w:val="none"/>
              </w:rPr>
            </w:pPr>
            <w:r>
              <w:rPr>
                <w:rFonts w:ascii="宋体" w:hAnsi="宋体" w:cs="宋体"/>
                <w:highlight w:val="none"/>
              </w:rPr>
              <w:t xml:space="preserve">卞工</w:t>
            </w:r>
            <w:r>
              <w:rPr>
                <w:highlight w:val="none"/>
              </w:rPr>
            </w:r>
            <w:r/>
          </w:p>
        </w:tc>
      </w:tr>
      <w:tr>
        <w:trPr>
          <w:jc w:val="center"/>
          <w:trHeight w:val="402"/>
        </w:trPr>
        <w:tc>
          <w:tcPr>
            <w:tcW w:w="449"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4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65" w:type="dxa"/>
            <w:vAlign w:val="center"/>
            <w:vMerge w:val="continue"/>
            <w:textDirection w:val="lrTb"/>
            <w:noWrap w:val="false"/>
          </w:tcPr>
          <w:p>
            <w:pPr>
              <w:rPr>
                <w:rFonts w:ascii="宋体" w:hAnsi="宋体" w:cs="宋体"/>
                <w:lang w:val="zh-CN"/>
              </w:rPr>
            </w:pPr>
            <w:r>
              <w:rPr>
                <w:rFonts w:ascii="宋体" w:hAnsi="宋体" w:cs="宋体"/>
                <w:lang w:val="zh-CN"/>
              </w:rPr>
            </w:r>
            <w:r/>
          </w:p>
        </w:tc>
        <w:tc>
          <w:tcPr>
            <w:tcW w:w="762" w:type="dxa"/>
            <w:vAlign w:val="center"/>
            <w:textDirection w:val="lrTb"/>
            <w:noWrap w:val="false"/>
          </w:tcPr>
          <w:p>
            <w:pPr>
              <w:rPr>
                <w:rFonts w:ascii="宋体" w:hAnsi="宋体" w:cs="宋体"/>
                <w:highlight w:val="none"/>
              </w:rPr>
            </w:pPr>
            <w:r>
              <w:rPr>
                <w:rFonts w:hint="eastAsia" w:ascii="宋体" w:hAnsi="宋体" w:cs="宋体"/>
                <w:highlight w:val="none"/>
                <w:lang w:val="zh-CN"/>
              </w:rPr>
              <w:t xml:space="preserve">联系电话</w:t>
            </w:r>
            <w:r>
              <w:rPr>
                <w:highlight w:val="none"/>
              </w:rPr>
            </w:r>
            <w:r/>
          </w:p>
        </w:tc>
        <w:tc>
          <w:tcPr>
            <w:tcW w:w="2569" w:type="dxa"/>
            <w:vAlign w:val="center"/>
            <w:textDirection w:val="lrTb"/>
            <w:noWrap w:val="false"/>
          </w:tcPr>
          <w:p>
            <w:pPr>
              <w:rPr>
                <w:rFonts w:ascii="宋体" w:hAnsi="宋体" w:cs="宋体"/>
                <w:highlight w:val="none"/>
              </w:rPr>
            </w:pPr>
            <w:r>
              <w:rPr>
                <w:rFonts w:ascii="宋体" w:hAnsi="宋体" w:cs="宋体"/>
                <w:szCs w:val="21"/>
                <w:highlight w:val="none"/>
              </w:rPr>
              <w:t xml:space="preserve">18118819621</w:t>
            </w:r>
            <w:r>
              <w:rPr>
                <w:highlight w:val="none"/>
              </w:rPr>
            </w:r>
            <w:r/>
          </w:p>
        </w:tc>
      </w:tr>
    </w:tbl>
    <w:p>
      <w:pPr>
        <w:pStyle w:val="1066"/>
        <w:jc w:val="center"/>
        <w:spacing w:before="240" w:after="240" w:line="240" w:lineRule="auto"/>
        <w:rPr>
          <w:szCs w:val="28"/>
          <w:highlight w:val="none"/>
        </w:rPr>
      </w:pPr>
      <w:r>
        <w:rPr>
          <w:highlight w:val="none"/>
        </w:rPr>
      </w:r>
      <w:bookmarkStart w:id="42" w:name="_Toc535597866"/>
      <w:r>
        <w:rPr>
          <w:highlight w:val="none"/>
        </w:rPr>
      </w:r>
      <w:bookmarkStart w:id="43" w:name="_Toc15504"/>
      <w:r>
        <w:rPr>
          <w:rFonts w:hint="eastAsia" w:ascii="宋体" w:hAnsi="宋体" w:eastAsia="宋体" w:cs="宋体"/>
          <w:highlight w:val="none"/>
        </w:rPr>
        <w:br w:type="page" w:clear="all"/>
        <w:t xml:space="preserve">一、总    则</w:t>
      </w:r>
      <w:bookmarkEnd w:id="42"/>
      <w:r>
        <w:rPr>
          <w:highlight w:val="none"/>
        </w:rPr>
      </w:r>
      <w:bookmarkEnd w:id="43"/>
      <w:r>
        <w:rPr>
          <w:highlight w:val="none"/>
        </w:rPr>
      </w:r>
      <w:r/>
    </w:p>
    <w:p>
      <w:pPr>
        <w:ind w:firstLine="442"/>
        <w:spacing w:line="360" w:lineRule="auto"/>
        <w:rPr>
          <w:rFonts w:ascii="宋体" w:hAnsi="宋体" w:cs="宋体"/>
          <w:b/>
          <w:sz w:val="22"/>
          <w:highlight w:val="none"/>
        </w:rPr>
      </w:pPr>
      <w:r>
        <w:rPr>
          <w:rFonts w:hint="eastAsia" w:ascii="宋体" w:hAnsi="宋体" w:cs="宋体"/>
          <w:b/>
          <w:sz w:val="22"/>
          <w:highlight w:val="none"/>
        </w:rPr>
        <w:t xml:space="preserve">1、适用法律</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1.1 《中华人民共和国政府采购法》、《中华人民共和国政府采购法实施条例》、《政府采购竞争性磋商采购方式管理暂行办法》等有关法律、规章和规定等。</w:t>
      </w:r>
      <w:r>
        <w:rPr>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2、定义</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2.1 “供应商”是指参加磋商竞争，并符合磋商文件规定资格条件的法人、其他组织或者自然人。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2.2 “</w:t>
      </w:r>
      <w:r>
        <w:rPr>
          <w:rFonts w:hint="eastAsia" w:ascii="宋体" w:hAnsi="宋体" w:cs="宋体"/>
          <w:szCs w:val="21"/>
          <w:highlight w:val="none"/>
        </w:rPr>
        <w:t xml:space="preserve">工程</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rPr>
        <w:t xml:space="preserve">工程</w:t>
      </w:r>
      <w:r>
        <w:rPr>
          <w:rFonts w:hint="eastAsia" w:ascii="宋体" w:hAnsi="宋体" w:cs="宋体"/>
          <w:szCs w:val="21"/>
          <w:highlight w:val="none"/>
          <w:lang w:val="zh-CN"/>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rPr>
        <w:t xml:space="preserve">工程</w:t>
      </w:r>
      <w:r>
        <w:rPr>
          <w:rFonts w:hint="eastAsia" w:ascii="宋体" w:hAnsi="宋体" w:cs="宋体"/>
          <w:szCs w:val="21"/>
          <w:highlight w:val="none"/>
          <w:lang w:val="zh-CN"/>
        </w:rPr>
        <w:t xml:space="preserve">的单位。</w:t>
      </w:r>
      <w:r>
        <w:rPr>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3、政策功能</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3.1 中小企业政策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（5）未按要求提供相关材料的，不享受相关政策。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（6）项目所属行业：</w:t>
      </w:r>
      <w:r>
        <w:rPr>
          <w:rFonts w:hint="eastAsia" w:ascii="宋体" w:hAnsi="宋体" w:cs="宋体"/>
          <w:bCs/>
          <w:szCs w:val="21"/>
          <w:highlight w:val="none"/>
          <w:u w:val="single"/>
        </w:rPr>
        <w:t xml:space="preserve">建筑业</w:t>
      </w:r>
      <w:r>
        <w:rPr>
          <w:rFonts w:hint="eastAsia" w:ascii="宋体" w:hAnsi="宋体" w:cs="宋体"/>
          <w:bCs/>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3.2 节能产品政策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（1）节能产品是指列入财政部、国家发展和改革委员会制定的节能产品品目政府采购清单，且经过认证的节能产品；</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（2）拟采购产品属于节能产品政府采购清单规定必须强制采购的，实行强制采购。</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（3）拟采购产品属于节能产品政府采购清单规定优先采购的，在技术、服务等指标同等条件下，实行优先采购，优先采购的要求详见第三章说明内容。</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（4）参加政府采购活动的节能产品供应商应当提供有效的节能产品认证证书扫描件。</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（5）未按要求提供相关材料的，不享受相关政策。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3.3 环境标志产品政策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（1）环境标志产品是指列入财政部、生态环境部制定的环境标志产品品目政府采购清单，且经过认证的环境标志产品；</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（3）参加政府采购活动的环境标志产品应当提供有效的环境标志产品认证证书扫描件。</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（4）未按要求提供相关材料的，不享受相关政策。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3.4 信息安全产品政策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（1）信息安全产品是指列入国家质检总局、国家认监委《信息安全产品强制性认证目录》，并获得强制性产品认证证书的产品；</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（3）未按要求提供相关材料的，不享受相关政策。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3.5 进口产品政策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（1）除第一章竞争性磋商公告另有规定外，不允许进口产品参加。进口产品认定依照《财政部关于政府采购进口产品管理有关问题的通知》（财办库〔2008〕248 号）的规定。</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（2）允许进口产品参加的，满足需求的国内产品可以参加。</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（3）允许进口产品参加的，优先采购向我国企业转让技术、与我国企业签订消化吸收再创新方案的供应商的进口产品。</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（4）未按要求提供相关材料的，不享受相关政策。</w:t>
      </w:r>
      <w:r>
        <w:rPr>
          <w:highlight w:val="none"/>
        </w:rPr>
      </w:r>
      <w:r/>
    </w:p>
    <w:p>
      <w:pPr>
        <w:ind w:firstLine="413"/>
        <w:spacing w:line="360" w:lineRule="auto"/>
        <w:rPr>
          <w:rFonts w:ascii="宋体" w:hAnsi="宋体" w:cs="宋体"/>
          <w:b/>
          <w:szCs w:val="21"/>
          <w:highlight w:val="none"/>
        </w:rPr>
      </w:pPr>
      <w:r>
        <w:rPr>
          <w:rFonts w:hint="eastAsia" w:ascii="宋体" w:hAnsi="宋体" w:cs="宋体"/>
          <w:b/>
          <w:szCs w:val="21"/>
          <w:highlight w:val="none"/>
        </w:rPr>
        <w:t xml:space="preserve">4、投标费用</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highlight w:val="none"/>
        </w:rPr>
      </w:r>
      <w:r/>
    </w:p>
    <w:p>
      <w:pPr>
        <w:ind w:firstLine="420"/>
        <w:spacing w:line="360" w:lineRule="auto"/>
        <w:shd w:val="clear" w:color="auto" w:fill="ffffff"/>
        <w:rPr>
          <w:rFonts w:ascii="宋体" w:hAnsi="宋体" w:cs="宋体"/>
          <w:szCs w:val="21"/>
          <w:highlight w:val="none"/>
        </w:rPr>
      </w:pPr>
      <w:r>
        <w:rPr>
          <w:rFonts w:hint="eastAsia" w:ascii="宋体" w:hAnsi="宋体" w:cs="宋体"/>
          <w:bCs/>
          <w:szCs w:val="21"/>
          <w:highlight w:val="none"/>
          <w:lang w:val="zh-CN"/>
        </w:rPr>
        <w:t xml:space="preserve">4.2 </w:t>
      </w:r>
      <w:r>
        <w:rPr>
          <w:rFonts w:hint="eastAsia" w:ascii="宋体" w:hAnsi="宋体" w:cs="宋体"/>
          <w:szCs w:val="21"/>
          <w:highlight w:val="none"/>
          <w:lang w:val="zh-CN"/>
        </w:rPr>
        <w:t xml:space="preserve">本次采购招标代理服务费</w:t>
      </w:r>
      <w:r>
        <w:rPr>
          <w:rFonts w:hint="eastAsia" w:ascii="宋体" w:hAnsi="宋体" w:cs="宋体"/>
          <w:szCs w:val="21"/>
          <w:highlight w:val="none"/>
        </w:rPr>
        <w:t xml:space="preserve">由成交供应商在领取成交通知书时一次性支付</w:t>
      </w:r>
      <w:r>
        <w:rPr>
          <w:rFonts w:hint="eastAsia" w:ascii="宋体" w:hAnsi="宋体" w:cs="宋体"/>
          <w:szCs w:val="21"/>
          <w:highlight w:val="none"/>
          <w:lang w:val="zh-CN"/>
        </w:rPr>
        <w:t xml:space="preserve">。招标代理服务费包括招标代理费、控制价编制费。其中招标代理费按计价格〔2002〕1980号文</w:t>
      </w:r>
      <w:r>
        <w:rPr>
          <w:rFonts w:hint="eastAsia" w:ascii="宋体" w:hAnsi="宋体" w:cs="宋体"/>
          <w:szCs w:val="21"/>
          <w:highlight w:val="none"/>
        </w:rPr>
        <w:t xml:space="preserve">的</w:t>
      </w:r>
      <w:r>
        <w:rPr>
          <w:rFonts w:ascii="宋体" w:hAnsi="宋体" w:cs="宋体"/>
          <w:szCs w:val="21"/>
          <w:highlight w:val="none"/>
        </w:rPr>
        <w:t xml:space="preserve">7</w:t>
      </w:r>
      <w:r>
        <w:rPr>
          <w:rFonts w:hint="eastAsia" w:ascii="宋体" w:hAnsi="宋体" w:cs="宋体"/>
          <w:szCs w:val="21"/>
          <w:highlight w:val="none"/>
        </w:rPr>
        <w:t xml:space="preserve">0%执行</w:t>
      </w:r>
      <w:r>
        <w:rPr>
          <w:rFonts w:hint="eastAsia" w:ascii="宋体" w:hAnsi="宋体" w:cs="宋体"/>
          <w:szCs w:val="21"/>
          <w:highlight w:val="none"/>
          <w:lang w:val="zh-CN"/>
        </w:rPr>
        <w:t xml:space="preserve">；控制价编制费按苏价服〔20</w:t>
      </w:r>
      <w:r>
        <w:rPr>
          <w:rFonts w:hint="eastAsia" w:ascii="宋体" w:hAnsi="宋体" w:cs="宋体"/>
          <w:szCs w:val="21"/>
          <w:highlight w:val="none"/>
        </w:rPr>
        <w:t xml:space="preserve">14</w:t>
      </w:r>
      <w:r>
        <w:rPr>
          <w:rFonts w:hint="eastAsia" w:ascii="宋体" w:hAnsi="宋体" w:cs="宋体"/>
          <w:szCs w:val="21"/>
          <w:highlight w:val="none"/>
          <w:lang w:val="zh-CN"/>
        </w:rPr>
        <w:t xml:space="preserve">〕383号文</w:t>
      </w:r>
      <w:r>
        <w:rPr>
          <w:rFonts w:hint="eastAsia" w:ascii="宋体" w:hAnsi="宋体" w:cs="宋体"/>
          <w:szCs w:val="21"/>
          <w:highlight w:val="none"/>
        </w:rPr>
        <w:t xml:space="preserve">的</w:t>
      </w:r>
      <w:r>
        <w:rPr>
          <w:rFonts w:ascii="宋体" w:hAnsi="宋体" w:cs="宋体"/>
          <w:szCs w:val="21"/>
          <w:highlight w:val="none"/>
        </w:rPr>
        <w:t xml:space="preserve">7</w:t>
      </w:r>
      <w:r>
        <w:rPr>
          <w:rFonts w:hint="eastAsia" w:ascii="宋体" w:hAnsi="宋体" w:cs="宋体"/>
          <w:szCs w:val="21"/>
          <w:highlight w:val="none"/>
        </w:rPr>
        <w:t xml:space="preserve">0%执行</w:t>
      </w:r>
      <w:r>
        <w:rPr>
          <w:rFonts w:hint="eastAsia" w:ascii="宋体" w:hAnsi="宋体" w:cs="宋体"/>
          <w:szCs w:val="21"/>
          <w:highlight w:val="none"/>
          <w:lang w:val="zh-CN"/>
        </w:rPr>
        <w:t xml:space="preserve">。</w:t>
      </w:r>
      <w:r>
        <w:rPr>
          <w:rFonts w:hint="eastAsia" w:ascii="宋体" w:hAnsi="宋体" w:cs="宋体"/>
          <w:szCs w:val="21"/>
          <w:highlight w:val="none"/>
        </w:rPr>
        <w:t xml:space="preserve">以上所有费用，</w:t>
      </w:r>
      <w:r>
        <w:rPr>
          <w:rFonts w:hint="eastAsia" w:ascii="宋体" w:hAnsi="宋体" w:cs="宋体"/>
          <w:szCs w:val="21"/>
          <w:highlight w:val="none"/>
          <w:lang w:val="zh-CN"/>
        </w:rPr>
        <w:t xml:space="preserve">请供应商予以关注并核算摊销到总报价中,无需在报价表中单列。</w:t>
      </w:r>
      <w:r>
        <w:rPr>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5、磋商文件的约束力</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5.1 供应商一旦参加本项目磋商，即被认为接受了本磋商文件的规定和约束。</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 义务</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5.2.1磋商供应商应当认真阅读本磋商文件，完全明了本项目之名称、用途、数量、质量和交付时间，完全明了应具备的资格条件。</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5.2.2磋商供应商应当按照磋商文件的要求编制响应性文件。响应性文件应对磋商文件提出的实质性要求和条件作出完全响应。</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5.2.3磋商供应商不得相互串通报价，不得排挤其他磋商供应商的公平竞争，损害采购人或者其他磋商供应商的合法权益。磋商供应商不得与采购人串通投标，损害国家利益，公众利益或者他人的合法权益。</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5.2.4磋商供应商在磋商截止时间前，对所递交的响应性文件可以补充、修改或者撤回，并书面通知采购人。补充、修改的内容为响应性文件的组成部分。</w:t>
      </w:r>
      <w:r>
        <w:rPr>
          <w:highlight w:val="none"/>
        </w:rPr>
      </w:r>
      <w:r/>
    </w:p>
    <w:p>
      <w:pPr>
        <w:ind w:firstLine="411"/>
        <w:spacing w:line="360" w:lineRule="auto"/>
        <w:rPr>
          <w:rFonts w:ascii="宋体" w:hAnsi="宋体" w:cs="宋体"/>
          <w:b/>
          <w:szCs w:val="21"/>
          <w:highlight w:val="none"/>
        </w:rPr>
      </w:pPr>
      <w:r>
        <w:rPr>
          <w:rFonts w:hint="eastAsia" w:ascii="宋体" w:hAnsi="宋体" w:cs="宋体"/>
          <w:bCs/>
          <w:szCs w:val="21"/>
          <w:highlight w:val="none"/>
        </w:rPr>
        <w:t xml:space="preserve">5.3 注意事项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5.3.2验收标准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5.3.2.1磋商文件中明确的标准和技术要求，未明确部分按照国家最新的相关标准；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5.3.2.2供应商随响应性文件提供的货物制造国制造及验收的官方标准或货物验收大纲，经采购单位确认后，将作为对货物的验收依据之一；</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5.3.2.3供应商在澄清响应文件时作出的承诺，经采购单位确认后，将作为对工程、货物和服务的验收依据之一；</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5.3.2.4项目完毕后，由采购单位组织按国家相关标准进行验收。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5.3.4任何供应商成交，须保证所供工程、货物和服务能通过当地有关职能部门验收，否则采购单位有权拒绝支付合同款项。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5.3.5供应商应保证采购人在使用该工程、货物和服务或其任何一部分时不受第三方提出侵犯其专利权、版权、商标权或其他权利的起诉。一旦出现侵权，供应商应承担全部责任。</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
          <w:szCs w:val="21"/>
          <w:highlight w:val="none"/>
        </w:rPr>
        <w:t xml:space="preserve">6、本项目不接受联合体投标，本项目不允许转包或分包。</w:t>
      </w:r>
      <w:r>
        <w:rPr>
          <w:highlight w:val="none"/>
        </w:rPr>
      </w:r>
      <w:r/>
    </w:p>
    <w:p>
      <w:pPr>
        <w:ind w:left="992" w:hanging="567"/>
        <w:jc w:val="center"/>
        <w:spacing w:before="240" w:after="240" w:line="360" w:lineRule="auto"/>
        <w:rPr>
          <w:rFonts w:ascii="宋体" w:hAnsi="宋体" w:cs="宋体"/>
          <w:sz w:val="28"/>
          <w:highlight w:val="none"/>
        </w:rPr>
        <w:outlineLvl w:val="1"/>
      </w:pPr>
      <w:r>
        <w:rPr>
          <w:highlight w:val="none"/>
        </w:rPr>
      </w:r>
      <w:bookmarkStart w:id="44" w:name="_Toc22177"/>
      <w:r>
        <w:rPr>
          <w:highlight w:val="none"/>
        </w:rPr>
      </w:r>
      <w:bookmarkStart w:id="45" w:name="_Toc29564"/>
      <w:r>
        <w:rPr>
          <w:rFonts w:hint="eastAsia" w:ascii="宋体" w:hAnsi="宋体" w:cs="宋体"/>
          <w:sz w:val="28"/>
          <w:highlight w:val="none"/>
          <w:lang w:val="zh-CN"/>
        </w:rPr>
        <w:t xml:space="preserve">二、</w:t>
      </w:r>
      <w:r>
        <w:rPr>
          <w:rFonts w:hint="eastAsia" w:ascii="宋体" w:hAnsi="宋体" w:cs="宋体"/>
          <w:sz w:val="28"/>
          <w:highlight w:val="none"/>
        </w:rPr>
        <w:t xml:space="preserve">竞争性磋商文件</w:t>
      </w:r>
      <w:bookmarkEnd w:id="44"/>
      <w:r>
        <w:rPr>
          <w:highlight w:val="none"/>
        </w:rPr>
      </w:r>
      <w:bookmarkEnd w:id="45"/>
      <w:r>
        <w:rPr>
          <w:highlight w:val="none"/>
        </w:rPr>
      </w:r>
      <w:r/>
    </w:p>
    <w:p>
      <w:pPr>
        <w:ind w:firstLine="442"/>
        <w:spacing w:line="360" w:lineRule="auto"/>
        <w:rPr>
          <w:rFonts w:ascii="宋体" w:hAnsi="宋体" w:cs="宋体"/>
          <w:b/>
          <w:sz w:val="22"/>
          <w:highlight w:val="none"/>
        </w:rPr>
      </w:pPr>
      <w:r>
        <w:rPr>
          <w:rFonts w:hint="eastAsia" w:ascii="宋体" w:hAnsi="宋体" w:cs="宋体"/>
          <w:b/>
          <w:sz w:val="22"/>
          <w:highlight w:val="none"/>
        </w:rPr>
        <w:t xml:space="preserve">7、磋商文件组成</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.1磋商文件包括以下主要内容：</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第一部分：竞争性磋商公告；</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第二部分：磋商供应商须知； </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第三部分：磋商评审标准；</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第四部分：采购项目概况；</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第五部分：合同主要条款及格式；</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第六部分：磋商响应文件格式。</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 采购代理机构如果要求供应商按照磋商文件规定提交备选磋商方案的，供应商可以提交备选方案；否则，备选方案将被拒绝。</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3 </w:t>
      </w:r>
      <w:r>
        <w:rPr>
          <w:rFonts w:hint="eastAsia" w:ascii="宋体" w:hAnsi="宋体" w:cs="宋体"/>
          <w:bCs/>
          <w:szCs w:val="21"/>
          <w:highlight w:val="none"/>
          <w:lang w:val="zh-CN"/>
        </w:rPr>
        <w:t xml:space="preserve">磋商文件中要求的产品品牌或型号，是采购人根据项目所要实现的功能推荐的品牌或型号，仅供供应商参考，并不是限制条件。</w:t>
      </w:r>
      <w:r>
        <w:rPr>
          <w:highlight w:val="none"/>
        </w:rPr>
      </w:r>
      <w:r/>
    </w:p>
    <w:p>
      <w:pPr>
        <w:ind w:firstLine="422"/>
        <w:spacing w:line="360" w:lineRule="auto"/>
        <w:tabs>
          <w:tab w:val="left" w:pos="1260" w:leader="none"/>
        </w:tabs>
        <w:rPr>
          <w:rFonts w:ascii="宋体" w:hAnsi="宋体" w:cs="宋体"/>
          <w:b/>
          <w:highlight w:val="none"/>
        </w:rPr>
      </w:pPr>
      <w:r>
        <w:rPr>
          <w:rFonts w:hint="eastAsia" w:ascii="宋体" w:hAnsi="宋体" w:cs="宋体"/>
          <w:b/>
          <w:highlight w:val="none"/>
        </w:rPr>
        <w:t xml:space="preserve">8、磋商文件的澄清、修改</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8.1任何要求对磋商文件进行澄清的供应商，应在磋商文件规定的响应性文件提交</w:t>
      </w:r>
      <w:r>
        <w:rPr>
          <w:rFonts w:hint="eastAsia" w:ascii="宋体" w:hAnsi="宋体" w:cs="宋体"/>
          <w:b/>
          <w:highlight w:val="none"/>
        </w:rPr>
        <w:t xml:space="preserve">截止日期五天前</w:t>
      </w:r>
      <w:r>
        <w:rPr>
          <w:rFonts w:hint="eastAsia" w:ascii="宋体" w:hAnsi="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8.3供应商应及时查看并获取修改后的磋商文件，如供应商未及时查看并下载，由此造成的相关责任，由供应商承担。</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8.4为使供应商有充分的时间对磋商文件的修改部分进行分析、研究，采购代理机构有权推迟响应文件接收截止日期和磋商日期，并将此变更通知所有已获取磋商文件的供应商，通知形式同8.2条款。</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8.5采购代理机构发出的所有补充、修改和变更文件均作为磋商文件的组成部分，与磋商文件具有同等法律效力。 </w:t>
      </w:r>
      <w:r>
        <w:rPr>
          <w:highlight w:val="none"/>
        </w:rPr>
      </w:r>
      <w:r/>
    </w:p>
    <w:p>
      <w:pPr>
        <w:ind w:left="992" w:hanging="567"/>
        <w:jc w:val="center"/>
        <w:spacing w:before="240" w:after="240" w:line="360" w:lineRule="auto"/>
        <w:rPr>
          <w:rFonts w:ascii="宋体" w:hAnsi="宋体" w:cs="宋体"/>
          <w:bCs/>
          <w:sz w:val="28"/>
          <w:szCs w:val="28"/>
          <w:highlight w:val="none"/>
        </w:rPr>
        <w:outlineLvl w:val="1"/>
      </w:pPr>
      <w:r>
        <w:rPr>
          <w:highlight w:val="none"/>
        </w:rPr>
      </w:r>
      <w:bookmarkStart w:id="46" w:name="_Toc11038"/>
      <w:r>
        <w:rPr>
          <w:highlight w:val="none"/>
        </w:rPr>
      </w:r>
      <w:bookmarkStart w:id="47" w:name="_Toc2406"/>
      <w:r>
        <w:rPr>
          <w:rFonts w:hint="eastAsia" w:ascii="宋体" w:hAnsi="宋体" w:cs="宋体"/>
          <w:sz w:val="28"/>
          <w:highlight w:val="none"/>
        </w:rPr>
        <w:t xml:space="preserve">三</w:t>
      </w:r>
      <w:r>
        <w:rPr>
          <w:rFonts w:hint="eastAsia" w:ascii="宋体" w:hAnsi="宋体" w:cs="宋体"/>
          <w:sz w:val="28"/>
          <w:highlight w:val="none"/>
          <w:lang w:val="zh-CN"/>
        </w:rPr>
        <w:t xml:space="preserve">、磋商响应文件编制</w:t>
      </w:r>
      <w:bookmarkEnd w:id="46"/>
      <w:r>
        <w:rPr>
          <w:highlight w:val="none"/>
        </w:rPr>
      </w:r>
      <w:bookmarkEnd w:id="47"/>
      <w:r>
        <w:rPr>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9、响应性文件的语言、计量单位、货币和编制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highlight w:val="none"/>
          <w:lang w:val="zh-CN"/>
        </w:rPr>
        <w:t xml:space="preserve">对不同文本磋商响应文件的解释发生异议的，以中文文本为准。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9.2供应商所使用的计量单位应为国家法定计量单位。</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9.3供应商应用人民币报价。</w:t>
      </w:r>
      <w:r>
        <w:rPr>
          <w:rFonts w:hint="eastAsia" w:ascii="宋体" w:hAnsi="宋体" w:cs="宋体"/>
          <w:szCs w:val="21"/>
          <w:highlight w:val="none"/>
          <w:lang w:val="zh-CN"/>
        </w:rPr>
        <w:t xml:space="preserve">报价产品如果是进口产品的，应提供人民币与美元之间的汇率；报价单位为“元”。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zh-CN"/>
        </w:rPr>
        <w:t xml:space="preserve">.4 磋商响应文件应字迹清楚、内容齐全、不得涂改。如有修改，修改处须有供应商公章或磋商专用章和法定代表人或其授权磋商代表签字。</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zh-CN"/>
        </w:rPr>
        <w:t xml:space="preserve">.</w:t>
      </w:r>
      <w:r>
        <w:rPr>
          <w:rFonts w:hint="eastAsia" w:ascii="宋体" w:hAnsi="宋体" w:cs="宋体"/>
          <w:szCs w:val="21"/>
          <w:highlight w:val="none"/>
        </w:rPr>
        <w:t xml:space="preserve">5</w:t>
      </w:r>
      <w:r>
        <w:rPr>
          <w:rFonts w:hint="eastAsia" w:ascii="宋体" w:hAnsi="宋体" w:cs="宋体"/>
          <w:szCs w:val="21"/>
          <w:highlight w:val="none"/>
          <w:lang w:val="zh-CN"/>
        </w:rPr>
        <w:t xml:space="preserve"> 供应商应在磋商响应文件中写清相应的项目编号、项目名称、供应商全称、地址、电话、传真等。</w:t>
      </w:r>
      <w:r>
        <w:rPr>
          <w:highlight w:val="none"/>
        </w:rPr>
      </w:r>
      <w:r/>
    </w:p>
    <w:p>
      <w:pPr>
        <w:ind w:firstLine="420"/>
        <w:spacing w:line="360" w:lineRule="auto"/>
        <w:rPr>
          <w:rFonts w:ascii="宋体" w:hAnsi="宋体" w:cs="宋体"/>
          <w:b/>
          <w:highlight w:val="none"/>
        </w:rPr>
      </w:pPr>
      <w:r>
        <w:rPr>
          <w:rFonts w:hint="eastAsia" w:ascii="宋体" w:hAnsi="宋体" w:cs="宋体"/>
          <w:b/>
          <w:highlight w:val="none"/>
        </w:rPr>
        <w:t xml:space="preserve">10、磋商响应文件的组成</w:t>
      </w:r>
      <w:r>
        <w:rPr>
          <w:highlight w:val="none"/>
        </w:rPr>
      </w:r>
      <w:r/>
    </w:p>
    <w:p>
      <w:pPr>
        <w:ind w:firstLine="420"/>
        <w:spacing w:line="360" w:lineRule="auto"/>
        <w:rPr>
          <w:rFonts w:ascii="宋体" w:hAnsi="宋体" w:cs="宋体"/>
          <w:bCs/>
          <w:highlight w:val="none"/>
        </w:rPr>
      </w:pPr>
      <w:r>
        <w:rPr>
          <w:rFonts w:hint="eastAsia" w:ascii="宋体" w:hAnsi="宋体" w:cs="宋体"/>
          <w:bCs/>
          <w:highlight w:val="none"/>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rPr>
          <w:highlight w:val="none"/>
        </w:rPr>
      </w:r>
      <w:r/>
    </w:p>
    <w:p>
      <w:pPr>
        <w:ind w:firstLine="420"/>
        <w:spacing w:line="360" w:lineRule="auto"/>
        <w:rPr>
          <w:rFonts w:ascii="宋体" w:hAnsi="宋体" w:cs="宋体"/>
          <w:b/>
          <w:highlight w:val="none"/>
          <w:shd w:val="clear" w:color="auto" w:fill="ffffff"/>
        </w:rPr>
      </w:pPr>
      <w:r>
        <w:rPr>
          <w:rFonts w:hint="eastAsia" w:ascii="宋体" w:hAnsi="宋体" w:cs="宋体"/>
          <w:bCs/>
          <w:highlight w:val="none"/>
        </w:rPr>
        <w:t xml:space="preserve">10</w:t>
      </w:r>
      <w:r>
        <w:rPr>
          <w:rFonts w:hint="eastAsia" w:ascii="宋体" w:hAnsi="宋体" w:cs="宋体"/>
          <w:bCs/>
          <w:highlight w:val="none"/>
          <w:shd w:val="clear" w:color="auto" w:fill="ffffff"/>
        </w:rPr>
        <w:t xml:space="preserve">.2 </w:t>
      </w:r>
      <w:r>
        <w:rPr>
          <w:rFonts w:hint="eastAsia" w:ascii="宋体" w:hAnsi="宋体" w:cs="宋体"/>
          <w:b/>
          <w:highlight w:val="none"/>
          <w:shd w:val="clear" w:color="auto" w:fill="ffffff"/>
        </w:rPr>
        <w:t xml:space="preserve">磋商响应文件的商务部分。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商务部分是证明供应商有资格参加磋商和中标后有能力履行合同的文件，</w:t>
      </w:r>
      <w:r>
        <w:rPr>
          <w:rFonts w:hint="eastAsia" w:ascii="宋体" w:hAnsi="宋体" w:cs="宋体"/>
          <w:highlight w:val="none"/>
        </w:rPr>
        <w:t xml:space="preserve">这些文件应能满足招标的要求</w:t>
      </w:r>
      <w:r>
        <w:rPr>
          <w:rFonts w:hint="eastAsia" w:ascii="宋体" w:hAnsi="宋体" w:cs="宋体"/>
          <w:highlight w:val="none"/>
          <w:lang w:val="zh-CN"/>
        </w:rPr>
        <w:t xml:space="preserve">，包括但不限于下列文件，</w:t>
      </w:r>
      <w:r>
        <w:rPr>
          <w:rFonts w:hint="eastAsia" w:ascii="宋体" w:hAnsi="宋体" w:cs="宋体"/>
          <w:b/>
          <w:highlight w:val="none"/>
          <w:lang w:val="zh-CN"/>
        </w:rPr>
        <w:t xml:space="preserve">其中加</w:t>
      </w:r>
      <w:r>
        <w:rPr>
          <w:rFonts w:hint="eastAsia" w:ascii="宋体" w:hAnsi="宋体" w:cs="宋体"/>
          <w:b/>
          <w:highlight w:val="none"/>
        </w:rPr>
        <w:t xml:space="preserve">*</w:t>
      </w:r>
      <w:r>
        <w:rPr>
          <w:rFonts w:hint="eastAsia" w:ascii="宋体" w:hAnsi="宋体" w:cs="宋体"/>
          <w:b/>
          <w:highlight w:val="none"/>
          <w:lang w:val="zh-CN"/>
        </w:rPr>
        <w:t xml:space="preserve">项目不得有缺失或无效</w:t>
      </w:r>
      <w:r>
        <w:rPr>
          <w:rFonts w:hint="eastAsia" w:ascii="宋体" w:hAnsi="宋体" w:cs="宋体"/>
          <w:highlight w:val="none"/>
          <w:lang w:val="zh-CN"/>
        </w:rPr>
        <w:t xml:space="preserve">。</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（1）</w:t>
      </w:r>
      <w:r>
        <w:rPr>
          <w:rFonts w:ascii="宋体" w:hAnsi="宋体" w:cs="宋体"/>
          <w:b/>
          <w:color w:val="000000"/>
          <w:sz w:val="22"/>
          <w:highlight w:val="none"/>
        </w:rPr>
        <w:t xml:space="preserve">*</w:t>
      </w:r>
      <w:r>
        <w:rPr>
          <w:rFonts w:ascii="宋体" w:hAnsi="宋体" w:cs="宋体"/>
          <w:color w:val="000000"/>
          <w:sz w:val="22"/>
          <w:highlight w:val="none"/>
        </w:rPr>
        <w:t xml:space="preserve">磋商申请及声明；</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（2）</w:t>
      </w:r>
      <w:r>
        <w:rPr>
          <w:rFonts w:ascii="宋体" w:hAnsi="宋体" w:cs="宋体"/>
          <w:b/>
          <w:color w:val="000000"/>
          <w:sz w:val="22"/>
          <w:highlight w:val="none"/>
        </w:rPr>
        <w:t xml:space="preserve">*</w:t>
      </w:r>
      <w:r>
        <w:rPr>
          <w:rFonts w:ascii="宋体" w:hAnsi="宋体" w:cs="宋体"/>
          <w:color w:val="000000"/>
          <w:sz w:val="22"/>
          <w:highlight w:val="none"/>
        </w:rPr>
        <w:t xml:space="preserve">法定代表人授权委托书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（3）</w:t>
      </w:r>
      <w:r>
        <w:rPr>
          <w:rFonts w:ascii="宋体" w:hAnsi="宋体" w:cs="宋体"/>
          <w:b/>
          <w:color w:val="000000"/>
          <w:sz w:val="22"/>
          <w:highlight w:val="none"/>
        </w:rPr>
        <w:t xml:space="preserve">*</w:t>
      </w:r>
      <w:r>
        <w:rPr>
          <w:rFonts w:ascii="宋体" w:hAnsi="宋体" w:cs="宋体"/>
          <w:color w:val="000000"/>
          <w:sz w:val="22"/>
          <w:highlight w:val="none"/>
        </w:rPr>
        <w:t xml:space="preserve">磋商报价表；</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（4）</w:t>
      </w:r>
      <w:r>
        <w:rPr>
          <w:rFonts w:ascii="宋体" w:hAnsi="宋体" w:cs="宋体"/>
          <w:b/>
          <w:color w:val="000000"/>
          <w:sz w:val="22"/>
          <w:highlight w:val="none"/>
        </w:rPr>
        <w:t xml:space="preserve">*</w:t>
      </w:r>
      <w:r>
        <w:rPr>
          <w:rFonts w:ascii="宋体" w:hAnsi="宋体" w:cs="宋体"/>
          <w:color w:val="000000"/>
          <w:sz w:val="22"/>
          <w:highlight w:val="none"/>
        </w:rPr>
        <w:t xml:space="preserve">分项报价明细表；</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（5）</w:t>
      </w:r>
      <w:r>
        <w:rPr>
          <w:rFonts w:ascii="宋体" w:hAnsi="宋体" w:cs="宋体"/>
          <w:b/>
          <w:color w:val="000000"/>
          <w:sz w:val="22"/>
          <w:highlight w:val="none"/>
        </w:rPr>
        <w:t xml:space="preserve">*</w:t>
      </w:r>
      <w:r>
        <w:rPr>
          <w:rFonts w:ascii="宋体" w:hAnsi="宋体" w:cs="宋体"/>
          <w:color w:val="000000"/>
          <w:sz w:val="22"/>
          <w:highlight w:val="none"/>
        </w:rPr>
        <w:t xml:space="preserve">中小企业声明函；</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（6）</w:t>
      </w:r>
      <w:r>
        <w:rPr>
          <w:rFonts w:ascii="宋体" w:hAnsi="宋体" w:cs="宋体"/>
          <w:b/>
          <w:color w:val="000000"/>
          <w:sz w:val="22"/>
          <w:highlight w:val="none"/>
        </w:rPr>
        <w:t xml:space="preserve">*</w:t>
      </w:r>
      <w:r>
        <w:rPr>
          <w:rFonts w:ascii="宋体" w:hAnsi="宋体" w:cs="宋体"/>
          <w:color w:val="000000"/>
          <w:sz w:val="22"/>
          <w:highlight w:val="none"/>
        </w:rPr>
        <w:t xml:space="preserve">《南京市政府采购供应商信用记录表暨信用承诺书》；</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（7）</w:t>
      </w:r>
      <w:r>
        <w:rPr>
          <w:rFonts w:ascii="宋体" w:hAnsi="宋体" w:cs="宋体"/>
          <w:b/>
          <w:color w:val="000000"/>
          <w:sz w:val="22"/>
          <w:highlight w:val="none"/>
        </w:rPr>
        <w:t xml:space="preserve">*</w:t>
      </w:r>
      <w:r>
        <w:rPr>
          <w:rFonts w:ascii="宋体" w:hAnsi="宋体" w:cs="宋体"/>
          <w:color w:val="000000"/>
          <w:sz w:val="22"/>
          <w:highlight w:val="none"/>
        </w:rPr>
        <w:t xml:space="preserve">《商务条款响应表》；</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（8）</w:t>
      </w:r>
      <w:r>
        <w:rPr>
          <w:rFonts w:ascii="宋体" w:hAnsi="宋体" w:cs="宋体"/>
          <w:b/>
          <w:color w:val="000000"/>
          <w:sz w:val="22"/>
          <w:highlight w:val="none"/>
        </w:rPr>
        <w:t xml:space="preserve">*</w:t>
      </w:r>
      <w:r>
        <w:rPr>
          <w:rFonts w:ascii="宋体" w:hAnsi="宋体" w:cs="宋体"/>
          <w:color w:val="000000"/>
          <w:sz w:val="22"/>
          <w:highlight w:val="none"/>
        </w:rPr>
        <w:t xml:space="preserve">“信用中国”、“中国政府采购网”网站截图（提供供应商未被列入失信被执行人、重大税收违法案件当事人名单、政府采购严重违法失信行为记录名单的对应截图）；</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（9）</w:t>
      </w:r>
      <w:r>
        <w:rPr>
          <w:rFonts w:ascii="宋体" w:hAnsi="宋体" w:cs="宋体"/>
          <w:b/>
          <w:color w:val="000000"/>
          <w:sz w:val="22"/>
          <w:highlight w:val="none"/>
        </w:rPr>
        <w:t xml:space="preserve">*</w:t>
      </w:r>
      <w:r>
        <w:rPr>
          <w:rFonts w:ascii="宋体" w:hAnsi="宋体" w:cs="宋体"/>
          <w:color w:val="000000"/>
          <w:sz w:val="22"/>
          <w:highlight w:val="none"/>
        </w:rPr>
        <w:t xml:space="preserve">安全生产责任承诺书</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（10）</w:t>
      </w:r>
      <w:r>
        <w:rPr>
          <w:rFonts w:ascii="宋体" w:hAnsi="宋体" w:cs="宋体"/>
          <w:b/>
          <w:color w:val="000000"/>
          <w:sz w:val="22"/>
          <w:highlight w:val="none"/>
        </w:rPr>
        <w:t xml:space="preserve">*</w:t>
      </w:r>
      <w:r>
        <w:rPr>
          <w:rFonts w:ascii="宋体" w:hAnsi="宋体" w:cs="宋体"/>
          <w:color w:val="000000"/>
          <w:sz w:val="22"/>
          <w:highlight w:val="none"/>
        </w:rPr>
        <w:t xml:space="preserve">材料品牌表；</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（11）磋商供应商认为需提供的其他资料。</w:t>
      </w:r>
      <w:r>
        <w:rPr>
          <w:highlight w:val="none"/>
        </w:rPr>
      </w:r>
      <w:r/>
    </w:p>
    <w:p>
      <w:pPr>
        <w:ind w:firstLine="420"/>
        <w:spacing w:line="360" w:lineRule="auto"/>
        <w:rPr>
          <w:rFonts w:ascii="宋体" w:hAnsi="宋体" w:cs="宋体"/>
          <w:b/>
          <w:highlight w:val="none"/>
          <w:shd w:val="clear" w:color="auto" w:fill="ffffff"/>
        </w:rPr>
      </w:pPr>
      <w:r>
        <w:rPr>
          <w:rFonts w:hint="eastAsia" w:ascii="宋体" w:hAnsi="宋体" w:cs="宋体"/>
          <w:bCs/>
          <w:highlight w:val="none"/>
        </w:rPr>
        <w:t xml:space="preserve">10</w:t>
      </w:r>
      <w:r>
        <w:rPr>
          <w:rFonts w:hint="eastAsia" w:ascii="宋体" w:hAnsi="宋体" w:cs="宋体"/>
          <w:bCs/>
          <w:highlight w:val="none"/>
          <w:shd w:val="clear" w:color="auto" w:fill="ffffff"/>
        </w:rPr>
        <w:t xml:space="preserve">.3 </w:t>
      </w:r>
      <w:r>
        <w:rPr>
          <w:rFonts w:hint="eastAsia" w:ascii="宋体" w:hAnsi="宋体" w:cs="宋体"/>
          <w:b/>
          <w:highlight w:val="none"/>
          <w:shd w:val="clear" w:color="auto" w:fill="ffffff"/>
        </w:rPr>
        <w:t xml:space="preserve">磋商响应文件的技术部分。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技术部分是证明</w:t>
      </w:r>
      <w:r>
        <w:rPr>
          <w:rFonts w:hint="eastAsia" w:ascii="宋体" w:hAnsi="宋体" w:cs="宋体"/>
          <w:highlight w:val="none"/>
        </w:rPr>
        <w:t xml:space="preserve">供应商提供的工程、货物和服务是合格的、并符合磋商文件要求的证明文件，以及</w:t>
      </w:r>
      <w:r>
        <w:rPr>
          <w:rFonts w:hint="eastAsia" w:ascii="宋体" w:hAnsi="宋体" w:cs="宋体"/>
          <w:highlight w:val="none"/>
          <w:lang w:val="zh-CN"/>
        </w:rPr>
        <w:t xml:space="preserve">对磋商报价表中的工程、货物和服务的详细说明，这些文件可以是文字资料、图纸和数据等；</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若技术性能无特殊说明，则按国家有关部门最新颁布的标准及规范为准；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提供的工程、货物和服务如与磋商文件要求有不符之处，应说明其差别之所在，并在《技术规格偏离表》中逐条予以说明；</w:t>
      </w:r>
      <w:r>
        <w:rPr>
          <w:highlight w:val="none"/>
        </w:rPr>
      </w:r>
      <w:r/>
    </w:p>
    <w:p>
      <w:pPr>
        <w:ind w:firstLine="420"/>
        <w:spacing w:line="360" w:lineRule="auto"/>
        <w:rPr>
          <w:rFonts w:ascii="宋体" w:hAnsi="宋体" w:cs="宋体"/>
          <w:b/>
          <w:szCs w:val="21"/>
          <w:highlight w:val="none"/>
        </w:rPr>
      </w:pPr>
      <w:r>
        <w:rPr>
          <w:rFonts w:hint="eastAsia" w:ascii="宋体" w:hAnsi="宋体" w:cs="宋体"/>
          <w:highlight w:val="none"/>
          <w:lang w:val="zh-CN"/>
        </w:rPr>
        <w:t xml:space="preserve">磋商响应文件应按照磋商文件要求提供技术资料、文件和有关证明，包括但不限于（</w:t>
      </w:r>
      <w:r>
        <w:rPr>
          <w:rFonts w:hint="eastAsia" w:ascii="宋体" w:hAnsi="宋体" w:cs="宋体"/>
          <w:b/>
          <w:highlight w:val="none"/>
          <w:lang w:val="zh-CN"/>
        </w:rPr>
        <w:t xml:space="preserve">其中加</w:t>
      </w:r>
      <w:r>
        <w:rPr>
          <w:rFonts w:hint="eastAsia" w:ascii="宋体" w:hAnsi="宋体" w:cs="宋体"/>
          <w:b/>
          <w:highlight w:val="none"/>
        </w:rPr>
        <w:t xml:space="preserve">*</w:t>
      </w:r>
      <w:r>
        <w:rPr>
          <w:rFonts w:hint="eastAsia" w:ascii="宋体" w:hAnsi="宋体" w:cs="宋体"/>
          <w:b/>
          <w:highlight w:val="none"/>
          <w:lang w:val="zh-CN"/>
        </w:rPr>
        <w:t xml:space="preserve">项目不得有缺失或无效</w:t>
      </w:r>
      <w:r>
        <w:rPr>
          <w:rFonts w:hint="eastAsia" w:ascii="宋体" w:hAnsi="宋体" w:cs="宋体"/>
          <w:highlight w:val="none"/>
          <w:lang w:val="zh-CN"/>
        </w:rPr>
        <w:t xml:space="preserve">）：</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lang w:val="zh-CN"/>
        </w:rPr>
        <w:t xml:space="preserve">*</w:t>
      </w:r>
      <w:r>
        <w:rPr>
          <w:rFonts w:hint="eastAsia" w:ascii="宋体" w:hAnsi="宋体" w:cs="宋体"/>
          <w:szCs w:val="21"/>
          <w:highlight w:val="none"/>
          <w:lang w:val="zh-CN"/>
        </w:rPr>
        <w:t xml:space="preserve">《技术规格偏离表》；</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磋商供应商认为需要提供的其他技术资料。</w:t>
      </w:r>
      <w:r>
        <w:rPr>
          <w:highlight w:val="none"/>
        </w:rPr>
      </w:r>
      <w:r/>
    </w:p>
    <w:p>
      <w:pPr>
        <w:ind w:firstLine="420"/>
        <w:jc w:val="left"/>
        <w:spacing w:line="360" w:lineRule="auto"/>
        <w:widowControl/>
        <w:rPr>
          <w:rFonts w:ascii="宋体" w:hAnsi="宋体" w:cs="宋体"/>
          <w:b/>
          <w:szCs w:val="21"/>
          <w:highlight w:val="none"/>
        </w:rPr>
      </w:pPr>
      <w:r>
        <w:rPr>
          <w:rFonts w:hint="eastAsia" w:ascii="宋体" w:hAnsi="宋体" w:cs="宋体"/>
          <w:bCs/>
          <w:szCs w:val="21"/>
          <w:highlight w:val="none"/>
        </w:rPr>
        <w:t xml:space="preserve">10.4</w:t>
      </w:r>
      <w:r>
        <w:rPr>
          <w:rFonts w:hint="eastAsia" w:ascii="宋体" w:hAnsi="宋体" w:cs="宋体"/>
          <w:b/>
          <w:szCs w:val="21"/>
          <w:highlight w:val="none"/>
        </w:rPr>
        <w:t xml:space="preserve"> </w:t>
      </w:r>
      <w:r>
        <w:rPr>
          <w:rFonts w:hint="eastAsia" w:ascii="宋体" w:hAnsi="宋体" w:cs="宋体"/>
          <w:b/>
          <w:szCs w:val="21"/>
          <w:highlight w:val="none"/>
          <w:lang w:val="zh-CN"/>
        </w:rPr>
        <w:t xml:space="preserve">磋商响应文件的价格部分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（1）价格部分是对磋商工程、货物和服务价格构成的说明，每一项仅接受一个价格。</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w:t>
      </w:r>
      <w:r>
        <w:rPr>
          <w:rFonts w:hint="eastAsia" w:ascii="宋体" w:hAnsi="宋体" w:cs="宋体"/>
          <w:b/>
          <w:highlight w:val="none"/>
        </w:rPr>
        <w:t xml:space="preserve">*</w:t>
      </w:r>
      <w:r>
        <w:rPr>
          <w:rFonts w:hint="eastAsia"/>
          <w:szCs w:val="21"/>
          <w:highlight w:val="none"/>
          <w:lang w:val="zh-CN"/>
        </w:rPr>
        <w:t xml:space="preserve">已标价工程量清单，工程量清单投标报价表须加盖</w:t>
      </w:r>
      <w:r>
        <w:rPr>
          <w:rFonts w:hint="eastAsia"/>
          <w:szCs w:val="21"/>
          <w:highlight w:val="none"/>
        </w:rPr>
        <w:t xml:space="preserve">本单位</w:t>
      </w:r>
      <w:r>
        <w:rPr>
          <w:rFonts w:hint="eastAsia"/>
          <w:szCs w:val="21"/>
          <w:highlight w:val="none"/>
          <w:lang w:val="zh-CN"/>
        </w:rPr>
        <w:t xml:space="preserve">造价工程师执业章并签字</w:t>
      </w:r>
      <w:r>
        <w:rPr>
          <w:rFonts w:hint="eastAsia" w:ascii="宋体" w:hAnsi="宋体" w:cs="宋体"/>
          <w:highlight w:val="none"/>
          <w:lang w:val="zh-CN"/>
        </w:rPr>
        <w:t xml:space="preserve">。</w:t>
      </w:r>
      <w:r>
        <w:rPr>
          <w:highlight w:val="none"/>
        </w:rPr>
      </w:r>
      <w:r/>
    </w:p>
    <w:p>
      <w:pPr>
        <w:ind w:firstLine="420"/>
        <w:jc w:val="left"/>
        <w:spacing w:line="360" w:lineRule="auto"/>
        <w:widowControl/>
        <w:rPr>
          <w:rFonts w:ascii="宋体" w:hAnsi="宋体" w:cs="宋体"/>
          <w:bCs/>
          <w:highlight w:val="none"/>
        </w:rPr>
      </w:pPr>
      <w:r>
        <w:rPr>
          <w:rFonts w:hint="eastAsia" w:ascii="宋体" w:hAnsi="宋体" w:cs="宋体"/>
          <w:bCs/>
          <w:highlight w:val="none"/>
          <w:lang w:val="zh-CN"/>
        </w:rPr>
        <w:t xml:space="preserve">（</w:t>
      </w:r>
      <w:r>
        <w:rPr>
          <w:rFonts w:hint="eastAsia" w:ascii="宋体" w:hAnsi="宋体" w:cs="宋体"/>
          <w:bCs/>
          <w:highlight w:val="none"/>
        </w:rPr>
        <w:t xml:space="preserve">4</w:t>
      </w:r>
      <w:r>
        <w:rPr>
          <w:rFonts w:hint="eastAsia" w:ascii="宋体" w:hAnsi="宋体" w:cs="宋体"/>
          <w:bCs/>
          <w:highlight w:val="none"/>
          <w:lang w:val="zh-CN"/>
        </w:rPr>
        <w:t xml:space="preserve">）</w:t>
      </w:r>
      <w:r>
        <w:rPr>
          <w:rFonts w:hint="eastAsia" w:ascii="宋体" w:hAnsi="宋体" w:cs="宋体"/>
          <w:b/>
          <w:highlight w:val="none"/>
        </w:rPr>
        <w:t xml:space="preserve">*</w:t>
      </w:r>
      <w:r>
        <w:rPr>
          <w:rFonts w:hint="eastAsia" w:ascii="宋体" w:hAnsi="宋体" w:cs="宋体"/>
          <w:bCs/>
          <w:highlight w:val="none"/>
        </w:rPr>
        <w:t xml:space="preserve">提供</w:t>
      </w:r>
      <w:r>
        <w:rPr>
          <w:rFonts w:hint="eastAsia" w:ascii="宋体" w:hAnsi="宋体" w:cs="宋体"/>
          <w:bCs/>
          <w:highlight w:val="none"/>
          <w:lang w:val="zh-CN"/>
        </w:rPr>
        <w:t xml:space="preserve">《</w:t>
      </w:r>
      <w:r>
        <w:rPr>
          <w:rFonts w:hint="eastAsia"/>
          <w:szCs w:val="21"/>
          <w:highlight w:val="none"/>
        </w:rPr>
        <w:t xml:space="preserve">投标报价工程量清单</w:t>
      </w:r>
      <w:r>
        <w:rPr>
          <w:rFonts w:hint="eastAsia" w:ascii="宋体" w:hAnsi="宋体" w:cs="宋体"/>
          <w:bCs/>
          <w:highlight w:val="none"/>
        </w:rPr>
        <w:t xml:space="preserve">编制说明</w:t>
      </w:r>
      <w:r>
        <w:rPr>
          <w:rFonts w:hint="eastAsia" w:ascii="宋体" w:hAnsi="宋体" w:cs="宋体"/>
          <w:bCs/>
          <w:highlight w:val="none"/>
          <w:lang w:val="zh-CN"/>
        </w:rPr>
        <w:t xml:space="preserve">》（</w:t>
      </w:r>
      <w:r>
        <w:rPr>
          <w:rFonts w:hint="eastAsia" w:ascii="宋体" w:hAnsi="宋体" w:cs="宋体"/>
          <w:bCs/>
          <w:highlight w:val="none"/>
        </w:rPr>
        <w:t xml:space="preserve">格式自拟并加盖公章</w:t>
      </w:r>
      <w:r>
        <w:rPr>
          <w:rFonts w:hint="eastAsia" w:ascii="宋体" w:hAnsi="宋体" w:cs="宋体"/>
          <w:bCs/>
          <w:highlight w:val="none"/>
          <w:lang w:val="zh-CN"/>
        </w:rPr>
        <w:t xml:space="preserve">）</w:t>
      </w:r>
      <w:r>
        <w:rPr>
          <w:rFonts w:hint="eastAsia" w:ascii="宋体" w:hAnsi="宋体" w:cs="宋体"/>
          <w:bCs/>
          <w:highlight w:val="none"/>
          <w:lang w:val="zh-CN"/>
        </w:rPr>
        <w:t xml:space="preserve">。</w:t>
      </w:r>
      <w:r>
        <w:rPr>
          <w:highlight w:val="none"/>
        </w:rPr>
      </w:r>
      <w:r/>
    </w:p>
    <w:p>
      <w:pPr>
        <w:ind w:firstLine="422"/>
        <w:jc w:val="left"/>
        <w:spacing w:line="360" w:lineRule="auto"/>
        <w:widowControl/>
        <w:rPr>
          <w:rFonts w:ascii="宋体" w:hAnsi="宋体" w:cs="宋体"/>
          <w:b/>
          <w:bCs/>
          <w:szCs w:val="21"/>
          <w:highlight w:val="none"/>
        </w:rPr>
      </w:pPr>
      <w:r>
        <w:rPr>
          <w:rFonts w:hint="eastAsia" w:ascii="宋体" w:hAnsi="宋体" w:cs="宋体"/>
          <w:b/>
          <w:highlight w:val="none"/>
          <w:lang w:val="zh-CN"/>
        </w:rPr>
        <w:t xml:space="preserve">（</w:t>
      </w:r>
      <w:r>
        <w:rPr>
          <w:rFonts w:hint="eastAsia" w:ascii="宋体" w:hAnsi="宋体" w:cs="宋体"/>
          <w:b/>
          <w:highlight w:val="none"/>
        </w:rPr>
        <w:t xml:space="preserve">5</w:t>
      </w:r>
      <w:r>
        <w:rPr>
          <w:rFonts w:hint="eastAsia" w:ascii="宋体" w:hAnsi="宋体" w:cs="宋体"/>
          <w:b/>
          <w:highlight w:val="none"/>
          <w:lang w:val="zh-CN"/>
        </w:rPr>
        <w:t xml:space="preserve">） 本次磋商将采用二轮报价的形式，磋商申请单位需准时参加报价，否则视为放弃报价，做无效响应处理。以供应商的最后报价作为价格评分依据。</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6</w:t>
      </w:r>
      <w:r>
        <w:rPr>
          <w:rFonts w:hint="eastAsia" w:ascii="宋体" w:hAnsi="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7</w:t>
      </w:r>
      <w:r>
        <w:rPr>
          <w:rFonts w:hint="eastAsia" w:ascii="宋体" w:hAnsi="宋体" w:cs="宋体"/>
          <w:highlight w:val="none"/>
          <w:lang w:val="zh-CN"/>
        </w:rPr>
        <w:t xml:space="preserve">）提倡公平竞争，反对盲目压价参与磋商，任何盲目压价和低于成本报价将会被拒绝。</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8</w:t>
      </w:r>
      <w:r>
        <w:rPr>
          <w:rFonts w:hint="eastAsia" w:ascii="宋体" w:hAnsi="宋体" w:cs="宋体"/>
          <w:highlight w:val="none"/>
          <w:lang w:val="zh-CN"/>
        </w:rPr>
        <w:t xml:space="preserve">）供应商报价时应充分考虑所有可能影响到报价的因素，一旦磋商结束最终成交，如发生漏、缺、少项，都将被认为是成交人的报价让利行为，损失自负。</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rPr>
        <w:t xml:space="preserve">11</w:t>
      </w:r>
      <w:r>
        <w:rPr>
          <w:rFonts w:hint="eastAsia" w:ascii="宋体" w:hAnsi="宋体" w:cs="宋体"/>
          <w:b/>
          <w:bCs/>
          <w:highlight w:val="none"/>
          <w:lang w:val="zh-CN"/>
        </w:rPr>
        <w:t xml:space="preserve">、磋商保证金：</w:t>
      </w:r>
      <w:r>
        <w:rPr>
          <w:rFonts w:hint="eastAsia" w:ascii="宋体" w:hAnsi="宋体" w:cs="宋体"/>
          <w:b/>
          <w:bCs/>
          <w:highlight w:val="none"/>
        </w:rPr>
        <w:t xml:space="preserve">本项目不收取磋商保证金。</w:t>
      </w:r>
      <w:r>
        <w:rPr>
          <w:highlight w:val="none"/>
        </w:rPr>
      </w:r>
      <w:r/>
    </w:p>
    <w:p>
      <w:pPr>
        <w:ind w:left="992" w:hanging="567"/>
        <w:jc w:val="center"/>
        <w:spacing w:before="240" w:after="240" w:line="360" w:lineRule="auto"/>
        <w:rPr>
          <w:rFonts w:ascii="宋体" w:hAnsi="宋体" w:cs="宋体"/>
          <w:bCs/>
          <w:sz w:val="28"/>
          <w:highlight w:val="none"/>
          <w:shd w:val="clear" w:color="auto" w:fill="ffffff"/>
        </w:rPr>
        <w:outlineLvl w:val="1"/>
      </w:pPr>
      <w:r>
        <w:rPr>
          <w:highlight w:val="none"/>
        </w:rPr>
      </w:r>
      <w:bookmarkStart w:id="48" w:name="_Toc935"/>
      <w:r>
        <w:rPr>
          <w:highlight w:val="none"/>
        </w:rPr>
      </w:r>
      <w:bookmarkStart w:id="49" w:name="_Toc19358"/>
      <w:r>
        <w:rPr>
          <w:rFonts w:hint="eastAsia" w:ascii="宋体" w:hAnsi="宋体" w:cs="宋体"/>
          <w:sz w:val="28"/>
          <w:highlight w:val="none"/>
        </w:rPr>
        <w:t xml:space="preserve">四</w:t>
      </w:r>
      <w:r>
        <w:rPr>
          <w:rFonts w:hint="eastAsia" w:ascii="宋体" w:hAnsi="宋体" w:cs="宋体"/>
          <w:sz w:val="28"/>
          <w:highlight w:val="none"/>
          <w:lang w:val="zh-CN"/>
        </w:rPr>
        <w:t xml:space="preserve">、磋商响应文件的递交</w:t>
      </w:r>
      <w:bookmarkEnd w:id="48"/>
      <w:r>
        <w:rPr>
          <w:highlight w:val="none"/>
        </w:rPr>
      </w:r>
      <w:bookmarkEnd w:id="49"/>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
          <w:highlight w:val="none"/>
          <w:shd w:val="clear" w:color="auto" w:fill="ffffff"/>
        </w:rPr>
        <w:t xml:space="preserve">12、磋商响应文件的递交</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zh-CN"/>
        </w:rPr>
        <w:t xml:space="preserve">.1 供应商应当按照《操作手册》规定，在磋商公告规定的提交响应文件截止时间前制作并上传电子响应文件。</w:t>
      </w:r>
      <w:r>
        <w:rPr>
          <w:rFonts w:hint="eastAsia" w:ascii="宋体" w:hAnsi="宋体" w:cs="宋体"/>
          <w:color w:val="000000"/>
          <w:szCs w:val="21"/>
          <w:highlight w:val="none"/>
          <w:shd w:val="clear" w:color="auto" w:fill="ffffff"/>
          <w:lang w:bidi="ar"/>
        </w:rPr>
        <w:t xml:space="preserve">成交供应商在领取成交通知书时递交纸质盖章版响应文件一式叁份（壹份正本、贰份副本）、电子版标书一份（U盘形式），用于归档。纸质响应文件须与苏采云提交的电子响应文件保持一致。</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cs="宋体"/>
          <w:highlight w:val="none"/>
        </w:rPr>
        <w:t xml:space="preserve">.2</w:t>
      </w:r>
      <w:r>
        <w:rPr>
          <w:rFonts w:hint="eastAsia" w:ascii="宋体" w:hAnsi="宋体" w:cs="宋体"/>
          <w:highlight w:val="none"/>
          <w:lang w:val="zh-CN"/>
        </w:rPr>
        <w:t xml:space="preserve">条规定做无效响应处理。</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12.</w:t>
      </w:r>
      <w:r>
        <w:rPr>
          <w:rFonts w:hint="eastAsia" w:ascii="宋体" w:hAnsi="宋体" w:cs="宋体"/>
          <w:b/>
          <w:bCs/>
          <w:highlight w:val="none"/>
        </w:rPr>
        <w:t xml:space="preserve">4</w:t>
      </w:r>
      <w:r>
        <w:rPr>
          <w:rFonts w:hint="eastAsia" w:ascii="宋体" w:hAnsi="宋体" w:cs="宋体"/>
          <w:b/>
          <w:bCs/>
          <w:highlight w:val="none"/>
          <w:lang w:val="zh-CN"/>
        </w:rPr>
        <w:t xml:space="preserve"> 有下列情形之一的磋商响应文件将拒收：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（1）在磋商文件要求提交磋商响应文件的截止时间之后上传的任何电子响应文件。</w:t>
      </w:r>
      <w:r>
        <w:rPr>
          <w:highlight w:val="none"/>
        </w:rPr>
      </w:r>
      <w:r/>
    </w:p>
    <w:p>
      <w:pPr>
        <w:ind w:firstLine="420"/>
        <w:spacing w:line="360" w:lineRule="auto"/>
        <w:rPr>
          <w:rFonts w:ascii="宋体" w:hAnsi="宋体" w:cs="宋体"/>
          <w:b/>
          <w:highlight w:val="none"/>
          <w:shd w:val="clear" w:color="auto" w:fill="ffffff"/>
        </w:rPr>
      </w:pPr>
      <w:r>
        <w:rPr>
          <w:rFonts w:hint="eastAsia" w:ascii="宋体" w:hAnsi="宋体" w:cs="宋体"/>
          <w:b/>
          <w:highlight w:val="none"/>
          <w:shd w:val="clear" w:color="auto" w:fill="ffffff"/>
        </w:rPr>
        <w:t xml:space="preserve">13</w:t>
      </w:r>
      <w:r>
        <w:rPr>
          <w:rFonts w:hint="eastAsia" w:ascii="宋体" w:hAnsi="宋体" w:cs="宋体"/>
          <w:b/>
          <w:highlight w:val="none"/>
          <w:shd w:val="clear" w:color="auto" w:fill="ffffff"/>
          <w:lang w:val="zh-CN"/>
        </w:rPr>
        <w:t xml:space="preserve">、响应文件的撤回和修改</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13</w:t>
      </w:r>
      <w:r>
        <w:rPr>
          <w:rFonts w:hint="eastAsia" w:ascii="宋体" w:hAnsi="宋体" w:cs="宋体"/>
          <w:highlight w:val="none"/>
          <w:lang w:val="zh-CN"/>
        </w:rPr>
        <w:t xml:space="preserve">.1 响应文件的撤回</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（1）供应商可在提交响应文件截止时间前撤回其电子响应文件，具体操作方法见《操作手册》。</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（2）供应商撤回电子响应文件，则认为其不再参与本项目磋商活动。</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13</w:t>
      </w:r>
      <w:r>
        <w:rPr>
          <w:rFonts w:hint="eastAsia" w:ascii="宋体" w:hAnsi="宋体" w:cs="宋体"/>
          <w:highlight w:val="none"/>
          <w:lang w:val="zh-CN"/>
        </w:rPr>
        <w:t xml:space="preserve">.2</w:t>
      </w:r>
      <w:r>
        <w:rPr>
          <w:rFonts w:hint="eastAsia" w:ascii="宋体" w:hAnsi="宋体" w:cs="宋体"/>
          <w:highlight w:val="none"/>
        </w:rPr>
        <w:t xml:space="preserve"> </w:t>
      </w:r>
      <w:r>
        <w:rPr>
          <w:rFonts w:hint="eastAsia" w:ascii="宋体" w:hAnsi="宋体" w:cs="宋体"/>
          <w:highlight w:val="none"/>
          <w:lang w:val="zh-CN"/>
        </w:rPr>
        <w:t xml:space="preserve">响应文件的修改</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（1）供应商可在提交响应文件截止时间前对其电子响应文件进行修改，具体操作方法见《操作手册》。</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（2）提交响应文件截止时间之后，供应商不得对其电子响应文件作任何修改。</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13</w:t>
      </w:r>
      <w:r>
        <w:rPr>
          <w:rFonts w:hint="eastAsia" w:ascii="宋体" w:hAnsi="宋体" w:cs="宋体"/>
          <w:highlight w:val="none"/>
          <w:lang w:val="zh-CN"/>
        </w:rPr>
        <w:t xml:space="preserve">.3</w:t>
      </w:r>
      <w:r>
        <w:rPr>
          <w:rFonts w:hint="eastAsia" w:ascii="宋体" w:hAnsi="宋体" w:cs="宋体"/>
          <w:highlight w:val="none"/>
        </w:rPr>
        <w:t xml:space="preserve"> </w:t>
      </w:r>
      <w:r>
        <w:rPr>
          <w:rFonts w:hint="eastAsia" w:ascii="宋体" w:hAnsi="宋体" w:cs="宋体"/>
          <w:highlight w:val="none"/>
          <w:lang w:val="zh-CN"/>
        </w:rPr>
        <w:t xml:space="preserve">在提交响应文件截止时间至磋商文件中规定的磋商有效期满之间的这段时间内，供应商不得撤回其响应文件。</w:t>
      </w:r>
      <w:r>
        <w:rPr>
          <w:highlight w:val="none"/>
        </w:rPr>
      </w:r>
      <w:r/>
    </w:p>
    <w:p>
      <w:pPr>
        <w:ind w:firstLine="420"/>
        <w:spacing w:line="360" w:lineRule="auto"/>
        <w:rPr>
          <w:rFonts w:ascii="宋体" w:hAnsi="宋体" w:cs="宋体"/>
          <w:b/>
          <w:highlight w:val="none"/>
          <w:shd w:val="clear" w:color="auto" w:fill="ffffff"/>
        </w:rPr>
      </w:pPr>
      <w:r>
        <w:rPr>
          <w:rFonts w:hint="eastAsia" w:ascii="宋体" w:hAnsi="宋体" w:cs="宋体"/>
          <w:b/>
          <w:highlight w:val="none"/>
          <w:shd w:val="clear" w:color="auto" w:fill="ffffff"/>
        </w:rPr>
        <w:t xml:space="preserve">14、</w:t>
      </w:r>
      <w:r>
        <w:rPr>
          <w:rFonts w:hint="eastAsia" w:ascii="宋体" w:hAnsi="宋体" w:cs="宋体"/>
          <w:b/>
          <w:highlight w:val="none"/>
          <w:shd w:val="clear" w:color="auto" w:fill="ffffff"/>
          <w:lang w:val="zh-CN"/>
        </w:rPr>
        <w:t xml:space="preserve">响应文件解密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14</w:t>
      </w:r>
      <w:r>
        <w:rPr>
          <w:rFonts w:hint="eastAsia" w:ascii="宋体" w:hAnsi="宋体" w:cs="宋体"/>
          <w:bCs/>
          <w:highlight w:val="none"/>
          <w:shd w:val="clear" w:color="auto" w:fill="ffffff"/>
          <w:lang w:val="zh-CN"/>
        </w:rPr>
        <w:t xml:space="preserve">.1 供应商应当按照《操作手册》规定，在苏采云系统规定的时间内对响应文件进行解密。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highlight w:val="none"/>
        </w:rPr>
      </w:r>
      <w:r/>
    </w:p>
    <w:p>
      <w:pPr>
        <w:ind w:left="992" w:hanging="567"/>
        <w:jc w:val="center"/>
        <w:spacing w:before="240" w:after="240" w:line="360" w:lineRule="auto"/>
        <w:rPr>
          <w:rFonts w:ascii="宋体" w:hAnsi="宋体" w:cs="宋体"/>
          <w:sz w:val="28"/>
          <w:highlight w:val="none"/>
        </w:rPr>
        <w:outlineLvl w:val="1"/>
      </w:pPr>
      <w:r>
        <w:rPr>
          <w:highlight w:val="none"/>
        </w:rPr>
      </w:r>
      <w:bookmarkStart w:id="50" w:name="_Toc19252"/>
      <w:r>
        <w:rPr>
          <w:highlight w:val="none"/>
        </w:rPr>
      </w:r>
      <w:bookmarkStart w:id="51" w:name="_Toc7443"/>
      <w:r>
        <w:rPr>
          <w:rFonts w:hint="eastAsia" w:ascii="宋体" w:hAnsi="宋体" w:cs="宋体"/>
          <w:sz w:val="28"/>
          <w:highlight w:val="none"/>
        </w:rPr>
        <w:t xml:space="preserve">五</w:t>
      </w:r>
      <w:r>
        <w:rPr>
          <w:rFonts w:hint="eastAsia" w:ascii="宋体" w:hAnsi="宋体" w:cs="宋体"/>
          <w:sz w:val="28"/>
          <w:highlight w:val="none"/>
          <w:lang w:val="zh-CN"/>
        </w:rPr>
        <w:t xml:space="preserve">、磋    商</w:t>
      </w:r>
      <w:bookmarkEnd w:id="50"/>
      <w:r>
        <w:rPr>
          <w:highlight w:val="none"/>
        </w:rPr>
      </w:r>
      <w:bookmarkEnd w:id="51"/>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5</w:t>
      </w:r>
      <w:r>
        <w:rPr>
          <w:rFonts w:hint="eastAsia" w:ascii="宋体" w:hAnsi="宋体" w:cs="宋体"/>
          <w:b/>
          <w:bCs/>
          <w:highlight w:val="none"/>
          <w:lang w:val="zh-CN"/>
        </w:rPr>
        <w:t xml:space="preserve">、</w:t>
      </w:r>
      <w:r>
        <w:rPr>
          <w:rFonts w:hint="eastAsia" w:ascii="宋体" w:hAnsi="宋体" w:cs="宋体"/>
          <w:b/>
          <w:szCs w:val="21"/>
          <w:highlight w:val="none"/>
          <w:lang w:bidi="ar"/>
        </w:rPr>
        <w:t xml:space="preserve">磋商组织</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bidi="ar"/>
        </w:rPr>
        <w:t xml:space="preserve">15.1 代理机构</w:t>
      </w:r>
      <w:r>
        <w:rPr>
          <w:rFonts w:hint="eastAsia" w:ascii="宋体" w:hAnsi="宋体" w:cs="宋体"/>
          <w:szCs w:val="21"/>
          <w:highlight w:val="none"/>
          <w:lang w:val="zh-CN" w:bidi="ar"/>
        </w:rPr>
        <w:t xml:space="preserve">将组织磋商小组对响应文件进行评审。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bidi="ar"/>
        </w:rPr>
        <w:t xml:space="preserve">15.2 </w:t>
      </w:r>
      <w:r>
        <w:rPr>
          <w:rFonts w:hint="eastAsia" w:ascii="宋体" w:hAnsi="宋体" w:cs="宋体"/>
          <w:szCs w:val="21"/>
          <w:highlight w:val="none"/>
          <w:lang w:val="zh-CN" w:bidi="ar"/>
        </w:rPr>
        <w:t xml:space="preserve">磋商小组由采购人代表和有关技术、经济等方面的专家组成，且人员构成符合政府采购有关规定。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bidi="ar"/>
        </w:rPr>
        <w:t xml:space="preserve">15.3 “公平、公正、客观、竞争” 为磋商的基本原则，磋商小组将根据这一原则，公正、平等地对待各供应商。</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6</w:t>
      </w:r>
      <w:r>
        <w:rPr>
          <w:rFonts w:hint="eastAsia" w:ascii="宋体" w:hAnsi="宋体" w:cs="宋体"/>
          <w:b/>
          <w:bCs/>
          <w:highlight w:val="none"/>
          <w:lang w:val="zh-CN"/>
        </w:rPr>
        <w:t xml:space="preserve">、评审过程的保密与公正</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6</w:t>
      </w:r>
      <w:r>
        <w:rPr>
          <w:rFonts w:hint="eastAsia" w:ascii="宋体" w:hAnsi="宋体" w:cs="宋体"/>
          <w:highlight w:val="none"/>
          <w:lang w:val="zh-CN"/>
        </w:rPr>
        <w:t xml:space="preserve">.1 磋商小组、采购人和代理机构工作人员、相关监督人员等与评审工作有关的人员，对评审情况以及在评审过程中获悉的国家秘密、商业秘密负有保密责任。</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6</w:t>
      </w:r>
      <w:r>
        <w:rPr>
          <w:rFonts w:hint="eastAsia" w:ascii="宋体" w:hAnsi="宋体" w:cs="宋体"/>
          <w:highlight w:val="none"/>
          <w:lang w:val="zh-CN"/>
        </w:rPr>
        <w:t xml:space="preserve">.2 供应商不得以任何方式影响磋商评审，否则其响应文件将被作为无效响应文件。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6</w:t>
      </w:r>
      <w:r>
        <w:rPr>
          <w:rFonts w:hint="eastAsia" w:ascii="宋体" w:hAnsi="宋体" w:cs="宋体"/>
          <w:highlight w:val="none"/>
          <w:lang w:val="zh-CN"/>
        </w:rPr>
        <w:t xml:space="preserve">.3 代理机构和磋商小组不向未成交的供应商解释未成交原因，也不公布评审过程中的相关细节。</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7</w:t>
      </w:r>
      <w:r>
        <w:rPr>
          <w:rFonts w:hint="eastAsia" w:ascii="宋体" w:hAnsi="宋体" w:cs="宋体"/>
          <w:b/>
          <w:bCs/>
          <w:highlight w:val="none"/>
          <w:lang w:val="zh-CN"/>
        </w:rPr>
        <w:t xml:space="preserve">、评审过程中的澄清</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7</w:t>
      </w:r>
      <w:r>
        <w:rPr>
          <w:rFonts w:hint="eastAsia" w:ascii="宋体" w:hAnsi="宋体" w:cs="宋体"/>
          <w:highlight w:val="none"/>
          <w:lang w:val="zh-CN"/>
        </w:rPr>
        <w:t xml:space="preserve">.1 项目评审期间，磋商小组有权要求供应商对响应文件中含义不明确、同类问题表述不一致或者有明显文字和计算错误的内容等作出必要的澄清、说明或者补正。</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供应商的澄清、说明或者补正不得超出响应文件的范围或者改变响应文件的实质性内容。</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磋商小组并非对每个供应商都作澄清要求。</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7</w:t>
      </w:r>
      <w:r>
        <w:rPr>
          <w:rFonts w:hint="eastAsia" w:ascii="宋体" w:hAnsi="宋体" w:cs="宋体"/>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7</w:t>
      </w:r>
      <w:r>
        <w:rPr>
          <w:rFonts w:hint="eastAsia" w:ascii="宋体" w:hAnsi="宋体" w:cs="宋体"/>
          <w:highlight w:val="none"/>
          <w:lang w:val="zh-CN"/>
        </w:rPr>
        <w:t xml:space="preserve">.3 接到磋商小组澄清、说明和补正要求的供应商如未按规定做出澄清、说明和补正，其风险由供应商自行承担。</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8</w:t>
      </w:r>
      <w:r>
        <w:rPr>
          <w:rFonts w:hint="eastAsia" w:ascii="宋体" w:hAnsi="宋体" w:cs="宋体"/>
          <w:b/>
          <w:bCs/>
          <w:highlight w:val="none"/>
          <w:lang w:val="zh-CN"/>
        </w:rPr>
        <w:t xml:space="preserve">、联合体（本项目不适用）</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.1</w:t>
      </w:r>
      <w:r>
        <w:rPr>
          <w:rFonts w:hint="eastAsia" w:ascii="宋体" w:hAnsi="宋体" w:cs="宋体"/>
          <w:highlight w:val="none"/>
        </w:rPr>
        <w:t xml:space="preserve"> </w:t>
      </w:r>
      <w:r>
        <w:rPr>
          <w:rFonts w:hint="eastAsia" w:ascii="宋体" w:hAnsi="宋体" w:cs="宋体"/>
          <w:highlight w:val="none"/>
          <w:lang w:val="zh-CN"/>
        </w:rPr>
        <w:t xml:space="preserve">两个以上的自然人、法人或者其他组织可以组成一个联合体，以一个供应商的身份共同参加政府采购。</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.2</w:t>
      </w:r>
      <w:r>
        <w:rPr>
          <w:rFonts w:hint="eastAsia" w:ascii="宋体" w:hAnsi="宋体" w:cs="宋体"/>
          <w:highlight w:val="none"/>
        </w:rPr>
        <w:t xml:space="preserve"> </w:t>
      </w:r>
      <w:r>
        <w:rPr>
          <w:rFonts w:hint="eastAsia" w:ascii="宋体" w:hAnsi="宋体" w:cs="宋体"/>
          <w:highlight w:val="none"/>
          <w:lang w:val="zh-CN"/>
        </w:rPr>
        <w:t xml:space="preserve">鼓励大中型企业和其他自然人、法人或者其他组织与小型、微型企业组成联合体共同参加非专门面向中小企业的政府采购活动。</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.3</w:t>
      </w:r>
      <w:r>
        <w:rPr>
          <w:rFonts w:hint="eastAsia" w:ascii="宋体" w:hAnsi="宋体" w:cs="宋体"/>
          <w:highlight w:val="none"/>
        </w:rPr>
        <w:t xml:space="preserve"> </w:t>
      </w:r>
      <w:r>
        <w:rPr>
          <w:rFonts w:hint="eastAsia" w:ascii="宋体" w:hAnsi="宋体" w:cs="宋体"/>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.4联合体各方之间应当签订联合体协议，明确约定联合体各方承担的工作和相应的责任，并将联合体协议连同响应文件一并提交。</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.5以联合体形式参加政府采购活动的，联合体各方不得再单独参加或者与其他供应商另外组成联合体参加同一合同项下的政府采购活动。</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rPr>
        <w:t xml:space="preserve">19、</w:t>
      </w:r>
      <w:r>
        <w:rPr>
          <w:rFonts w:hint="eastAsia" w:ascii="宋体" w:hAnsi="宋体" w:cs="宋体"/>
          <w:b/>
          <w:bCs/>
          <w:highlight w:val="none"/>
          <w:lang w:val="zh-CN"/>
        </w:rPr>
        <w:t xml:space="preserve">响应文件的审查</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.1 响应文件审查分为资格审查和符合性审查。</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w:t>
      </w:r>
      <w:r>
        <w:rPr>
          <w:rFonts w:hint="eastAsia" w:ascii="宋体" w:hAnsi="宋体" w:cs="宋体"/>
          <w:highlight w:val="none"/>
          <w:lang w:val="zh-CN"/>
        </w:rPr>
        <w:t xml:space="preserve">）资格审查。依据法律法规和磋商文件的规定，磋商小组对响应文件中的资格证明文件进行审查，以确定供应商是否具备参加磋商的资格。</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磋商小组进行资格审查时，将在“信用中国”网站（www.creditchina.gov.cn）查询供应商的信用记录，以确定供应商是否具备磋商资格,查询结果留存并归档。</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接受联合体的项目，联合体成员存在不良信用记录的，视同联合体存在不良信用记录。</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）未通过资格审查或符合性审查的供应商，磋商小组将通过苏采云系统告知具体原因，评审结束后将不再接受有关询问。</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highlight w:val="none"/>
        </w:rPr>
      </w:r>
      <w:r/>
    </w:p>
    <w:p>
      <w:pPr>
        <w:ind w:firstLine="420"/>
        <w:spacing w:line="360" w:lineRule="auto"/>
        <w:rPr>
          <w:rFonts w:ascii="宋体" w:hAnsi="宋体" w:cs="宋体"/>
          <w:color w:val="000000"/>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.3 </w:t>
      </w:r>
      <w:r>
        <w:rPr>
          <w:rFonts w:hint="eastAsia" w:ascii="宋体" w:hAnsi="宋体" w:cs="宋体"/>
          <w:b/>
          <w:bCs/>
          <w:highlight w:val="none"/>
        </w:rPr>
        <w:t xml:space="preserve">*</w:t>
      </w:r>
      <w:r>
        <w:rPr>
          <w:rFonts w:hint="eastAsia" w:ascii="宋体" w:hAnsi="宋体" w:cs="宋体"/>
          <w:highlight w:val="none"/>
          <w:lang w:val="zh-CN"/>
        </w:rPr>
        <w:t xml:space="preserve">未实质性响应磋商文件的情形，</w:t>
      </w:r>
      <w:r>
        <w:rPr>
          <w:rFonts w:hint="eastAsia"/>
          <w:color w:val="000000"/>
          <w:szCs w:val="21"/>
          <w:highlight w:val="none"/>
          <w:lang w:val="zh-CN"/>
        </w:rPr>
        <w:t xml:space="preserve">按照无效处理</w:t>
      </w:r>
      <w:r>
        <w:rPr>
          <w:highlight w:val="none"/>
        </w:rPr>
      </w:r>
      <w:r/>
    </w:p>
    <w:p>
      <w:pPr>
        <w:ind w:firstLine="420"/>
        <w:spacing w:line="360" w:lineRule="auto"/>
        <w:rPr>
          <w:rFonts w:ascii="宋体" w:hAnsi="宋体" w:cs="宋体"/>
          <w:color w:val="000000"/>
          <w:highlight w:val="none"/>
        </w:rPr>
      </w:pPr>
      <w:r>
        <w:rPr>
          <w:rFonts w:hint="eastAsia" w:ascii="宋体" w:hAnsi="宋体"/>
          <w:color w:val="000000"/>
          <w:szCs w:val="21"/>
          <w:highlight w:val="none"/>
        </w:rPr>
        <w:t xml:space="preserve">（1）</w:t>
      </w:r>
      <w:r>
        <w:rPr>
          <w:rFonts w:hint="eastAsia" w:ascii="宋体" w:hAnsi="宋体" w:cs="宋体"/>
          <w:color w:val="000000"/>
          <w:highlight w:val="none"/>
          <w:lang w:val="zh-CN"/>
        </w:rPr>
        <w:t xml:space="preserve">供应商在苏采云系统规定的时间内未成功解密电子响应文件。</w:t>
      </w:r>
      <w:r>
        <w:rPr>
          <w:highlight w:val="none"/>
        </w:rPr>
      </w:r>
      <w:r/>
    </w:p>
    <w:p>
      <w:pPr>
        <w:ind w:firstLine="420"/>
        <w:spacing w:line="360" w:lineRule="auto"/>
        <w:rPr>
          <w:rFonts w:ascii="宋体" w:hAnsi="宋体" w:cs="宋体"/>
          <w:color w:val="000000"/>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s="宋体"/>
          <w:color w:val="000000"/>
          <w:highlight w:val="none"/>
          <w:lang w:val="zh-CN"/>
        </w:rPr>
        <w:t xml:space="preserve">供应商未按照磋商文件要求上传电子响应文件。</w:t>
      </w:r>
      <w:r>
        <w:rPr>
          <w:highlight w:val="none"/>
        </w:rPr>
      </w:r>
      <w:r/>
    </w:p>
    <w:p>
      <w:pPr>
        <w:ind w:firstLine="420"/>
        <w:spacing w:line="360" w:lineRule="auto"/>
        <w:rPr>
          <w:rFonts w:ascii="宋体" w:hAnsi="宋体" w:cs="宋体"/>
          <w:color w:val="000000"/>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s="宋体"/>
          <w:color w:val="000000"/>
          <w:highlight w:val="none"/>
          <w:lang w:val="zh-CN"/>
        </w:rPr>
        <w:t xml:space="preserve">同一供应商提交两个（含两个）以上不同的响应文件或者最后报价。</w:t>
      </w:r>
      <w:r>
        <w:rPr>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lang w:val="zh-CN"/>
        </w:rPr>
        <w:t xml:space="preserve">（</w:t>
      </w:r>
      <w:r>
        <w:rPr>
          <w:rFonts w:hint="eastAsia" w:ascii="宋体" w:hAnsi="宋体" w:cs="宋体"/>
          <w:color w:val="000000"/>
          <w:highlight w:val="none"/>
        </w:rPr>
        <w:t xml:space="preserve">4</w:t>
      </w:r>
      <w:r>
        <w:rPr>
          <w:rFonts w:hint="eastAsia" w:ascii="宋体" w:hAnsi="宋体" w:cs="宋体"/>
          <w:color w:val="000000"/>
          <w:highlight w:val="none"/>
          <w:lang w:val="zh-CN"/>
        </w:rPr>
        <w:t xml:space="preserve">）供应商不具备磋商文件中规定</w:t>
      </w:r>
      <w:r>
        <w:rPr>
          <w:rFonts w:hint="eastAsia" w:ascii="宋体" w:hAnsi="宋体" w:cs="宋体"/>
          <w:color w:val="000000"/>
          <w:highlight w:val="none"/>
        </w:rPr>
        <w:t xml:space="preserve">特定</w:t>
      </w:r>
      <w:r>
        <w:rPr>
          <w:rFonts w:hint="eastAsia" w:ascii="宋体" w:hAnsi="宋体" w:cs="宋体"/>
          <w:color w:val="000000"/>
          <w:highlight w:val="none"/>
          <w:lang w:val="zh-CN"/>
        </w:rPr>
        <w:t xml:space="preserve">资格要求。</w:t>
      </w:r>
      <w:r>
        <w:rPr>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lang w:val="zh-CN"/>
        </w:rPr>
        <w:t xml:space="preserve">（</w:t>
      </w:r>
      <w:r>
        <w:rPr>
          <w:rFonts w:hint="eastAsia" w:ascii="宋体" w:hAnsi="宋体" w:cs="宋体"/>
          <w:color w:val="000000"/>
          <w:highlight w:val="none"/>
        </w:rPr>
        <w:t xml:space="preserve">5</w:t>
      </w:r>
      <w:r>
        <w:rPr>
          <w:rFonts w:hint="eastAsia" w:ascii="宋体" w:hAnsi="宋体" w:cs="宋体"/>
          <w:color w:val="000000"/>
          <w:highlight w:val="none"/>
          <w:lang w:val="zh-CN"/>
        </w:rPr>
        <w:t xml:space="preserve">）未提供《南京市政府采购供应商信用记录表暨信用承诺书》。</w:t>
      </w:r>
      <w:r>
        <w:rPr>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lang w:val="zh-CN"/>
        </w:rPr>
        <w:t xml:space="preserve">（</w:t>
      </w:r>
      <w:r>
        <w:rPr>
          <w:rFonts w:hint="eastAsia" w:ascii="宋体" w:hAnsi="宋体" w:cs="宋体"/>
          <w:color w:val="000000"/>
          <w:highlight w:val="none"/>
        </w:rPr>
        <w:t xml:space="preserve">6</w:t>
      </w:r>
      <w:r>
        <w:rPr>
          <w:rFonts w:hint="eastAsia" w:ascii="宋体" w:hAnsi="宋体" w:cs="宋体"/>
          <w:color w:val="000000"/>
          <w:highlight w:val="none"/>
          <w:lang w:val="zh-CN"/>
        </w:rPr>
        <w:t xml:space="preserve">）供应商的报价超过了采购预算或最高限价。</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）不同供应商的响应文件由同一单位或者个人编制</w:t>
      </w:r>
      <w:r>
        <w:rPr>
          <w:rFonts w:hint="eastAsia" w:ascii="宋体" w:hAnsi="宋体"/>
          <w:color w:val="000000"/>
          <w:szCs w:val="21"/>
          <w:highlight w:val="none"/>
        </w:rPr>
        <w:t xml:space="preserve">的。</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t xml:space="preserve">）不同供应商委托同一单位或者个人办理投标事宜</w:t>
      </w:r>
      <w:r>
        <w:rPr>
          <w:rFonts w:hint="eastAsia" w:ascii="宋体" w:hAnsi="宋体"/>
          <w:color w:val="000000"/>
          <w:szCs w:val="21"/>
          <w:highlight w:val="none"/>
        </w:rPr>
        <w:t xml:space="preserve">的。</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（9）不同供应商的ip地址、MAC地址、标书制作工具客户端标识码均一致的；</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t xml:space="preserve">）不同供应商的响应文件载明的项目管理成员</w:t>
      </w:r>
      <w:r>
        <w:rPr>
          <w:rFonts w:hint="eastAsia" w:ascii="宋体" w:hAnsi="宋体" w:cs="宋体"/>
          <w:color w:val="000000"/>
          <w:szCs w:val="21"/>
          <w:highlight w:val="none"/>
        </w:rPr>
        <w:t xml:space="preserve">或者联系人员为同一</w:t>
      </w:r>
      <w:r>
        <w:rPr>
          <w:rFonts w:ascii="宋体" w:hAnsi="宋体"/>
          <w:color w:val="000000"/>
          <w:szCs w:val="21"/>
          <w:highlight w:val="none"/>
        </w:rPr>
        <w:t xml:space="preserve">人；</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t xml:space="preserve">）不同供应商的响应文件异常一致或者投标报价呈规律性差异；</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t xml:space="preserve">）不同供应商的负责人为同一人或者存在控股、管理关系的；</w:t>
      </w:r>
      <w:r>
        <w:rPr>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lang w:val="zh-CN"/>
        </w:rPr>
        <w:t xml:space="preserve">（</w:t>
      </w:r>
      <w:r>
        <w:rPr>
          <w:rFonts w:hint="eastAsia" w:ascii="宋体" w:hAnsi="宋体" w:cs="宋体"/>
          <w:color w:val="000000"/>
          <w:highlight w:val="none"/>
        </w:rPr>
        <w:t xml:space="preserve">13</w:t>
      </w:r>
      <w:r>
        <w:rPr>
          <w:rFonts w:hint="eastAsia" w:ascii="宋体" w:hAnsi="宋体" w:cs="宋体"/>
          <w:color w:val="000000"/>
          <w:highlight w:val="none"/>
          <w:lang w:val="zh-CN"/>
        </w:rPr>
        <w:t xml:space="preserve">）不符合磋商文件中规定的实质性要求和条件（本磋商文件中打“</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”内容、“</w:t>
      </w:r>
      <w:r>
        <w:rPr>
          <w:rFonts w:hint="eastAsia" w:ascii="宋体" w:hAnsi="宋体" w:cs="宋体"/>
          <w:color w:val="000000"/>
          <w:highlight w:val="none"/>
        </w:rPr>
        <w:t xml:space="preserve">须（</w:t>
      </w:r>
      <w:r>
        <w:rPr>
          <w:rFonts w:hint="eastAsia" w:ascii="宋体" w:hAnsi="宋体" w:cs="宋体"/>
          <w:color w:val="000000"/>
          <w:highlight w:val="none"/>
          <w:lang w:val="zh-CN"/>
        </w:rPr>
        <w:t xml:space="preserve">必须</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”或“应（应当）”等其他文字说明的商务和技术要求</w:t>
      </w:r>
      <w:r>
        <w:rPr>
          <w:rFonts w:hint="eastAsia"/>
          <w:color w:val="000000"/>
          <w:szCs w:val="21"/>
          <w:highlight w:val="none"/>
        </w:rPr>
        <w:t xml:space="preserve">以及磋商文件附件中的图纸、工程量清单及清单编制说明</w:t>
      </w:r>
      <w:r>
        <w:rPr>
          <w:rFonts w:hint="eastAsia" w:ascii="宋体" w:hAnsi="宋体" w:cs="宋体"/>
          <w:color w:val="000000"/>
          <w:highlight w:val="none"/>
          <w:lang w:val="zh-CN"/>
        </w:rPr>
        <w:t xml:space="preserve">为实质性要求和条件，包括改变工程量清单子目数量、单位及清单报价漏项、缺失、改变规费、税金项目计价表计算基数等）。</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14</w:t>
      </w:r>
      <w:r>
        <w:rPr>
          <w:rFonts w:hint="eastAsia" w:ascii="宋体" w:hAnsi="宋体" w:cs="宋体"/>
          <w:highlight w:val="none"/>
          <w:lang w:val="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cs="宋体"/>
          <w:highlight w:val="none"/>
        </w:rPr>
        <w:t xml:space="preserve">单价</w:t>
      </w:r>
      <w:r>
        <w:rPr>
          <w:rFonts w:hint="eastAsia" w:ascii="宋体" w:hAnsi="宋体" w:cs="宋体"/>
          <w:highlight w:val="none"/>
          <w:lang w:val="zh-CN"/>
        </w:rPr>
        <w:t xml:space="preserve">措施项目增项除外）。</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15</w:t>
      </w:r>
      <w:r>
        <w:rPr>
          <w:rFonts w:hint="eastAsia" w:ascii="宋体" w:hAnsi="宋体" w:cs="宋体"/>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16</w:t>
      </w:r>
      <w:r>
        <w:rPr>
          <w:rFonts w:hint="eastAsia" w:ascii="宋体" w:hAnsi="宋体" w:cs="宋体"/>
          <w:highlight w:val="none"/>
          <w:lang w:val="zh-CN"/>
        </w:rPr>
        <w:t xml:space="preserve">）响应文件含有采购人不能接受的附加条件。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17</w:t>
      </w:r>
      <w:r>
        <w:rPr>
          <w:rFonts w:hint="eastAsia" w:ascii="宋体" w:hAnsi="宋体" w:cs="宋体"/>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18</w:t>
      </w:r>
      <w:r>
        <w:rPr>
          <w:rFonts w:hint="eastAsia" w:ascii="宋体" w:hAnsi="宋体" w:cs="宋体"/>
          <w:highlight w:val="none"/>
          <w:lang w:val="zh-CN"/>
        </w:rPr>
        <w:t xml:space="preserve">）采购产品被财政部、国家发改委、生态环境部等列入“节能产品品目清单”强制采购范围，而供应商提供的产品不在强制采购范围内。</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19</w:t>
      </w:r>
      <w:r>
        <w:rPr>
          <w:rFonts w:hint="eastAsia" w:ascii="宋体" w:hAnsi="宋体" w:cs="宋体"/>
          <w:highlight w:val="none"/>
          <w:lang w:val="zh-CN"/>
        </w:rPr>
        <w:t xml:space="preserve">）响应文件未按照磋商文件要求</w:t>
      </w:r>
      <w:r>
        <w:rPr>
          <w:rFonts w:hint="eastAsia" w:ascii="宋体" w:hAnsi="宋体" w:cs="宋体"/>
          <w:highlight w:val="none"/>
        </w:rPr>
        <w:t xml:space="preserve">签字或</w:t>
      </w:r>
      <w:r>
        <w:rPr>
          <w:rFonts w:hint="eastAsia" w:ascii="宋体" w:hAnsi="宋体" w:cs="宋体"/>
          <w:highlight w:val="none"/>
          <w:lang w:val="zh-CN"/>
        </w:rPr>
        <w:t xml:space="preserve">加盖公章</w:t>
      </w:r>
      <w:r>
        <w:rPr>
          <w:rFonts w:hint="eastAsia" w:ascii="宋体" w:hAnsi="宋体" w:cs="宋体"/>
          <w:highlight w:val="none"/>
        </w:rPr>
        <w:t xml:space="preserve">、</w:t>
      </w:r>
      <w:r>
        <w:rPr>
          <w:rFonts w:hint="eastAsia" w:ascii="宋体" w:hAnsi="宋体" w:cs="宋体"/>
          <w:highlight w:val="none"/>
          <w:lang w:val="zh-CN"/>
        </w:rPr>
        <w:t xml:space="preserve">执业资格专用章。</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20</w:t>
      </w:r>
      <w:r>
        <w:rPr>
          <w:rFonts w:hint="eastAsia" w:ascii="宋体" w:hAnsi="宋体" w:cs="宋体"/>
          <w:highlight w:val="none"/>
          <w:lang w:val="zh-CN"/>
        </w:rPr>
        <w:t xml:space="preserve">）法律法规及本磋商文件规定的其他无效响应的情形。</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.4 未实质性响应磋商文件的响应文件按无效响应处理。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.5 如果响应文件实质上没有响应磋商文件的要求，磋商小组将予以拒绝，供应商不得通过修改或撤销不合要求的偏离或保留而使其成为实质性响应的文件。</w:t>
      </w:r>
      <w:r>
        <w:rPr>
          <w:highlight w:val="none"/>
        </w:rPr>
      </w:r>
      <w:r/>
    </w:p>
    <w:p>
      <w:pPr>
        <w:ind w:firstLine="420"/>
        <w:spacing w:line="360" w:lineRule="auto"/>
        <w:rPr>
          <w:rFonts w:ascii="仿宋" w:hAnsi="仿宋" w:eastAsia="仿宋" w:cs="仿宋"/>
          <w:color w:val="000000"/>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.6 供应商在项目评审全过程中应保持通讯畅通，及时登录苏采云系统查阅、答复相关信息，并安排专人与代理机构及磋商小组联系。</w:t>
      </w:r>
      <w:r>
        <w:rPr>
          <w:highlight w:val="none"/>
        </w:rPr>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20</w:t>
      </w:r>
      <w:r>
        <w:rPr>
          <w:rFonts w:hint="eastAsia" w:ascii="宋体" w:hAnsi="宋体" w:cs="宋体"/>
          <w:b/>
          <w:szCs w:val="21"/>
          <w:highlight w:val="none"/>
          <w:lang w:val="zh-CN"/>
        </w:rPr>
        <w:t xml:space="preserve">、</w:t>
      </w:r>
      <w:r>
        <w:rPr>
          <w:rFonts w:ascii="宋体" w:hAnsi="宋体" w:cs="宋体"/>
          <w:b/>
          <w:szCs w:val="21"/>
          <w:highlight w:val="none"/>
          <w:lang w:val="zh-CN"/>
        </w:rPr>
        <w:t xml:space="preserve">磋商程序</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highlight w:val="none"/>
        </w:rPr>
      </w:r>
      <w:r/>
    </w:p>
    <w:p>
      <w:pPr>
        <w:ind w:firstLine="420"/>
        <w:spacing w:line="360" w:lineRule="auto"/>
        <w:rPr>
          <w:rFonts w:ascii="宋体" w:hAnsi="宋体" w:cs="宋体"/>
          <w:b/>
          <w:bCs/>
          <w:color w:val="000000"/>
          <w:szCs w:val="21"/>
          <w:highlight w:val="none"/>
        </w:rPr>
      </w:pP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.2 </w:t>
      </w:r>
      <w:r>
        <w:rPr>
          <w:rFonts w:hint="eastAsia" w:ascii="宋体" w:hAnsi="宋体" w:cs="宋体"/>
          <w:b/>
          <w:bCs/>
          <w:color w:val="000000"/>
          <w:szCs w:val="21"/>
          <w:highlight w:val="none"/>
          <w:lang w:val="zh-CN"/>
        </w:rPr>
        <w:t xml:space="preserve">最后报价是供应商响应文件的有效组成部分，最后报价</w:t>
      </w:r>
      <w:r>
        <w:rPr>
          <w:rFonts w:hint="eastAsia" w:ascii="宋体" w:hAnsi="宋体" w:cs="宋体"/>
          <w:b/>
          <w:bCs/>
          <w:color w:val="000000"/>
          <w:szCs w:val="21"/>
          <w:highlight w:val="none"/>
        </w:rPr>
        <w:t xml:space="preserve">不得</w:t>
      </w:r>
      <w:r>
        <w:rPr>
          <w:rFonts w:hint="eastAsia" w:ascii="宋体" w:hAnsi="宋体" w:cs="宋体"/>
          <w:b/>
          <w:bCs/>
          <w:color w:val="000000"/>
          <w:szCs w:val="21"/>
          <w:highlight w:val="none"/>
          <w:lang w:val="zh-CN"/>
        </w:rPr>
        <w:t xml:space="preserve">高于供应商响应文件</w:t>
      </w:r>
      <w:r>
        <w:rPr>
          <w:rFonts w:hint="eastAsia" w:ascii="宋体" w:hAnsi="宋体" w:cs="宋体"/>
          <w:b/>
          <w:bCs/>
          <w:color w:val="000000"/>
          <w:szCs w:val="21"/>
          <w:highlight w:val="none"/>
        </w:rPr>
        <w:t xml:space="preserve">中的</w:t>
      </w:r>
      <w:r>
        <w:rPr>
          <w:rFonts w:hint="eastAsia" w:ascii="宋体" w:hAnsi="宋体" w:cs="宋体"/>
          <w:b/>
          <w:bCs/>
          <w:color w:val="000000"/>
          <w:szCs w:val="21"/>
          <w:highlight w:val="none"/>
          <w:lang w:val="zh-CN"/>
        </w:rPr>
        <w:t xml:space="preserve">首次报价。磋商小组将要求所有实质性响应的供应商在规定时间内</w:t>
      </w:r>
      <w:r>
        <w:rPr>
          <w:rFonts w:hint="eastAsia" w:ascii="宋体" w:hAnsi="宋体" w:cs="宋体"/>
          <w:b/>
          <w:bCs/>
          <w:color w:val="000000"/>
          <w:szCs w:val="21"/>
          <w:highlight w:val="none"/>
        </w:rPr>
        <w:t xml:space="preserve">提交最终报价，要求供应商于苏采云系统中</w:t>
      </w:r>
      <w:r>
        <w:rPr>
          <w:rFonts w:hint="eastAsia" w:ascii="宋体" w:hAnsi="宋体" w:cs="宋体"/>
          <w:b/>
          <w:bCs/>
          <w:color w:val="000000"/>
          <w:szCs w:val="21"/>
          <w:highlight w:val="none"/>
          <w:lang w:val="zh-CN"/>
        </w:rPr>
        <w:t xml:space="preserve">提交最后报价</w:t>
      </w:r>
      <w:r>
        <w:rPr>
          <w:rFonts w:hint="eastAsia" w:ascii="宋体" w:hAnsi="宋体" w:cs="宋体"/>
          <w:b/>
          <w:bCs/>
          <w:color w:val="000000"/>
          <w:szCs w:val="21"/>
          <w:highlight w:val="none"/>
        </w:rPr>
        <w:t xml:space="preserve">及</w:t>
      </w:r>
      <w:r>
        <w:rPr>
          <w:rFonts w:hint="eastAsia" w:ascii="宋体" w:hAnsi="宋体" w:cs="宋体"/>
          <w:b/>
          <w:bCs/>
          <w:color w:val="000000"/>
          <w:szCs w:val="21"/>
          <w:highlight w:val="none"/>
          <w:lang w:val="zh-CN"/>
        </w:rPr>
        <w:t xml:space="preserve">与其最</w:t>
      </w:r>
      <w:r>
        <w:rPr>
          <w:rFonts w:hint="eastAsia" w:ascii="宋体" w:hAnsi="宋体" w:cs="宋体"/>
          <w:b/>
          <w:bCs/>
          <w:color w:val="000000"/>
          <w:szCs w:val="21"/>
          <w:highlight w:val="none"/>
        </w:rPr>
        <w:t xml:space="preserve">后</w:t>
      </w:r>
      <w:r>
        <w:rPr>
          <w:rFonts w:hint="eastAsia" w:ascii="宋体" w:hAnsi="宋体" w:cs="宋体"/>
          <w:b/>
          <w:bCs/>
          <w:color w:val="000000"/>
          <w:szCs w:val="21"/>
          <w:highlight w:val="none"/>
          <w:lang w:val="zh-CN"/>
        </w:rPr>
        <w:t xml:space="preserve">报价金额完全一致的已标价最终报价工程量清单。</w:t>
      </w:r>
      <w:r>
        <w:rPr>
          <w:rFonts w:hint="eastAsia" w:ascii="宋体" w:hAnsi="宋体" w:cs="宋体"/>
          <w:b/>
          <w:bCs/>
          <w:color w:val="000000"/>
          <w:szCs w:val="21"/>
          <w:highlight w:val="none"/>
        </w:rPr>
        <w:t xml:space="preserve">供应商成交后采购人以此</w:t>
      </w:r>
      <w:r>
        <w:rPr>
          <w:rFonts w:hint="eastAsia" w:ascii="宋体" w:hAnsi="宋体" w:cs="宋体"/>
          <w:b/>
          <w:bCs/>
          <w:color w:val="000000"/>
          <w:szCs w:val="21"/>
          <w:highlight w:val="none"/>
          <w:lang w:val="zh-CN"/>
        </w:rPr>
        <w:t xml:space="preserve">已标价最终报价工程量清单</w:t>
      </w:r>
      <w:r>
        <w:rPr>
          <w:rFonts w:hint="eastAsia" w:ascii="宋体" w:hAnsi="宋体" w:cs="宋体"/>
          <w:b/>
          <w:bCs/>
          <w:color w:val="000000"/>
          <w:szCs w:val="21"/>
          <w:highlight w:val="none"/>
        </w:rPr>
        <w:t xml:space="preserve">作为结算依据。</w:t>
      </w:r>
      <w:r>
        <w:rPr>
          <w:highlight w:val="none"/>
        </w:rPr>
      </w:r>
      <w:r/>
    </w:p>
    <w:p>
      <w:pPr>
        <w:ind w:firstLine="42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如</w:t>
      </w:r>
      <w:r>
        <w:rPr>
          <w:rFonts w:hint="eastAsia" w:ascii="宋体" w:hAnsi="宋体" w:cs="宋体"/>
          <w:b/>
          <w:bCs/>
          <w:color w:val="000000"/>
          <w:szCs w:val="21"/>
          <w:highlight w:val="none"/>
          <w:lang w:val="zh-CN"/>
        </w:rPr>
        <w:t xml:space="preserve">供应商未在磋商小组规定的时间内在苏采云系统中提交最后报价</w:t>
      </w:r>
      <w:r>
        <w:rPr>
          <w:rFonts w:hint="eastAsia" w:ascii="宋体" w:hAnsi="宋体" w:cs="宋体"/>
          <w:b/>
          <w:bCs/>
          <w:color w:val="000000"/>
          <w:szCs w:val="21"/>
          <w:highlight w:val="none"/>
        </w:rPr>
        <w:t xml:space="preserve">及</w:t>
      </w:r>
      <w:r>
        <w:rPr>
          <w:rFonts w:hint="eastAsia" w:ascii="宋体" w:hAnsi="宋体" w:cs="宋体"/>
          <w:b/>
          <w:bCs/>
          <w:color w:val="000000"/>
          <w:szCs w:val="21"/>
          <w:highlight w:val="none"/>
          <w:lang w:val="zh-CN"/>
        </w:rPr>
        <w:t xml:space="preserve">与其最</w:t>
      </w:r>
      <w:r>
        <w:rPr>
          <w:rFonts w:hint="eastAsia" w:ascii="宋体" w:hAnsi="宋体" w:cs="宋体"/>
          <w:b/>
          <w:bCs/>
          <w:color w:val="000000"/>
          <w:szCs w:val="21"/>
          <w:highlight w:val="none"/>
        </w:rPr>
        <w:t xml:space="preserve">后</w:t>
      </w:r>
      <w:r>
        <w:rPr>
          <w:rFonts w:hint="eastAsia" w:ascii="宋体" w:hAnsi="宋体" w:cs="宋体"/>
          <w:b/>
          <w:bCs/>
          <w:color w:val="000000"/>
          <w:szCs w:val="21"/>
          <w:highlight w:val="none"/>
          <w:lang w:val="zh-CN"/>
        </w:rPr>
        <w:t xml:space="preserve">报价金额完全一致的已标价最终报价工程量清单的，</w:t>
      </w:r>
      <w:r>
        <w:rPr>
          <w:rFonts w:hint="eastAsia" w:ascii="宋体" w:hAnsi="宋体" w:cs="宋体"/>
          <w:b/>
          <w:bCs/>
          <w:color w:val="000000"/>
          <w:szCs w:val="21"/>
          <w:highlight w:val="none"/>
        </w:rPr>
        <w:t xml:space="preserve">或两者</w:t>
      </w:r>
      <w:r>
        <w:rPr>
          <w:rFonts w:hint="eastAsia" w:ascii="宋体" w:hAnsi="宋体" w:cs="宋体"/>
          <w:b/>
          <w:bCs/>
          <w:color w:val="000000"/>
          <w:szCs w:val="21"/>
          <w:highlight w:val="none"/>
          <w:lang w:val="zh-CN"/>
        </w:rPr>
        <w:t xml:space="preserve">最</w:t>
      </w:r>
      <w:r>
        <w:rPr>
          <w:rFonts w:hint="eastAsia" w:ascii="宋体" w:hAnsi="宋体" w:cs="宋体"/>
          <w:b/>
          <w:bCs/>
          <w:color w:val="000000"/>
          <w:szCs w:val="21"/>
          <w:highlight w:val="none"/>
        </w:rPr>
        <w:t xml:space="preserve">后</w:t>
      </w:r>
      <w:r>
        <w:rPr>
          <w:rFonts w:hint="eastAsia" w:ascii="宋体" w:hAnsi="宋体" w:cs="宋体"/>
          <w:b/>
          <w:bCs/>
          <w:color w:val="000000"/>
          <w:szCs w:val="21"/>
          <w:highlight w:val="none"/>
          <w:lang w:val="zh-CN"/>
        </w:rPr>
        <w:t xml:space="preserve">报价金额</w:t>
      </w:r>
      <w:r>
        <w:rPr>
          <w:rFonts w:hint="eastAsia" w:ascii="宋体" w:hAnsi="宋体" w:cs="宋体"/>
          <w:b/>
          <w:bCs/>
          <w:color w:val="000000"/>
          <w:szCs w:val="21"/>
          <w:highlight w:val="none"/>
        </w:rPr>
        <w:t xml:space="preserve">不一致的，或上述</w:t>
      </w:r>
      <w:r>
        <w:rPr>
          <w:rFonts w:hint="eastAsia" w:ascii="宋体" w:hAnsi="宋体" w:cs="宋体"/>
          <w:b/>
          <w:bCs/>
          <w:color w:val="000000"/>
          <w:szCs w:val="21"/>
          <w:highlight w:val="none"/>
          <w:lang w:val="zh-CN"/>
        </w:rPr>
        <w:t xml:space="preserve">已标价最终报价工程量清单</w:t>
      </w:r>
      <w:r>
        <w:rPr>
          <w:rFonts w:hint="eastAsia" w:ascii="宋体" w:hAnsi="宋体" w:cs="宋体"/>
          <w:b/>
          <w:bCs/>
          <w:color w:val="000000"/>
          <w:szCs w:val="21"/>
          <w:highlight w:val="none"/>
        </w:rPr>
        <w:t xml:space="preserve">未</w:t>
      </w:r>
      <w:r>
        <w:rPr>
          <w:rFonts w:hint="eastAsia" w:ascii="宋体" w:hAnsi="宋体" w:cs="宋体"/>
          <w:b/>
          <w:bCs/>
          <w:color w:val="000000"/>
          <w:szCs w:val="21"/>
          <w:highlight w:val="none"/>
          <w:lang w:val="zh-CN"/>
        </w:rPr>
        <w:t xml:space="preserve">响应采购文件的实质性要求的，则最终报价</w:t>
      </w:r>
      <w:r>
        <w:rPr>
          <w:rFonts w:hint="eastAsia" w:ascii="宋体" w:hAnsi="宋体" w:cs="宋体"/>
          <w:b/>
          <w:bCs/>
          <w:color w:val="000000"/>
          <w:szCs w:val="21"/>
          <w:highlight w:val="none"/>
        </w:rPr>
        <w:t xml:space="preserve">应当</w:t>
      </w:r>
      <w:r>
        <w:rPr>
          <w:rFonts w:hint="eastAsia" w:ascii="宋体" w:hAnsi="宋体" w:cs="宋体"/>
          <w:b/>
          <w:bCs/>
          <w:color w:val="000000"/>
          <w:szCs w:val="21"/>
          <w:highlight w:val="none"/>
          <w:lang w:val="zh-CN"/>
        </w:rPr>
        <w:t xml:space="preserve">视为无效报价，做</w:t>
      </w:r>
      <w:r>
        <w:rPr>
          <w:rFonts w:hint="eastAsia" w:ascii="宋体" w:hAnsi="宋体" w:cs="宋体"/>
          <w:b/>
          <w:bCs/>
          <w:color w:val="000000"/>
          <w:szCs w:val="21"/>
          <w:highlight w:val="none"/>
        </w:rPr>
        <w:t xml:space="preserve">无效响应</w:t>
      </w:r>
      <w:r>
        <w:rPr>
          <w:rFonts w:hint="eastAsia" w:ascii="宋体" w:hAnsi="宋体" w:cs="宋体"/>
          <w:b/>
          <w:bCs/>
          <w:color w:val="000000"/>
          <w:szCs w:val="21"/>
          <w:highlight w:val="none"/>
          <w:lang w:val="zh-CN"/>
        </w:rPr>
        <w:t xml:space="preserve">处理。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.3</w:t>
      </w:r>
      <w:r>
        <w:rPr>
          <w:rFonts w:hint="eastAsia" w:ascii="宋体" w:hAnsi="宋体" w:cs="宋体"/>
          <w:bCs/>
          <w:szCs w:val="21"/>
          <w:highlight w:val="none"/>
        </w:rPr>
        <w:t xml:space="preserve"> </w:t>
      </w:r>
      <w:r>
        <w:rPr>
          <w:rFonts w:hint="eastAsia" w:ascii="宋体" w:hAnsi="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bCs/>
          <w:szCs w:val="21"/>
          <w:highlight w:val="none"/>
        </w:rPr>
        <w:t xml:space="preserve">  </w:t>
      </w:r>
      <w:r>
        <w:rPr>
          <w:highlight w:val="none"/>
        </w:rPr>
      </w:r>
      <w:r/>
    </w:p>
    <w:p>
      <w:pPr>
        <w:ind w:firstLine="420"/>
        <w:spacing w:line="360" w:lineRule="auto"/>
        <w:rPr>
          <w:rFonts w:ascii="宋体" w:hAnsi="宋体" w:cs="宋体"/>
          <w:b/>
          <w:szCs w:val="21"/>
          <w:highlight w:val="none"/>
        </w:rPr>
      </w:pPr>
      <w:r>
        <w:rPr>
          <w:rFonts w:hint="eastAsia" w:ascii="宋体" w:hAnsi="宋体" w:cs="宋体"/>
          <w:bCs/>
          <w:szCs w:val="21"/>
          <w:highlight w:val="none"/>
        </w:rPr>
        <w:t xml:space="preserve">20.5 </w:t>
      </w:r>
      <w:r>
        <w:rPr>
          <w:rFonts w:hint="eastAsia" w:ascii="宋体" w:hAnsi="宋体" w:cs="宋体"/>
          <w:b/>
          <w:szCs w:val="21"/>
          <w:highlight w:val="none"/>
          <w:lang w:val="zh-CN"/>
        </w:rPr>
        <w:t xml:space="preserve">本项目执行财库〔2026〕2号《关于推动解决政府采购异常低价问题相关工作的通知》的相关规定。</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20.5.1 评审中出现下列情形之一的，评审委员会应当启动异常低价投标（响应）审查程序：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（1）投标（响应）报价低于全部通过符合性审查供应商投标（响应）报价平均值50%的，即投标（响应）报价&lt;全部通过符合性审查供应商投标（响应）报价平均值×50%；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（2）投标（响应）报价低于通过符合性审查的次低报价供应商投标（响应）报价50%的，即投标（响应）报价&lt;通过符合性审查的次低报价供应商投标（响应）报价×50%；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（3）投标（响应）报价低于采购项目最高限价65%的，即投标（响应）报价&lt;采购项目最高限价×65%；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（4）评审委员会基于专业判断，认为供应商报价过低，有可能影响产品质量或者不能诚信履约的其他情形。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相关法律法规对供应商报价有规定的，从其规定。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20.5.2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cs="宋体"/>
          <w:highlight w:val="none"/>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highlight w:val="none"/>
        </w:rPr>
        <w:t xml:space="preserve">等。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rPr>
        <w:t xml:space="preserve">21、评审方法和标准。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bCs/>
          <w:szCs w:val="21"/>
          <w:highlight w:val="none"/>
          <w:lang w:val="zh-CN"/>
        </w:rPr>
        <w:t xml:space="preserve">1 评审方法。经磋商确定最终采购需求和提交最后报价的供应商后，由磋商小组采用综合评分法对提交最后报价的供应商的响应文件和最后报价进行综合评分。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bCs/>
          <w:szCs w:val="21"/>
          <w:highlight w:val="none"/>
          <w:lang w:val="zh-CN"/>
        </w:rPr>
        <w:t xml:space="preserve">.2 评审标准：见本磋商文件第</w:t>
      </w:r>
      <w:r>
        <w:rPr>
          <w:rFonts w:hint="eastAsia" w:ascii="宋体" w:hAnsi="宋体" w:cs="宋体"/>
          <w:bCs/>
          <w:szCs w:val="21"/>
          <w:highlight w:val="none"/>
        </w:rPr>
        <w:t xml:space="preserve">三</w:t>
      </w:r>
      <w:r>
        <w:rPr>
          <w:rFonts w:hint="eastAsia" w:ascii="宋体" w:hAnsi="宋体" w:cs="宋体"/>
          <w:bCs/>
          <w:szCs w:val="21"/>
          <w:highlight w:val="none"/>
          <w:lang w:val="zh-CN"/>
        </w:rPr>
        <w:t xml:space="preserve">章。</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rPr>
        <w:t xml:space="preserve">21.3 出现下列情形之一的，磋商终止</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（1）因情况变化，不再符合规定的竞争性磋商采购方式适用情形的；</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）在苏采云系统规定时间内成功解密电子响应文件的供应商不足3家；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w:t>
      </w:r>
      <w:r>
        <w:rPr>
          <w:rFonts w:hint="eastAsia" w:ascii="宋体" w:hAnsi="宋体" w:cs="宋体"/>
          <w:highlight w:val="none"/>
        </w:rPr>
        <w:t xml:space="preserve">除本采购文件第二章第20.3条规定的情形外，磋商过程中符合要求的供应商或者提交最后报价且未超过最高限价的供应商不足三家</w:t>
      </w:r>
      <w:r>
        <w:rPr>
          <w:rFonts w:hint="eastAsia" w:ascii="宋体" w:hAnsi="宋体" w:cs="宋体"/>
          <w:highlight w:val="none"/>
          <w:lang w:val="zh-CN"/>
        </w:rPr>
        <w:t xml:space="preserve">；</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highlight w:val="none"/>
          <w:lang w:val="zh-CN"/>
        </w:rPr>
        <w:t xml:space="preserve">）出现影响采购公正的违法、违规行为的；</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5</w:t>
      </w:r>
      <w:r>
        <w:rPr>
          <w:rFonts w:hint="eastAsia" w:ascii="宋体" w:hAnsi="宋体" w:cs="宋体"/>
          <w:highlight w:val="none"/>
          <w:lang w:val="zh-CN"/>
        </w:rPr>
        <w:t xml:space="preserve">）因重大变故，采购任务取消的；</w:t>
      </w:r>
      <w:r>
        <w:rPr>
          <w:highlight w:val="none"/>
        </w:rPr>
      </w:r>
      <w:r/>
    </w:p>
    <w:p>
      <w:pPr>
        <w:ind w:firstLine="420"/>
        <w:spacing w:line="360" w:lineRule="auto"/>
        <w:rPr>
          <w:highlight w:val="none"/>
        </w:rPr>
      </w:pPr>
      <w:r>
        <w:rPr>
          <w:rFonts w:hint="eastAsia" w:ascii="宋体" w:hAnsi="宋体" w:cs="宋体"/>
          <w:highlight w:val="none"/>
          <w:lang w:val="zh-CN"/>
        </w:rPr>
        <w:t xml:space="preserve">（</w:t>
      </w:r>
      <w:r>
        <w:rPr>
          <w:rFonts w:hint="eastAsia" w:ascii="宋体" w:hAnsi="宋体" w:cs="宋体"/>
          <w:highlight w:val="none"/>
        </w:rPr>
        <w:t xml:space="preserve">6</w:t>
      </w:r>
      <w:r>
        <w:rPr>
          <w:rFonts w:hint="eastAsia" w:ascii="宋体" w:hAnsi="宋体" w:cs="宋体"/>
          <w:highlight w:val="none"/>
          <w:lang w:val="zh-CN"/>
        </w:rPr>
        <w:t xml:space="preserve">）法律法规规定的其他应当终止情形。</w:t>
      </w:r>
      <w:r>
        <w:rPr>
          <w:highlight w:val="none"/>
        </w:rPr>
      </w:r>
      <w:r/>
    </w:p>
    <w:p>
      <w:pPr>
        <w:ind w:left="992" w:hanging="567"/>
        <w:jc w:val="center"/>
        <w:spacing w:before="240" w:after="240" w:line="360" w:lineRule="auto"/>
        <w:rPr>
          <w:rFonts w:ascii="宋体" w:hAnsi="宋体" w:cs="宋体"/>
          <w:sz w:val="28"/>
          <w:highlight w:val="none"/>
        </w:rPr>
        <w:outlineLvl w:val="1"/>
      </w:pPr>
      <w:r>
        <w:rPr>
          <w:highlight w:val="none"/>
        </w:rPr>
      </w:r>
      <w:bookmarkStart w:id="52" w:name="_Toc10571"/>
      <w:r>
        <w:rPr>
          <w:highlight w:val="none"/>
        </w:rPr>
      </w:r>
      <w:bookmarkStart w:id="53" w:name="_Toc21185"/>
      <w:r>
        <w:rPr>
          <w:rFonts w:hint="eastAsia" w:ascii="宋体" w:hAnsi="宋体" w:cs="宋体"/>
          <w:sz w:val="28"/>
          <w:highlight w:val="none"/>
        </w:rPr>
        <w:t xml:space="preserve">六、成    交</w:t>
      </w:r>
      <w:bookmarkEnd w:id="52"/>
      <w:r>
        <w:rPr>
          <w:highlight w:val="none"/>
        </w:rPr>
      </w:r>
      <w:bookmarkEnd w:id="53"/>
      <w:r>
        <w:rPr>
          <w:highlight w:val="none"/>
        </w:rPr>
      </w:r>
      <w:r/>
    </w:p>
    <w:p>
      <w:pPr>
        <w:ind w:firstLine="420"/>
        <w:spacing w:line="360" w:lineRule="auto"/>
        <w:rPr>
          <w:rFonts w:ascii="宋体" w:hAnsi="宋体" w:cs="宋体"/>
          <w:b/>
          <w:szCs w:val="21"/>
          <w:highlight w:val="none"/>
        </w:rPr>
      </w:pPr>
      <w:r>
        <w:rPr>
          <w:rFonts w:hint="eastAsia" w:ascii="宋体" w:hAnsi="宋体" w:cs="宋体"/>
          <w:b/>
          <w:bCs/>
          <w:highlight w:val="none"/>
        </w:rPr>
        <w:t xml:space="preserve">22、</w:t>
      </w:r>
      <w:r>
        <w:rPr>
          <w:rFonts w:hint="eastAsia" w:ascii="宋体" w:hAnsi="宋体" w:cs="宋体"/>
          <w:b/>
          <w:szCs w:val="21"/>
          <w:highlight w:val="none"/>
          <w:lang w:bidi="ar"/>
        </w:rPr>
        <w:t xml:space="preserve">确定成交供应商</w:t>
      </w:r>
      <w:r>
        <w:rPr>
          <w:highlight w:val="none"/>
        </w:rPr>
      </w:r>
      <w:r/>
    </w:p>
    <w:p>
      <w:pPr>
        <w:ind w:firstLine="420"/>
        <w:spacing w:line="360" w:lineRule="auto"/>
        <w:rPr>
          <w:rFonts w:ascii="宋体" w:hAnsi="宋体" w:cs="宋体"/>
          <w:szCs w:val="21"/>
          <w:highlight w:val="none"/>
        </w:rPr>
      </w:pPr>
      <w:r>
        <w:rPr>
          <w:rFonts w:hint="eastAsia" w:ascii="宋体" w:hAnsi="宋体" w:cs="宋体"/>
          <w:highlight w:val="none"/>
        </w:rPr>
        <w:t xml:space="preserve">22.1 </w:t>
      </w:r>
      <w:r>
        <w:rPr>
          <w:rFonts w:hint="eastAsia" w:ascii="宋体" w:hAnsi="宋体" w:cs="宋体"/>
          <w:highlight w:val="none"/>
          <w:lang w:val="zh-CN"/>
        </w:rPr>
        <w:t xml:space="preserve">磋商小组对均能满足采购文件实质性要求的供应商，</w:t>
      </w:r>
      <w:r>
        <w:rPr>
          <w:rFonts w:ascii="宋体" w:hAnsi="宋体"/>
          <w:szCs w:val="21"/>
          <w:highlight w:val="none"/>
          <w:lang w:val="zh-CN"/>
        </w:rPr>
        <w:t xml:space="preserve">综合比较与评价后按照得分高低顺序对供应商进行排列。</w:t>
      </w:r>
      <w:r>
        <w:rPr>
          <w:rFonts w:ascii="宋体" w:hAnsi="宋体"/>
          <w:szCs w:val="21"/>
          <w:highlight w:val="none"/>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highlight w:val="none"/>
          <w:lang w:val="zh-CN"/>
        </w:rPr>
        <w:t xml:space="preserve">工程、货物和服务</w:t>
      </w:r>
      <w:r>
        <w:rPr>
          <w:rFonts w:ascii="宋体" w:hAnsi="宋体"/>
          <w:szCs w:val="21"/>
          <w:highlight w:val="none"/>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cs="宋体"/>
          <w:szCs w:val="21"/>
          <w:highlight w:val="none"/>
          <w:lang w:val="zh-CN"/>
        </w:rPr>
        <w:t xml:space="preserve">磋商小组将综合排名前三名的供应商确定为成交候选供应商。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lang w:val="zh-CN"/>
        </w:rPr>
        <w:t xml:space="preserve">2 按以下第（2）种方式确定成交供应商；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（1）磋商小组直接确定排名第一的成交候选人为成交供应商；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（2）采购人在磋商小组推荐的成交候选人中按顺序确定成交供应商。</w:t>
      </w:r>
      <w:r>
        <w:rPr>
          <w:highlight w:val="none"/>
        </w:rPr>
      </w:r>
      <w:r/>
    </w:p>
    <w:p>
      <w:pPr>
        <w:ind w:firstLine="420"/>
        <w:spacing w:line="360" w:lineRule="auto"/>
        <w:rPr>
          <w:rFonts w:ascii="宋体" w:hAnsi="宋体"/>
          <w:szCs w:val="21"/>
          <w:highlight w:val="none"/>
        </w:rPr>
      </w:pPr>
      <w:r>
        <w:rPr>
          <w:rFonts w:hint="eastAsia" w:ascii="宋体" w:hAnsi="宋体" w:cs="宋体"/>
          <w:szCs w:val="21"/>
          <w:highlight w:val="none"/>
          <w:lang w:val="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22.3</w:t>
      </w:r>
      <w:r>
        <w:rPr>
          <w:rFonts w:hint="eastAsia" w:ascii="宋体" w:hAnsi="宋体" w:cs="宋体"/>
          <w:szCs w:val="21"/>
          <w:highlight w:val="none"/>
          <w:lang w:val="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22.4 若有充分证据证明成交供应商有下列情况之一的，一经查实将被取消成交资格：</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（1）提供虚假材料谋取成交。</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（2）与评审专家、采购人、其他供应商或者代理机构工作人员恶意串通。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（3）向评审专家、采购人或代理机构工作人员行贿或者提供其他不正当利益。</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（4）不满足本磋商文件规定的实质性要求，但在评审过程中未被磋商小组发现。</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（5）成交后无正当理由拒不与采购人签订政府采购合同或者未按照磋商文件确定的事项签订政府采购合同。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（6）将合同标的转包。</w:t>
      </w:r>
      <w:r>
        <w:rPr>
          <w:highlight w:val="none"/>
        </w:rPr>
      </w:r>
      <w:r/>
    </w:p>
    <w:p>
      <w:pPr>
        <w:ind w:firstLine="413"/>
        <w:spacing w:line="360" w:lineRule="auto"/>
        <w:rPr>
          <w:rFonts w:ascii="宋体" w:hAnsi="宋体" w:cs="宋体"/>
          <w:b/>
          <w:bCs/>
          <w:highlight w:val="none"/>
        </w:rPr>
      </w:pPr>
      <w:r>
        <w:rPr>
          <w:rFonts w:hint="eastAsia" w:ascii="宋体" w:hAnsi="宋体" w:cs="宋体"/>
          <w:b/>
          <w:bCs/>
          <w:highlight w:val="none"/>
        </w:rPr>
        <w:t xml:space="preserve">23、</w:t>
      </w:r>
      <w:r>
        <w:rPr>
          <w:rFonts w:hint="eastAsia" w:ascii="宋体" w:hAnsi="宋体" w:cs="宋体"/>
          <w:b/>
          <w:bCs/>
          <w:highlight w:val="none"/>
          <w:lang w:val="zh-CN"/>
        </w:rPr>
        <w:t xml:space="preserve">成交通知书</w:t>
      </w:r>
      <w:r>
        <w:rPr>
          <w:highlight w:val="none"/>
        </w:rPr>
      </w:r>
      <w:r/>
    </w:p>
    <w:p>
      <w:pPr>
        <w:ind w:firstLine="420"/>
        <w:spacing w:line="360" w:lineRule="auto"/>
        <w:rPr>
          <w:rFonts w:ascii="宋体" w:hAnsi="宋体" w:cs="宋体"/>
          <w:highlight w:val="none"/>
        </w:rPr>
      </w:pPr>
      <w:r>
        <w:rPr>
          <w:rFonts w:hint="eastAsia" w:ascii="宋体" w:hAnsi="宋体" w:cs="宋体"/>
          <w:szCs w:val="21"/>
          <w:highlight w:val="none"/>
        </w:rPr>
        <w:t xml:space="preserve">23.</w:t>
      </w:r>
      <w:r>
        <w:rPr>
          <w:rFonts w:hint="eastAsia" w:ascii="宋体" w:hAnsi="宋体" w:cs="宋体"/>
          <w:highlight w:val="none"/>
        </w:rPr>
        <w:t xml:space="preserve">1 供应商在中标(成交)后，</w:t>
      </w:r>
      <w:r>
        <w:rPr>
          <w:rFonts w:hint="eastAsia" w:ascii="宋体" w:hAnsi="宋体" w:cs="宋体"/>
          <w:color w:val="000000"/>
          <w:szCs w:val="21"/>
          <w:highlight w:val="none"/>
          <w:shd w:val="clear" w:color="auto" w:fill="ffffff"/>
          <w:lang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cs="宋体"/>
          <w:highlight w:val="none"/>
        </w:rPr>
        <w:t xml:space="preserve">。经核验无误后，由采购人或采购代理机构发出中标(成交)通知书。</w:t>
      </w:r>
      <w:r>
        <w:rPr>
          <w:highlight w:val="none"/>
        </w:rPr>
      </w:r>
      <w:r/>
    </w:p>
    <w:p>
      <w:pPr>
        <w:ind w:firstLine="420"/>
        <w:spacing w:line="360" w:lineRule="auto"/>
        <w:rPr>
          <w:rFonts w:ascii="宋体" w:hAnsi="宋体" w:cs="宋体"/>
          <w:b/>
          <w:bCs/>
          <w:highlight w:val="none"/>
        </w:rPr>
      </w:pPr>
      <w:r>
        <w:rPr>
          <w:rFonts w:hint="eastAsia" w:ascii="宋体" w:hAnsi="宋体" w:cs="宋体"/>
          <w:szCs w:val="21"/>
          <w:highlight w:val="none"/>
        </w:rPr>
        <w:t xml:space="preserve">23.2 成交供应商确定后将在</w:t>
      </w:r>
      <w:r>
        <w:rPr>
          <w:rFonts w:hint="eastAsia" w:ascii="宋体" w:hAnsi="宋体" w:cs="宋体"/>
          <w:szCs w:val="21"/>
          <w:highlight w:val="none"/>
          <w:lang w:val="zh-CN"/>
        </w:rPr>
        <w:t xml:space="preserve">原采购公告发布媒体上</w:t>
      </w:r>
      <w:r>
        <w:rPr>
          <w:rFonts w:hint="eastAsia" w:ascii="宋体" w:hAnsi="宋体" w:cs="宋体"/>
          <w:szCs w:val="21"/>
          <w:highlight w:val="none"/>
        </w:rPr>
        <w:t xml:space="preserve">进行公示，并同时向成交供应商发出成交通知书。成交通知书对采购人和成交供应商具有同等法律效力。</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 在投标有效期期满之前,采购单位将以书面形式通知成交供应商，并确认其磋商响应已被接受。</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b/>
          <w:bCs/>
          <w:highlight w:val="none"/>
          <w:lang w:val="zh-CN"/>
        </w:rPr>
        <w:t xml:space="preserve"> </w:t>
      </w:r>
      <w:r>
        <w:rPr>
          <w:rFonts w:hint="eastAsia" w:ascii="宋体" w:hAnsi="宋体" w:cs="宋体"/>
          <w:highlight w:val="none"/>
          <w:lang w:val="zh-CN"/>
        </w:rPr>
        <w:t xml:space="preserve">成交通知书将是合同的</w:t>
      </w:r>
      <w:r>
        <w:rPr>
          <w:rFonts w:hint="eastAsia" w:ascii="宋体" w:hAnsi="宋体" w:cs="宋体"/>
          <w:highlight w:val="none"/>
        </w:rPr>
        <w:t xml:space="preserve">依据和</w:t>
      </w:r>
      <w:r>
        <w:rPr>
          <w:rFonts w:hint="eastAsia" w:ascii="宋体" w:hAnsi="宋体" w:cs="宋体"/>
          <w:highlight w:val="none"/>
          <w:lang w:val="zh-CN"/>
        </w:rPr>
        <w:t xml:space="preserve">组成部分。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
          <w:highlight w:val="none"/>
          <w:shd w:val="clear" w:color="auto" w:fill="ffffff"/>
        </w:rPr>
        <w:t xml:space="preserve">24、签订合同</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24.1 成交供应商应当自成交通知书发出之日起三十日内，与采购单位签订采购合同，所签订的合同不得对磋商文件和磋商响应文件作实质性修改。</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24.2 采购单位不得向成交供应商提出任何不合理的要求作为签订合同的条件，不得与成交供应商私下订立背离合同实质性内容的协议。</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24.3 </w:t>
      </w:r>
      <w:r>
        <w:rPr>
          <w:rFonts w:hint="eastAsia" w:ascii="宋体" w:hAnsi="宋体" w:cs="宋体"/>
          <w:bCs/>
          <w:highlight w:val="none"/>
          <w:shd w:val="clear" w:color="auto" w:fill="ffffff"/>
          <w:lang w:val="zh-CN"/>
        </w:rPr>
        <w:t xml:space="preserve">成交供应商</w:t>
      </w:r>
      <w:r>
        <w:rPr>
          <w:rFonts w:hint="eastAsia" w:ascii="宋体" w:hAnsi="宋体" w:cs="宋体"/>
          <w:bCs/>
          <w:highlight w:val="none"/>
          <w:shd w:val="clear" w:color="auto" w:fill="ffffff"/>
        </w:rPr>
        <w:t xml:space="preserve">拒绝签订政府采购合同的</w:t>
      </w:r>
      <w:r>
        <w:rPr>
          <w:rFonts w:hint="eastAsia" w:ascii="宋体" w:hAnsi="宋体" w:cs="宋体"/>
          <w:bCs/>
          <w:highlight w:val="none"/>
          <w:shd w:val="clear" w:color="auto" w:fill="ffffff"/>
          <w:lang w:val="zh-CN"/>
        </w:rPr>
        <w:t xml:space="preserve">，采购人可以按照《</w:t>
      </w:r>
      <w:r>
        <w:rPr>
          <w:rFonts w:hint="eastAsia" w:ascii="宋体" w:hAnsi="宋体" w:cs="宋体"/>
          <w:bCs/>
          <w:highlight w:val="none"/>
          <w:shd w:val="clear" w:color="auto" w:fill="ffffff"/>
        </w:rPr>
        <w:t xml:space="preserve">政府采购竞争性磋商采购方式管理暂行办法</w:t>
      </w:r>
      <w:r>
        <w:rPr>
          <w:rFonts w:hint="eastAsia" w:ascii="宋体" w:hAnsi="宋体" w:cs="宋体"/>
          <w:bCs/>
          <w:highlight w:val="none"/>
          <w:shd w:val="clear" w:color="auto" w:fill="ffffff"/>
          <w:lang w:val="zh-CN"/>
        </w:rPr>
        <w:t xml:space="preserve">》第</w:t>
      </w:r>
      <w:r>
        <w:rPr>
          <w:rFonts w:hint="eastAsia" w:ascii="宋体" w:hAnsi="宋体" w:cs="宋体"/>
          <w:bCs/>
          <w:highlight w:val="none"/>
          <w:shd w:val="clear" w:color="auto" w:fill="ffffff"/>
        </w:rPr>
        <w:t xml:space="preserve">三</w:t>
      </w:r>
      <w:r>
        <w:rPr>
          <w:rFonts w:hint="eastAsia" w:ascii="宋体" w:hAnsi="宋体" w:cs="宋体"/>
          <w:bCs/>
          <w:highlight w:val="none"/>
          <w:shd w:val="clear" w:color="auto" w:fill="ffffff"/>
          <w:lang w:val="zh-CN"/>
        </w:rPr>
        <w:t xml:space="preserve">十</w:t>
      </w:r>
      <w:r>
        <w:rPr>
          <w:rFonts w:hint="eastAsia" w:ascii="宋体" w:hAnsi="宋体" w:cs="宋体"/>
          <w:bCs/>
          <w:highlight w:val="none"/>
          <w:shd w:val="clear" w:color="auto" w:fill="ffffff"/>
        </w:rPr>
        <w:t xml:space="preserve">三</w:t>
      </w:r>
      <w:r>
        <w:rPr>
          <w:rFonts w:hint="eastAsia" w:ascii="宋体" w:hAnsi="宋体" w:cs="宋体"/>
          <w:bCs/>
          <w:highlight w:val="none"/>
          <w:shd w:val="clear" w:color="auto" w:fill="ffffff"/>
          <w:lang w:val="zh-CN"/>
        </w:rPr>
        <w:t xml:space="preserve">条规定的原则</w:t>
      </w:r>
      <w:r>
        <w:rPr>
          <w:rFonts w:hint="eastAsia" w:ascii="宋体" w:hAnsi="宋体" w:cs="宋体"/>
          <w:bCs/>
          <w:highlight w:val="none"/>
          <w:shd w:val="clear" w:color="auto" w:fill="ffffff"/>
        </w:rPr>
        <w:t xml:space="preserve">视情与排位在成交供应商之后第一位的成交候选供应商签订政府采购合同</w:t>
      </w:r>
      <w:r>
        <w:rPr>
          <w:rFonts w:hint="eastAsia" w:ascii="宋体" w:hAnsi="宋体" w:cs="宋体"/>
          <w:bCs/>
          <w:highlight w:val="none"/>
          <w:shd w:val="clear" w:color="auto" w:fill="ffffff"/>
          <w:lang w:val="zh-CN"/>
        </w:rPr>
        <w:t xml:space="preserve">，也可以重新开展采购活动。</w:t>
      </w:r>
      <w:r>
        <w:rPr>
          <w:rFonts w:hint="eastAsia" w:ascii="宋体" w:hAnsi="宋体" w:cs="宋体"/>
          <w:bCs/>
          <w:highlight w:val="none"/>
          <w:shd w:val="clear" w:color="auto" w:fill="ffffff"/>
        </w:rPr>
        <w:t xml:space="preserve">放弃或</w:t>
      </w:r>
      <w:r>
        <w:rPr>
          <w:rFonts w:hint="eastAsia" w:ascii="宋体" w:hAnsi="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24.4 成交供应商因不可抗力或者自身原因不能履行采购合同的，</w:t>
      </w:r>
      <w:r>
        <w:rPr>
          <w:rFonts w:hint="eastAsia" w:ascii="宋体" w:hAnsi="宋体" w:cs="宋体"/>
          <w:bCs/>
          <w:highlight w:val="none"/>
          <w:shd w:val="clear" w:color="auto" w:fill="ffffff"/>
          <w:lang w:val="zh-CN"/>
        </w:rPr>
        <w:t xml:space="preserve">采购人可以按照《</w:t>
      </w:r>
      <w:r>
        <w:rPr>
          <w:rFonts w:hint="eastAsia" w:ascii="宋体" w:hAnsi="宋体" w:cs="宋体"/>
          <w:bCs/>
          <w:highlight w:val="none"/>
          <w:shd w:val="clear" w:color="auto" w:fill="ffffff"/>
        </w:rPr>
        <w:t xml:space="preserve">政府采购竞争性磋商采购方式管理暂行办法</w:t>
      </w:r>
      <w:r>
        <w:rPr>
          <w:rFonts w:hint="eastAsia" w:ascii="宋体" w:hAnsi="宋体" w:cs="宋体"/>
          <w:bCs/>
          <w:highlight w:val="none"/>
          <w:shd w:val="clear" w:color="auto" w:fill="ffffff"/>
          <w:lang w:val="zh-CN"/>
        </w:rPr>
        <w:t xml:space="preserve">》第</w:t>
      </w:r>
      <w:r>
        <w:rPr>
          <w:rFonts w:hint="eastAsia" w:ascii="宋体" w:hAnsi="宋体" w:cs="宋体"/>
          <w:bCs/>
          <w:highlight w:val="none"/>
          <w:shd w:val="clear" w:color="auto" w:fill="ffffff"/>
        </w:rPr>
        <w:t xml:space="preserve">三</w:t>
      </w:r>
      <w:r>
        <w:rPr>
          <w:rFonts w:hint="eastAsia" w:ascii="宋体" w:hAnsi="宋体" w:cs="宋体"/>
          <w:bCs/>
          <w:highlight w:val="none"/>
          <w:shd w:val="clear" w:color="auto" w:fill="ffffff"/>
          <w:lang w:val="zh-CN"/>
        </w:rPr>
        <w:t xml:space="preserve">十</w:t>
      </w:r>
      <w:r>
        <w:rPr>
          <w:rFonts w:hint="eastAsia" w:ascii="宋体" w:hAnsi="宋体" w:cs="宋体"/>
          <w:bCs/>
          <w:highlight w:val="none"/>
          <w:shd w:val="clear" w:color="auto" w:fill="ffffff"/>
        </w:rPr>
        <w:t xml:space="preserve">三</w:t>
      </w:r>
      <w:r>
        <w:rPr>
          <w:rFonts w:hint="eastAsia" w:ascii="宋体" w:hAnsi="宋体" w:cs="宋体"/>
          <w:bCs/>
          <w:highlight w:val="none"/>
          <w:shd w:val="clear" w:color="auto" w:fill="ffffff"/>
          <w:lang w:val="zh-CN"/>
        </w:rPr>
        <w:t xml:space="preserve">条规定的原则</w:t>
      </w:r>
      <w:r>
        <w:rPr>
          <w:rFonts w:hint="eastAsia" w:ascii="宋体" w:hAnsi="宋体" w:cs="宋体"/>
          <w:bCs/>
          <w:highlight w:val="none"/>
          <w:shd w:val="clear" w:color="auto" w:fill="ffffff"/>
        </w:rPr>
        <w:t xml:space="preserve">视情与排位在成交供应商之后第一位的成交候选供应商签订政府采购合同，</w:t>
      </w:r>
      <w:r>
        <w:rPr>
          <w:rFonts w:hint="eastAsia" w:ascii="宋体" w:hAnsi="宋体" w:cs="宋体"/>
          <w:bCs/>
          <w:highlight w:val="none"/>
          <w:shd w:val="clear" w:color="auto" w:fill="ffffff"/>
          <w:lang w:val="zh-CN"/>
        </w:rPr>
        <w:t xml:space="preserve">也可以重新开展采购活动。</w:t>
      </w:r>
      <w:r>
        <w:rPr>
          <w:rFonts w:hint="eastAsia" w:ascii="宋体" w:hAnsi="宋体" w:cs="宋体"/>
          <w:bCs/>
          <w:highlight w:val="none"/>
          <w:shd w:val="clear" w:color="auto" w:fill="ffffff"/>
        </w:rPr>
        <w:t xml:space="preserve">放弃或</w:t>
      </w:r>
      <w:r>
        <w:rPr>
          <w:rFonts w:hint="eastAsia" w:ascii="宋体" w:hAnsi="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rPr>
          <w:highlight w:val="none"/>
        </w:rPr>
      </w:r>
      <w:r/>
    </w:p>
    <w:p>
      <w:pPr>
        <w:ind w:left="992" w:hanging="567"/>
        <w:jc w:val="center"/>
        <w:spacing w:before="240" w:after="240" w:line="360" w:lineRule="auto"/>
        <w:rPr>
          <w:rFonts w:ascii="宋体" w:hAnsi="宋体" w:cs="宋体"/>
          <w:bCs/>
          <w:sz w:val="28"/>
          <w:highlight w:val="none"/>
          <w:shd w:val="clear" w:color="auto" w:fill="ffffff"/>
        </w:rPr>
        <w:outlineLvl w:val="1"/>
      </w:pPr>
      <w:r>
        <w:rPr>
          <w:highlight w:val="none"/>
        </w:rPr>
      </w:r>
      <w:bookmarkStart w:id="54" w:name="_Toc27753"/>
      <w:r>
        <w:rPr>
          <w:highlight w:val="none"/>
        </w:rPr>
      </w:r>
      <w:bookmarkStart w:id="55" w:name="_Toc26637"/>
      <w:r>
        <w:rPr>
          <w:rFonts w:hint="eastAsia" w:ascii="宋体" w:hAnsi="宋体" w:cs="宋体"/>
          <w:sz w:val="28"/>
          <w:highlight w:val="none"/>
        </w:rPr>
        <w:t xml:space="preserve">七</w:t>
      </w:r>
      <w:r>
        <w:rPr>
          <w:rFonts w:hint="eastAsia" w:ascii="宋体" w:hAnsi="宋体" w:cs="宋体"/>
          <w:sz w:val="28"/>
          <w:highlight w:val="none"/>
          <w:lang w:val="zh-CN"/>
        </w:rPr>
        <w:t xml:space="preserve">、质疑和投诉</w:t>
      </w:r>
      <w:bookmarkEnd w:id="54"/>
      <w:r>
        <w:rPr>
          <w:highlight w:val="none"/>
        </w:rPr>
      </w:r>
      <w:bookmarkEnd w:id="55"/>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
          <w:highlight w:val="none"/>
          <w:shd w:val="clear" w:color="auto" w:fill="ffffff"/>
        </w:rPr>
        <w:t xml:space="preserve">23、质疑</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23.1 供应商认为采购文件、采购过程、中标或者成交结果使自己的权益受到损害的，可以在知道或者应知其权益受到损害之日起7个工作日内，</w:t>
      </w:r>
      <w:r>
        <w:rPr>
          <w:rFonts w:hint="eastAsia" w:ascii="宋体" w:hAnsi="宋体" w:cs="宋体"/>
          <w:bCs/>
          <w:highlight w:val="none"/>
          <w:shd w:val="clear" w:color="auto" w:fill="ffffff"/>
          <w:lang w:val="zh-CN"/>
        </w:rPr>
        <w:t xml:space="preserve">将质疑文件原件送达江苏国衡工程咨询有限公司</w:t>
      </w:r>
      <w:r>
        <w:rPr>
          <w:rFonts w:hint="eastAsia" w:ascii="宋体" w:hAnsi="宋体" w:cs="宋体"/>
          <w:bCs/>
          <w:highlight w:val="none"/>
          <w:shd w:val="clear" w:color="auto" w:fill="ffffff"/>
        </w:rPr>
        <w:t xml:space="preserve">。</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23.2 供应商必须在法定质疑期内一次性提出针对同一采购程序环节的质疑，</w:t>
      </w:r>
      <w:r>
        <w:rPr>
          <w:rFonts w:hint="eastAsia" w:ascii="宋体" w:hAnsi="宋体" w:cs="宋体"/>
          <w:bCs/>
          <w:highlight w:val="none"/>
        </w:rPr>
        <w:t xml:space="preserve">质疑期外提出的质疑，采购代理机构将不予受理</w:t>
      </w:r>
      <w:r>
        <w:rPr>
          <w:rFonts w:hint="eastAsia" w:ascii="宋体" w:hAnsi="宋体" w:cs="宋体"/>
          <w:bCs/>
          <w:highlight w:val="none"/>
          <w:shd w:val="clear" w:color="auto" w:fill="ffffff"/>
        </w:rPr>
        <w:t xml:space="preserve">。</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23.3 质疑文件应包括以下主要内容，并按照“谁主张、谁举证”的原则，附上相关证明材料。否则，不予受理：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（1）质疑项目名称、项目编号、包号、招标公告发布时间、开标时间；</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（2）具体的质疑事项及事实依据、法律依据（具体条款）；</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（3）质疑相关证明文件或证明材料；</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（4）质疑供应商名称、地址、联系方式（包括手机、传真号码）；</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23.4 </w:t>
      </w:r>
      <w:r>
        <w:rPr>
          <w:rFonts w:hint="eastAsia" w:ascii="宋体" w:hAnsi="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23.5</w:t>
      </w:r>
      <w:r>
        <w:rPr>
          <w:rFonts w:hint="eastAsia" w:ascii="宋体" w:hAnsi="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23.6 </w:t>
      </w:r>
      <w:r>
        <w:rPr>
          <w:rFonts w:hint="eastAsia" w:ascii="宋体" w:hAnsi="宋体" w:cs="宋体"/>
          <w:bCs/>
          <w:highlight w:val="none"/>
          <w:shd w:val="clear" w:color="auto" w:fill="ffffff"/>
          <w:lang w:val="zh-CN"/>
        </w:rPr>
        <w:t xml:space="preserve">采购代理</w:t>
      </w:r>
      <w:r>
        <w:rPr>
          <w:rFonts w:hint="eastAsia" w:ascii="宋体" w:hAnsi="宋体" w:cs="宋体"/>
          <w:bCs/>
          <w:highlight w:val="none"/>
          <w:shd w:val="clear" w:color="auto" w:fill="ffffff"/>
        </w:rPr>
        <w:t xml:space="preserve">在收到供应商的书面质疑后将及时组织调查核实，在</w:t>
      </w:r>
      <w:r>
        <w:rPr>
          <w:rFonts w:hint="eastAsia" w:ascii="宋体" w:hAnsi="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highlight w:val="none"/>
          <w:shd w:val="clear" w:color="auto" w:fill="ffffff"/>
        </w:rPr>
        <w:t xml:space="preserve">遵循“谁过错谁负担”的原则，有过错的一方承担调查论证费用。</w:t>
      </w:r>
      <w:r>
        <w:rPr>
          <w:highlight w:val="none"/>
        </w:rPr>
      </w:r>
      <w:r/>
    </w:p>
    <w:p>
      <w:pPr>
        <w:ind w:firstLine="422"/>
        <w:spacing w:line="360" w:lineRule="auto"/>
        <w:rPr>
          <w:rFonts w:ascii="宋体" w:hAnsi="宋体" w:cs="宋体"/>
          <w:b/>
          <w:szCs w:val="21"/>
          <w:highlight w:val="none"/>
        </w:rPr>
      </w:pPr>
      <w:r>
        <w:rPr>
          <w:rFonts w:hint="eastAsia" w:ascii="宋体" w:hAnsi="宋体" w:cs="宋体"/>
          <w:b/>
          <w:highlight w:val="none"/>
        </w:rPr>
        <w:t xml:space="preserve">24</w:t>
      </w:r>
      <w:r>
        <w:rPr>
          <w:rFonts w:hint="eastAsia" w:ascii="宋体" w:hAnsi="宋体" w:cs="宋体"/>
          <w:b/>
          <w:highlight w:val="none"/>
          <w:lang w:val="zh-CN"/>
        </w:rPr>
        <w:t xml:space="preserve">、</w:t>
      </w:r>
      <w:r>
        <w:rPr>
          <w:rFonts w:hint="eastAsia" w:ascii="宋体" w:hAnsi="宋体" w:cs="宋体"/>
          <w:b/>
          <w:szCs w:val="21"/>
          <w:highlight w:val="none"/>
          <w:lang w:bidi="ar"/>
        </w:rPr>
        <w:t xml:space="preserve">投诉</w:t>
      </w:r>
      <w:r>
        <w:rPr>
          <w:highlight w:val="none"/>
        </w:rPr>
      </w:r>
      <w:r/>
    </w:p>
    <w:p>
      <w:pPr>
        <w:ind w:firstLine="420"/>
        <w:spacing w:line="360" w:lineRule="auto"/>
        <w:rPr>
          <w:rFonts w:ascii="宋体" w:hAnsi="宋体" w:cs="宋体"/>
          <w:bCs/>
          <w:color w:val="ff0000"/>
          <w:highlight w:val="none"/>
          <w:shd w:val="clear" w:color="auto" w:fill="ffffff"/>
        </w:rPr>
      </w:pPr>
      <w:r>
        <w:rPr>
          <w:rFonts w:hint="eastAsia" w:ascii="宋体" w:hAnsi="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highlight w:val="none"/>
          <w:lang w:val="zh-CN"/>
        </w:rPr>
        <w:t xml:space="preserve">十五个工作日内向同级政府采购监督管理部门投诉</w:t>
      </w:r>
      <w:r>
        <w:rPr>
          <w:rFonts w:hint="eastAsia" w:ascii="宋体" w:hAnsi="宋体" w:cs="宋体"/>
          <w:bCs/>
          <w:highlight w:val="none"/>
          <w:shd w:val="clear" w:color="auto" w:fill="ffffff"/>
        </w:rPr>
        <w:t xml:space="preserve">。</w:t>
      </w:r>
      <w:r>
        <w:rPr>
          <w:highlight w:val="none"/>
        </w:rPr>
      </w:r>
      <w:r/>
    </w:p>
    <w:p>
      <w:pPr>
        <w:ind w:firstLine="420"/>
        <w:spacing w:line="360" w:lineRule="auto"/>
        <w:rPr>
          <w:rFonts w:ascii="宋体" w:hAnsi="宋体" w:cs="宋体"/>
          <w:b/>
          <w:highlight w:val="none"/>
        </w:rPr>
      </w:pPr>
      <w:r>
        <w:rPr>
          <w:rFonts w:hint="eastAsia" w:ascii="宋体" w:hAnsi="宋体" w:cs="宋体"/>
          <w:b/>
          <w:highlight w:val="none"/>
          <w:lang w:val="zh-CN"/>
        </w:rPr>
        <w:t xml:space="preserve">2</w:t>
      </w:r>
      <w:r>
        <w:rPr>
          <w:rFonts w:hint="eastAsia" w:ascii="宋体" w:hAnsi="宋体" w:cs="宋体"/>
          <w:b/>
          <w:highlight w:val="none"/>
        </w:rPr>
        <w:t xml:space="preserve">5</w:t>
      </w:r>
      <w:r>
        <w:rPr>
          <w:rFonts w:hint="eastAsia" w:ascii="宋体" w:hAnsi="宋体" w:cs="宋体"/>
          <w:b/>
          <w:highlight w:val="none"/>
          <w:lang w:val="zh-CN"/>
        </w:rPr>
        <w:t xml:space="preserve">、诚实信用</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.1</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供应商之间不得相互串通报价，不得妨碍其他供应商的公平竞争，不得损害采购人和其他供应商的合法权益。</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.2</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cs="宋体"/>
          <w:bCs/>
          <w:highlight w:val="none"/>
          <w:shd w:val="clear" w:color="auto" w:fill="ffffff"/>
        </w:rPr>
        <w:t xml:space="preserve">政府采购管理部门将供应商列入不良行为记录名单，按照《政府采购法》有关规定处理。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.3</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供应商不得虚假质疑和恶意质疑，并对质疑内容的真实性承担责任。</w:t>
      </w:r>
      <w:r>
        <w:rPr>
          <w:rFonts w:hint="eastAsia" w:ascii="宋体" w:hAnsi="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.4</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供应商不得虚假承诺，否则，按照提供虚假材料谋取成交处理。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.5</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highlight w:val="none"/>
        </w:rPr>
      </w:r>
      <w:r/>
    </w:p>
    <w:p>
      <w:pPr>
        <w:ind w:firstLine="420"/>
        <w:spacing w:line="360" w:lineRule="auto"/>
        <w:rPr>
          <w:rFonts w:ascii="宋体" w:hAnsi="宋体" w:cs="宋体"/>
          <w:highlight w:val="none"/>
        </w:rPr>
      </w:pPr>
      <w:r>
        <w:rPr>
          <w:rFonts w:ascii="宋体" w:hAnsi="宋体" w:cs="宋体"/>
          <w:highlight w:val="none"/>
          <w:lang w:val="zh-CN"/>
        </w:rPr>
      </w:r>
      <w:r>
        <w:rPr>
          <w:highlight w:val="none"/>
        </w:rPr>
      </w:r>
      <w:r/>
    </w:p>
    <w:p>
      <w:pPr>
        <w:pStyle w:val="1004"/>
        <w:spacing w:line="240" w:lineRule="auto"/>
        <w:rPr>
          <w:highlight w:val="none"/>
        </w:rPr>
      </w:pPr>
      <w:r>
        <w:rPr>
          <w:highlight w:val="none"/>
        </w:rPr>
      </w:r>
      <w:bookmarkStart w:id="56" w:name="_Toc535597871"/>
      <w:r>
        <w:rPr>
          <w:rFonts w:hint="eastAsia"/>
          <w:highlight w:val="none"/>
        </w:rPr>
        <w:br w:type="page" w:clear="all"/>
      </w:r>
      <w:bookmarkStart w:id="57" w:name="_Toc4602"/>
      <w:r>
        <w:rPr>
          <w:rFonts w:hint="eastAsia"/>
          <w:highlight w:val="none"/>
        </w:rPr>
        <w:t xml:space="preserve">第三章</w:t>
      </w:r>
      <w:r>
        <w:rPr>
          <w:rFonts w:hint="eastAsia"/>
          <w:highlight w:val="none"/>
        </w:rPr>
        <w:t xml:space="preserve"> </w:t>
      </w:r>
      <w:bookmarkStart w:id="58" w:name="_Toc503948574"/>
      <w:r>
        <w:rPr>
          <w:highlight w:val="none"/>
        </w:rPr>
      </w:r>
      <w:bookmarkStart w:id="59" w:name="_Toc503948067"/>
      <w:r>
        <w:rPr>
          <w:rFonts w:hint="eastAsia"/>
          <w:highlight w:val="none"/>
          <w:lang w:val="en-US"/>
        </w:rPr>
        <w:t xml:space="preserve"> </w:t>
      </w:r>
      <w:r>
        <w:rPr>
          <w:rFonts w:hint="eastAsia"/>
          <w:highlight w:val="none"/>
        </w:rPr>
        <w:t xml:space="preserve">磋商评审标准</w:t>
      </w:r>
      <w:bookmarkEnd w:id="56"/>
      <w:r>
        <w:rPr>
          <w:highlight w:val="none"/>
        </w:rPr>
      </w:r>
      <w:bookmarkEnd w:id="57"/>
      <w:r>
        <w:rPr>
          <w:highlight w:val="none"/>
        </w:rPr>
      </w:r>
      <w:bookmarkEnd w:id="58"/>
      <w:r>
        <w:rPr>
          <w:highlight w:val="none"/>
        </w:rPr>
      </w:r>
      <w:bookmarkEnd w:id="59"/>
      <w:r>
        <w:rPr>
          <w:highlight w:val="none"/>
        </w:rPr>
      </w:r>
      <w:r/>
    </w:p>
    <w:p>
      <w:pPr>
        <w:ind w:firstLine="477"/>
        <w:spacing w:line="360" w:lineRule="auto"/>
        <w:rPr>
          <w:rFonts w:cs="宋体"/>
          <w:b/>
          <w:sz w:val="24"/>
          <w:highlight w:val="none"/>
        </w:rPr>
      </w:pPr>
      <w:r>
        <w:rPr>
          <w:highlight w:val="none"/>
        </w:rPr>
      </w:r>
      <w:bookmarkStart w:id="60" w:name="_Toc400722722"/>
      <w:r>
        <w:rPr>
          <w:highlight w:val="none"/>
        </w:rPr>
      </w:r>
      <w:bookmarkStart w:id="61"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highlight w:val="none"/>
        </w:rPr>
      </w:r>
      <w:r/>
    </w:p>
    <w:p>
      <w:pPr>
        <w:ind w:firstLine="477"/>
        <w:spacing w:line="360" w:lineRule="auto"/>
        <w:rPr>
          <w:rFonts w:ascii="宋体" w:hAnsi="宋体" w:cs="宋体"/>
          <w:sz w:val="24"/>
          <w:highlight w:val="none"/>
        </w:rPr>
      </w:pPr>
      <w:r>
        <w:rPr>
          <w:rFonts w:hint="eastAsia" w:cs="宋体"/>
          <w:b/>
          <w:sz w:val="24"/>
          <w:highlight w:val="none"/>
        </w:rPr>
        <w:t xml:space="preserve">本项目评审标准采用综合评分法。</w:t>
      </w:r>
      <w:bookmarkStart w:id="62" w:name="_Toc503948575"/>
      <w:r>
        <w:rPr>
          <w:highlight w:val="none"/>
        </w:rPr>
      </w:r>
      <w:bookmarkStart w:id="63" w:name="_Toc503948068"/>
      <w:r>
        <w:rPr>
          <w:highlight w:val="none"/>
        </w:rPr>
      </w:r>
      <w:bookmarkStart w:id="64" w:name="_Toc535597872"/>
      <w:r>
        <w:rPr>
          <w:highlight w:val="none"/>
        </w:rPr>
      </w:r>
      <w:r/>
    </w:p>
    <w:p>
      <w:pPr>
        <w:ind w:firstLine="482"/>
        <w:spacing w:line="360" w:lineRule="auto"/>
        <w:rPr>
          <w:rFonts w:ascii="黑体" w:hAnsi="黑体"/>
          <w:highlight w:val="none"/>
        </w:rPr>
      </w:pPr>
      <w:r>
        <w:rPr>
          <w:rFonts w:hint="eastAsia" w:ascii="宋体" w:hAnsi="宋体"/>
          <w:b/>
          <w:sz w:val="24"/>
          <w:highlight w:val="none"/>
        </w:rPr>
        <w:t xml:space="preserve">二、评审评分标准</w:t>
      </w:r>
      <w:r>
        <w:rPr>
          <w:highlight w:val="none"/>
        </w:rPr>
      </w:r>
      <w:r/>
    </w:p>
    <w:tbl>
      <w:tblPr>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2"/>
        <w:gridCol w:w="1325"/>
        <w:gridCol w:w="6239"/>
        <w:gridCol w:w="800"/>
      </w:tblGrid>
      <w:tr>
        <w:trPr>
          <w:jc w:val="center"/>
          <w:trHeight w:val="360"/>
        </w:trPr>
        <w:tc>
          <w:tcPr>
            <w:tcW w:w="802" w:type="dxa"/>
            <w:vAlign w:val="center"/>
            <w:textDirection w:val="lrTb"/>
            <w:noWrap/>
          </w:tcPr>
          <w:p>
            <w:pPr>
              <w:jc w:val="center"/>
              <w:spacing w:line="360" w:lineRule="auto"/>
              <w:tabs>
                <w:tab w:val="left" w:pos="1440" w:leader="none"/>
              </w:tabs>
              <w:rPr>
                <w:rFonts w:ascii="宋体" w:hAnsi="宋体" w:cs="宋体"/>
                <w:b/>
                <w:bCs/>
                <w:szCs w:val="21"/>
                <w:highlight w:val="none"/>
              </w:rPr>
            </w:pPr>
            <w:r>
              <w:rPr>
                <w:rFonts w:hint="eastAsia" w:ascii="宋体" w:hAnsi="宋体" w:cs="宋体"/>
                <w:b/>
                <w:bCs/>
                <w:szCs w:val="21"/>
                <w:highlight w:val="none"/>
              </w:rPr>
              <w:t xml:space="preserve">序号</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szCs w:val="21"/>
                <w:highlight w:val="none"/>
              </w:rPr>
            </w:pPr>
            <w:r>
              <w:rPr>
                <w:rFonts w:hint="eastAsia" w:ascii="宋体" w:hAnsi="宋体" w:cs="宋体"/>
                <w:b/>
                <w:bCs/>
                <w:szCs w:val="21"/>
                <w:highlight w:val="none"/>
              </w:rPr>
              <w:t xml:space="preserve">评分因素</w:t>
            </w:r>
            <w:r>
              <w:rPr>
                <w:highlight w:val="none"/>
              </w:rPr>
            </w:r>
            <w:r/>
          </w:p>
        </w:tc>
        <w:tc>
          <w:tcPr>
            <w:tcW w:w="6239" w:type="dxa"/>
            <w:vAlign w:val="center"/>
            <w:textDirection w:val="lrTb"/>
            <w:noWrap/>
          </w:tcPr>
          <w:p>
            <w:pPr>
              <w:jc w:val="center"/>
              <w:spacing w:line="360" w:lineRule="auto"/>
              <w:tabs>
                <w:tab w:val="left" w:pos="1440" w:leader="none"/>
              </w:tabs>
              <w:rPr>
                <w:rFonts w:ascii="宋体" w:hAnsi="宋体" w:cs="宋体"/>
                <w:b/>
                <w:bCs/>
                <w:szCs w:val="21"/>
                <w:highlight w:val="none"/>
              </w:rPr>
            </w:pPr>
            <w:r>
              <w:rPr>
                <w:rFonts w:hint="eastAsia" w:ascii="宋体" w:hAnsi="宋体" w:cs="宋体"/>
                <w:b/>
                <w:bCs/>
                <w:szCs w:val="21"/>
                <w:highlight w:val="none"/>
              </w:rPr>
              <w:t xml:space="preserve">评审标准</w:t>
            </w:r>
            <w:r>
              <w:rPr>
                <w:highlight w:val="none"/>
              </w:rPr>
            </w:r>
            <w:r/>
          </w:p>
        </w:tc>
        <w:tc>
          <w:tcPr>
            <w:tcW w:w="800" w:type="dxa"/>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分值</w:t>
            </w:r>
            <w:r>
              <w:rPr>
                <w:highlight w:val="none"/>
              </w:rPr>
            </w:r>
            <w:r/>
          </w:p>
        </w:tc>
      </w:tr>
      <w:tr>
        <w:trPr>
          <w:jc w:val="center"/>
          <w:trHeight w:val="1579"/>
        </w:trPr>
        <w:tc>
          <w:tcPr>
            <w:tcW w:w="802"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价格</w:t>
            </w:r>
            <w:r>
              <w:rPr>
                <w:highlight w:val="none"/>
              </w:rPr>
            </w:r>
            <w:r/>
          </w:p>
        </w:tc>
        <w:tc>
          <w:tcPr>
            <w:tcW w:w="6239" w:type="dxa"/>
            <w:vAlign w:val="center"/>
            <w:textDirection w:val="lrTb"/>
            <w:noWrap/>
          </w:tcPr>
          <w:p>
            <w:pPr>
              <w:jc w:val="left"/>
              <w:spacing w:line="360" w:lineRule="auto"/>
              <w:tabs>
                <w:tab w:val="left" w:pos="1440" w:leader="none"/>
              </w:tabs>
              <w:rPr>
                <w:rFonts w:ascii="宋体" w:hAnsi="宋体"/>
                <w:color w:val="000000"/>
                <w:szCs w:val="21"/>
                <w:highlight w:val="none"/>
              </w:rPr>
            </w:pPr>
            <w:r>
              <w:rPr>
                <w:rFonts w:hint="eastAsia" w:ascii="宋体" w:hAnsi="宋体"/>
                <w:color w:val="000000"/>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highlight w:val="none"/>
              </w:rPr>
            </w:r>
            <w:r/>
          </w:p>
          <w:p>
            <w:pPr>
              <w:jc w:val="left"/>
              <w:spacing w:line="360" w:lineRule="auto"/>
              <w:tabs>
                <w:tab w:val="left" w:pos="1440" w:leader="none"/>
              </w:tabs>
              <w:rPr>
                <w:highlight w:val="none"/>
              </w:rPr>
            </w:pPr>
            <w:r>
              <w:rPr>
                <w:rFonts w:hint="eastAsia" w:ascii="宋体" w:hAnsi="宋体"/>
                <w:b/>
                <w:bCs/>
                <w:color w:val="000000"/>
                <w:szCs w:val="21"/>
                <w:highlight w:val="none"/>
              </w:rPr>
              <w:t xml:space="preserve">本项目执行财库〔2026〕2号《关于推动解决政府采购异常低价问题相关工作的通知》的相关规定，具体详见第二章20.5要求。</w:t>
            </w:r>
            <w:r>
              <w:rPr>
                <w:highlight w:val="none"/>
              </w:rPr>
            </w:r>
            <w:r/>
          </w:p>
        </w:tc>
        <w:tc>
          <w:tcPr>
            <w:tcW w:w="800" w:type="dxa"/>
            <w:vAlign w:val="center"/>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highlight w:val="none"/>
              </w:rPr>
            </w:r>
            <w:r/>
          </w:p>
        </w:tc>
      </w:tr>
      <w:tr>
        <w:trPr>
          <w:jc w:val="center"/>
          <w:trHeight w:val="77"/>
        </w:trPr>
        <w:tc>
          <w:tcPr>
            <w:tcW w:w="802"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项目组成员</w:t>
            </w:r>
            <w:r>
              <w:rPr>
                <w:highlight w:val="none"/>
              </w:rPr>
            </w:r>
            <w:r/>
          </w:p>
        </w:tc>
        <w:tc>
          <w:tcPr>
            <w:tcW w:w="6239" w:type="dxa"/>
            <w:vAlign w:val="center"/>
            <w:textDirection w:val="lrTb"/>
            <w:noWrap/>
          </w:tcPr>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1.供应商为本项目配置项目管理人员,包括施工员、质检（质量）员、安全员、资料员、</w:t>
            </w:r>
            <w:r>
              <w:rPr>
                <w:rFonts w:hint="eastAsia" w:ascii="宋体" w:hAnsi="宋体" w:cs="宋体"/>
                <w:bCs/>
                <w:szCs w:val="21"/>
                <w:highlight w:val="none"/>
              </w:rPr>
              <w:t xml:space="preserve">造价</w:t>
            </w:r>
            <w:r>
              <w:rPr>
                <w:rFonts w:hint="eastAsia" w:ascii="宋体" w:hAnsi="宋体" w:cs="宋体"/>
                <w:color w:val="000000"/>
                <w:szCs w:val="21"/>
                <w:highlight w:val="none"/>
              </w:rPr>
              <w:t xml:space="preserve">员。以上人员各一名(不可兼任)，此项满分</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分，缺少一名此项不得分。（提供项目组成员一览表；</w:t>
            </w:r>
            <w:r>
              <w:rPr>
                <w:rFonts w:hint="eastAsia" w:ascii="宋体" w:hAnsi="宋体" w:cs="宋体"/>
                <w:bCs/>
                <w:szCs w:val="21"/>
                <w:highlight w:val="none"/>
              </w:rPr>
              <w:t xml:space="preserve">相关人员有效身份证复印件；</w:t>
            </w:r>
            <w:r>
              <w:rPr>
                <w:rFonts w:hint="eastAsia" w:ascii="宋体" w:hAnsi="宋体" w:cs="宋体"/>
                <w:color w:val="000000"/>
                <w:szCs w:val="21"/>
                <w:highlight w:val="none"/>
              </w:rPr>
              <w:t xml:space="preserve">施工员、质检（质量）员、资料员</w:t>
            </w:r>
            <w:r>
              <w:rPr>
                <w:rFonts w:hint="eastAsia" w:ascii="宋体" w:hAnsi="宋体" w:cs="宋体"/>
                <w:bCs/>
                <w:szCs w:val="21"/>
                <w:highlight w:val="none"/>
              </w:rPr>
              <w:t xml:space="preserve">须</w:t>
            </w:r>
            <w:r>
              <w:rPr>
                <w:rFonts w:hint="eastAsia" w:ascii="宋体" w:hAnsi="宋体" w:cs="宋体"/>
                <w:color w:val="000000"/>
                <w:szCs w:val="21"/>
                <w:highlight w:val="none"/>
              </w:rPr>
              <w:t xml:space="preserve">具有相应的岗位培训合格证书，</w:t>
            </w:r>
            <w:r>
              <w:rPr>
                <w:rFonts w:hint="eastAsia" w:ascii="宋体" w:hAnsi="宋体" w:cs="宋体"/>
                <w:bCs/>
                <w:szCs w:val="21"/>
                <w:highlight w:val="none"/>
              </w:rPr>
              <w:t xml:space="preserve">造价员须具有二级(含)以上注册造价师证，安全员须具有安全生产考核合格证书C证，未提供的，不得分。</w:t>
            </w:r>
            <w:r>
              <w:rPr>
                <w:rFonts w:hint="eastAsia" w:ascii="宋体" w:hAnsi="宋体" w:cs="宋体"/>
                <w:color w:val="000000"/>
                <w:szCs w:val="21"/>
                <w:highlight w:val="none"/>
              </w:rPr>
              <w:t xml:space="preserve">）</w:t>
            </w:r>
            <w:r>
              <w:rPr>
                <w:highlight w:val="none"/>
              </w:rPr>
            </w:r>
            <w:r/>
          </w:p>
          <w:p>
            <w:pPr>
              <w:jc w:val="left"/>
              <w:spacing w:line="360" w:lineRule="auto"/>
              <w:tabs>
                <w:tab w:val="left" w:pos="1440" w:leader="none"/>
              </w:tabs>
              <w:rPr>
                <w:rFonts w:ascii="宋体" w:hAnsi="宋体" w:cs="宋体"/>
                <w:bCs/>
                <w:szCs w:val="21"/>
                <w:highlight w:val="none"/>
              </w:rPr>
            </w:pPr>
            <w:r>
              <w:rPr>
                <w:rFonts w:hint="eastAsia" w:ascii="宋体" w:hAnsi="宋体" w:cs="宋体"/>
                <w:color w:val="000000"/>
                <w:szCs w:val="21"/>
                <w:highlight w:val="none"/>
              </w:rPr>
              <w:t xml:space="preserve">2</w:t>
            </w:r>
            <w:r>
              <w:rPr>
                <w:rFonts w:hint="eastAsia" w:ascii="宋体" w:hAnsi="宋体" w:cs="宋体"/>
                <w:bCs/>
                <w:szCs w:val="21"/>
                <w:highlight w:val="none"/>
              </w:rPr>
              <w:t xml:space="preserve">.</w:t>
            </w:r>
            <w:r>
              <w:rPr>
                <w:rFonts w:hint="eastAsia" w:ascii="宋体" w:hAnsi="宋体" w:cs="宋体"/>
                <w:bCs/>
                <w:color w:val="000000"/>
                <w:szCs w:val="21"/>
                <w:highlight w:val="none"/>
              </w:rPr>
              <w:t xml:space="preserve">项目</w:t>
            </w:r>
            <w:r>
              <w:rPr>
                <w:rFonts w:hint="eastAsia" w:ascii="宋体" w:hAnsi="宋体" w:cs="宋体"/>
                <w:color w:val="000000"/>
                <w:szCs w:val="21"/>
                <w:highlight w:val="none"/>
              </w:rPr>
              <w:t xml:space="preserve">负责人具有高级及以上</w:t>
            </w:r>
            <w:r>
              <w:rPr>
                <w:rFonts w:hint="eastAsia" w:ascii="宋体" w:hAnsi="宋体" w:cs="宋体"/>
                <w:color w:val="000000"/>
                <w:szCs w:val="21"/>
                <w:highlight w:val="none"/>
                <w:lang w:val="zh-CN"/>
              </w:rPr>
              <w:t xml:space="preserve">工程师</w:t>
            </w:r>
            <w:r>
              <w:rPr>
                <w:rFonts w:hint="eastAsia" w:ascii="宋体" w:hAnsi="宋体" w:cs="宋体"/>
                <w:color w:val="000000"/>
                <w:szCs w:val="21"/>
                <w:highlight w:val="none"/>
              </w:rPr>
              <w:t xml:space="preserve">职称的，得4分，具有中级</w:t>
            </w:r>
            <w:r>
              <w:rPr>
                <w:rFonts w:hint="eastAsia" w:ascii="宋体" w:hAnsi="宋体" w:cs="宋体"/>
                <w:color w:val="000000"/>
                <w:szCs w:val="21"/>
                <w:highlight w:val="none"/>
                <w:lang w:val="zh-CN"/>
              </w:rPr>
              <w:t xml:space="preserve">工程师</w:t>
            </w:r>
            <w:r>
              <w:rPr>
                <w:rFonts w:hint="eastAsia" w:ascii="宋体" w:hAnsi="宋体" w:cs="宋体"/>
                <w:color w:val="000000"/>
                <w:szCs w:val="21"/>
                <w:highlight w:val="none"/>
              </w:rPr>
              <w:t xml:space="preserve">职称的，得2分，此项满分4分。</w:t>
            </w:r>
            <w:r>
              <w:rPr>
                <w:rFonts w:hint="eastAsia" w:ascii="宋体" w:hAnsi="宋体" w:cs="宋体"/>
                <w:bCs/>
                <w:szCs w:val="21"/>
                <w:highlight w:val="none"/>
              </w:rPr>
              <w:t xml:space="preserve">（提供相关职称证书复印件加盖公章。）</w:t>
            </w:r>
            <w:r>
              <w:rPr>
                <w:highlight w:val="none"/>
              </w:rPr>
            </w:r>
            <w:r/>
          </w:p>
          <w:p>
            <w:pPr>
              <w:jc w:val="left"/>
              <w:spacing w:line="360" w:lineRule="auto"/>
              <w:tabs>
                <w:tab w:val="left" w:pos="1440" w:leader="none"/>
              </w:tabs>
              <w:rPr>
                <w:rFonts w:ascii="宋体" w:hAnsi="宋体" w:cs="宋体"/>
                <w:color w:val="000000"/>
                <w:szCs w:val="21"/>
                <w:highlight w:val="none"/>
              </w:rPr>
            </w:pPr>
            <w:r>
              <w:rPr>
                <w:rFonts w:hint="eastAsia" w:ascii="宋体" w:hAnsi="宋体" w:cs="宋体"/>
                <w:b/>
                <w:bCs/>
                <w:color w:val="000000"/>
                <w:szCs w:val="21"/>
                <w:highlight w:val="none"/>
              </w:rPr>
              <w:t xml:space="preserve">注：①以上人员必须为本单位人员，同一人不得重复计分，资料缺一不得分。②以上人员均须提供近三月中任意一个月供应商为其缴纳的由劳动和社会保障部门出具的养老保险缴纳凭证；高校设计院或军队等事业编制人员无法提供社保证明，须提供所在单位的上级主管部门人事组织或编制主管部门出具的人员编制核准证明材料。</w:t>
            </w:r>
            <w:r>
              <w:rPr>
                <w:highlight w:val="none"/>
              </w:rPr>
            </w:r>
            <w:r/>
          </w:p>
        </w:tc>
        <w:tc>
          <w:tcPr>
            <w:tcW w:w="800" w:type="dxa"/>
            <w:vAlign w:val="center"/>
            <w:textDirection w:val="lrTb"/>
            <w:noWrap/>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9</w:t>
            </w:r>
            <w:r>
              <w:rPr>
                <w:highlight w:val="none"/>
              </w:rPr>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企业业绩</w:t>
            </w:r>
            <w:r>
              <w:rPr>
                <w:highlight w:val="none"/>
              </w:rPr>
            </w:r>
            <w:r/>
          </w:p>
        </w:tc>
        <w:tc>
          <w:tcPr>
            <w:tcW w:w="6239" w:type="dxa"/>
            <w:textDirection w:val="lrTb"/>
            <w:noWrap/>
          </w:tcPr>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供应商自2021年</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月1日以来，承接过类似房建工程的，有一项得</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分，满分</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分。</w:t>
            </w:r>
            <w:r>
              <w:rPr>
                <w:highlight w:val="none"/>
              </w:rPr>
            </w:r>
            <w:r/>
          </w:p>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须同时提供①中标（成交）通知书；②工程施工合同，合同未明确签订时间不得分，合同编号或者合同条款中的服务期限等不作为认定合同签订日期的依据；③竣工验收合格证明材料（至少由建设方、施工方双方签章）；④执行合同的对应发票复印件以及招标公告发布之日后 在 国 家 税 务 总 局 全 国 增 值 税 发 票 查 验 平 台</w:t>
            </w:r>
            <w:r>
              <w:rPr>
                <w:highlight w:val="none"/>
              </w:rPr>
            </w:r>
            <w:r/>
          </w:p>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（https://inv-veri.chinatax.gov.cn/）对于发票查验结果</w:t>
            </w:r>
            <w:r>
              <w:rPr>
                <w:highlight w:val="none"/>
              </w:rPr>
            </w:r>
            <w:r/>
          </w:p>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的截图，合同、发票、发票查验结果截图须同时提供，缺任</w:t>
            </w:r>
            <w:r>
              <w:rPr>
                <w:highlight w:val="none"/>
              </w:rPr>
            </w:r>
            <w:r/>
          </w:p>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意一项均不予认可。发票日期早于合同签订日期的不予认可。所提供的发票开票日期在招标公告发布之后的不予认可。</w:t>
            </w:r>
            <w:r>
              <w:rPr>
                <w:highlight w:val="none"/>
              </w:rPr>
            </w:r>
            <w:r/>
          </w:p>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提供上述证明文件复印件加盖公章，以上相关证明文件中至少一项须能反映对应工作内容，未按要求提供证明文件、证明文件不齐全的，不得分。提供上述证明文件复印件加盖公章，以上相关证明文件中至少一项须能反映对应工作内容，未按要求提供证明文件、证明文件不齐全的，不得分。企业业绩和项目负责人业绩不可重复得分。供应商成交后须提供上述所有原件核查，若无法提供则按弄虚作假处理。</w:t>
            </w:r>
            <w:r>
              <w:rPr>
                <w:highlight w:val="none"/>
              </w:rPr>
            </w:r>
            <w:r/>
          </w:p>
        </w:tc>
        <w:tc>
          <w:tcPr>
            <w:tcW w:w="800" w:type="dxa"/>
            <w:vAlign w:val="center"/>
            <w:textDirection w:val="lrTb"/>
            <w:noWrap/>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9</w:t>
            </w:r>
            <w:r>
              <w:rPr>
                <w:highlight w:val="none"/>
              </w:rPr>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实施方案</w:t>
            </w:r>
            <w:r>
              <w:rPr>
                <w:highlight w:val="none"/>
              </w:rPr>
            </w:r>
            <w:r/>
          </w:p>
        </w:tc>
        <w:tc>
          <w:tcPr>
            <w:tcW w:w="6239" w:type="dxa"/>
            <w:textDirection w:val="lrTb"/>
            <w:noWrap/>
          </w:tcPr>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提供总体施工布置及规划、施工组织内容；主要工程项目的施工方案、方法与措施；重点难点分析及措施；工期、质量保证措施；安全保证措施；环境保护、文明施工措施及扬尘控制。每提供一项方案得2分，最高得12分。</w:t>
            </w:r>
            <w:r>
              <w:rPr>
                <w:highlight w:val="none"/>
              </w:rPr>
            </w:r>
            <w:r/>
          </w:p>
        </w:tc>
        <w:tc>
          <w:tcPr>
            <w:tcW w:w="800" w:type="dxa"/>
            <w:vAlign w:val="center"/>
            <w:textDirection w:val="lrTb"/>
            <w:noWrap/>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12</w:t>
            </w:r>
            <w:r>
              <w:rPr>
                <w:highlight w:val="none"/>
              </w:rPr>
            </w:r>
            <w:r/>
          </w:p>
        </w:tc>
      </w:tr>
      <w:tr>
        <w:trPr>
          <w:jc w:val="center"/>
          <w:trHeight w:val="77"/>
        </w:trPr>
        <w:tc>
          <w:tcPr>
            <w:tcW w:w="802"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325"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合计</w:t>
            </w:r>
            <w:r>
              <w:rPr>
                <w:highlight w:val="none"/>
              </w:rPr>
            </w:r>
            <w:r/>
          </w:p>
        </w:tc>
        <w:tc>
          <w:tcPr>
            <w:tcW w:w="6239" w:type="dxa"/>
            <w:textDirection w:val="lrTb"/>
            <w:noWrap/>
          </w:tcPr>
          <w:p>
            <w:pP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0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100</w:t>
            </w:r>
            <w:r>
              <w:rPr>
                <w:highlight w:val="none"/>
              </w:rPr>
            </w:r>
            <w:r/>
          </w:p>
        </w:tc>
      </w:tr>
    </w:tbl>
    <w:p>
      <w:pPr>
        <w:rPr>
          <w:rFonts w:ascii="宋体"/>
          <w:b/>
          <w:highlight w:val="none"/>
        </w:rPr>
      </w:pPr>
      <w:r>
        <w:rPr>
          <w:rFonts w:hint="eastAsia" w:ascii="宋体"/>
          <w:b/>
          <w:highlight w:val="none"/>
        </w:rPr>
        <w:t xml:space="preserve">说明：</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2、政策功能：</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2.3 监狱和戒毒企业   </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2.4 残疾人福利性单位 </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2.6 价格扣除</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rPr>
          <w:highlight w:val="none"/>
        </w:rPr>
      </w:r>
      <w:r/>
    </w:p>
    <w:p>
      <w:pPr>
        <w:ind w:firstLine="415"/>
        <w:spacing w:line="360" w:lineRule="auto"/>
        <w:rPr>
          <w:color w:val="000000"/>
          <w:szCs w:val="21"/>
          <w:highlight w:val="none"/>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highlight w:val="none"/>
        </w:rPr>
      </w:r>
      <w:r/>
    </w:p>
    <w:p>
      <w:pPr>
        <w:pStyle w:val="900"/>
        <w:ind w:firstLine="0"/>
        <w:spacing w:line="360" w:lineRule="auto"/>
        <w:rPr>
          <w:highlight w:val="none"/>
        </w:rPr>
      </w:pPr>
      <w:r>
        <w:rPr>
          <w:highlight w:val="none"/>
        </w:rPr>
      </w:r>
      <w:r>
        <w:rPr>
          <w:highlight w:val="none"/>
        </w:rPr>
      </w:r>
      <w:r/>
    </w:p>
    <w:p>
      <w:pPr>
        <w:pStyle w:val="1004"/>
        <w:spacing w:line="240" w:lineRule="auto"/>
        <w:rPr>
          <w:sz w:val="18"/>
          <w:szCs w:val="18"/>
          <w:highlight w:val="none"/>
        </w:rPr>
      </w:pPr>
      <w:r>
        <w:rPr>
          <w:rFonts w:hint="eastAsia" w:ascii="黑体" w:hAnsi="黑体"/>
          <w:highlight w:val="none"/>
        </w:rPr>
        <w:br w:type="page" w:clear="all"/>
      </w:r>
      <w:bookmarkStart w:id="65" w:name="_Toc28743"/>
      <w:r>
        <w:rPr>
          <w:rFonts w:hint="eastAsia"/>
          <w:highlight w:val="none"/>
        </w:rPr>
        <w:t xml:space="preserve">第四章</w:t>
      </w:r>
      <w:r>
        <w:rPr>
          <w:rFonts w:hint="eastAsia"/>
          <w:highlight w:val="none"/>
        </w:rPr>
        <w:t xml:space="preserve">  </w:t>
      </w:r>
      <w:r>
        <w:rPr>
          <w:rFonts w:hint="eastAsia"/>
          <w:highlight w:val="none"/>
        </w:rPr>
        <w:t xml:space="preserve">采购项目</w:t>
      </w:r>
      <w:r>
        <w:rPr>
          <w:rFonts w:hint="eastAsia"/>
          <w:highlight w:val="none"/>
          <w:lang w:val="en-US"/>
        </w:rPr>
        <w:t xml:space="preserve">概况</w:t>
      </w:r>
      <w:bookmarkStart w:id="66" w:name="_Toc503948578"/>
      <w:r>
        <w:rPr>
          <w:highlight w:val="none"/>
        </w:rPr>
      </w:r>
      <w:bookmarkStart w:id="67" w:name="_Toc503948071"/>
      <w:r>
        <w:rPr>
          <w:highlight w:val="none"/>
        </w:rPr>
      </w:r>
      <w:bookmarkStart w:id="68" w:name="_Toc479949480"/>
      <w:r>
        <w:rPr>
          <w:highlight w:val="none"/>
        </w:rPr>
      </w:r>
      <w:bookmarkStart w:id="69" w:name="_Toc497829346"/>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r/>
    </w:p>
    <w:p>
      <w:pPr>
        <w:ind w:firstLine="422"/>
        <w:spacing w:line="360" w:lineRule="auto"/>
        <w:rPr>
          <w:b/>
          <w:bCs/>
          <w:szCs w:val="21"/>
          <w:highlight w:val="none"/>
        </w:rPr>
        <w:outlineLvl w:val="1"/>
      </w:pPr>
      <w:r>
        <w:rPr>
          <w:highlight w:val="none"/>
        </w:rPr>
      </w:r>
      <w:bookmarkStart w:id="70" w:name="_Toc10908"/>
      <w:r>
        <w:rPr>
          <w:highlight w:val="none"/>
        </w:rPr>
      </w:r>
      <w:bookmarkStart w:id="71" w:name="_Toc7683"/>
      <w:r>
        <w:rPr>
          <w:highlight w:val="none"/>
        </w:rPr>
      </w:r>
      <w:bookmarkStart w:id="72" w:name="_Toc22440"/>
      <w:r>
        <w:rPr>
          <w:highlight w:val="none"/>
        </w:rPr>
      </w:r>
      <w:bookmarkStart w:id="73" w:name="_Toc21780"/>
      <w:r>
        <w:rPr>
          <w:rFonts w:hint="eastAsia"/>
          <w:b/>
          <w:bCs/>
          <w:szCs w:val="21"/>
          <w:highlight w:val="none"/>
        </w:rPr>
        <w:t xml:space="preserve">一、项目概况</w:t>
      </w:r>
      <w:bookmarkEnd w:id="70"/>
      <w:r>
        <w:rPr>
          <w:highlight w:val="none"/>
        </w:rPr>
      </w:r>
      <w:bookmarkEnd w:id="71"/>
      <w:r>
        <w:rPr>
          <w:highlight w:val="none"/>
        </w:rPr>
      </w:r>
      <w:bookmarkEnd w:id="72"/>
      <w:r>
        <w:rPr>
          <w:highlight w:val="none"/>
        </w:rPr>
      </w:r>
      <w:bookmarkEnd w:id="73"/>
      <w:r>
        <w:rPr>
          <w:highlight w:val="none"/>
        </w:rPr>
      </w:r>
      <w:r/>
    </w:p>
    <w:p>
      <w:pPr>
        <w:ind w:firstLine="420"/>
        <w:spacing w:line="360" w:lineRule="auto"/>
        <w:rPr>
          <w:rFonts w:cs="宋体"/>
          <w:b/>
          <w:bCs/>
          <w:highlight w:val="none"/>
        </w:rPr>
      </w:pPr>
      <w:r>
        <w:rPr>
          <w:rFonts w:hint="eastAsia" w:ascii="宋体" w:hAnsi="宋体" w:cs="宋体"/>
          <w:szCs w:val="21"/>
          <w:highlight w:val="none"/>
        </w:rPr>
        <w:t xml:space="preserve">1.项目名称：</w:t>
      </w:r>
      <w:r>
        <w:rPr>
          <w:rFonts w:hint="eastAsia" w:cs="宋体"/>
          <w:b/>
          <w:bCs/>
          <w:highlight w:val="none"/>
        </w:rPr>
        <w:t xml:space="preserve">马鞍街道鞍山骨灰堂（一期扩建）工程</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2.项目内容：</w:t>
      </w:r>
      <w:r>
        <w:rPr>
          <w:rFonts w:hint="eastAsia"/>
          <w:color w:val="000000"/>
          <w:szCs w:val="21"/>
          <w:highlight w:val="none"/>
          <w:shd w:val="clear" w:color="auto" w:fill="ffffff"/>
        </w:rPr>
        <w:t xml:space="preserve">马鞍街道鞍山骨灰堂（一期扩建）工程</w:t>
      </w:r>
      <w:r>
        <w:rPr>
          <w:rFonts w:hint="eastAsia"/>
          <w:color w:val="000000"/>
          <w:szCs w:val="21"/>
          <w:highlight w:val="none"/>
          <w:shd w:val="clear" w:color="auto" w:fill="ffffff"/>
          <w:lang w:bidi="ar"/>
        </w:rPr>
        <w:t xml:space="preserve">，具体详工程量清单。</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3.工期：</w:t>
      </w:r>
      <w:r>
        <w:rPr>
          <w:rFonts w:ascii="宋体" w:hAnsi="宋体" w:cs="宋体"/>
          <w:szCs w:val="21"/>
          <w:highlight w:val="none"/>
        </w:rPr>
        <w:t xml:space="preserve">120</w:t>
      </w:r>
      <w:r>
        <w:rPr>
          <w:rFonts w:ascii="宋体" w:hAnsi="宋体" w:cs="宋体"/>
          <w:szCs w:val="21"/>
          <w:highlight w:val="none"/>
        </w:rPr>
        <w:t xml:space="preserve">日历</w:t>
      </w:r>
      <w:r>
        <w:rPr>
          <w:rFonts w:hint="eastAsia" w:ascii="宋体" w:hAnsi="宋体" w:cs="宋体"/>
          <w:szCs w:val="21"/>
          <w:highlight w:val="none"/>
        </w:rPr>
        <w:t xml:space="preserve">天</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4.采购预算：</w:t>
      </w:r>
      <w:r>
        <w:rPr>
          <w:rFonts w:ascii="宋体" w:hAnsi="宋体" w:cs="宋体"/>
          <w:szCs w:val="21"/>
          <w:highlight w:val="none"/>
        </w:rPr>
        <w:t xml:space="preserve">220</w:t>
      </w:r>
      <w:r>
        <w:rPr>
          <w:rFonts w:hint="eastAsia" w:ascii="宋体" w:hAnsi="宋体" w:cs="宋体"/>
          <w:szCs w:val="21"/>
          <w:highlight w:val="none"/>
        </w:rPr>
        <w:t xml:space="preserve">万元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5.采购最高限价：</w:t>
      </w:r>
      <w:r>
        <w:rPr>
          <w:rFonts w:ascii="宋体" w:hAnsi="宋体" w:cs="宋体"/>
          <w:szCs w:val="21"/>
          <w:highlight w:val="none"/>
        </w:rPr>
        <w:t xml:space="preserve">200</w:t>
      </w:r>
      <w:r>
        <w:rPr>
          <w:rFonts w:ascii="宋体" w:hAnsi="宋体" w:cs="宋体"/>
          <w:szCs w:val="21"/>
          <w:highlight w:val="none"/>
        </w:rPr>
        <w:t xml:space="preserve">.0971</w:t>
      </w:r>
      <w:r>
        <w:rPr>
          <w:rFonts w:ascii="宋体" w:hAnsi="宋体" w:cs="宋体"/>
          <w:szCs w:val="21"/>
          <w:highlight w:val="none"/>
        </w:rPr>
        <w:t xml:space="preserve">61</w:t>
      </w:r>
      <w:r>
        <w:rPr>
          <w:rFonts w:hint="eastAsia" w:ascii="宋体" w:hAnsi="宋体" w:cs="宋体"/>
          <w:szCs w:val="21"/>
          <w:highlight w:val="none"/>
        </w:rPr>
        <w:t xml:space="preserve">万元（供应商的磋商报价超过最高限价的其响应文件将被作为无效响应处理）</w:t>
      </w:r>
      <w:r>
        <w:rPr>
          <w:highlight w:val="none"/>
        </w:rPr>
      </w:r>
      <w:r/>
    </w:p>
    <w:p>
      <w:pPr>
        <w:pStyle w:val="923"/>
        <w:spacing w:line="360" w:lineRule="auto"/>
        <w:rPr>
          <w:rFonts w:ascii="宋体" w:hAnsi="宋体" w:cs="宋体"/>
          <w:szCs w:val="21"/>
          <w:highlight w:val="none"/>
        </w:rPr>
      </w:pPr>
      <w:r>
        <w:rPr>
          <w:rFonts w:hint="eastAsia" w:ascii="宋体" w:hAnsi="宋体" w:cs="宋体"/>
          <w:szCs w:val="21"/>
          <w:highlight w:val="none"/>
        </w:rPr>
        <w:t xml:space="preserve">6.建设地点：南京市</w:t>
      </w:r>
      <w:r>
        <w:rPr>
          <w:rFonts w:hint="eastAsia" w:ascii="宋体" w:hAnsi="宋体" w:cs="宋体"/>
          <w:szCs w:val="21"/>
          <w:highlight w:val="none"/>
        </w:rPr>
        <w:t xml:space="preserve">六合区马鞍街道</w:t>
      </w:r>
      <w:r>
        <w:rPr>
          <w:highlight w:val="none"/>
        </w:rPr>
      </w:r>
      <w:r/>
    </w:p>
    <w:p>
      <w:pPr>
        <w:pStyle w:val="923"/>
        <w:spacing w:line="360" w:lineRule="auto"/>
        <w:rPr>
          <w:rFonts w:ascii="宋体" w:hAnsi="宋体" w:cs="宋体"/>
          <w:color w:val="000000"/>
          <w:szCs w:val="21"/>
          <w:highlight w:val="none"/>
          <w:shd w:val="clear" w:color="auto" w:fill="ffffff"/>
        </w:rPr>
      </w:pPr>
      <w:r>
        <w:rPr>
          <w:rFonts w:hint="eastAsia" w:ascii="宋体" w:hAnsi="宋体" w:cs="宋体"/>
          <w:szCs w:val="21"/>
          <w:highlight w:val="none"/>
        </w:rPr>
        <w:t xml:space="preserve">7.</w:t>
      </w:r>
      <w:r>
        <w:rPr>
          <w:rFonts w:hint="eastAsia" w:ascii="宋体" w:hAnsi="宋体" w:cs="宋体"/>
          <w:color w:val="000000"/>
          <w:szCs w:val="21"/>
          <w:highlight w:val="none"/>
          <w:shd w:val="clear" w:color="auto" w:fill="ffffff"/>
        </w:rPr>
        <w:t xml:space="preserve">付款方式</w:t>
      </w:r>
      <w:r>
        <w:rPr>
          <w:highlight w:val="none"/>
        </w:rPr>
      </w:r>
      <w:r/>
    </w:p>
    <w:p>
      <w:pPr>
        <w:ind w:firstLine="420"/>
        <w:spacing w:line="360" w:lineRule="auto"/>
        <w:rPr>
          <w:rFonts w:ascii="宋体" w:hAnsi="宋体"/>
          <w:highlight w:val="none"/>
        </w:rPr>
      </w:pPr>
      <w:r>
        <w:rPr>
          <w:highlight w:val="none"/>
        </w:rPr>
      </w:r>
      <w:bookmarkStart w:id="74" w:name="_Toc21193"/>
      <w:r>
        <w:rPr>
          <w:highlight w:val="none"/>
        </w:rPr>
      </w:r>
      <w:bookmarkStart w:id="75" w:name="_Toc25263"/>
      <w:r>
        <w:rPr>
          <w:highlight w:val="none"/>
        </w:rPr>
      </w:r>
      <w:bookmarkStart w:id="76" w:name="_Toc535597873"/>
      <w:r>
        <w:rPr>
          <w:highlight w:val="none"/>
        </w:rPr>
      </w:r>
      <w:bookmarkStart w:id="77" w:name="_Toc503948077"/>
      <w:r>
        <w:rPr>
          <w:highlight w:val="none"/>
        </w:rPr>
      </w:r>
      <w:bookmarkStart w:id="78" w:name="_Toc503948584"/>
      <w:r>
        <w:rPr>
          <w:highlight w:val="none"/>
        </w:rPr>
      </w:r>
      <w:bookmarkEnd w:id="66"/>
      <w:r>
        <w:rPr>
          <w:highlight w:val="none"/>
        </w:rPr>
      </w:r>
      <w:bookmarkEnd w:id="67"/>
      <w:r>
        <w:rPr>
          <w:highlight w:val="none"/>
        </w:rPr>
      </w:r>
      <w:bookmarkEnd w:id="68"/>
      <w:r>
        <w:rPr>
          <w:highlight w:val="none"/>
        </w:rPr>
      </w:r>
      <w:bookmarkEnd w:id="69"/>
      <w:r>
        <w:rPr>
          <w:rFonts w:hint="eastAsia" w:ascii="宋体" w:hAnsi="宋体"/>
          <w:highlight w:val="none"/>
        </w:rPr>
        <w:t xml:space="preserve">结算方式：结算价即审定价。</w:t>
      </w:r>
      <w:r>
        <w:rPr>
          <w:rFonts w:hint="eastAsia" w:ascii="宋体" w:hAnsi="宋体"/>
          <w:szCs w:val="21"/>
          <w:highlight w:val="none"/>
        </w:rPr>
        <w:t xml:space="preserve">如乙方磋商时的最终报价相比</w:t>
      </w:r>
      <w:r>
        <w:rPr>
          <w:rFonts w:hint="eastAsia" w:ascii="宋体" w:hAnsi="宋体" w:cs="宋体"/>
          <w:szCs w:val="21"/>
          <w:highlight w:val="none"/>
          <w:lang w:bidi="ar"/>
        </w:rPr>
        <w:t xml:space="preserve">首轮报价</w:t>
      </w:r>
      <w:r>
        <w:rPr>
          <w:rFonts w:hint="eastAsia" w:ascii="宋体" w:hAnsi="宋体"/>
          <w:szCs w:val="21"/>
          <w:highlight w:val="none"/>
        </w:rPr>
        <w:t xml:space="preserve">进行下浮，含税单价以乙方最终报价等比例下浮后的为准。</w:t>
      </w:r>
      <w:r>
        <w:rPr>
          <w:highlight w:val="none"/>
        </w:rPr>
      </w:r>
      <w:r/>
    </w:p>
    <w:p>
      <w:pPr>
        <w:ind w:firstLine="420"/>
        <w:spacing w:line="360" w:lineRule="auto"/>
        <w:rPr>
          <w:rFonts w:ascii="宋体" w:hAnsi="宋体" w:cs="宋体"/>
          <w:color w:val="ff0000"/>
          <w:szCs w:val="21"/>
          <w:highlight w:val="none"/>
          <w:shd w:val="clear" w:color="auto" w:fill="ffffff"/>
        </w:rPr>
      </w:pPr>
      <w:r>
        <w:rPr>
          <w:rFonts w:hint="eastAsia" w:ascii="宋体" w:hAnsi="宋体"/>
          <w:highlight w:val="none"/>
        </w:rPr>
        <w:t xml:space="preserve">付款周期：</w:t>
      </w:r>
      <w:r>
        <w:rPr>
          <w:rFonts w:hint="eastAsia" w:ascii="宋体" w:hAnsi="宋体"/>
          <w:color w:val="ff0000"/>
          <w:highlight w:val="none"/>
        </w:rPr>
        <w:t xml:space="preserve">合同价款分四次支付，工程主体完成支付合同总价的30%，工程竣工并通过审计支付至审定价的60%（留整），竣工满一年付至审定价的80%（取整），竣工满两年按照审定价付清全部款项。</w:t>
      </w:r>
      <w:r>
        <w:rPr>
          <w:highlight w:val="none"/>
        </w:rPr>
      </w:r>
      <w:r/>
    </w:p>
    <w:p>
      <w:pPr>
        <w:ind w:firstLine="422"/>
        <w:spacing w:line="360" w:lineRule="auto"/>
        <w:rPr>
          <w:b/>
          <w:bCs/>
          <w:szCs w:val="21"/>
          <w:highlight w:val="none"/>
        </w:rPr>
      </w:pPr>
      <w:r>
        <w:rPr>
          <w:rFonts w:hint="eastAsia"/>
          <w:b/>
          <w:bCs/>
          <w:szCs w:val="21"/>
          <w:highlight w:val="none"/>
        </w:rPr>
        <w:t xml:space="preserve">二、工程量清单</w:t>
      </w:r>
      <w:bookmarkEnd w:id="74"/>
      <w:r>
        <w:rPr>
          <w:highlight w:val="none"/>
        </w:rPr>
      </w:r>
      <w:bookmarkEnd w:id="7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另附</w:t>
      </w:r>
      <w:r>
        <w:rPr>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三、报价说明</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1.本项目按工程量清单计价模式进行计价。供应商按照采购文件附件《工程量清单》要求报价。 </w:t>
      </w:r>
      <w:r>
        <w:rPr>
          <w:highlight w:val="none"/>
        </w:rPr>
      </w:r>
      <w:r/>
    </w:p>
    <w:p>
      <w:pPr>
        <w:ind w:firstLine="420"/>
        <w:spacing w:line="360" w:lineRule="auto"/>
        <w:rPr>
          <w:rFonts w:ascii="宋体" w:hAnsi="宋体" w:cs="宋体"/>
          <w:b/>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本项目执行财库〔2026〕2号《关于推动解决政府采购异常低价问题相关工作的通知》的相关规定。</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 评审中出现下列情形之一的，评审委员会应当启动异常低价投标（响应）审查程序：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（1）投标（响应）报价低于全部通过符合性审查供应商投标（响应）报价平均值50%的，即投标（响应）报价&lt;全部通过符合性审查供应商投标（响应）报价平均值×50%；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（2）投标（响应）报价低于通过符合性审查的次低报价供应商投标（响应）报价50%的，即投标（响应）报价&lt;通过符合性审查的次低报价供应商投标（响应）报价×50%；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（3）投标（响应）报价低于采购项目最高限价65%的，即投标（响应）报价&lt;采购项目最高限价×65%；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（4）评审委员会基于专业判断，认为供应商报价过低，有可能影响产品质量或者不能诚信履约的其他情形。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相关法律法规对供应商报价有规定的，从其规定。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cs="宋体"/>
          <w:highlight w:val="none"/>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highlight w:val="none"/>
        </w:rPr>
        <w:t xml:space="preserve">等。 </w:t>
      </w:r>
      <w:r>
        <w:rPr>
          <w:highlight w:val="none"/>
        </w:rPr>
      </w:r>
      <w:r/>
    </w:p>
    <w:p>
      <w:pPr>
        <w:ind w:firstLine="422"/>
        <w:jc w:val="left"/>
        <w:spacing w:line="360" w:lineRule="auto"/>
        <w:rPr>
          <w:rFonts w:ascii="宋体" w:hAnsi="宋体" w:cs="宋体"/>
          <w:bCs/>
          <w:szCs w:val="21"/>
          <w:highlight w:val="none"/>
        </w:rPr>
      </w:pPr>
      <w:r>
        <w:rPr>
          <w:rFonts w:hint="eastAsia" w:ascii="宋体" w:hAnsi="宋体" w:cs="宋体"/>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四、质量标准</w:t>
      </w:r>
      <w:r>
        <w:rPr>
          <w:highlight w:val="none"/>
        </w:rPr>
      </w:r>
      <w:r/>
    </w:p>
    <w:p>
      <w:pPr>
        <w:ind w:firstLine="42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承包人的施工质量应</w:t>
      </w:r>
      <w:r>
        <w:rPr>
          <w:rFonts w:hint="eastAsia" w:ascii="宋体" w:hAnsi="宋体" w:cs="宋体"/>
          <w:b/>
          <w:bCs/>
          <w:color w:val="000000"/>
          <w:szCs w:val="21"/>
          <w:highlight w:val="none"/>
        </w:rPr>
        <w:t xml:space="preserve">符合国家质量验收标准</w:t>
      </w:r>
      <w:r>
        <w:rPr>
          <w:rFonts w:hint="eastAsia" w:ascii="宋体" w:hAnsi="宋体" w:cs="宋体"/>
          <w:color w:val="000000"/>
          <w:szCs w:val="21"/>
          <w:highlight w:val="none"/>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highlight w:val="none"/>
        </w:rPr>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五、安全要求</w:t>
      </w:r>
      <w:r>
        <w:rPr>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1.成交供应商遵守国家、地方现行工程建设安全生产有关管理规定，严格按安全标准实行文明施工管理，并随时接受行政监督机构及其安全检查人员依法实施的监督检查。</w:t>
      </w:r>
      <w:r>
        <w:rPr>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3.成交供应商应做到文明施工，不得扰民，做好施工现场整洁，做好已有设施的保护措施，如有损坏采购人有权要求赔偿，施工垃圾及时清运，清运手续、费用由施工方自行解决。</w:t>
      </w:r>
      <w:r>
        <w:rPr>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4.其他安全要求具体详见合同条款。</w:t>
      </w:r>
      <w:r>
        <w:rPr>
          <w:highlight w:val="none"/>
        </w:rPr>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六、其他要求</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1.技术规范：执行国家和行业最新规范。</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2.供应商</w:t>
      </w:r>
      <w:r>
        <w:rPr>
          <w:rFonts w:hint="eastAsia" w:ascii="宋体" w:hAnsi="宋体" w:cs="宋体"/>
          <w:szCs w:val="21"/>
          <w:highlight w:val="none"/>
          <w:lang w:val="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cs="宋体"/>
          <w:szCs w:val="21"/>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项目经理每月在施工现场的时间要求：每天不少于8小时，每周不少于6天。项目经理必须常驻现场，离开工地需经发包人及总监理工程师书面同意，若无正当理由且未经发包人及总监理工程师的同意不在工地现场的，发包人每</w:t>
      </w:r>
      <w:r>
        <w:rPr>
          <w:rFonts w:hint="eastAsia" w:ascii="宋体" w:hAnsi="宋体" w:cs="宋体"/>
          <w:szCs w:val="21"/>
          <w:highlight w:val="none"/>
        </w:rPr>
        <w:t xml:space="preserve">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*七、项目承诺书</w:t>
      </w:r>
      <w:r>
        <w:rPr>
          <w:highlight w:val="none"/>
        </w:rPr>
      </w:r>
      <w:r/>
    </w:p>
    <w:p>
      <w:pPr>
        <w:pStyle w:val="703"/>
        <w:ind w:firstLine="420"/>
        <w:spacing w:before="0" w:after="0" w:line="360" w:lineRule="auto"/>
        <w:rPr>
          <w:rFonts w:ascii="宋体" w:hAnsi="宋体" w:eastAsia="宋体"/>
          <w:b w:val="0"/>
          <w:color w:val="000000"/>
          <w:sz w:val="21"/>
          <w:szCs w:val="21"/>
          <w:highlight w:val="none"/>
        </w:rPr>
      </w:pPr>
      <w:r>
        <w:rPr>
          <w:rFonts w:hint="eastAsia" w:ascii="宋体" w:hAnsi="宋体" w:eastAsia="宋体"/>
          <w:b w:val="0"/>
          <w:color w:val="000000"/>
          <w:sz w:val="21"/>
          <w:szCs w:val="21"/>
          <w:highlight w:val="none"/>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rPr>
          <w:highlight w:val="none"/>
        </w:rPr>
      </w:r>
      <w:r/>
    </w:p>
    <w:p>
      <w:pPr>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2.供应商承诺施工员、质检（质量）员、安全员、资料员、造价员等班组成员满足每天不少于8小时，每周不少于5天驻场，如不满足则自愿接受采购人的相关处罚。（提供承诺书加盖公章，格式自拟）</w:t>
      </w:r>
      <w:r>
        <w:rPr>
          <w:highlight w:val="none"/>
        </w:rPr>
      </w:r>
      <w:r/>
    </w:p>
    <w:p>
      <w:pPr>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成交后成交供应商应针对原设计内容图纸和甲方工作量需求对项目清单进行清标，若清标过程中未发现相关漏项、缺项，后期因此产生的费用和责任均由成交供应商自行承担。（提供承诺书加盖公章，格式自拟）</w:t>
      </w:r>
      <w:r>
        <w:rPr>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八</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工程</w:t>
      </w:r>
      <w:r>
        <w:rPr>
          <w:rFonts w:hint="eastAsia" w:ascii="宋体" w:hAnsi="宋体" w:cs="宋体"/>
          <w:b/>
          <w:bCs/>
          <w:szCs w:val="21"/>
          <w:highlight w:val="none"/>
          <w:lang w:val="zh-CN"/>
        </w:rPr>
        <w:t xml:space="preserve">图纸</w:t>
      </w:r>
      <w:r>
        <w:rPr>
          <w:highlight w:val="none"/>
        </w:rPr>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供应商自行在百度网盘下载，未下载由此产生的一切后果均由供应商自行承担。</w:t>
      </w:r>
      <w:r>
        <w:rPr>
          <w:highlight w:val="none"/>
        </w:rPr>
      </w:r>
      <w:r/>
    </w:p>
    <w:p>
      <w:pPr>
        <w:ind w:firstLine="420"/>
        <w:spacing w:line="360" w:lineRule="auto"/>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r>
      <w:r>
        <w:rPr>
          <w:highlight w:val="none"/>
        </w:rPr>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通过网盘分享的文件：图纸.zip</w:t>
      </w:r>
      <w:r>
        <w:rPr>
          <w:highlight w:val="none"/>
        </w:rPr>
      </w:r>
      <w:r/>
    </w:p>
    <w:p>
      <w:pPr>
        <w:ind w:firstLine="420"/>
        <w:spacing w:line="360" w:lineRule="auto"/>
        <w:rPr>
          <w:rFonts w:ascii="宋体" w:hAnsi="宋体" w:cs="宋体"/>
          <w:color w:val="000000"/>
          <w:szCs w:val="21"/>
          <w:highlight w:val="none"/>
          <w:shd w:val="clear" w:color="auto" w:fill="ffffff"/>
        </w:rPr>
        <w:sectPr>
          <w:headerReference w:type="default" r:id="rId9"/>
          <w:footerReference w:type="default" r:id="rId11"/>
          <w:footnotePr/>
          <w:endnotePr/>
          <w:type w:val="nextPage"/>
          <w:pgSz w:w="11906" w:h="16838" w:orient="portrait"/>
          <w:pgMar w:top="1418" w:right="1418" w:bottom="1418" w:left="1418" w:header="720" w:footer="720" w:gutter="0"/>
          <w:pgNumType w:start="1"/>
          <w:cols w:num="1" w:sep="0" w:space="1701" w:equalWidth="1"/>
          <w:docGrid w:linePitch="360"/>
        </w:sectPr>
      </w:pPr>
      <w:r>
        <w:rPr>
          <w:rFonts w:hint="eastAsia" w:ascii="宋体" w:hAnsi="宋体" w:cs="宋体"/>
          <w:color w:val="000000"/>
          <w:szCs w:val="21"/>
          <w:highlight w:val="none"/>
          <w:shd w:val="clear" w:color="auto" w:fill="ffffff"/>
          <w:lang w:bidi="ar"/>
        </w:rPr>
        <w:t xml:space="preserve">链接: https://pan.baidu.com/s/12Qw1PcLBzxWrOHnydtJfzw 提取码: muai</w:t>
      </w:r>
      <w:r>
        <w:rPr>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九、招标清单编制说明</w:t>
      </w:r>
      <w:r>
        <w:rPr>
          <w:highlight w:val="none"/>
        </w:rPr>
      </w:r>
      <w:r/>
    </w:p>
    <w:p>
      <w:pPr>
        <w:pStyle w:val="1129"/>
        <w:jc w:val="center"/>
        <w:spacing w:line="360" w:lineRule="auto"/>
        <w:rPr>
          <w:rFonts w:hAnsi="宋体"/>
          <w:b/>
          <w:sz w:val="32"/>
          <w:szCs w:val="32"/>
          <w:highlight w:val="none"/>
        </w:rPr>
      </w:pPr>
      <w:r>
        <w:rPr>
          <w:highlight w:val="none"/>
        </w:rPr>
      </w:r>
      <w:bookmarkStart w:id="79" w:name="_Hlk190087283"/>
      <w:r>
        <w:rPr>
          <w:rFonts w:hint="eastAsia" w:hAnsi="宋体"/>
          <w:b/>
          <w:sz w:val="32"/>
          <w:szCs w:val="32"/>
          <w:highlight w:val="none"/>
        </w:rPr>
        <w:t xml:space="preserve">招标清单编制说明</w:t>
      </w:r>
      <w:bookmarkEnd w:id="79"/>
      <w:r>
        <w:rPr>
          <w:highlight w:val="none"/>
        </w:rPr>
      </w:r>
      <w:r/>
    </w:p>
    <w:p>
      <w:pPr>
        <w:ind w:firstLine="420"/>
        <w:spacing w:line="360" w:lineRule="auto"/>
        <w:rPr>
          <w:rFonts w:cs="宋体"/>
          <w:b/>
          <w:bCs/>
          <w:highlight w:val="none"/>
        </w:rPr>
      </w:pPr>
      <w:r>
        <w:rPr>
          <w:rFonts w:hint="eastAsia" w:ascii="Trebuchet MS" w:hAnsi="宋体" w:cs="Trebuchet MS"/>
          <w:szCs w:val="21"/>
          <w:highlight w:val="none"/>
        </w:rPr>
        <w:t xml:space="preserve">工程名称</w:t>
      </w:r>
      <w:r>
        <w:rPr>
          <w:rFonts w:hint="eastAsia" w:ascii="Trebuchet MS" w:hAnsi="宋体" w:cs="Trebuchet MS"/>
          <w:szCs w:val="21"/>
          <w:highlight w:val="none"/>
        </w:rPr>
        <w:t xml:space="preserve">: </w:t>
      </w:r>
      <w:r>
        <w:rPr>
          <w:rFonts w:hint="eastAsia" w:cs="宋体"/>
          <w:szCs w:val="21"/>
          <w:highlight w:val="none"/>
        </w:rPr>
        <w:t xml:space="preserve">马鞍街道鞍山骨灰堂（一期扩建）工程</w:t>
      </w:r>
      <w:r>
        <w:rPr>
          <w:highlight w:val="none"/>
        </w:rPr>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8"/>
      </w:tblGrid>
      <w:tr>
        <w:trPr>
          <w:trHeight w:val="4544"/>
        </w:trPr>
        <w:tc>
          <w:tcPr>
            <w:tcW w:w="9286" w:type="dxa"/>
            <w:textDirection w:val="lrTb"/>
            <w:noWrap w:val="false"/>
          </w:tcPr>
          <w:p>
            <w:pPr>
              <w:ind w:firstLine="480"/>
              <w:spacing w:line="500" w:lineRule="exact"/>
              <w:rPr>
                <w:rFonts w:hint="eastAsia" w:ascii="宋体" w:hAnsi="宋体"/>
                <w:sz w:val="24"/>
                <w:highlight w:val="none"/>
              </w:rPr>
            </w:pPr>
            <w:r>
              <w:rPr>
                <w:rFonts w:hint="eastAsia" w:ascii="宋体" w:hAnsi="宋体"/>
                <w:sz w:val="24"/>
                <w:highlight w:val="none"/>
              </w:rPr>
              <w:t xml:space="preserve">一、工程概况：本工程为马鞍街道鞍山骨灰堂（一期扩建）工程，工程地点位于</w:t>
            </w:r>
            <w:r>
              <w:rPr>
                <w:rFonts w:hint="eastAsia" w:ascii="宋体" w:hAnsi="宋体" w:cs="宋体"/>
                <w:sz w:val="24"/>
                <w:highlight w:val="none"/>
              </w:rPr>
              <w:t xml:space="preserve">南京市六合区马鞍街道。</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二、工程招标范围：基础及土建、照明电气、给排水等，具体施工内容详见设计图纸。</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三、工程类别：建筑工程，安装工程。</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四、编制依据及说明：</w:t>
            </w:r>
            <w:r>
              <w:rPr>
                <w:highlight w:val="none"/>
              </w:rPr>
            </w:r>
            <w:r/>
          </w:p>
          <w:p>
            <w:pPr>
              <w:ind w:firstLine="480"/>
              <w:spacing w:line="500" w:lineRule="exact"/>
              <w:rPr>
                <w:rFonts w:hint="eastAsia" w:ascii="宋体" w:hAnsi="宋体"/>
                <w:color w:val="ff0000"/>
                <w:sz w:val="24"/>
                <w:highlight w:val="none"/>
              </w:rPr>
            </w:pPr>
            <w:r>
              <w:rPr>
                <w:rFonts w:hint="eastAsia" w:ascii="宋体" w:hAnsi="宋体"/>
                <w:sz w:val="24"/>
                <w:highlight w:val="none"/>
              </w:rPr>
              <w:t xml:space="preserve">1、根据建设单位提供的由南京环宇建筑设计院有限公司设计的</w:t>
            </w:r>
            <w:r>
              <w:rPr>
                <w:rFonts w:hint="eastAsia"/>
                <w:sz w:val="24"/>
                <w:highlight w:val="none"/>
              </w:rPr>
              <w:t xml:space="preserve">《马鞍街道鞍山骨灰堂（一期扩建）工程</w:t>
            </w:r>
            <w:r>
              <w:rPr>
                <w:rFonts w:hint="eastAsia" w:ascii="宋体" w:hAnsi="宋体"/>
                <w:sz w:val="24"/>
                <w:highlight w:val="none"/>
              </w:rPr>
              <w:t xml:space="preserve">电子版图纸进行编制。</w:t>
            </w:r>
            <w:r>
              <w:rPr>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2、苏建价[2014]448号，省住房城乡建设厅关于《建设工程工程量清单计价规范》（GB50500-2013）及其9本工程量计算规范的贯彻意见。</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3、《江苏省建筑工程计价定额》（2014）；《江苏省安装工程计价定额》（2014）。</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4、《江苏省建筑工程费用定额》（苏建价[2014]299号）营改增调整。</w:t>
            </w:r>
            <w:r>
              <w:rPr>
                <w:highlight w:val="none"/>
              </w:rPr>
            </w:r>
            <w:r/>
          </w:p>
          <w:p>
            <w:pPr>
              <w:ind w:firstLine="480"/>
              <w:spacing w:line="500" w:lineRule="exact"/>
              <w:rPr>
                <w:rFonts w:hint="eastAsia" w:ascii="宋体" w:hAnsi="宋体"/>
                <w:color w:val="000000"/>
                <w:sz w:val="24"/>
                <w:highlight w:val="none"/>
              </w:rPr>
            </w:pPr>
            <w:r>
              <w:rPr>
                <w:rFonts w:hint="eastAsia" w:ascii="宋体" w:hAnsi="宋体"/>
                <w:sz w:val="24"/>
                <w:highlight w:val="none"/>
              </w:rPr>
              <w:t xml:space="preserve">5、主要材料价格按照南京市及六合区2026年6月份信息指导价，信息指导价没有的材料价格按照编标时相应的市场价</w:t>
            </w:r>
            <w:r>
              <w:rPr>
                <w:rFonts w:hint="eastAsia" w:ascii="宋体" w:hAnsi="宋体"/>
                <w:color w:val="000000"/>
                <w:sz w:val="24"/>
                <w:highlight w:val="none"/>
              </w:rPr>
              <w:t xml:space="preserve">。</w:t>
            </w:r>
            <w:r>
              <w:rPr>
                <w:highlight w:val="none"/>
              </w:rPr>
            </w:r>
            <w:r/>
          </w:p>
          <w:p>
            <w:pPr>
              <w:ind w:firstLine="480"/>
              <w:spacing w:line="500" w:lineRule="exact"/>
              <w:rPr>
                <w:rFonts w:hint="eastAsia" w:ascii="宋体" w:hAnsi="宋体"/>
                <w:color w:val="000000"/>
                <w:sz w:val="24"/>
                <w:highlight w:val="none"/>
              </w:rPr>
            </w:pPr>
            <w:r>
              <w:rPr>
                <w:rFonts w:hint="eastAsia" w:ascii="宋体" w:hAnsi="宋体"/>
                <w:sz w:val="24"/>
                <w:highlight w:val="none"/>
              </w:rPr>
              <w:t xml:space="preserve">6、苏建函价（2025）2号，省住房城乡建设厅关于建筑业增值税计价政策调整的通知；</w:t>
            </w:r>
            <w:r>
              <w:rPr>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7、人工单价按苏建函价（2026）027号文执行。</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8、本工程所用砼均为商品砼，砼是否采用泵送由各投标人自行考虑，结算时不调整，砼应根据设计图纸要求掺加抗裂纤维及其他外加剂，其费用含在投标报价中。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9、本工程用砂浆应采用预拌商品砂浆。</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10、本工程考虑施工图之外草坪工程量200m2，考虑碎石道路工程量400m2。</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五、土方部分</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1、人工配合机械挖土，人工修边坡、整平，坑底预留人工挖土、自然放坡、边坡修整等，由投标人结合施工方案自行综合考虑报价，结算时不调整。</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2、现场开挖的土方外运，由投标人自行察看渣土弃置场，其运输距离自行考虑。</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3、基(槽)坑夯填回填土（含四周坑壁回填土）粘土分层夯实回填，现场需用于回填的土符合设计图纸及规范要求，投标人自行考虑堆场，土源及回填投标人根据现场情况自行考虑在综合报价中。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4、土方开挖时应控制好开挖深度，严禁超挖，因施工方原因造成的超挖工作量自行承担。</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5、本项目土方开挖，若产生内倒，由投标人在报价充分考虑计入报价中。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6、本项目图纸需深化设计部分，由投标人在报价充分考虑计入报价中。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六、其他说明：</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1、措施费项目：安全文明施工措施费计取基本费、扬尘污染防治增加费。</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2、本工程量清单包括分部分项工程量清单、总价措施项目清单、单价措施项目清单、其他项目清单。清单项目特征中如未完全描述清楚的但又是该分项工程必须完成的工作内容，投标时均应考虑在综合报价中。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3、投标人需仔细勘察施工现场，详细了解其施工环境，工地位置及任何其他足以影响承包价及工期的情况，招标人对于现有的施工环境及条件将不增加任何投入，投标人需结合设计图纸和招标工程量清单自行考虑并计入投标价内。</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4、工程量清单中每一个项目的综合单价及措施费中，应包括人工费、材料费、机械（设备）费、管理费、利润、税金、材料差价、场内外运输、机械进退场、临时设施、材料周转、赶工措施、机械停置、噪音排污及夜间施工费、管线保护、交通协调以及根据本招标文件要求的风险金等全部费用。</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5、各种管道孔（含水、电管道孔洞）的预留、填补及防水、金属构件与墙体连接填补及防水，管线暗埋的开槽刨沟及砼面压槽、电表箱、配电箱及消火栓箱等预留（含预留木盒制作、安装、拆除、清理、洞口填缝及饰面修补等），投标人在报价充分考虑。</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6、本项目所有有关管路的穿墙、穿板、打洞、开槽、穿梁、绕梁、因各种管道之间标高不同需要上翻或下翻增加的量、套管、开孔、封堵、修补等一系列相关内容，投标人按现行规范，图纸要求自行考虑在单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7、招标清单中措施项目以“项”为单位的，投标人自主报价，结算时不调整。</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8、所有主要材料进场前需提供物料样品，经建设单位、监理单位、跟踪审计单位确认后方可采购进场施工，否则不予计量。</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9、投标人充分考虑《江苏省工程建设标准工程住宅工程质量通病控制标准》DGJ32J 16-2014 相关内容，并计入相应报价中，结算时不做调整。</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10、本工程设暂列金额，金额为50000.00元。</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12、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13计价规范”中注明的工程内容，承包人在报价时应充分考虑“工程内容”而产生的费用，列入相应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13、如清单中有未尽事宜，请参照图纸进行报价，清单综合单价中均包含图纸中所有做法，投标单位若未在投标截止日期前提出答疑文件，则视为认可此清单包含图纸内所有工程量。工程量清单中每一项目工程量系合同招标工程量，作为投标报价的基础，而不能完全作为对承包商进行支付的依据。结算时，按实际发生并经发包方、监理和跟踪审计认可的工程量为准；</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14、投标单位应在投标前现场察看，并可以对清单提出疑问，如无疑问提出则表示对清单无异议，中标后不得以缺项或工程量有偏差或其他提出合同价款调整的要求，但设计变更及招标人要求变动的内容除外。并请自行考虑施工条件；</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15、中标人有义务配合招标人做好相关单位的协调工作。</w:t>
            </w:r>
            <w:r>
              <w:rPr>
                <w:highlight w:val="none"/>
              </w:rPr>
            </w:r>
            <w:r/>
          </w:p>
          <w:p>
            <w:pPr>
              <w:ind w:firstLine="420"/>
              <w:spacing w:line="500" w:lineRule="exact"/>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r>
            <w:r>
              <w:rPr>
                <w:highlight w:val="none"/>
              </w:rPr>
            </w:r>
            <w:r/>
          </w:p>
        </w:tc>
      </w:tr>
    </w:tbl>
    <w:p>
      <w:pPr>
        <w:ind w:firstLine="420"/>
        <w:spacing w:line="360" w:lineRule="auto"/>
        <w:rPr>
          <w:rFonts w:ascii="宋体" w:hAnsi="宋体" w:cs="宋体"/>
          <w:color w:val="000000"/>
          <w:szCs w:val="21"/>
          <w:highlight w:val="none"/>
          <w:shd w:val="clear" w:color="auto" w:fill="ffffff"/>
        </w:rPr>
        <w:sectPr>
          <w:footnotePr/>
          <w:endnotePr/>
          <w:type w:val="nextPage"/>
          <w:pgSz w:w="11906" w:h="16838" w:orient="portrait"/>
          <w:pgMar w:top="1418" w:right="1418" w:bottom="1418" w:left="1418" w:header="720" w:footer="720" w:gutter="0"/>
          <w:cols w:num="1" w:sep="0" w:space="1701" w:equalWidth="1"/>
          <w:docGrid w:linePitch="360"/>
        </w:sectPr>
      </w:pPr>
      <w:r>
        <w:rPr>
          <w:rFonts w:ascii="宋体" w:hAnsi="宋体" w:cs="宋体"/>
          <w:color w:val="000000"/>
          <w:szCs w:val="21"/>
          <w:highlight w:val="none"/>
          <w:shd w:val="clear" w:color="auto" w:fill="ffffff"/>
          <w:lang w:bidi="ar"/>
        </w:rPr>
      </w:r>
      <w:r>
        <w:rPr>
          <w:highlight w:val="none"/>
        </w:rPr>
      </w:r>
      <w:r/>
    </w:p>
    <w:p>
      <w:pPr>
        <w:ind w:firstLine="560"/>
        <w:jc w:val="left"/>
        <w:spacing w:line="360" w:lineRule="auto"/>
        <w:shd w:val="clear" w:color="auto" w:fill="ffffff"/>
        <w:widowControl/>
        <w:rPr>
          <w:rFonts w:ascii="宋体" w:hAnsi="宋体"/>
          <w:sz w:val="28"/>
          <w:szCs w:val="28"/>
          <w:highlight w:val="none"/>
        </w:rPr>
      </w:pPr>
      <w:r>
        <w:rPr>
          <w:rFonts w:hint="eastAsia" w:ascii="宋体" w:hAnsi="宋体"/>
          <w:sz w:val="28"/>
          <w:szCs w:val="28"/>
          <w:highlight w:val="none"/>
        </w:rPr>
        <w:t xml:space="preserve">合同编号：__________</w:t>
      </w:r>
      <w:r>
        <w:rPr>
          <w:highlight w:val="none"/>
        </w:rPr>
      </w:r>
      <w:r/>
    </w:p>
    <w:p>
      <w:pPr>
        <w:ind w:firstLine="640"/>
        <w:jc w:val="center"/>
        <w:spacing w:line="360" w:lineRule="auto"/>
        <w:rPr>
          <w:rFonts w:ascii="宋体" w:hAnsi="宋体" w:eastAsia="黑体"/>
          <w:bCs/>
          <w:sz w:val="32"/>
          <w:highlight w:val="none"/>
        </w:rPr>
        <w:outlineLvl w:val="0"/>
      </w:pPr>
      <w:r>
        <w:rPr>
          <w:rFonts w:ascii="宋体" w:hAnsi="宋体" w:eastAsia="黑体"/>
          <w:bCs/>
          <w:sz w:val="32"/>
          <w:highlight w:val="none"/>
          <w:lang w:val="zh-CN"/>
        </w:rPr>
      </w:r>
      <w:r>
        <w:rPr>
          <w:highlight w:val="none"/>
        </w:rPr>
      </w:r>
      <w:r/>
    </w:p>
    <w:p>
      <w:pPr>
        <w:ind w:firstLine="640"/>
        <w:jc w:val="center"/>
        <w:spacing w:line="360" w:lineRule="auto"/>
        <w:rPr>
          <w:rFonts w:ascii="宋体" w:hAnsi="宋体" w:eastAsia="黑体"/>
          <w:bCs/>
          <w:sz w:val="32"/>
          <w:highlight w:val="none"/>
        </w:rPr>
        <w:outlineLvl w:val="0"/>
      </w:pPr>
      <w:r>
        <w:rPr>
          <w:highlight w:val="none"/>
        </w:rPr>
      </w:r>
      <w:bookmarkStart w:id="80" w:name="_Toc11204"/>
      <w:r>
        <w:rPr>
          <w:rFonts w:hint="eastAsia" w:ascii="宋体" w:hAnsi="宋体" w:eastAsia="黑体"/>
          <w:bCs/>
          <w:sz w:val="32"/>
          <w:highlight w:val="none"/>
          <w:lang w:val="zh-CN"/>
        </w:rPr>
        <w:t xml:space="preserve">第五章</w:t>
      </w:r>
      <w:r>
        <w:rPr>
          <w:rFonts w:hint="eastAsia" w:ascii="宋体" w:hAnsi="宋体" w:eastAsia="黑体"/>
          <w:bCs/>
          <w:sz w:val="32"/>
          <w:highlight w:val="none"/>
          <w:lang w:val="zh-CN"/>
        </w:rPr>
        <w:t xml:space="preserve">  </w:t>
      </w:r>
      <w:r>
        <w:rPr>
          <w:rFonts w:hint="eastAsia" w:ascii="宋体" w:hAnsi="宋体" w:eastAsia="黑体"/>
          <w:bCs/>
          <w:sz w:val="32"/>
          <w:highlight w:val="none"/>
          <w:lang w:val="zh-CN"/>
        </w:rPr>
        <w:t xml:space="preserve">合同主要条款及格式</w:t>
      </w:r>
      <w:bookmarkEnd w:id="76"/>
      <w:r>
        <w:rPr>
          <w:highlight w:val="none"/>
        </w:rPr>
      </w:r>
      <w:bookmarkEnd w:id="77"/>
      <w:r>
        <w:rPr>
          <w:highlight w:val="none"/>
        </w:rPr>
      </w:r>
      <w:bookmarkEnd w:id="78"/>
      <w:r>
        <w:rPr>
          <w:highlight w:val="none"/>
        </w:rPr>
      </w:r>
      <w:bookmarkEnd w:id="80"/>
      <w:r>
        <w:rPr>
          <w:highlight w:val="none"/>
        </w:rPr>
      </w:r>
      <w:r/>
    </w:p>
    <w:p>
      <w:pPr>
        <w:ind w:firstLine="560"/>
        <w:jc w:val="left"/>
        <w:spacing w:line="360" w:lineRule="auto"/>
        <w:shd w:val="clear" w:color="auto" w:fill="ffffff"/>
        <w:widowControl/>
        <w:rPr>
          <w:rFonts w:ascii="宋体" w:hAnsi="宋体"/>
          <w:sz w:val="28"/>
          <w:szCs w:val="28"/>
          <w:highlight w:val="none"/>
        </w:rPr>
      </w:pPr>
      <w:r>
        <w:rPr>
          <w:rFonts w:ascii="宋体" w:hAnsi="宋体"/>
          <w:sz w:val="28"/>
          <w:szCs w:val="28"/>
          <w:highlight w:val="none"/>
        </w:rPr>
      </w:r>
      <w:r>
        <w:rPr>
          <w:highlight w:val="none"/>
        </w:rPr>
      </w:r>
      <w:r/>
    </w:p>
    <w:p>
      <w:pPr>
        <w:jc w:val="center"/>
        <w:spacing w:line="360" w:lineRule="auto"/>
        <w:shd w:val="clear" w:color="auto" w:fill="ffffff"/>
        <w:widowControl/>
        <w:rPr>
          <w:rFonts w:ascii="宋体" w:hAnsi="宋体"/>
          <w:sz w:val="52"/>
          <w:szCs w:val="52"/>
          <w:highlight w:val="none"/>
        </w:rPr>
      </w:pPr>
      <w:r>
        <w:rPr>
          <w:rFonts w:ascii="宋体" w:hAnsi="宋体"/>
          <w:sz w:val="52"/>
          <w:szCs w:val="52"/>
          <w:highlight w:val="none"/>
        </w:rPr>
      </w:r>
      <w:r>
        <w:rPr>
          <w:highlight w:val="none"/>
        </w:rPr>
      </w:r>
      <w:r/>
    </w:p>
    <w:p>
      <w:pPr>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highlight w:val="none"/>
        </w:rPr>
      </w:r>
      <w:r/>
    </w:p>
    <w:p>
      <w:pPr>
        <w:ind w:firstLine="315"/>
        <w:jc w:val="center"/>
        <w:spacing w:line="360" w:lineRule="auto"/>
        <w:shd w:val="clear" w:color="auto" w:fill="ffffff"/>
        <w:widowControl/>
        <w:rPr>
          <w:rFonts w:ascii="宋体" w:hAnsi="Calibri"/>
          <w:szCs w:val="21"/>
          <w:highlight w:val="none"/>
        </w:rPr>
      </w:pPr>
      <w:r>
        <w:rPr>
          <w:rFonts w:hint="eastAsia" w:ascii="宋体" w:hAnsi="Calibri"/>
          <w:sz w:val="32"/>
          <w:szCs w:val="32"/>
          <w:highlight w:val="none"/>
        </w:rPr>
        <w:t xml:space="preserve">（仅供参考）</w:t>
      </w:r>
      <w:r>
        <w:rPr>
          <w:highlight w:val="none"/>
        </w:rPr>
      </w:r>
      <w:r/>
    </w:p>
    <w:p>
      <w:pPr>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highlight w:val="none"/>
        </w:rPr>
      </w:r>
      <w:r/>
    </w:p>
    <w:p>
      <w:pPr>
        <w:ind w:firstLine="315"/>
        <w:spacing w:line="360" w:lineRule="auto"/>
        <w:shd w:val="clear" w:color="auto" w:fill="ffffff"/>
        <w:widowControl/>
        <w:rPr>
          <w:rFonts w:ascii="宋体" w:hAnsi="Calibri"/>
          <w:szCs w:val="21"/>
          <w:highlight w:val="none"/>
        </w:rPr>
      </w:pPr>
      <w:r>
        <w:rPr>
          <w:rFonts w:ascii="宋体" w:hAnsi="Calibri"/>
          <w:szCs w:val="21"/>
          <w:highlight w:val="none"/>
        </w:rPr>
      </w:r>
      <w:r>
        <w:rPr>
          <w:highlight w:val="none"/>
        </w:rPr>
      </w:r>
      <w:r/>
    </w:p>
    <w:p>
      <w:pPr>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highlight w:val="none"/>
        </w:rPr>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供应商：</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highlight w:val="none"/>
        </w:rPr>
      </w:r>
      <w:r/>
    </w:p>
    <w:p>
      <w:pPr>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highlight w:val="none"/>
        </w:rPr>
      </w:r>
      <w:r/>
    </w:p>
    <w:p>
      <w:pPr>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highlight w:val="none"/>
        </w:rPr>
      </w:r>
      <w:r/>
    </w:p>
    <w:p>
      <w:pPr>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highlight w:val="none"/>
        </w:rPr>
      </w:r>
      <w:r/>
    </w:p>
    <w:p>
      <w:pPr>
        <w:jc w:val="center"/>
        <w:spacing w:line="360" w:lineRule="auto"/>
        <w:tabs>
          <w:tab w:val="left" w:pos="3120" w:leader="none"/>
        </w:tabs>
        <w:rPr>
          <w:rFonts w:ascii="宋体" w:hAnsi="宋体"/>
          <w:b/>
          <w:bCs/>
          <w:sz w:val="28"/>
          <w:szCs w:val="30"/>
          <w:highlight w:val="none"/>
        </w:rPr>
      </w:pPr>
      <w:r>
        <w:rPr>
          <w:highlight w:val="none"/>
        </w:rPr>
      </w:r>
      <w:bookmarkStart w:id="81" w:name="_Toc535597874"/>
      <w:r>
        <w:rPr>
          <w:highlight w:val="none"/>
        </w:rPr>
      </w:r>
      <w:bookmarkStart w:id="82" w:name="_Toc503948078"/>
      <w:r>
        <w:rPr>
          <w:highlight w:val="none"/>
        </w:rPr>
      </w:r>
      <w:bookmarkStart w:id="83" w:name="_Toc503948585"/>
      <w:r>
        <w:rPr>
          <w:highlight w:val="none"/>
        </w:rPr>
      </w:r>
      <w:r/>
    </w:p>
    <w:p>
      <w:pPr>
        <w:jc w:val="center"/>
        <w:keepLines/>
        <w:keepNext/>
        <w:spacing w:before="260" w:after="260"/>
        <w:rPr>
          <w:rFonts w:ascii="Arial" w:hAnsi="Arial" w:cs="Arial"/>
          <w:b/>
          <w:color w:val="000000"/>
          <w:sz w:val="32"/>
          <w:highlight w:val="none"/>
        </w:rPr>
      </w:pPr>
      <w:r>
        <w:rPr>
          <w:highlight w:val="none"/>
        </w:rPr>
      </w:r>
      <w:bookmarkStart w:id="84" w:name="_Toc40862137"/>
      <w:r>
        <w:rPr>
          <w:highlight w:val="none"/>
        </w:rPr>
      </w:r>
      <w:bookmarkStart w:id="85" w:name="_Toc26778847"/>
      <w:r>
        <w:rPr>
          <w:rFonts w:ascii="Arial" w:hAnsi="Arial" w:cs="Arial"/>
          <w:b/>
          <w:color w:val="000000"/>
          <w:sz w:val="32"/>
          <w:highlight w:val="none"/>
        </w:rPr>
        <w:t xml:space="preserve">第一部分</w:t>
      </w:r>
      <w:r>
        <w:rPr>
          <w:rFonts w:ascii="Arial" w:hAnsi="Arial" w:cs="Arial"/>
          <w:b/>
          <w:color w:val="000000"/>
          <w:sz w:val="32"/>
          <w:highlight w:val="none"/>
        </w:rPr>
        <w:t xml:space="preserve"> </w:t>
      </w:r>
      <w:r>
        <w:rPr>
          <w:rFonts w:ascii="Arial" w:hAnsi="Arial" w:cs="Arial"/>
          <w:b/>
          <w:color w:val="000000"/>
          <w:sz w:val="32"/>
          <w:highlight w:val="none"/>
        </w:rPr>
        <w:t xml:space="preserve">合同协议书</w:t>
      </w:r>
      <w:bookmarkEnd w:id="84"/>
      <w:r>
        <w:rPr>
          <w:highlight w:val="none"/>
        </w:rPr>
      </w:r>
      <w:bookmarkEnd w:id="85"/>
      <w:r>
        <w:rPr>
          <w:highlight w:val="none"/>
        </w:rPr>
      </w:r>
      <w:r/>
    </w:p>
    <w:p>
      <w:pPr>
        <w:spacing w:line="360" w:lineRule="auto"/>
        <w:rPr>
          <w:rFonts w:ascii="宋体" w:hAnsi="宋体" w:cs="宋体"/>
          <w:szCs w:val="21"/>
          <w:highlight w:val="none"/>
          <w:u w:val="single"/>
        </w:rPr>
      </w:pPr>
      <w:r>
        <w:rPr>
          <w:rFonts w:hint="eastAsia" w:ascii="宋体" w:hAnsi="宋体" w:cs="宋体"/>
          <w:b/>
          <w:szCs w:val="21"/>
          <w:highlight w:val="none"/>
        </w:rPr>
        <w:t xml:space="preserve">发包人（全称）：</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u w:val="single"/>
        </w:rPr>
      </w:pPr>
      <w:r>
        <w:rPr>
          <w:rFonts w:hint="eastAsia" w:ascii="宋体" w:hAnsi="宋体" w:cs="宋体"/>
          <w:b/>
          <w:szCs w:val="21"/>
          <w:highlight w:val="none"/>
        </w:rPr>
        <w:t xml:space="preserve">承包人（全称）：</w:t>
      </w:r>
      <w:r>
        <w:rPr>
          <w:rFonts w:hint="eastAsia" w:ascii="宋体" w:hAnsi="宋体" w:cs="宋体"/>
          <w:szCs w:val="21"/>
          <w:highlight w:val="none"/>
          <w:u w:val="singl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cs="宋体"/>
          <w:szCs w:val="21"/>
          <w:highlight w:val="none"/>
          <w:u w:val="single"/>
        </w:rPr>
        <w:t xml:space="preserve">              </w:t>
      </w:r>
      <w:r>
        <w:rPr>
          <w:rFonts w:hint="eastAsia" w:ascii="宋体" w:hAnsi="宋体" w:cs="宋体"/>
          <w:szCs w:val="21"/>
          <w:highlight w:val="none"/>
        </w:rPr>
        <w:t xml:space="preserve">工程施工及有关事项，双方按下列条款签订合同：</w:t>
      </w:r>
      <w:r>
        <w:rPr>
          <w:highlight w:val="none"/>
        </w:rPr>
      </w:r>
      <w:r/>
    </w:p>
    <w:p>
      <w:pPr>
        <w:ind w:firstLine="420"/>
        <w:keepLines/>
        <w:keepNext/>
        <w:spacing w:line="360" w:lineRule="auto"/>
        <w:rPr>
          <w:rFonts w:ascii="宋体" w:hAnsi="宋体" w:cs="宋体"/>
          <w:szCs w:val="21"/>
          <w:highlight w:val="none"/>
        </w:rPr>
      </w:pPr>
      <w:r>
        <w:rPr>
          <w:highlight w:val="none"/>
        </w:rPr>
      </w:r>
      <w:bookmarkStart w:id="86" w:name="_Toc351203481"/>
      <w:r>
        <w:rPr>
          <w:rFonts w:hint="eastAsia" w:ascii="宋体" w:hAnsi="宋体" w:cs="宋体"/>
          <w:szCs w:val="21"/>
          <w:highlight w:val="none"/>
        </w:rPr>
        <w:t xml:space="preserve">一、工程概况</w:t>
      </w:r>
      <w:bookmarkEnd w:id="86"/>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1.工程名称：</w:t>
      </w:r>
      <w:r>
        <w:rPr>
          <w:rStyle w:val="917"/>
          <w:rFonts w:hint="eastAsia" w:ascii="宋体" w:hAnsi="宋体" w:cs="宋体"/>
          <w:b w:val="0"/>
          <w:bCs w:val="0"/>
          <w:szCs w:val="21"/>
          <w:highlight w:val="none"/>
          <w:u w:val="single"/>
        </w:rPr>
        <w:t xml:space="preserve">             </w:t>
      </w:r>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2.工程地点：</w:t>
      </w:r>
      <w:r>
        <w:rPr>
          <w:rStyle w:val="917"/>
          <w:rFonts w:hint="eastAsia" w:ascii="宋体" w:hAnsi="宋体" w:cs="宋体"/>
          <w:b w:val="0"/>
          <w:bCs w:val="0"/>
          <w:szCs w:val="21"/>
          <w:highlight w:val="none"/>
        </w:rPr>
        <w:t xml:space="preserve"> </w:t>
      </w:r>
      <w:r>
        <w:rPr>
          <w:rStyle w:val="917"/>
          <w:rFonts w:hint="eastAsia" w:ascii="宋体" w:hAnsi="宋体" w:cs="宋体"/>
          <w:b w:val="0"/>
          <w:bCs w:val="0"/>
          <w:szCs w:val="21"/>
          <w:highlight w:val="none"/>
          <w:u w:val="single"/>
        </w:rPr>
        <w:t xml:space="preserve">            </w:t>
      </w:r>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3.资金来源：</w:t>
      </w:r>
      <w:r>
        <w:rPr>
          <w:rStyle w:val="917"/>
          <w:rFonts w:hint="eastAsia" w:ascii="宋体" w:hAnsi="宋体" w:cs="宋体"/>
          <w:b w:val="0"/>
          <w:bCs w:val="0"/>
          <w:szCs w:val="21"/>
          <w:highlight w:val="none"/>
          <w:u w:val="single"/>
        </w:rPr>
        <w:t xml:space="preserve">             </w:t>
      </w:r>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4.工程内容：</w:t>
      </w:r>
      <w:r>
        <w:rPr>
          <w:rFonts w:hint="eastAsia" w:ascii="宋体" w:hAnsi="宋体" w:cs="宋体"/>
          <w:szCs w:val="21"/>
          <w:highlight w:val="none"/>
          <w:u w:val="singl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群体工程应附《承包人承揽工程项目一览表》（附件1）。</w:t>
      </w:r>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5.工程承包范围：</w:t>
      </w:r>
      <w:r>
        <w:rPr>
          <w:rFonts w:hint="eastAsia" w:ascii="宋体" w:hAnsi="宋体" w:cs="宋体"/>
          <w:szCs w:val="21"/>
          <w:highlight w:val="none"/>
          <w:u w:val="single"/>
        </w:rPr>
        <w:t xml:space="preserve"> 工程量清单范围内所有施工内容 </w:t>
      </w:r>
      <w:r>
        <w:rPr>
          <w:highlight w:val="none"/>
        </w:rPr>
      </w:r>
      <w:r/>
    </w:p>
    <w:p>
      <w:pPr>
        <w:ind w:firstLine="420"/>
        <w:spacing w:line="360" w:lineRule="auto"/>
        <w:rPr>
          <w:rFonts w:ascii="宋体" w:hAnsi="宋体" w:cs="宋体"/>
          <w:szCs w:val="21"/>
          <w:highlight w:val="none"/>
        </w:rPr>
      </w:pPr>
      <w:r>
        <w:rPr>
          <w:highlight w:val="none"/>
        </w:rPr>
      </w:r>
      <w:bookmarkStart w:id="87" w:name="_Toc351203482"/>
      <w:r>
        <w:rPr>
          <w:rFonts w:hint="eastAsia" w:ascii="宋体" w:hAnsi="宋体" w:cs="宋体"/>
          <w:szCs w:val="21"/>
          <w:highlight w:val="none"/>
        </w:rPr>
        <w:t xml:space="preserve">二、合同工期</w:t>
      </w:r>
      <w:bookmarkEnd w:id="8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计划开工日期：</w:t>
      </w:r>
      <w:r>
        <w:rPr>
          <w:rFonts w:hint="eastAsia" w:ascii="宋体" w:hAnsi="宋体" w:cs="宋体"/>
          <w:szCs w:val="21"/>
          <w:highlight w:val="none"/>
          <w:u w:val="single"/>
        </w:rPr>
        <w:t xml:space="preserve">以合同签订的日期为准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计划竣工日期：</w:t>
      </w:r>
      <w:r>
        <w:rPr>
          <w:rStyle w:val="917"/>
          <w:rFonts w:hint="eastAsia" w:ascii="宋体" w:hAnsi="宋体" w:cs="宋体"/>
          <w:b w:val="0"/>
          <w:bCs w:val="0"/>
          <w:szCs w:val="21"/>
          <w:highlight w:val="none"/>
          <w:u w:val="singl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工期总日历天数：</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日历天。工期总日历天数与根据前述计划开竣工日期计算的工期天数不一致的，以工期总日历天数为准。</w:t>
      </w:r>
      <w:r>
        <w:rPr>
          <w:highlight w:val="none"/>
        </w:rPr>
      </w:r>
      <w:r/>
    </w:p>
    <w:p>
      <w:pPr>
        <w:ind w:firstLine="420"/>
        <w:keepLines/>
        <w:keepNext/>
        <w:spacing w:line="360" w:lineRule="auto"/>
        <w:rPr>
          <w:rFonts w:ascii="宋体" w:hAnsi="宋体" w:cs="宋体"/>
          <w:szCs w:val="21"/>
          <w:highlight w:val="none"/>
        </w:rPr>
      </w:pPr>
      <w:r>
        <w:rPr>
          <w:highlight w:val="none"/>
        </w:rPr>
      </w:r>
      <w:bookmarkStart w:id="88" w:name="_Toc351203483"/>
      <w:r>
        <w:rPr>
          <w:rFonts w:hint="eastAsia" w:ascii="宋体" w:hAnsi="宋体" w:cs="宋体"/>
          <w:szCs w:val="21"/>
          <w:highlight w:val="none"/>
        </w:rPr>
        <w:t xml:space="preserve">三、质量标准</w:t>
      </w:r>
      <w:bookmarkEnd w:id="8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工程质量符合</w:t>
      </w:r>
      <w:r>
        <w:rPr>
          <w:rFonts w:hint="eastAsia" w:ascii="宋体" w:hAnsi="宋体" w:cs="宋体"/>
          <w:szCs w:val="21"/>
          <w:highlight w:val="none"/>
          <w:u w:val="single"/>
        </w:rPr>
        <w:t xml:space="preserve"> 国家验收 </w:t>
      </w:r>
      <w:r>
        <w:rPr>
          <w:rFonts w:hint="eastAsia" w:ascii="宋体" w:hAnsi="宋体" w:cs="宋体"/>
          <w:szCs w:val="21"/>
          <w:highlight w:val="none"/>
        </w:rPr>
        <w:t xml:space="preserve">标准。</w:t>
      </w:r>
      <w:r>
        <w:rPr>
          <w:highlight w:val="none"/>
        </w:rPr>
      </w:r>
      <w:r/>
    </w:p>
    <w:p>
      <w:pPr>
        <w:ind w:firstLine="420"/>
        <w:keepLines/>
        <w:keepNext/>
        <w:spacing w:line="360" w:lineRule="auto"/>
        <w:rPr>
          <w:rFonts w:ascii="宋体" w:hAnsi="宋体" w:cs="宋体"/>
          <w:szCs w:val="21"/>
          <w:highlight w:val="none"/>
        </w:rPr>
      </w:pPr>
      <w:r>
        <w:rPr>
          <w:highlight w:val="none"/>
        </w:rPr>
      </w:r>
      <w:bookmarkStart w:id="89" w:name="_Toc351203484"/>
      <w:r>
        <w:rPr>
          <w:rFonts w:hint="eastAsia" w:ascii="宋体" w:hAnsi="宋体" w:cs="宋体"/>
          <w:szCs w:val="21"/>
          <w:highlight w:val="none"/>
        </w:rPr>
        <w:t xml:space="preserve">四、签约合同价与合同价格形式</w:t>
      </w:r>
      <w:bookmarkEnd w:id="89"/>
      <w:r>
        <w:rPr>
          <w:rFonts w:hint="eastAsia" w:ascii="宋体" w:hAnsi="宋体" w:cs="宋体"/>
          <w:szCs w:val="21"/>
          <w:highlight w:val="none"/>
        </w:rPr>
        <w:tab/>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1.签约合同价为（暂定价）：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其中：</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（1）安全文明施工费：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（2）材料和工程设备暂估价金额：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（3）专业工程暂估价金额：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（4）暂列金额：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2.合同价格形式：</w:t>
      </w:r>
      <w:r>
        <w:rPr>
          <w:rFonts w:hint="eastAsia" w:ascii="宋体" w:hAnsi="宋体" w:cs="宋体"/>
          <w:szCs w:val="21"/>
          <w:highlight w:val="none"/>
          <w:u w:val="single"/>
        </w:rPr>
        <w:t xml:space="preserve">单价合同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szCs w:val="21"/>
          <w:highlight w:val="none"/>
        </w:rPr>
      </w:pPr>
      <w:r>
        <w:rPr>
          <w:highlight w:val="none"/>
        </w:rPr>
      </w:r>
      <w:bookmarkStart w:id="90" w:name="_Toc351203485"/>
      <w:r>
        <w:rPr>
          <w:rFonts w:hint="eastAsia" w:ascii="宋体" w:hAnsi="宋体" w:cs="宋体"/>
          <w:szCs w:val="21"/>
          <w:highlight w:val="none"/>
        </w:rPr>
        <w:t xml:space="preserve">五、</w:t>
      </w:r>
      <w:bookmarkEnd w:id="90"/>
      <w:r>
        <w:rPr>
          <w:rFonts w:hint="eastAsia" w:ascii="宋体" w:hAnsi="宋体" w:cs="宋体"/>
          <w:szCs w:val="21"/>
          <w:highlight w:val="none"/>
        </w:rPr>
        <w:t xml:space="preserve">项目经理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承包人项目经理：</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szCs w:val="21"/>
          <w:highlight w:val="none"/>
        </w:rPr>
      </w:pPr>
      <w:r>
        <w:rPr>
          <w:highlight w:val="none"/>
        </w:rPr>
      </w:r>
      <w:bookmarkStart w:id="91" w:name="_Toc351203486"/>
      <w:r>
        <w:rPr>
          <w:rFonts w:hint="eastAsia" w:ascii="宋体" w:hAnsi="宋体" w:cs="宋体"/>
          <w:szCs w:val="21"/>
          <w:highlight w:val="none"/>
        </w:rPr>
        <w:t xml:space="preserve">六、合同文件构成</w:t>
      </w:r>
      <w:bookmarkEnd w:id="9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本协议书与下列文件一起构成合同文件：</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（1）中标通知书（如果有）；</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（2）投标函及其附录（如果有）； </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（3）专用合同条款及其附件；</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（4）通用合同条款；</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（5）技术标准和要求；</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（6）图纸；</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（7）已标价工程量清单或预算书；</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（8）其他合同文件。</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在合同订立及履行过程中形成的与合同有关的文件均构成合同文件组成部分。</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highlight w:val="none"/>
        </w:rPr>
      </w:r>
      <w:r/>
    </w:p>
    <w:p>
      <w:pPr>
        <w:ind w:firstLine="420"/>
        <w:keepLines/>
        <w:keepNext/>
        <w:spacing w:line="360" w:lineRule="auto"/>
        <w:rPr>
          <w:rFonts w:ascii="宋体" w:hAnsi="宋体" w:cs="宋体"/>
          <w:szCs w:val="21"/>
          <w:highlight w:val="none"/>
        </w:rPr>
      </w:pPr>
      <w:r>
        <w:rPr>
          <w:highlight w:val="none"/>
        </w:rPr>
      </w:r>
      <w:bookmarkStart w:id="92" w:name="_Toc351203487"/>
      <w:r>
        <w:rPr>
          <w:rFonts w:hint="eastAsia" w:ascii="宋体" w:hAnsi="宋体" w:cs="宋体"/>
          <w:szCs w:val="21"/>
          <w:highlight w:val="none"/>
        </w:rPr>
        <w:t xml:space="preserve">七、承诺</w:t>
      </w:r>
      <w:bookmarkEnd w:id="92"/>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1.发包人承诺按照法律规定履行项目审批手续、筹集工程建设资金并按照合同约定的期限和方式支付合同价款。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2.承包人承诺按照法律规定及合同约定组织完成工程施工，确保工程质量和安全，不进行转包及违法分包，并在缺陷责任期及保修期内承担相应的工程维修责任。</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3.发包人和承包人通过招投标形式签订合同的，双方理解并承诺不再就同一工程另行签订与合同实质性内容相背离的协议。</w:t>
      </w:r>
      <w:r>
        <w:rPr>
          <w:highlight w:val="none"/>
        </w:rPr>
      </w:r>
      <w:r/>
    </w:p>
    <w:p>
      <w:pPr>
        <w:ind w:firstLine="420"/>
        <w:spacing w:line="360" w:lineRule="auto"/>
        <w:rPr>
          <w:rFonts w:ascii="宋体" w:hAnsi="宋体" w:cs="宋体"/>
          <w:szCs w:val="21"/>
          <w:highlight w:val="none"/>
        </w:rPr>
      </w:pPr>
      <w:r>
        <w:rPr>
          <w:highlight w:val="none"/>
        </w:rPr>
      </w:r>
      <w:bookmarkStart w:id="93" w:name="_Toc351203488"/>
      <w:r>
        <w:rPr>
          <w:rFonts w:hint="eastAsia" w:ascii="宋体" w:hAnsi="宋体" w:cs="宋体"/>
          <w:szCs w:val="21"/>
          <w:highlight w:val="none"/>
        </w:rPr>
        <w:t xml:space="preserve">八、词语含义</w:t>
      </w:r>
      <w:bookmarkEnd w:id="93"/>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本协议书中词语含义与第二部分通用合同条款中赋予的含义相同。</w:t>
      </w:r>
      <w:r>
        <w:rPr>
          <w:highlight w:val="none"/>
        </w:rPr>
      </w:r>
      <w:r/>
    </w:p>
    <w:p>
      <w:pPr>
        <w:ind w:firstLine="420"/>
        <w:keepLines/>
        <w:keepNext/>
        <w:spacing w:line="360" w:lineRule="auto"/>
        <w:rPr>
          <w:rFonts w:ascii="宋体" w:hAnsi="宋体" w:cs="宋体"/>
          <w:szCs w:val="21"/>
          <w:highlight w:val="none"/>
        </w:rPr>
      </w:pPr>
      <w:r>
        <w:rPr>
          <w:highlight w:val="none"/>
        </w:rPr>
      </w:r>
      <w:bookmarkStart w:id="94" w:name="_Toc351203489"/>
      <w:r>
        <w:rPr>
          <w:rFonts w:hint="eastAsia" w:ascii="宋体" w:hAnsi="宋体" w:cs="宋体"/>
          <w:szCs w:val="21"/>
          <w:highlight w:val="none"/>
        </w:rPr>
        <w:t xml:space="preserve">九、签订时间</w:t>
      </w:r>
      <w:bookmarkEnd w:id="9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本合同于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日签订。</w:t>
      </w:r>
      <w:r>
        <w:rPr>
          <w:highlight w:val="none"/>
        </w:rPr>
      </w:r>
      <w:r/>
    </w:p>
    <w:p>
      <w:pPr>
        <w:ind w:firstLine="420"/>
        <w:keepLines/>
        <w:keepNext/>
        <w:spacing w:line="360" w:lineRule="auto"/>
        <w:rPr>
          <w:rFonts w:ascii="宋体" w:hAnsi="宋体" w:cs="宋体"/>
          <w:szCs w:val="21"/>
          <w:highlight w:val="none"/>
        </w:rPr>
      </w:pPr>
      <w:r>
        <w:rPr>
          <w:highlight w:val="none"/>
        </w:rPr>
      </w:r>
      <w:bookmarkStart w:id="95" w:name="_Toc351203490"/>
      <w:r>
        <w:rPr>
          <w:rFonts w:hint="eastAsia" w:ascii="宋体" w:hAnsi="宋体" w:cs="宋体"/>
          <w:szCs w:val="21"/>
          <w:highlight w:val="none"/>
        </w:rPr>
        <w:t xml:space="preserve">十、签订地点</w:t>
      </w:r>
      <w:bookmarkEnd w:id="9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本合同在</w:t>
      </w:r>
      <w:r>
        <w:rPr>
          <w:rFonts w:hint="eastAsia" w:ascii="宋体" w:hAnsi="宋体" w:cs="宋体"/>
          <w:szCs w:val="21"/>
          <w:highlight w:val="none"/>
          <w:u w:val="single"/>
        </w:rPr>
        <w:t xml:space="preserve">   发包人处     </w:t>
      </w:r>
      <w:r>
        <w:rPr>
          <w:rFonts w:hint="eastAsia" w:ascii="宋体" w:hAnsi="宋体" w:cs="宋体"/>
          <w:szCs w:val="21"/>
          <w:highlight w:val="none"/>
        </w:rPr>
        <w:t xml:space="preserve">签订。</w:t>
      </w:r>
      <w:r>
        <w:rPr>
          <w:highlight w:val="none"/>
        </w:rPr>
      </w:r>
      <w:r/>
    </w:p>
    <w:p>
      <w:pPr>
        <w:ind w:firstLine="420"/>
        <w:keepLines/>
        <w:keepNext/>
        <w:spacing w:line="360" w:lineRule="auto"/>
        <w:rPr>
          <w:rFonts w:ascii="宋体" w:hAnsi="宋体" w:cs="宋体"/>
          <w:szCs w:val="21"/>
          <w:highlight w:val="none"/>
        </w:rPr>
      </w:pPr>
      <w:r>
        <w:rPr>
          <w:highlight w:val="none"/>
        </w:rPr>
      </w:r>
      <w:bookmarkStart w:id="96" w:name="_Toc351203491"/>
      <w:r>
        <w:rPr>
          <w:rFonts w:hint="eastAsia" w:ascii="宋体" w:hAnsi="宋体" w:cs="宋体"/>
          <w:szCs w:val="21"/>
          <w:highlight w:val="none"/>
        </w:rPr>
        <w:t xml:space="preserve">十一、补充协议</w:t>
      </w:r>
      <w:bookmarkEnd w:id="9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合同未尽事宜，合同当事人另行签订补充协议，补充协议是合同的组成部分。</w:t>
      </w:r>
      <w:r>
        <w:rPr>
          <w:highlight w:val="none"/>
        </w:rPr>
      </w:r>
      <w:r/>
    </w:p>
    <w:p>
      <w:pPr>
        <w:ind w:firstLine="420"/>
        <w:keepLines/>
        <w:keepNext/>
        <w:spacing w:line="360" w:lineRule="auto"/>
        <w:rPr>
          <w:rFonts w:ascii="宋体" w:hAnsi="宋体" w:cs="宋体"/>
          <w:szCs w:val="21"/>
          <w:highlight w:val="none"/>
        </w:rPr>
      </w:pPr>
      <w:r>
        <w:rPr>
          <w:highlight w:val="none"/>
        </w:rPr>
      </w:r>
      <w:bookmarkStart w:id="97" w:name="_Toc351203492"/>
      <w:r>
        <w:rPr>
          <w:rFonts w:hint="eastAsia" w:ascii="宋体" w:hAnsi="宋体" w:cs="宋体"/>
          <w:szCs w:val="21"/>
          <w:highlight w:val="none"/>
        </w:rPr>
        <w:t xml:space="preserve">十二、合同生效</w:t>
      </w:r>
      <w:bookmarkEnd w:id="9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本合同自</w:t>
      </w:r>
      <w:r>
        <w:rPr>
          <w:rFonts w:hint="eastAsia" w:ascii="宋体" w:hAnsi="宋体" w:cs="宋体"/>
          <w:szCs w:val="21"/>
          <w:highlight w:val="none"/>
          <w:u w:val="single"/>
        </w:rPr>
        <w:t xml:space="preserve">   双方盖章签字后  </w:t>
      </w:r>
      <w:r>
        <w:rPr>
          <w:rFonts w:hint="eastAsia" w:ascii="宋体" w:hAnsi="宋体" w:cs="宋体"/>
          <w:szCs w:val="21"/>
          <w:highlight w:val="none"/>
        </w:rPr>
        <w:t xml:space="preserve">生效。</w:t>
      </w:r>
      <w:r>
        <w:rPr>
          <w:highlight w:val="none"/>
        </w:rPr>
      </w:r>
      <w:r/>
    </w:p>
    <w:p>
      <w:pPr>
        <w:ind w:firstLine="420"/>
        <w:keepLines/>
        <w:keepNext/>
        <w:spacing w:line="360" w:lineRule="auto"/>
        <w:rPr>
          <w:rFonts w:ascii="宋体" w:hAnsi="宋体" w:cs="宋体"/>
          <w:szCs w:val="21"/>
          <w:highlight w:val="none"/>
        </w:rPr>
      </w:pPr>
      <w:r>
        <w:rPr>
          <w:highlight w:val="none"/>
        </w:rPr>
      </w:r>
      <w:bookmarkStart w:id="98" w:name="_Toc351203493"/>
      <w:r>
        <w:rPr>
          <w:rFonts w:hint="eastAsia" w:ascii="宋体" w:hAnsi="宋体" w:cs="宋体"/>
          <w:szCs w:val="21"/>
          <w:highlight w:val="none"/>
        </w:rPr>
        <w:t xml:space="preserve">十三、本合同所载地址、联系电话均为约定送达方式（包括法院的诉讼文书），任何一方发生变化应提前5日通知对方，否则，由此引起无法送达的的后果，由未履行通知义务的一方承担，即视为送达成功。</w:t>
      </w:r>
      <w:r>
        <w:rPr>
          <w:highlight w:val="none"/>
        </w:rPr>
      </w:r>
      <w:r/>
    </w:p>
    <w:p>
      <w:pPr>
        <w:ind w:firstLine="420"/>
        <w:keepLines/>
        <w:keepNext/>
        <w:spacing w:line="360" w:lineRule="auto"/>
        <w:rPr>
          <w:rFonts w:ascii="宋体" w:hAnsi="宋体" w:cs="宋体"/>
          <w:szCs w:val="21"/>
          <w:highlight w:val="none"/>
        </w:rPr>
      </w:pPr>
      <w:r>
        <w:rPr>
          <w:rFonts w:hint="eastAsia" w:ascii="宋体" w:hAnsi="宋体" w:cs="宋体"/>
          <w:szCs w:val="21"/>
          <w:highlight w:val="none"/>
        </w:rPr>
        <w:t xml:space="preserve">十四、合同份数</w:t>
      </w:r>
      <w:bookmarkEnd w:id="98"/>
      <w:r>
        <w:rPr>
          <w:highlight w:val="none"/>
        </w:rPr>
      </w:r>
      <w:r/>
    </w:p>
    <w:p>
      <w:pPr>
        <w:ind w:firstLine="420"/>
        <w:spacing w:line="360" w:lineRule="auto"/>
        <w:rPr>
          <w:rFonts w:ascii="宋体" w:hAnsi="宋体" w:cs="宋体"/>
          <w:bCs/>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u w:val="single"/>
        </w:rPr>
        <w:t xml:space="preserve"> 捌 </w:t>
      </w:r>
      <w:r>
        <w:rPr>
          <w:rFonts w:hint="eastAsia" w:ascii="宋体" w:hAnsi="宋体" w:cs="宋体"/>
          <w:szCs w:val="21"/>
          <w:highlight w:val="none"/>
        </w:rPr>
        <w:t xml:space="preserve">份，均具有同等法律效力。</w:t>
      </w:r>
      <w:r>
        <w:rPr>
          <w:highlight w:val="none"/>
        </w:rPr>
      </w:r>
      <w:r/>
    </w:p>
    <w:p>
      <w:pPr>
        <w:spacing w:line="360" w:lineRule="auto"/>
        <w:rPr>
          <w:rFonts w:ascii="宋体" w:hAnsi="宋体" w:cs="宋体"/>
          <w:szCs w:val="21"/>
          <w:highlight w:val="none"/>
        </w:rPr>
      </w:pPr>
      <w:r>
        <w:rPr>
          <w:rFonts w:ascii="宋体" w:hAnsi="宋体" w:cs="宋体"/>
          <w:szCs w:val="21"/>
          <w:highlight w:val="none"/>
        </w:rPr>
      </w:r>
      <w:r>
        <w:rPr>
          <w:highlight w:val="none"/>
        </w:rPr>
      </w:r>
      <w:r/>
    </w:p>
    <w:p>
      <w:pPr>
        <w:spacing w:line="360" w:lineRule="auto"/>
        <w:rPr>
          <w:rFonts w:ascii="宋体" w:hAnsi="宋体" w:cs="宋体"/>
          <w:szCs w:val="21"/>
          <w:highlight w:val="none"/>
        </w:rPr>
      </w:pPr>
      <w:r>
        <w:rPr>
          <w:rFonts w:ascii="宋体" w:hAnsi="宋体" w:cs="宋体"/>
          <w:szCs w:val="21"/>
          <w:highlight w:val="none"/>
        </w:rPr>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spacing w:line="360" w:lineRule="auto"/>
        <w:tabs>
          <w:tab w:val="left" w:pos="4410" w:leader="none"/>
        </w:tabs>
        <w:rPr>
          <w:rFonts w:ascii="宋体" w:hAnsi="宋体" w:cs="宋体"/>
          <w:szCs w:val="21"/>
          <w:highlight w:val="none"/>
        </w:rPr>
      </w:pPr>
      <w:r>
        <w:rPr>
          <w:rFonts w:hint="eastAsia" w:ascii="宋体" w:hAnsi="宋体" w:cs="宋体"/>
          <w:szCs w:val="21"/>
          <w:highlight w:val="none"/>
        </w:rPr>
        <w:t xml:space="preserve">组织机构代码：</w:t>
      </w:r>
      <w:r>
        <w:rPr>
          <w:rFonts w:hint="eastAsia" w:ascii="宋体" w:hAnsi="宋体" w:cs="宋体"/>
          <w:szCs w:val="21"/>
          <w:highlight w:val="none"/>
          <w:u w:val="single"/>
        </w:rPr>
        <w:t xml:space="preserve">            </w:t>
      </w:r>
      <w:r>
        <w:rPr>
          <w:rFonts w:hint="eastAsia" w:ascii="宋体" w:hAnsi="宋体" w:cs="宋体"/>
          <w:szCs w:val="21"/>
          <w:highlight w:val="none"/>
        </w:rPr>
        <w:t xml:space="preserve">                          组织机构代码：</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rFonts w:hint="eastAsia" w:ascii="宋体" w:hAnsi="宋体" w:cs="宋体"/>
          <w:szCs w:val="21"/>
          <w:highlight w:val="none"/>
        </w:rPr>
        <w:t xml:space="preserve">                          邮政编码：</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开户银行： </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highlight w:val="none"/>
        </w:rPr>
      </w:r>
      <w:r/>
    </w:p>
    <w:p>
      <w:pPr>
        <w:rPr>
          <w:rFonts w:ascii="宋体" w:hAnsi="宋体" w:cs="宋体"/>
          <w:szCs w:val="21"/>
          <w:highlight w:val="none"/>
        </w:rPr>
      </w:pPr>
      <w:r>
        <w:rPr>
          <w:rFonts w:ascii="宋体" w:hAnsi="宋体" w:cs="宋体"/>
          <w:szCs w:val="21"/>
          <w:highlight w:val="none"/>
        </w:rPr>
      </w:r>
      <w:r>
        <w:rPr>
          <w:highlight w:val="none"/>
        </w:rPr>
      </w:r>
      <w:r/>
    </w:p>
    <w:p>
      <w:pPr>
        <w:jc w:val="center"/>
        <w:keepLines/>
        <w:keepNext/>
        <w:spacing w:before="260" w:after="260"/>
        <w:rPr>
          <w:rFonts w:ascii="宋体" w:hAnsi="宋体" w:cs="宋体"/>
          <w:b/>
          <w:szCs w:val="21"/>
          <w:highlight w:val="none"/>
        </w:rPr>
      </w:pPr>
      <w:r>
        <w:rPr>
          <w:rFonts w:hint="eastAsia" w:ascii="宋体" w:hAnsi="宋体" w:cs="宋体"/>
          <w:szCs w:val="21"/>
          <w:highlight w:val="none"/>
        </w:rPr>
        <w:br w:type="page" w:clear="all"/>
        <w:t xml:space="preserve"> </w:t>
      </w:r>
      <w:bookmarkStart w:id="99" w:name="_Toc40862138"/>
      <w:r>
        <w:rPr>
          <w:highlight w:val="none"/>
        </w:rPr>
      </w:r>
      <w:bookmarkStart w:id="100" w:name="_Toc351203494"/>
      <w:r>
        <w:rPr>
          <w:highlight w:val="none"/>
        </w:rPr>
      </w:r>
      <w:bookmarkStart w:id="101" w:name="_Toc26778848"/>
      <w:r>
        <w:rPr>
          <w:rFonts w:hint="eastAsia" w:ascii="宋体" w:hAnsi="宋体" w:cs="宋体"/>
          <w:b/>
          <w:szCs w:val="21"/>
          <w:highlight w:val="none"/>
        </w:rPr>
        <w:t xml:space="preserve">第二部分 通用合同条款</w:t>
      </w:r>
      <w:bookmarkStart w:id="102" w:name="_Toc337558727"/>
      <w:r>
        <w:rPr>
          <w:highlight w:val="none"/>
        </w:rPr>
      </w:r>
      <w:bookmarkEnd w:id="99"/>
      <w:r>
        <w:rPr>
          <w:highlight w:val="none"/>
        </w:rPr>
      </w:r>
      <w:bookmarkEnd w:id="100"/>
      <w:r>
        <w:rPr>
          <w:highlight w:val="none"/>
        </w:rPr>
      </w:r>
      <w:bookmarkEnd w:id="101"/>
      <w:r>
        <w:rPr>
          <w:highlight w:val="none"/>
        </w:rPr>
      </w:r>
      <w:r/>
    </w:p>
    <w:p>
      <w:pPr>
        <w:jc w:val="center"/>
        <w:keepLines/>
        <w:keepNext/>
        <w:spacing w:before="260" w:after="260"/>
        <w:rPr>
          <w:rFonts w:ascii="宋体" w:hAnsi="宋体" w:cs="宋体"/>
          <w:bCs/>
          <w:szCs w:val="21"/>
          <w:highlight w:val="none"/>
        </w:rPr>
      </w:pPr>
      <w:r>
        <w:rPr>
          <w:rFonts w:hint="eastAsia" w:ascii="宋体" w:hAnsi="宋体" w:cs="宋体"/>
          <w:bCs/>
          <w:szCs w:val="21"/>
          <w:highlight w:val="none"/>
        </w:rPr>
        <w:t xml:space="preserve">此部分采用《建设工程施工合同》范本（GF-2017-0201）中《第二部分 通用条款》</w:t>
      </w:r>
      <w:r>
        <w:rPr>
          <w:highlight w:val="none"/>
        </w:rPr>
      </w:r>
      <w:r/>
    </w:p>
    <w:p>
      <w:pPr>
        <w:jc w:val="center"/>
        <w:keepLines/>
        <w:keepNext/>
        <w:spacing w:before="260" w:after="260"/>
        <w:rPr>
          <w:rFonts w:ascii="宋体" w:hAnsi="宋体" w:cs="宋体"/>
          <w:b/>
          <w:szCs w:val="21"/>
          <w:highlight w:val="none"/>
        </w:rPr>
      </w:pPr>
      <w:r>
        <w:rPr>
          <w:highlight w:val="none"/>
        </w:rPr>
      </w:r>
      <w:bookmarkStart w:id="103" w:name="_Toc26778849"/>
      <w:r>
        <w:rPr>
          <w:highlight w:val="none"/>
        </w:rPr>
      </w:r>
      <w:bookmarkStart w:id="104" w:name="_Toc40862139"/>
      <w:r>
        <w:rPr>
          <w:highlight w:val="none"/>
        </w:rPr>
      </w:r>
      <w:bookmarkEnd w:id="102"/>
      <w:r>
        <w:rPr>
          <w:rFonts w:hint="eastAsia" w:ascii="宋体" w:hAnsi="宋体" w:cs="宋体"/>
          <w:b/>
          <w:szCs w:val="21"/>
          <w:highlight w:val="none"/>
        </w:rPr>
        <w:t xml:space="preserve">第三部分 专用合同条款</w:t>
      </w:r>
      <w:bookmarkEnd w:id="103"/>
      <w:r>
        <w:rPr>
          <w:highlight w:val="none"/>
        </w:rPr>
      </w:r>
      <w:bookmarkEnd w:id="104"/>
      <w:r>
        <w:rPr>
          <w:highlight w:val="none"/>
        </w:rPr>
      </w:r>
      <w:r/>
    </w:p>
    <w:p>
      <w:pPr>
        <w:ind w:firstLine="420"/>
        <w:spacing w:line="360" w:lineRule="auto"/>
        <w:rPr>
          <w:rFonts w:ascii="宋体" w:hAnsi="宋体" w:cs="宋体"/>
          <w:szCs w:val="21"/>
          <w:highlight w:val="none"/>
        </w:rPr>
      </w:pPr>
      <w:r>
        <w:rPr>
          <w:highlight w:val="none"/>
        </w:rPr>
      </w:r>
      <w:bookmarkStart w:id="105" w:name="_Toc351203633"/>
      <w:r>
        <w:rPr>
          <w:rFonts w:hint="eastAsia" w:ascii="宋体" w:hAnsi="宋体" w:cs="宋体"/>
          <w:szCs w:val="21"/>
          <w:highlight w:val="none"/>
        </w:rPr>
        <w:t xml:space="preserve">1</w:t>
      </w:r>
      <w:bookmarkStart w:id="106" w:name="_Toc296346657"/>
      <w:r>
        <w:rPr>
          <w:highlight w:val="none"/>
        </w:rPr>
      </w:r>
      <w:bookmarkStart w:id="107" w:name="_Toc296347155"/>
      <w:r>
        <w:rPr>
          <w:highlight w:val="none"/>
        </w:rPr>
      </w:r>
      <w:bookmarkStart w:id="108" w:name="_Toc296890984"/>
      <w:r>
        <w:rPr>
          <w:highlight w:val="none"/>
        </w:rPr>
      </w:r>
      <w:bookmarkStart w:id="109" w:name="_Toc297048342"/>
      <w:r>
        <w:rPr>
          <w:highlight w:val="none"/>
        </w:rPr>
      </w:r>
      <w:bookmarkStart w:id="110" w:name="_Toc292559866"/>
      <w:r>
        <w:rPr>
          <w:highlight w:val="none"/>
        </w:rPr>
      </w:r>
      <w:bookmarkStart w:id="111" w:name="_Toc292559361"/>
      <w:r>
        <w:rPr>
          <w:highlight w:val="none"/>
        </w:rPr>
      </w:r>
      <w:bookmarkStart w:id="112" w:name="_Toc297120456"/>
      <w:r>
        <w:rPr>
          <w:highlight w:val="none"/>
        </w:rPr>
      </w:r>
      <w:bookmarkStart w:id="113" w:name="_Toc296503156"/>
      <w:r>
        <w:rPr>
          <w:highlight w:val="none"/>
        </w:rPr>
      </w:r>
      <w:bookmarkStart w:id="114" w:name="_Toc296891196"/>
      <w:r>
        <w:rPr>
          <w:highlight w:val="none"/>
        </w:rPr>
      </w:r>
      <w:bookmarkStart w:id="115" w:name="_Toc296944495"/>
      <w:r>
        <w:rPr>
          <w:rFonts w:hint="eastAsia" w:ascii="宋体" w:hAnsi="宋体" w:cs="宋体"/>
          <w:szCs w:val="21"/>
          <w:highlight w:val="none"/>
        </w:rPr>
        <w:t xml:space="preserve">. 一般约定</w:t>
      </w:r>
      <w:bookmarkEnd w:id="105"/>
      <w:r>
        <w:rPr>
          <w:highlight w:val="none"/>
        </w:rPr>
      </w:r>
      <w:bookmarkEnd w:id="106"/>
      <w:r/>
      <w:bookmarkEnd w:id="107"/>
      <w:r/>
      <w:bookmarkEnd w:id="108"/>
      <w:r/>
      <w:bookmarkEnd w:id="109"/>
      <w:r/>
      <w:bookmarkEnd w:id="110"/>
      <w:r/>
      <w:bookmarkEnd w:id="111"/>
      <w:r/>
      <w:bookmarkEnd w:id="112"/>
      <w:r/>
      <w:bookmarkEnd w:id="113"/>
      <w:r/>
      <w:bookmarkEnd w:id="114"/>
      <w:r/>
      <w:bookmarkEnd w:id="11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 词语定义</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1.1.1合同</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1.1.1.10其他合同文件包括：</w:t>
      </w:r>
      <w:r>
        <w:rPr>
          <w:rFonts w:hint="eastAsia" w:ascii="宋体" w:hAnsi="宋体" w:cs="宋体"/>
          <w:szCs w:val="21"/>
          <w:highlight w:val="none"/>
          <w:u w:val="single"/>
        </w:rPr>
        <w:t xml:space="preserve"> (1)招标文件、工程量清单及其总说明及招标文件修改澄清(含答疑)；(2)明确双方权利、义务的纪要、补充协议；(3)双方有关工程的合同洽商、变更等相关文件。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1.1.2 合同当事人及其他相关方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 工程和设备</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1.1.3.7 作为施工现场组成部分的其他场所包括： </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1.1.3.9 永久占地包括： </w:t>
      </w:r>
      <w:r>
        <w:rPr>
          <w:rFonts w:hint="eastAsia" w:ascii="宋体" w:hAnsi="宋体" w:cs="宋体"/>
          <w:szCs w:val="21"/>
          <w:highlight w:val="none"/>
          <w:u w:val="single"/>
        </w:rPr>
        <w:t xml:space="preserve"> 规划红线范围内的土地</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1.2法律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适用于合同的其他规范性文件：江苏省、南京市、江宁区的有关工程建设类的规范性文件。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 标准和规范</w:t>
      </w:r>
      <w:r>
        <w:rPr>
          <w:highlight w:val="none"/>
        </w:rPr>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1.3.1适用于工程的标准规范包括：</w:t>
      </w:r>
      <w:r>
        <w:rPr>
          <w:rFonts w:hint="eastAsia" w:ascii="宋体" w:hAnsi="宋体" w:cs="宋体"/>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1.3.2 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1.3.3发包人对工程的技术标准和功能要求的特殊要求：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116" w:name="_Toc351203652"/>
      <w:r>
        <w:rPr>
          <w:rFonts w:hint="eastAsia" w:ascii="宋体" w:hAnsi="宋体" w:cs="宋体"/>
          <w:szCs w:val="21"/>
          <w:highlight w:val="none"/>
        </w:rPr>
        <w:t xml:space="preserve">1.4 合同文件的优先顺序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合同文件组成及优先顺序为：</w:t>
      </w:r>
      <w:r>
        <w:rPr>
          <w:rFonts w:hint="eastAsia" w:ascii="宋体" w:hAnsi="宋体" w:cs="宋体"/>
          <w:spacing w:val="10"/>
          <w:szCs w:val="21"/>
          <w:highlight w:val="none"/>
          <w:u w:val="single"/>
        </w:rPr>
        <w:t xml:space="preserve">（1）合同协议书；（2）中标通知书；（3）投标函；（4）专用条款；（5）通用条款（6）技术标准和要求；（7）工程量清单及招标控制价；（8）其他文件。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 图纸和承包人文件</w:t>
      </w:r>
      <w:r>
        <w:rPr>
          <w:rFonts w:hint="eastAsia" w:ascii="宋体" w:hAnsi="宋体" w:cs="宋体"/>
          <w:szCs w:val="21"/>
          <w:highlight w:val="none"/>
        </w:rPr>
        <w:tab/>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 图纸的提供</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  5套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 承包人文件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需要由承包人提供的文件，包括：</w:t>
      </w:r>
      <w:r>
        <w:rPr>
          <w:rFonts w:hint="eastAsia" w:ascii="宋体" w:hAnsi="宋体" w:cs="宋体"/>
          <w:szCs w:val="21"/>
          <w:highlight w:val="none"/>
          <w:u w:val="single"/>
        </w:rPr>
        <w:t xml:space="preserve">施工组织方案</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签订合同后7日内</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贰份</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书面</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自收到文件后5日内</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1.5.3 现场图纸准备</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 联络</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1.6.1发包人和承包人应当在</w:t>
      </w:r>
      <w:r>
        <w:rPr>
          <w:rFonts w:hint="eastAsia" w:ascii="宋体" w:hAnsi="宋体" w:cs="宋体"/>
          <w:szCs w:val="21"/>
          <w:highlight w:val="none"/>
          <w:u w:val="single"/>
        </w:rPr>
        <w:t xml:space="preserve">3 天</w:t>
      </w:r>
      <w:r>
        <w:rPr>
          <w:rFonts w:hint="eastAsia" w:ascii="宋体" w:hAnsi="宋体" w:cs="宋体"/>
          <w:szCs w:val="21"/>
          <w:highlight w:val="none"/>
        </w:rPr>
        <w:t xml:space="preserve">内将与合同有关的通知、批准、证明、证书、指示、指令、要求、请求、同意、意见、确定和决定等书面函件送达对方当事人。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1.6.2 发包人接收文件的地点：</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发包人指定的接收人为：。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项目现场</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项目负责人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 交通运输</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bookmarkStart w:id="117" w:name="_Toc304295521"/>
      <w:r>
        <w:rPr>
          <w:highlight w:val="none"/>
        </w:rPr>
      </w:r>
      <w:bookmarkStart w:id="118" w:name="_Toc303539100"/>
      <w:r>
        <w:rPr>
          <w:highlight w:val="none"/>
        </w:rPr>
      </w:r>
      <w:bookmarkStart w:id="119" w:name="_Toc312677986"/>
      <w:r>
        <w:rPr>
          <w:highlight w:val="none"/>
        </w:rPr>
      </w:r>
      <w:bookmarkStart w:id="120" w:name="_Toc300934943"/>
      <w:r>
        <w:rPr>
          <w:highlight w:val="none"/>
        </w:rPr>
      </w:r>
      <w:bookmarkStart w:id="121" w:name="_Toc318581155"/>
      <w:r>
        <w:rPr>
          <w:rFonts w:hint="eastAsia" w:ascii="宋体" w:hAnsi="宋体" w:cs="宋体"/>
          <w:szCs w:val="21"/>
          <w:highlight w:val="none"/>
        </w:rPr>
        <w:t xml:space="preserve">.7.1 出入现场的权利</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发包人项目负责人及主管领导、承包人项目组成员</w:t>
      </w:r>
      <w:r>
        <w:rPr>
          <w:rFonts w:hint="eastAsia" w:ascii="宋体" w:hAnsi="宋体" w:cs="宋体"/>
          <w:szCs w:val="21"/>
          <w:highlight w:val="none"/>
        </w:rPr>
        <w:t xml:space="preserve">。</w:t>
      </w:r>
      <w:bookmarkEnd w:id="117"/>
      <w:r/>
      <w:bookmarkEnd w:id="118"/>
      <w:r/>
      <w:bookmarkEnd w:id="119"/>
      <w:r/>
      <w:bookmarkEnd w:id="120"/>
      <w:r/>
      <w:bookmarkEnd w:id="12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bookmarkStart w:id="122" w:name="_Toc318581156"/>
      <w:r>
        <w:rPr>
          <w:highlight w:val="none"/>
        </w:rPr>
      </w:r>
      <w:bookmarkStart w:id="123" w:name="_Toc300934944"/>
      <w:r>
        <w:rPr>
          <w:highlight w:val="none"/>
        </w:rPr>
      </w:r>
      <w:bookmarkStart w:id="124" w:name="_Toc312677987"/>
      <w:r>
        <w:rPr>
          <w:highlight w:val="none"/>
        </w:rPr>
      </w:r>
      <w:bookmarkStart w:id="125" w:name="_Toc303539101"/>
      <w:r>
        <w:rPr>
          <w:highlight w:val="none"/>
        </w:rPr>
      </w:r>
      <w:bookmarkStart w:id="126" w:name="_Toc304295522"/>
      <w:r>
        <w:rPr>
          <w:rFonts w:hint="eastAsia" w:ascii="宋体" w:hAnsi="宋体" w:cs="宋体"/>
          <w:szCs w:val="21"/>
          <w:highlight w:val="none"/>
        </w:rPr>
        <w:t xml:space="preserve">.7.2 场内交通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视项目现场情况另行约定</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bookmarkStart w:id="127" w:name="_Toc318581157"/>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1.7.3超大件和超重件的运输</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bookmarkEnd w:id="12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 知识产权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highlight w:val="none"/>
          <w:u w:val="single"/>
        </w:rPr>
        <w:t xml:space="preserve">图纸属设计院、其他属发包人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  仅限于此工程项目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1.9.2 关于承包人为实施工程所编制文件的著作权的归属：</w:t>
      </w:r>
      <w:r>
        <w:rPr>
          <w:rFonts w:hint="eastAsia" w:ascii="宋体" w:hAnsi="宋体" w:cs="宋体"/>
          <w:szCs w:val="21"/>
          <w:highlight w:val="none"/>
          <w:u w:val="single"/>
        </w:rPr>
        <w:t xml:space="preserve"> 属发包人</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仅限于此工程项目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1.9.3 承包人在施工过程中所采用的专利、专有技术、技术秘密的使用费的承担方式：</w:t>
      </w:r>
      <w:r>
        <w:rPr>
          <w:rFonts w:hint="eastAsia" w:ascii="宋体" w:hAnsi="宋体" w:cs="宋体"/>
          <w:szCs w:val="21"/>
          <w:highlight w:val="none"/>
          <w:u w:val="single"/>
        </w:rPr>
        <w:t xml:space="preserve">由承包人承担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1.10工程量清单错误的修正</w:t>
      </w:r>
      <w:r>
        <w:rPr>
          <w:highlight w:val="none"/>
        </w:rPr>
      </w:r>
      <w:r/>
    </w:p>
    <w:p>
      <w:pPr>
        <w:ind w:firstLine="420"/>
        <w:spacing w:line="360" w:lineRule="auto"/>
        <w:rPr>
          <w:rFonts w:ascii="宋体" w:hAnsi="宋体" w:cs="宋体"/>
          <w:szCs w:val="21"/>
          <w:highlight w:val="none"/>
          <w:u w:val="single"/>
        </w:rPr>
      </w:pPr>
      <w:r>
        <w:rPr>
          <w:highlight w:val="none"/>
        </w:rPr>
      </w:r>
      <w:bookmarkStart w:id="128" w:name="_Toc351203634"/>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是。</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（1）对承包人超出设计图纸（含设计</w:t>
      </w:r>
      <w:r>
        <w:rPr>
          <w:rFonts w:hint="eastAsia" w:ascii="宋体" w:hAnsi="宋体" w:cs="宋体"/>
          <w:szCs w:val="21"/>
          <w:highlight w:val="none"/>
          <w:u w:val="single"/>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rFonts w:hint="eastAsia" w:ascii="宋体" w:hAnsi="宋体" w:cs="宋体"/>
          <w:szCs w:val="21"/>
          <w:highlight w:val="none"/>
        </w:rPr>
        <w:t xml:space="preserve">2</w:t>
      </w:r>
      <w:bookmarkStart w:id="129" w:name="_Toc296346658"/>
      <w:r>
        <w:rPr>
          <w:highlight w:val="none"/>
        </w:rPr>
      </w:r>
      <w:bookmarkStart w:id="130" w:name="_Toc297048343"/>
      <w:r>
        <w:rPr>
          <w:highlight w:val="none"/>
        </w:rPr>
      </w:r>
      <w:bookmarkStart w:id="131" w:name="_Toc296347156"/>
      <w:r>
        <w:rPr>
          <w:highlight w:val="none"/>
        </w:rPr>
      </w:r>
      <w:bookmarkStart w:id="132" w:name="_Toc296890985"/>
      <w:r>
        <w:rPr>
          <w:highlight w:val="none"/>
        </w:rPr>
      </w:r>
      <w:bookmarkStart w:id="133" w:name="_Toc292559362"/>
      <w:r>
        <w:rPr>
          <w:highlight w:val="none"/>
        </w:rPr>
      </w:r>
      <w:bookmarkStart w:id="134" w:name="_Toc296891197"/>
      <w:r>
        <w:rPr>
          <w:highlight w:val="none"/>
        </w:rPr>
      </w:r>
      <w:bookmarkStart w:id="135" w:name="_Toc297120457"/>
      <w:r>
        <w:rPr>
          <w:highlight w:val="none"/>
        </w:rPr>
      </w:r>
      <w:bookmarkStart w:id="136" w:name="_Toc296944496"/>
      <w:r>
        <w:rPr>
          <w:highlight w:val="none"/>
        </w:rPr>
      </w:r>
      <w:bookmarkStart w:id="137" w:name="_Toc296503157"/>
      <w:r>
        <w:rPr>
          <w:highlight w:val="none"/>
        </w:rPr>
      </w:r>
      <w:bookmarkStart w:id="138" w:name="_Toc292559867"/>
      <w:r>
        <w:rPr>
          <w:rFonts w:hint="eastAsia" w:ascii="宋体" w:hAnsi="宋体" w:cs="宋体"/>
          <w:szCs w:val="21"/>
          <w:highlight w:val="none"/>
        </w:rPr>
        <w:t xml:space="preserve">. 发包人</w:t>
      </w:r>
      <w:bookmarkEnd w:id="128"/>
      <w:r>
        <w:rPr>
          <w:highlight w:val="none"/>
        </w:rPr>
      </w:r>
      <w:bookmarkEnd w:id="129"/>
      <w:r/>
      <w:bookmarkEnd w:id="130"/>
      <w:r/>
      <w:bookmarkEnd w:id="131"/>
      <w:r/>
      <w:bookmarkEnd w:id="132"/>
      <w:r/>
      <w:bookmarkEnd w:id="133"/>
      <w:r/>
      <w:bookmarkEnd w:id="134"/>
      <w:r/>
      <w:bookmarkEnd w:id="135"/>
      <w:r/>
      <w:bookmarkEnd w:id="136"/>
      <w:r/>
      <w:bookmarkEnd w:id="137"/>
      <w:r/>
      <w:bookmarkEnd w:id="13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2.1 发包人代表</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发包人代表：</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姓    名：；</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身份证号：；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职    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联系电话：；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通信地址：。</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代表发包人行使职权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 施工现场、施工条件和基础资料的提供</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2.2.1 提供施工现场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签订合同，签署开工令后3日内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2.2.2 提供施工条件</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 资金来源证明及支付担保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签订合同后7日内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 否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139" w:name="_Toc351203635"/>
      <w:r>
        <w:rPr>
          <w:rFonts w:hint="eastAsia" w:ascii="宋体" w:hAnsi="宋体" w:cs="宋体"/>
          <w:szCs w:val="21"/>
          <w:highlight w:val="none"/>
        </w:rPr>
        <w:t xml:space="preserve">3</w:t>
      </w:r>
      <w:bookmarkStart w:id="140" w:name="_Toc292559868"/>
      <w:r>
        <w:rPr>
          <w:highlight w:val="none"/>
        </w:rPr>
      </w:r>
      <w:bookmarkStart w:id="141" w:name="_Toc297120458"/>
      <w:r>
        <w:rPr>
          <w:highlight w:val="none"/>
        </w:rPr>
      </w:r>
      <w:bookmarkStart w:id="142" w:name="_Toc296503158"/>
      <w:r>
        <w:rPr>
          <w:highlight w:val="none"/>
        </w:rPr>
      </w:r>
      <w:bookmarkStart w:id="143" w:name="_Toc296944497"/>
      <w:r>
        <w:rPr>
          <w:highlight w:val="none"/>
        </w:rPr>
      </w:r>
      <w:bookmarkStart w:id="144" w:name="_Toc296890986"/>
      <w:r>
        <w:rPr>
          <w:highlight w:val="none"/>
        </w:rPr>
      </w:r>
      <w:bookmarkStart w:id="145" w:name="_Toc296347157"/>
      <w:r>
        <w:rPr>
          <w:highlight w:val="none"/>
        </w:rPr>
      </w:r>
      <w:bookmarkStart w:id="146" w:name="_Toc297048344"/>
      <w:r>
        <w:rPr>
          <w:highlight w:val="none"/>
        </w:rPr>
      </w:r>
      <w:bookmarkStart w:id="147" w:name="_Toc296891198"/>
      <w:r>
        <w:rPr>
          <w:highlight w:val="none"/>
        </w:rPr>
      </w:r>
      <w:bookmarkStart w:id="148" w:name="_Toc292559363"/>
      <w:r>
        <w:rPr>
          <w:highlight w:val="none"/>
        </w:rPr>
      </w:r>
      <w:bookmarkStart w:id="149" w:name="_Toc296346659"/>
      <w:r>
        <w:rPr>
          <w:rFonts w:hint="eastAsia" w:ascii="宋体" w:hAnsi="宋体" w:cs="宋体"/>
          <w:szCs w:val="21"/>
          <w:highlight w:val="none"/>
        </w:rPr>
        <w:t xml:space="preserve">. 承包人</w:t>
      </w:r>
      <w:bookmarkEnd w:id="139"/>
      <w:r>
        <w:rPr>
          <w:highlight w:val="none"/>
        </w:rPr>
      </w:r>
      <w:bookmarkEnd w:id="140"/>
      <w:r/>
      <w:bookmarkEnd w:id="141"/>
      <w:r/>
      <w:bookmarkEnd w:id="142"/>
      <w:r/>
      <w:bookmarkEnd w:id="143"/>
      <w:r/>
      <w:bookmarkEnd w:id="144"/>
      <w:r/>
      <w:bookmarkEnd w:id="145"/>
      <w:r/>
      <w:bookmarkEnd w:id="146"/>
      <w:r/>
      <w:bookmarkEnd w:id="147"/>
      <w:r/>
      <w:bookmarkEnd w:id="148"/>
      <w:r/>
      <w:bookmarkEnd w:id="149"/>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3.1 承包人的一般义务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（1）承包人提交的竣工资料的内容：</w:t>
      </w:r>
      <w:r>
        <w:rPr>
          <w:rFonts w:hint="eastAsia" w:ascii="宋体" w:hAnsi="宋体" w:cs="宋体"/>
          <w:szCs w:val="21"/>
          <w:highlight w:val="none"/>
          <w:u w:val="single"/>
        </w:rPr>
        <w:t xml:space="preserve">  竣工图、竣工结算资料、设计变更、签证等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   肆套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   自行承担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    工程竣工一个月后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   书面、电子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（2）承包人应履行的其他义务：</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 项目经理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3.2.1 项目经理：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姓    名：；</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身份证号：；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建造师执业资格等级：；</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建造师注册证书号：；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建造师执业印章号：；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安全生产考核合格证书号：；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联系电话：；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电子信箱：；</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通信地址：；</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代表承包人行使合同约定的乙方权利和义务，履行合同约定的乙方职责</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一周不少于六天，每天不少于8小时</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项目经理必须常驻现场，离开工地需经发包人及总监理工程师书面同意，若无正当理由且未经发包人及总监理工程师的同意不在工地现场的，发包人</w:t>
      </w:r>
      <w:r>
        <w:rPr>
          <w:rFonts w:hint="eastAsia" w:ascii="宋体" w:hAnsi="宋体" w:cs="宋体"/>
          <w:szCs w:val="21"/>
          <w:highlight w:val="none"/>
          <w:u w:val="single"/>
        </w:rPr>
        <w:t xml:space="preserve">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3.2.3 承包人擅自更换项目经理的违约责任：</w:t>
      </w:r>
      <w:r>
        <w:rPr>
          <w:rFonts w:hint="eastAsia" w:ascii="宋体" w:hAnsi="宋体" w:cs="宋体"/>
          <w:szCs w:val="21"/>
          <w:highlight w:val="none"/>
          <w:u w:val="single"/>
        </w:rPr>
        <w:t xml:space="preserve"> 解除合同、追究违约责任，并报主管局备案</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3.2.4 承包人无正当理由拒绝更换项目经理的违约责任：</w:t>
      </w:r>
      <w:r>
        <w:rPr>
          <w:rFonts w:hint="eastAsia" w:ascii="宋体" w:hAnsi="宋体" w:cs="宋体"/>
          <w:szCs w:val="21"/>
          <w:highlight w:val="none"/>
          <w:u w:val="single"/>
        </w:rPr>
        <w:t xml:space="preserve"> 如出现以上情况或其他违约，发包人有权要求承包人撤换调整其认为不称职的项目经理及项目部成员，承包人拒绝的，发包人有权解除合同</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3.3 承包人人员</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3.3.1 承包人提交项目管理机构及施工现场管理人员安排报告的期限：</w:t>
      </w:r>
      <w:r>
        <w:rPr>
          <w:rFonts w:hint="eastAsia" w:ascii="宋体" w:hAnsi="宋体" w:cs="宋体"/>
          <w:szCs w:val="21"/>
          <w:highlight w:val="none"/>
          <w:u w:val="single"/>
        </w:rPr>
        <w:t xml:space="preserve">  开工前一周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3.3.2 承包人无正当理由拒绝撤换主要施工管理人员的违约责任：</w:t>
      </w:r>
      <w:r>
        <w:rPr>
          <w:rFonts w:hint="eastAsia" w:ascii="宋体" w:hAnsi="宋体" w:cs="宋体"/>
          <w:szCs w:val="21"/>
          <w:highlight w:val="none"/>
          <w:u w:val="single"/>
        </w:rPr>
        <w:t xml:space="preserve">发包人有权要求承包人撤换调整其认为不称职的项目经理及项目部成员，承包人拒绝的，发包人有权解除合同</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3.3.3 承包人主要施工管理人员离开施工现场的批准要求：</w:t>
      </w:r>
      <w:r>
        <w:rPr>
          <w:rFonts w:hint="eastAsia" w:ascii="宋体" w:hAnsi="宋体" w:cs="宋体"/>
          <w:szCs w:val="21"/>
          <w:highlight w:val="none"/>
          <w:u w:val="single"/>
        </w:rPr>
        <w:t xml:space="preserve">经发包人书面批准</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3.3.4承包人擅自更换主要施工管理人员的违约责任：</w:t>
      </w:r>
      <w:r>
        <w:rPr>
          <w:rFonts w:hint="eastAsia" w:ascii="宋体" w:hAnsi="宋体" w:cs="宋体"/>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bookmarkStart w:id="150" w:name="_Toc312677988"/>
      <w:r>
        <w:rPr>
          <w:highlight w:val="none"/>
        </w:rPr>
      </w:r>
      <w:bookmarkStart w:id="151" w:name="_Toc300934945"/>
      <w:r>
        <w:rPr>
          <w:highlight w:val="none"/>
        </w:rPr>
      </w:r>
      <w:bookmarkStart w:id="152" w:name="_Toc297216151"/>
      <w:r>
        <w:rPr>
          <w:highlight w:val="none"/>
        </w:rPr>
      </w:r>
      <w:bookmarkStart w:id="153" w:name="_Toc304295523"/>
      <w:r>
        <w:rPr>
          <w:highlight w:val="none"/>
        </w:rPr>
      </w:r>
      <w:bookmarkStart w:id="154" w:name="_Toc296503159"/>
      <w:r>
        <w:rPr>
          <w:highlight w:val="none"/>
        </w:rPr>
      </w:r>
      <w:bookmarkStart w:id="155" w:name="_Toc296346660"/>
      <w:r>
        <w:rPr>
          <w:highlight w:val="none"/>
        </w:rPr>
      </w:r>
      <w:bookmarkStart w:id="156" w:name="_Toc296347158"/>
      <w:r>
        <w:rPr>
          <w:highlight w:val="none"/>
        </w:rPr>
      </w:r>
      <w:bookmarkStart w:id="157" w:name="_Toc297123492"/>
      <w:r>
        <w:rPr>
          <w:highlight w:val="none"/>
        </w:rPr>
      </w:r>
      <w:bookmarkStart w:id="158" w:name="_Toc303539102"/>
      <w:r>
        <w:rPr>
          <w:highlight w:val="none"/>
        </w:rPr>
      </w:r>
      <w:bookmarkStart w:id="159" w:name="_Toc296890987"/>
      <w:r>
        <w:rPr>
          <w:highlight w:val="none"/>
        </w:rPr>
      </w:r>
      <w:bookmarkStart w:id="160" w:name="_Toc296891199"/>
      <w:r>
        <w:rPr>
          <w:highlight w:val="none"/>
        </w:rPr>
      </w:r>
      <w:bookmarkStart w:id="161" w:name="_Toc292559364"/>
      <w:r>
        <w:rPr>
          <w:highlight w:val="none"/>
        </w:rPr>
      </w:r>
      <w:bookmarkStart w:id="162" w:name="_Toc296944498"/>
      <w:r>
        <w:rPr>
          <w:highlight w:val="none"/>
        </w:rPr>
      </w:r>
      <w:bookmarkStart w:id="163" w:name="_Toc292559869"/>
      <w:r>
        <w:rPr>
          <w:highlight w:val="none"/>
        </w:rPr>
      </w:r>
      <w:bookmarkStart w:id="164" w:name="_Toc297120459"/>
      <w:r>
        <w:rPr>
          <w:highlight w:val="none"/>
        </w:rPr>
      </w:r>
      <w:bookmarkStart w:id="165" w:name="_Toc297048345"/>
      <w:r>
        <w:rPr>
          <w:rFonts w:hint="eastAsia" w:ascii="宋体" w:hAnsi="宋体" w:cs="宋体"/>
          <w:szCs w:val="21"/>
          <w:highlight w:val="none"/>
        </w:rPr>
        <w:t xml:space="preserve">.4 分包</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bookmarkStart w:id="166" w:name="_Toc303539103"/>
      <w:r>
        <w:rPr>
          <w:highlight w:val="none"/>
        </w:rPr>
      </w:r>
      <w:bookmarkStart w:id="167" w:name="_Toc296891200"/>
      <w:r>
        <w:rPr>
          <w:highlight w:val="none"/>
        </w:rPr>
      </w:r>
      <w:bookmarkStart w:id="168" w:name="_Toc297216152"/>
      <w:r>
        <w:rPr>
          <w:highlight w:val="none"/>
        </w:rPr>
      </w:r>
      <w:bookmarkStart w:id="169" w:name="_Toc292559365"/>
      <w:r>
        <w:rPr>
          <w:highlight w:val="none"/>
        </w:rPr>
      </w:r>
      <w:bookmarkStart w:id="170" w:name="_Toc296503160"/>
      <w:r>
        <w:rPr>
          <w:highlight w:val="none"/>
        </w:rPr>
      </w:r>
      <w:bookmarkStart w:id="171" w:name="_Toc292559870"/>
      <w:r>
        <w:rPr>
          <w:highlight w:val="none"/>
        </w:rPr>
      </w:r>
      <w:bookmarkStart w:id="172" w:name="_Toc297123493"/>
      <w:r>
        <w:rPr>
          <w:highlight w:val="none"/>
        </w:rPr>
      </w:r>
      <w:bookmarkStart w:id="173" w:name="_Toc296944499"/>
      <w:r>
        <w:rPr>
          <w:highlight w:val="none"/>
        </w:rPr>
      </w:r>
      <w:bookmarkStart w:id="174" w:name="_Toc296890988"/>
      <w:r>
        <w:rPr>
          <w:highlight w:val="none"/>
        </w:rPr>
      </w:r>
      <w:bookmarkStart w:id="175" w:name="_Toc300934946"/>
      <w:r>
        <w:rPr>
          <w:highlight w:val="none"/>
        </w:rPr>
      </w:r>
      <w:bookmarkStart w:id="176" w:name="_Toc304295524"/>
      <w:r>
        <w:rPr>
          <w:highlight w:val="none"/>
        </w:rPr>
      </w:r>
      <w:bookmarkStart w:id="177" w:name="_Toc297120460"/>
      <w:r>
        <w:rPr>
          <w:highlight w:val="none"/>
        </w:rPr>
      </w:r>
      <w:bookmarkStart w:id="178" w:name="_Toc296346661"/>
      <w:r>
        <w:rPr>
          <w:highlight w:val="none"/>
        </w:rPr>
      </w:r>
      <w:bookmarkStart w:id="179" w:name="_Toc297048346"/>
      <w:r>
        <w:rPr>
          <w:highlight w:val="none"/>
        </w:rPr>
      </w:r>
      <w:bookmarkStart w:id="180" w:name="_Toc296347159"/>
      <w:r>
        <w:rPr>
          <w:highlight w:val="none"/>
        </w:rPr>
      </w:r>
      <w:bookmarkStart w:id="181" w:name="_Toc318581158"/>
      <w:r>
        <w:rPr>
          <w:highlight w:val="none"/>
        </w:rPr>
      </w:r>
      <w:bookmarkStart w:id="182" w:name="_Toc312677989"/>
      <w:r>
        <w:rPr>
          <w:rFonts w:hint="eastAsia" w:ascii="宋体" w:hAnsi="宋体" w:cs="宋体"/>
          <w:szCs w:val="21"/>
          <w:highlight w:val="none"/>
        </w:rPr>
        <w:t xml:space="preserve">.4.1 分包的一般约定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主体、关键性工作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本协议约定的所有施工内容 </w:t>
      </w:r>
      <w:r>
        <w:rPr>
          <w:rFonts w:hint="eastAsia" w:ascii="宋体" w:hAnsi="宋体" w:cs="宋体"/>
          <w:szCs w:val="21"/>
          <w:highlight w:val="none"/>
        </w:rPr>
        <w:t xml:space="preserve">。</w:t>
      </w:r>
      <w:bookmarkStart w:id="183" w:name="_Toc300934947"/>
      <w:r>
        <w:rPr>
          <w:highlight w:val="none"/>
        </w:rPr>
      </w:r>
      <w:bookmarkStart w:id="184" w:name="_Toc296347160"/>
      <w:r>
        <w:rPr>
          <w:highlight w:val="none"/>
        </w:rPr>
      </w:r>
      <w:bookmarkStart w:id="185" w:name="_Toc296891201"/>
      <w:r>
        <w:rPr>
          <w:highlight w:val="none"/>
        </w:rPr>
      </w:r>
      <w:bookmarkStart w:id="186" w:name="_Toc297123494"/>
      <w:r>
        <w:rPr>
          <w:highlight w:val="none"/>
        </w:rPr>
      </w:r>
      <w:bookmarkStart w:id="187" w:name="_Toc296944500"/>
      <w:r>
        <w:rPr>
          <w:highlight w:val="none"/>
        </w:rPr>
      </w:r>
      <w:bookmarkStart w:id="188" w:name="_Toc296890989"/>
      <w:r>
        <w:rPr>
          <w:highlight w:val="none"/>
        </w:rPr>
      </w:r>
      <w:bookmarkStart w:id="189" w:name="_Toc297048347"/>
      <w:r>
        <w:rPr>
          <w:highlight w:val="none"/>
        </w:rPr>
      </w:r>
      <w:bookmarkStart w:id="190" w:name="_Toc303539104"/>
      <w:r>
        <w:rPr>
          <w:highlight w:val="none"/>
        </w:rPr>
      </w:r>
      <w:bookmarkStart w:id="191" w:name="_Toc297216153"/>
      <w:r>
        <w:rPr>
          <w:highlight w:val="none"/>
        </w:rPr>
      </w:r>
      <w:bookmarkStart w:id="192" w:name="_Toc296503161"/>
      <w:r>
        <w:rPr>
          <w:highlight w:val="none"/>
        </w:rPr>
      </w:r>
      <w:bookmarkStart w:id="193" w:name="_Toc296346662"/>
      <w:r>
        <w:rPr>
          <w:highlight w:val="none"/>
        </w:rPr>
      </w:r>
      <w:bookmarkStart w:id="194" w:name="_Toc297120461"/>
      <w:r>
        <w:rPr>
          <w:highlight w:val="none"/>
        </w:rPr>
      </w:r>
      <w:bookmarkStart w:id="195" w:name="_Toc304295525"/>
      <w:r>
        <w:rPr>
          <w:highlight w:val="none"/>
        </w:rPr>
      </w:r>
      <w:bookmarkEnd w:id="166"/>
      <w:r>
        <w:rPr>
          <w:highlight w:val="none"/>
        </w:rPr>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bookmarkEnd w:id="177"/>
      <w:r>
        <w:rPr>
          <w:highlight w:val="none"/>
        </w:rPr>
      </w:r>
      <w:bookmarkEnd w:id="178"/>
      <w:r>
        <w:rPr>
          <w:highlight w:val="none"/>
        </w:rPr>
      </w:r>
      <w:bookmarkEnd w:id="179"/>
      <w:r>
        <w:rPr>
          <w:highlight w:val="none"/>
        </w:rPr>
      </w:r>
      <w:bookmarkEnd w:id="180"/>
      <w:r>
        <w:rPr>
          <w:highlight w:val="none"/>
        </w:rPr>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bookmarkStart w:id="196" w:name="_Toc312677990"/>
      <w:r>
        <w:rPr>
          <w:highlight w:val="none"/>
        </w:rPr>
      </w:r>
      <w:bookmarkStart w:id="197" w:name="_Toc318581159"/>
      <w:r>
        <w:rPr>
          <w:rFonts w:hint="eastAsia" w:ascii="宋体" w:hAnsi="宋体" w:cs="宋体"/>
          <w:szCs w:val="21"/>
          <w:highlight w:val="none"/>
        </w:rPr>
        <w:t xml:space="preserve">.4.2分包的确定</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3.4.3 分包合同价款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无    </w:t>
      </w:r>
      <w:r>
        <w:rPr>
          <w:rFonts w:hint="eastAsia" w:ascii="宋体" w:hAnsi="宋体" w:cs="宋体"/>
          <w:szCs w:val="21"/>
          <w:highlight w:val="none"/>
        </w:rPr>
        <w:t xml:space="preserve">。</w:t>
      </w:r>
      <w:bookmarkEnd w:id="196"/>
      <w:r/>
      <w:bookmarkEnd w:id="19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3.5 工程照管与成品、半成品保护</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  从开工日至竣工日结束后30天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3.6 履约担保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承包人提供履约担保的形式、金额及期限的：</w:t>
      </w:r>
      <w:r>
        <w:rPr>
          <w:rFonts w:hint="eastAsia" w:ascii="宋体" w:hAnsi="宋体" w:cs="宋体"/>
          <w:szCs w:val="21"/>
          <w:highlight w:val="none"/>
          <w:u w:val="single"/>
        </w:rPr>
        <w:t xml:space="preserve">    / </w:t>
      </w:r>
      <w:r>
        <w:rPr>
          <w:rFonts w:hint="eastAsia" w:ascii="宋体" w:hAnsi="宋体" w:cs="宋体"/>
          <w:szCs w:val="21"/>
          <w:highlight w:val="none"/>
        </w:rPr>
        <w:t xml:space="preserve"> 。       </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198" w:name="_Toc351203637"/>
      <w:r>
        <w:rPr>
          <w:highlight w:val="none"/>
        </w:rPr>
      </w:r>
      <w:bookmarkStart w:id="199" w:name="_Toc292559872"/>
      <w:r>
        <w:rPr>
          <w:highlight w:val="none"/>
        </w:rPr>
      </w:r>
      <w:bookmarkStart w:id="200" w:name="_Toc296503163"/>
      <w:r>
        <w:rPr>
          <w:highlight w:val="none"/>
        </w:rPr>
      </w:r>
      <w:bookmarkStart w:id="201" w:name="_Toc296891203"/>
      <w:r>
        <w:rPr>
          <w:highlight w:val="none"/>
        </w:rPr>
      </w:r>
      <w:bookmarkStart w:id="202" w:name="_Toc292559367"/>
      <w:r>
        <w:rPr>
          <w:highlight w:val="none"/>
        </w:rPr>
      </w:r>
      <w:bookmarkStart w:id="203" w:name="_Toc297048349"/>
      <w:r>
        <w:rPr>
          <w:highlight w:val="none"/>
        </w:rPr>
      </w:r>
      <w:bookmarkStart w:id="204" w:name="_Toc296944502"/>
      <w:r>
        <w:rPr>
          <w:highlight w:val="none"/>
        </w:rPr>
      </w:r>
      <w:bookmarkStart w:id="205" w:name="_Toc296346664"/>
      <w:r>
        <w:rPr>
          <w:highlight w:val="none"/>
        </w:rPr>
      </w:r>
      <w:bookmarkStart w:id="206" w:name="_Toc296890991"/>
      <w:r>
        <w:rPr>
          <w:highlight w:val="none"/>
        </w:rPr>
      </w:r>
      <w:bookmarkStart w:id="207" w:name="_Toc296347162"/>
      <w:r>
        <w:rPr>
          <w:highlight w:val="none"/>
        </w:rPr>
      </w:r>
      <w:bookmarkStart w:id="208" w:name="_Toc297120463"/>
      <w:r>
        <w:rPr>
          <w:rFonts w:hint="eastAsia" w:ascii="宋体" w:hAnsi="宋体" w:cs="宋体"/>
          <w:szCs w:val="21"/>
          <w:highlight w:val="none"/>
        </w:rPr>
        <w:t xml:space="preserve">4. 工程质量</w:t>
      </w:r>
      <w:bookmarkEnd w:id="19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4.1 质量要求</w:t>
      </w:r>
      <w:r>
        <w:rPr>
          <w:highlight w:val="none"/>
        </w:rPr>
      </w:r>
      <w:r/>
    </w:p>
    <w:p>
      <w:pPr>
        <w:ind w:firstLine="420"/>
        <w:spacing w:line="360" w:lineRule="auto"/>
        <w:rPr>
          <w:rFonts w:ascii="宋体" w:hAnsi="宋体" w:cs="宋体"/>
          <w:szCs w:val="21"/>
          <w:highlight w:val="none"/>
        </w:rPr>
      </w:pPr>
      <w:r>
        <w:rPr>
          <w:highlight w:val="none"/>
        </w:rPr>
      </w:r>
      <w:bookmarkStart w:id="209" w:name="_Toc304295527"/>
      <w:r>
        <w:rPr>
          <w:highlight w:val="none"/>
        </w:rPr>
      </w:r>
      <w:bookmarkStart w:id="210" w:name="_Toc303539106"/>
      <w:r>
        <w:rPr>
          <w:highlight w:val="none"/>
        </w:rPr>
      </w:r>
      <w:bookmarkStart w:id="211" w:name="_Toc297123496"/>
      <w:r>
        <w:rPr>
          <w:highlight w:val="none"/>
        </w:rPr>
      </w:r>
      <w:bookmarkStart w:id="212" w:name="_Toc297216155"/>
      <w:r>
        <w:rPr>
          <w:highlight w:val="none"/>
        </w:rPr>
      </w:r>
      <w:bookmarkStart w:id="213" w:name="_Toc318581164"/>
      <w:r>
        <w:rPr>
          <w:highlight w:val="none"/>
        </w:rPr>
      </w:r>
      <w:bookmarkStart w:id="214" w:name="_Toc300934949"/>
      <w:r>
        <w:rPr>
          <w:highlight w:val="none"/>
        </w:rPr>
      </w:r>
      <w:bookmarkStart w:id="215" w:name="_Toc312677997"/>
      <w:r>
        <w:rPr>
          <w:rFonts w:hint="eastAsia" w:ascii="宋体" w:hAnsi="宋体" w:cs="宋体"/>
          <w:szCs w:val="21"/>
          <w:highlight w:val="none"/>
        </w:rPr>
        <w:t xml:space="preserve">4.1.1 特殊质量标准和要求：</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4.2 隐蔽工程检查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4.2.1承包人提前通知监理人隐蔽工程检查的期限的约定：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  8  </w:t>
      </w:r>
      <w:r>
        <w:rPr>
          <w:rFonts w:hint="eastAsia" w:ascii="宋体" w:hAnsi="宋体" w:cs="宋体"/>
          <w:szCs w:val="21"/>
          <w:highlight w:val="none"/>
        </w:rPr>
        <w:t xml:space="preserve">小时提交书面延期要求。</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216" w:name="_Toc351203638"/>
      <w:r>
        <w:rPr>
          <w:rFonts w:hint="eastAsia" w:ascii="宋体" w:hAnsi="宋体" w:cs="宋体"/>
          <w:szCs w:val="21"/>
          <w:highlight w:val="none"/>
        </w:rPr>
        <w:t xml:space="preserve">5. 安全文明施工与环境保护</w:t>
      </w:r>
      <w:bookmarkEnd w:id="21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5.1安全文明施工</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5.1.1 项目安全生产的达标目标及相应事项的约定：（1）</w:t>
      </w:r>
      <w:r>
        <w:rPr>
          <w:rFonts w:hint="eastAsia" w:ascii="宋体" w:hAnsi="宋体" w:cs="宋体"/>
          <w:spacing w:val="10"/>
          <w:szCs w:val="21"/>
          <w:highlight w:val="none"/>
          <w:u w:val="single"/>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cs="宋体"/>
          <w:szCs w:val="21"/>
          <w:highlight w:val="none"/>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ascii="宋体" w:hAnsi="宋体" w:cs="宋体"/>
          <w:szCs w:val="21"/>
          <w:highlight w:val="none"/>
        </w:rPr>
        <w:t xml:space="preserve">（2）</w:t>
      </w:r>
      <w:r>
        <w:rPr>
          <w:rFonts w:hint="eastAsia" w:ascii="宋体" w:hAnsi="宋体" w:cs="宋体"/>
          <w:szCs w:val="21"/>
          <w:highlight w:val="none"/>
          <w:u w:val="single"/>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5.1.2 关于治安保卫的特别约定：</w:t>
      </w:r>
      <w:r>
        <w:rPr>
          <w:rFonts w:hint="eastAsia" w:ascii="宋体" w:hAnsi="宋体" w:cs="宋体"/>
          <w:spacing w:val="10"/>
          <w:szCs w:val="21"/>
          <w:highlight w:val="none"/>
          <w:u w:val="single"/>
        </w:rPr>
        <w:t xml:space="preserve">按照江宁政办发（2007）157号文规定，其他按通用条款</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  在开工前提交的施工组织设计中必须要有此部分内容</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5.1.3 文明施工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施工现场卫生按标准化现场要求管理，材料和设备堆放整齐，施工区和居住区保持整洁卫生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217" w:name="_Toc351203639"/>
      <w:r>
        <w:rPr>
          <w:highlight w:val="none"/>
        </w:rPr>
      </w:r>
      <w:bookmarkEnd w:id="209"/>
      <w:r>
        <w:rPr>
          <w:highlight w:val="none"/>
        </w:rPr>
      </w:r>
      <w:bookmarkEnd w:id="210"/>
      <w:r>
        <w:rPr>
          <w:highlight w:val="none"/>
        </w:rPr>
      </w:r>
      <w:bookmarkEnd w:id="211"/>
      <w:r>
        <w:rPr>
          <w:highlight w:val="none"/>
        </w:rPr>
      </w:r>
      <w:bookmarkEnd w:id="212"/>
      <w:r>
        <w:rPr>
          <w:highlight w:val="none"/>
        </w:rPr>
      </w:r>
      <w:bookmarkEnd w:id="213"/>
      <w:r>
        <w:rPr>
          <w:highlight w:val="none"/>
        </w:rPr>
      </w:r>
      <w:bookmarkEnd w:id="214"/>
      <w:r>
        <w:rPr>
          <w:highlight w:val="none"/>
        </w:rPr>
      </w:r>
      <w:bookmarkEnd w:id="215"/>
      <w:r>
        <w:rPr>
          <w:rFonts w:hint="eastAsia" w:ascii="宋体" w:hAnsi="宋体" w:cs="宋体"/>
          <w:szCs w:val="21"/>
          <w:highlight w:val="none"/>
        </w:rPr>
        <w:t xml:space="preserve">6. 工期和进度</w:t>
      </w:r>
      <w:bookmarkEnd w:id="21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6.1 施工组织设计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6.1.1 合同当事人约定的施工组织设计应包括的其他内容：</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6.1.2 施工组织设计的提交和修改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  合同签订后7日内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5日</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218" w:name="_Toc312678005"/>
      <w:r>
        <w:rPr>
          <w:highlight w:val="none"/>
        </w:rPr>
      </w:r>
      <w:bookmarkStart w:id="219" w:name="_Toc297123514"/>
      <w:r>
        <w:rPr>
          <w:highlight w:val="none"/>
        </w:rPr>
      </w:r>
      <w:bookmarkStart w:id="220" w:name="_Toc303539123"/>
      <w:r>
        <w:rPr>
          <w:highlight w:val="none"/>
        </w:rPr>
      </w:r>
      <w:bookmarkStart w:id="221" w:name="_Toc304295541"/>
      <w:r>
        <w:rPr>
          <w:highlight w:val="none"/>
        </w:rPr>
      </w:r>
      <w:bookmarkStart w:id="222" w:name="_Toc300934966"/>
      <w:r>
        <w:rPr>
          <w:highlight w:val="none"/>
        </w:rPr>
      </w:r>
      <w:bookmarkStart w:id="223" w:name="_Toc312677479"/>
      <w:r>
        <w:rPr>
          <w:highlight w:val="none"/>
        </w:rPr>
      </w:r>
      <w:bookmarkStart w:id="224" w:name="_Toc297216173"/>
      <w:r>
        <w:rPr>
          <w:rFonts w:hint="eastAsia" w:ascii="宋体" w:hAnsi="宋体" w:cs="宋体"/>
          <w:szCs w:val="21"/>
          <w:highlight w:val="none"/>
        </w:rPr>
        <w:t xml:space="preserve">6.2 施工进度计划</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6.2.1 施工进度计划的修订</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5日</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6.3 开工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6.3.1 开工准备</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  合同签订后10日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 临时设施搭建、材料、设备、人员等，合同签订后10日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 暂无，如有另行协商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6.3.2开工通知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7 天</w:t>
      </w:r>
      <w:r>
        <w:rPr>
          <w:rFonts w:hint="eastAsia" w:ascii="宋体" w:hAnsi="宋体" w:cs="宋体"/>
          <w:szCs w:val="21"/>
          <w:highlight w:val="none"/>
        </w:rPr>
        <w:t xml:space="preserve">内发出开工通知的，承包人有权提出价格调整要求，或者解除合同。</w:t>
      </w:r>
      <w:bookmarkEnd w:id="218"/>
      <w:r/>
      <w:bookmarkEnd w:id="219"/>
      <w:r/>
      <w:bookmarkEnd w:id="220"/>
      <w:r/>
      <w:bookmarkEnd w:id="221"/>
      <w:r/>
      <w:bookmarkEnd w:id="222"/>
      <w:r/>
      <w:bookmarkEnd w:id="223"/>
      <w:r/>
      <w:bookmarkEnd w:id="22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6.4 测量放线</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6.4.1发包人通过监理人向承包人提供测量基准点、基准线和水准点及其书面资料的期限：</w:t>
      </w:r>
      <w:r>
        <w:rPr>
          <w:rFonts w:hint="eastAsia" w:ascii="宋体" w:hAnsi="宋体" w:cs="宋体"/>
          <w:spacing w:val="10"/>
          <w:szCs w:val="21"/>
          <w:highlight w:val="none"/>
          <w:u w:val="single"/>
        </w:rPr>
        <w:t xml:space="preserve">开工前提供水准点与坐标管制点，按施工图要求由发包人、承包人现场交验</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225" w:name="_Toc312678010"/>
      <w:r>
        <w:rPr>
          <w:highlight w:val="none"/>
        </w:rPr>
      </w:r>
      <w:bookmarkStart w:id="226" w:name="_Toc297123516"/>
      <w:r>
        <w:rPr>
          <w:highlight w:val="none"/>
        </w:rPr>
      </w:r>
      <w:bookmarkStart w:id="227" w:name="_Toc300934968"/>
      <w:r>
        <w:rPr>
          <w:highlight w:val="none"/>
        </w:rPr>
      </w:r>
      <w:bookmarkStart w:id="228" w:name="_Toc304295546"/>
      <w:r>
        <w:rPr>
          <w:highlight w:val="none"/>
        </w:rPr>
      </w:r>
      <w:bookmarkStart w:id="229" w:name="_Toc303539125"/>
      <w:r>
        <w:rPr>
          <w:highlight w:val="none"/>
        </w:rPr>
      </w:r>
      <w:bookmarkStart w:id="230" w:name="_Toc312677484"/>
      <w:r>
        <w:rPr>
          <w:highlight w:val="none"/>
        </w:rPr>
      </w:r>
      <w:bookmarkStart w:id="231" w:name="_Toc297216175"/>
      <w:r>
        <w:rPr>
          <w:rFonts w:hint="eastAsia" w:ascii="宋体" w:hAnsi="宋体" w:cs="宋体"/>
          <w:szCs w:val="21"/>
          <w:highlight w:val="none"/>
        </w:rPr>
        <w:t xml:space="preserve">6.5 工期延误</w:t>
      </w:r>
      <w:bookmarkEnd w:id="225"/>
      <w:r/>
      <w:bookmarkEnd w:id="226"/>
      <w:r/>
      <w:bookmarkEnd w:id="227"/>
      <w:r/>
      <w:bookmarkEnd w:id="228"/>
      <w:r/>
      <w:bookmarkEnd w:id="229"/>
      <w:r/>
      <w:bookmarkEnd w:id="230"/>
      <w:r/>
      <w:bookmarkEnd w:id="23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6.5.1 因发包人原因导致工期延误</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232" w:name="_Toc312678012"/>
      <w:r>
        <w:rPr>
          <w:highlight w:val="none"/>
        </w:rPr>
      </w:r>
      <w:bookmarkStart w:id="233" w:name="_Toc318581169"/>
      <w:r>
        <w:rPr>
          <w:highlight w:val="none"/>
        </w:rPr>
      </w:r>
      <w:bookmarkStart w:id="234" w:name="_Toc312677486"/>
      <w:r>
        <w:rPr>
          <w:highlight w:val="none"/>
        </w:rPr>
      </w:r>
      <w:bookmarkStart w:id="235" w:name="_Toc297123518"/>
      <w:r>
        <w:rPr>
          <w:highlight w:val="none"/>
        </w:rPr>
      </w:r>
      <w:bookmarkStart w:id="236" w:name="_Toc300934970"/>
      <w:r>
        <w:rPr>
          <w:highlight w:val="none"/>
        </w:rPr>
      </w:r>
      <w:bookmarkStart w:id="237" w:name="_Toc303539127"/>
      <w:r>
        <w:rPr>
          <w:highlight w:val="none"/>
        </w:rPr>
      </w:r>
      <w:bookmarkStart w:id="238" w:name="_Toc304295548"/>
      <w:r>
        <w:rPr>
          <w:highlight w:val="none"/>
        </w:rPr>
      </w:r>
      <w:bookmarkStart w:id="239" w:name="_Toc297216177"/>
      <w:r>
        <w:rPr>
          <w:rFonts w:hint="eastAsia" w:ascii="宋体" w:hAnsi="宋体" w:cs="宋体"/>
          <w:szCs w:val="21"/>
          <w:highlight w:val="none"/>
        </w:rPr>
        <w:t xml:space="preserve">6.5.2 因承包人原因导致工期延误</w:t>
      </w:r>
      <w:bookmarkEnd w:id="232"/>
      <w:r/>
      <w:bookmarkEnd w:id="233"/>
      <w:r/>
      <w:bookmarkEnd w:id="23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因</w:t>
      </w:r>
      <w:bookmarkStart w:id="240" w:name="_Toc312678013"/>
      <w:r>
        <w:rPr>
          <w:highlight w:val="none"/>
        </w:rPr>
      </w:r>
      <w:bookmarkStart w:id="241" w:name="_Toc312677487"/>
      <w:r>
        <w:rPr>
          <w:highlight w:val="none"/>
        </w:rPr>
      </w:r>
      <w:bookmarkStart w:id="242" w:name="_Toc318581170"/>
      <w:r>
        <w:rPr>
          <w:rFonts w:hint="eastAsia" w:ascii="宋体" w:hAnsi="宋体" w:cs="宋体"/>
          <w:szCs w:val="21"/>
          <w:highlight w:val="none"/>
        </w:rPr>
        <w:t xml:space="preserve">承包人原因造成工期延误，逾期竣工违约金的计算方法为：</w:t>
      </w:r>
      <w:r>
        <w:rPr>
          <w:rFonts w:hint="eastAsia" w:ascii="宋体" w:hAnsi="宋体" w:cs="宋体"/>
          <w:spacing w:val="10"/>
          <w:szCs w:val="21"/>
          <w:highlight w:val="none"/>
          <w:u w:val="single"/>
        </w:rPr>
        <w:t xml:space="preserve">如因承包人原因，导致竣工工期滞后于合同工期，按每滞后一天赔偿发包人2000元违约金</w:t>
      </w:r>
      <w:r>
        <w:rPr>
          <w:rFonts w:hint="eastAsia" w:ascii="宋体" w:hAnsi="宋体" w:cs="宋体"/>
          <w:szCs w:val="21"/>
          <w:highlight w:val="none"/>
        </w:rPr>
        <w:t xml:space="preserve">。</w:t>
      </w:r>
      <w:bookmarkEnd w:id="235"/>
      <w:r>
        <w:rPr>
          <w:highlight w:val="none"/>
        </w:rPr>
      </w:r>
      <w:bookmarkEnd w:id="236"/>
      <w:r>
        <w:rPr>
          <w:highlight w:val="none"/>
        </w:rPr>
      </w:r>
      <w:bookmarkEnd w:id="237"/>
      <w:r>
        <w:rPr>
          <w:highlight w:val="none"/>
        </w:rPr>
      </w:r>
      <w:bookmarkEnd w:id="238"/>
      <w:r>
        <w:rPr>
          <w:highlight w:val="none"/>
        </w:rPr>
      </w:r>
      <w:bookmarkEnd w:id="239"/>
      <w:r>
        <w:rPr>
          <w:highlight w:val="none"/>
        </w:rPr>
      </w:r>
      <w:bookmarkEnd w:id="240"/>
      <w:r>
        <w:rPr>
          <w:highlight w:val="none"/>
        </w:rPr>
      </w:r>
      <w:bookmarkEnd w:id="241"/>
      <w:r>
        <w:rPr>
          <w:highlight w:val="none"/>
        </w:rPr>
      </w:r>
      <w:r/>
    </w:p>
    <w:p>
      <w:pPr>
        <w:ind w:firstLine="420"/>
        <w:spacing w:line="360" w:lineRule="auto"/>
        <w:rPr>
          <w:rFonts w:ascii="宋体" w:hAnsi="宋体" w:cs="宋体"/>
          <w:szCs w:val="21"/>
          <w:highlight w:val="none"/>
        </w:rPr>
      </w:pPr>
      <w:r>
        <w:rPr>
          <w:highlight w:val="none"/>
        </w:rPr>
      </w:r>
      <w:bookmarkStart w:id="243" w:name="_Toc304295549"/>
      <w:r>
        <w:rPr>
          <w:highlight w:val="none"/>
        </w:rPr>
      </w:r>
      <w:bookmarkStart w:id="244" w:name="_Toc297123519"/>
      <w:r>
        <w:rPr>
          <w:highlight w:val="none"/>
        </w:rPr>
      </w:r>
      <w:bookmarkStart w:id="245" w:name="_Toc303539128"/>
      <w:r>
        <w:rPr>
          <w:highlight w:val="none"/>
        </w:rPr>
      </w:r>
      <w:bookmarkStart w:id="246" w:name="_Toc312678015"/>
      <w:r>
        <w:rPr>
          <w:highlight w:val="none"/>
        </w:rPr>
      </w:r>
      <w:bookmarkStart w:id="247" w:name="_Toc300934971"/>
      <w:r>
        <w:rPr>
          <w:highlight w:val="none"/>
        </w:rPr>
      </w:r>
      <w:bookmarkStart w:id="248" w:name="_Toc297216178"/>
      <w:r>
        <w:rPr>
          <w:highlight w:val="none"/>
        </w:rPr>
      </w:r>
      <w:bookmarkEnd w:id="242"/>
      <w:r>
        <w:rPr>
          <w:rFonts w:hint="eastAsia" w:ascii="宋体" w:hAnsi="宋体" w:cs="宋体"/>
          <w:szCs w:val="21"/>
          <w:highlight w:val="none"/>
        </w:rPr>
        <w:t xml:space="preserve">6.6 不</w:t>
      </w:r>
      <w:bookmarkEnd w:id="243"/>
      <w:r>
        <w:rPr>
          <w:highlight w:val="none"/>
        </w:rPr>
      </w:r>
      <w:bookmarkEnd w:id="244"/>
      <w:r>
        <w:rPr>
          <w:highlight w:val="none"/>
        </w:rPr>
      </w:r>
      <w:bookmarkEnd w:id="245"/>
      <w:r>
        <w:rPr>
          <w:highlight w:val="none"/>
        </w:rPr>
      </w:r>
      <w:bookmarkEnd w:id="246"/>
      <w:r>
        <w:rPr>
          <w:highlight w:val="none"/>
        </w:rPr>
      </w:r>
      <w:bookmarkEnd w:id="247"/>
      <w:r>
        <w:rPr>
          <w:highlight w:val="none"/>
        </w:rPr>
      </w:r>
      <w:bookmarkEnd w:id="248"/>
      <w:r>
        <w:rPr>
          <w:rFonts w:hint="eastAsia" w:ascii="宋体" w:hAnsi="宋体" w:cs="宋体"/>
          <w:szCs w:val="21"/>
          <w:highlight w:val="none"/>
        </w:rPr>
        <w:t xml:space="preserve">利物质条件</w:t>
      </w:r>
      <w:r>
        <w:rPr>
          <w:highlight w:val="none"/>
        </w:rPr>
      </w:r>
      <w:r/>
    </w:p>
    <w:p>
      <w:pPr>
        <w:ind w:firstLine="420"/>
        <w:spacing w:line="360" w:lineRule="auto"/>
        <w:rPr>
          <w:rFonts w:ascii="宋体" w:hAnsi="宋体" w:cs="宋体"/>
          <w:szCs w:val="21"/>
          <w:highlight w:val="none"/>
        </w:rPr>
      </w:pPr>
      <w:r>
        <w:rPr>
          <w:highlight w:val="none"/>
        </w:rPr>
      </w:r>
      <w:bookmarkStart w:id="249" w:name="_Toc304295550"/>
      <w:r>
        <w:rPr>
          <w:highlight w:val="none"/>
        </w:rPr>
      </w:r>
      <w:bookmarkStart w:id="250" w:name="_Toc312678016"/>
      <w:r>
        <w:rPr>
          <w:highlight w:val="none"/>
        </w:rPr>
      </w:r>
      <w:bookmarkStart w:id="251" w:name="_Toc318581172"/>
      <w:r>
        <w:rPr>
          <w:highlight w:val="none"/>
        </w:rPr>
      </w:r>
      <w:bookmarkStart w:id="252" w:name="_Toc297123520"/>
      <w:r>
        <w:rPr>
          <w:highlight w:val="none"/>
        </w:rPr>
      </w:r>
      <w:bookmarkStart w:id="253" w:name="_Toc297216179"/>
      <w:r>
        <w:rPr>
          <w:highlight w:val="none"/>
        </w:rPr>
      </w:r>
      <w:bookmarkStart w:id="254" w:name="_Toc300934972"/>
      <w:r>
        <w:rPr>
          <w:highlight w:val="none"/>
        </w:rPr>
      </w:r>
      <w:bookmarkStart w:id="255" w:name="_Toc303539129"/>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256" w:name="_Toc312678017"/>
      <w:r>
        <w:rPr>
          <w:highlight w:val="none"/>
        </w:rPr>
      </w:r>
      <w:bookmarkStart w:id="257" w:name="_Toc304295551"/>
      <w:r>
        <w:rPr>
          <w:highlight w:val="none"/>
        </w:rPr>
      </w:r>
      <w:bookmarkStart w:id="258" w:name="_Toc297123521"/>
      <w:r>
        <w:rPr>
          <w:highlight w:val="none"/>
        </w:rPr>
      </w:r>
      <w:bookmarkStart w:id="259" w:name="_Toc300934973"/>
      <w:r>
        <w:rPr>
          <w:highlight w:val="none"/>
        </w:rPr>
      </w:r>
      <w:bookmarkStart w:id="260" w:name="_Toc303539130"/>
      <w:r>
        <w:rPr>
          <w:highlight w:val="none"/>
        </w:rPr>
      </w:r>
      <w:bookmarkStart w:id="261" w:name="_Toc297216180"/>
      <w:r>
        <w:rPr>
          <w:highlight w:val="none"/>
        </w:rPr>
      </w:r>
      <w:bookmarkEnd w:id="249"/>
      <w:r>
        <w:rPr>
          <w:highlight w:val="none"/>
        </w:rPr>
      </w:r>
      <w:bookmarkEnd w:id="250"/>
      <w:r>
        <w:rPr>
          <w:highlight w:val="none"/>
        </w:rPr>
      </w:r>
      <w:bookmarkEnd w:id="251"/>
      <w:r>
        <w:rPr>
          <w:highlight w:val="none"/>
        </w:rPr>
      </w:r>
      <w:bookmarkEnd w:id="252"/>
      <w:r>
        <w:rPr>
          <w:highlight w:val="none"/>
        </w:rPr>
      </w:r>
      <w:bookmarkEnd w:id="253"/>
      <w:r>
        <w:rPr>
          <w:highlight w:val="none"/>
        </w:rPr>
      </w:r>
      <w:bookmarkEnd w:id="254"/>
      <w:r>
        <w:rPr>
          <w:highlight w:val="none"/>
        </w:rPr>
      </w:r>
      <w:bookmarkEnd w:id="255"/>
      <w:r>
        <w:rPr>
          <w:rFonts w:hint="eastAsia" w:ascii="宋体" w:hAnsi="宋体" w:cs="宋体"/>
          <w:szCs w:val="21"/>
          <w:highlight w:val="none"/>
        </w:rPr>
        <w:t xml:space="preserve">6.7异常恶劣的气候条件</w:t>
      </w:r>
      <w:bookmarkEnd w:id="256"/>
      <w:r/>
      <w:bookmarkEnd w:id="257"/>
      <w:r/>
      <w:bookmarkEnd w:id="258"/>
      <w:r/>
      <w:bookmarkEnd w:id="259"/>
      <w:r/>
      <w:bookmarkEnd w:id="260"/>
      <w:r/>
      <w:bookmarkEnd w:id="26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rPr>
          <w:rFonts w:hint="eastAsia" w:ascii="宋体" w:hAnsi="宋体" w:cs="宋体"/>
          <w:szCs w:val="21"/>
          <w:highlight w:val="none"/>
          <w:u w:val="single"/>
        </w:rPr>
        <w:t xml:space="preserve">按通用条款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6.9 提前竣工的奖励</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6.9.2提前竣工的奖励：</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262" w:name="_Toc351203640"/>
      <w:r>
        <w:rPr>
          <w:rFonts w:hint="eastAsia" w:ascii="宋体" w:hAnsi="宋体" w:cs="宋体"/>
          <w:szCs w:val="21"/>
          <w:highlight w:val="none"/>
        </w:rPr>
        <w:t xml:space="preserve">7. 材料与设备</w:t>
      </w:r>
      <w:bookmarkEnd w:id="262"/>
      <w:r>
        <w:rPr>
          <w:highlight w:val="none"/>
        </w:rPr>
      </w:r>
      <w:r/>
    </w:p>
    <w:p>
      <w:pPr>
        <w:ind w:firstLine="420"/>
        <w:spacing w:line="360" w:lineRule="auto"/>
        <w:rPr>
          <w:rFonts w:ascii="宋体" w:hAnsi="宋体" w:cs="宋体"/>
          <w:szCs w:val="21"/>
          <w:highlight w:val="none"/>
        </w:rPr>
      </w:pPr>
      <w:r>
        <w:rPr>
          <w:highlight w:val="none"/>
        </w:rPr>
      </w:r>
      <w:bookmarkStart w:id="263" w:name="_Toc312677493"/>
      <w:r>
        <w:rPr>
          <w:highlight w:val="none"/>
        </w:rPr>
      </w:r>
      <w:bookmarkStart w:id="264" w:name="_Toc296890995"/>
      <w:r>
        <w:rPr>
          <w:highlight w:val="none"/>
        </w:rPr>
      </w:r>
      <w:bookmarkStart w:id="265" w:name="_Toc296346668"/>
      <w:r>
        <w:rPr>
          <w:highlight w:val="none"/>
        </w:rPr>
      </w:r>
      <w:bookmarkStart w:id="266" w:name="_Toc304295556"/>
      <w:r>
        <w:rPr>
          <w:highlight w:val="none"/>
        </w:rPr>
      </w:r>
      <w:bookmarkStart w:id="267" w:name="_Toc300934979"/>
      <w:r>
        <w:rPr>
          <w:highlight w:val="none"/>
        </w:rPr>
      </w:r>
      <w:bookmarkStart w:id="268" w:name="_Toc280868654"/>
      <w:r>
        <w:rPr>
          <w:highlight w:val="none"/>
        </w:rPr>
      </w:r>
      <w:bookmarkStart w:id="269" w:name="_Toc296503167"/>
      <w:r>
        <w:rPr>
          <w:highlight w:val="none"/>
        </w:rPr>
      </w:r>
      <w:bookmarkStart w:id="270" w:name="_Toc297123527"/>
      <w:r>
        <w:rPr>
          <w:highlight w:val="none"/>
        </w:rPr>
      </w:r>
      <w:bookmarkStart w:id="271" w:name="_Toc292559877"/>
      <w:r>
        <w:rPr>
          <w:highlight w:val="none"/>
        </w:rPr>
      </w:r>
      <w:bookmarkStart w:id="272" w:name="_Toc296347166"/>
      <w:r>
        <w:rPr>
          <w:highlight w:val="none"/>
        </w:rPr>
      </w:r>
      <w:bookmarkStart w:id="273" w:name="_Toc297216186"/>
      <w:r>
        <w:rPr>
          <w:highlight w:val="none"/>
        </w:rPr>
      </w:r>
      <w:bookmarkStart w:id="274" w:name="_Toc297048353"/>
      <w:r>
        <w:rPr>
          <w:highlight w:val="none"/>
        </w:rPr>
      </w:r>
      <w:bookmarkStart w:id="275" w:name="_Toc312678019"/>
      <w:r>
        <w:rPr>
          <w:highlight w:val="none"/>
        </w:rPr>
      </w:r>
      <w:bookmarkStart w:id="276" w:name="_Toc296944506"/>
      <w:r>
        <w:rPr>
          <w:highlight w:val="none"/>
        </w:rPr>
      </w:r>
      <w:bookmarkStart w:id="277" w:name="_Toc292559372"/>
      <w:r>
        <w:rPr>
          <w:highlight w:val="none"/>
        </w:rPr>
      </w:r>
      <w:bookmarkStart w:id="278" w:name="_Toc303539136"/>
      <w:r>
        <w:rPr>
          <w:highlight w:val="none"/>
        </w:rPr>
      </w:r>
      <w:bookmarkStart w:id="279" w:name="_Toc296891207"/>
      <w:r>
        <w:rPr>
          <w:highlight w:val="none"/>
        </w:rPr>
      </w:r>
      <w:bookmarkStart w:id="280" w:name="_Toc297120467"/>
      <w:r>
        <w:rPr>
          <w:highlight w:val="none"/>
        </w:rPr>
      </w:r>
      <w:bookmarkStart w:id="281" w:name="_Toc280868656"/>
      <w:r>
        <w:rPr>
          <w:highlight w:val="none"/>
        </w:rPr>
      </w:r>
      <w:bookmarkStart w:id="282" w:name="_Toc267251424"/>
      <w:r>
        <w:rPr>
          <w:highlight w:val="none"/>
        </w:rPr>
      </w:r>
      <w:bookmarkStart w:id="283" w:name="_Toc280868655"/>
      <w:r>
        <w:rPr>
          <w:highlight w:val="none"/>
        </w:rPr>
      </w:r>
      <w:bookmarkEnd w:id="199"/>
      <w:r>
        <w:rPr>
          <w:highlight w:val="none"/>
        </w:rPr>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bookmarkEnd w:id="208"/>
      <w:r>
        <w:rPr>
          <w:rFonts w:hint="eastAsia" w:ascii="宋体" w:hAnsi="宋体" w:cs="宋体"/>
          <w:szCs w:val="21"/>
          <w:highlight w:val="none"/>
        </w:rPr>
        <w:t xml:space="preserve">7.1 材料与工程设备的保管与使用</w:t>
      </w:r>
      <w:r>
        <w:rPr>
          <w:highlight w:val="none"/>
        </w:rPr>
      </w:r>
      <w:r/>
    </w:p>
    <w:p>
      <w:pPr>
        <w:ind w:firstLine="420"/>
        <w:spacing w:line="360" w:lineRule="auto"/>
        <w:rPr>
          <w:rFonts w:ascii="宋体" w:hAnsi="宋体" w:cs="宋体"/>
          <w:szCs w:val="21"/>
          <w:highlight w:val="none"/>
        </w:rPr>
      </w:pPr>
      <w:r>
        <w:rPr>
          <w:highlight w:val="none"/>
        </w:rPr>
      </w:r>
      <w:bookmarkStart w:id="284" w:name="_Toc292559878"/>
      <w:r>
        <w:rPr>
          <w:highlight w:val="none"/>
        </w:rPr>
      </w:r>
      <w:bookmarkStart w:id="285" w:name="_Toc292559373"/>
      <w:r>
        <w:rPr>
          <w:highlight w:val="none"/>
        </w:rPr>
      </w:r>
      <w:bookmarkStart w:id="286" w:name="_Toc312678020"/>
      <w:r>
        <w:rPr>
          <w:highlight w:val="none"/>
        </w:rPr>
      </w:r>
      <w:bookmarkStart w:id="287" w:name="_Toc297123528"/>
      <w:r>
        <w:rPr>
          <w:highlight w:val="none"/>
        </w:rPr>
      </w:r>
      <w:bookmarkStart w:id="288" w:name="_Toc318581173"/>
      <w:r>
        <w:rPr>
          <w:highlight w:val="none"/>
        </w:rPr>
      </w:r>
      <w:bookmarkStart w:id="289" w:name="_Toc297216187"/>
      <w:r>
        <w:rPr>
          <w:highlight w:val="none"/>
        </w:rPr>
      </w:r>
      <w:bookmarkStart w:id="290" w:name="_Toc296944507"/>
      <w:r>
        <w:rPr>
          <w:highlight w:val="none"/>
        </w:rPr>
      </w:r>
      <w:bookmarkStart w:id="291" w:name="_Toc297048354"/>
      <w:r>
        <w:rPr>
          <w:highlight w:val="none"/>
        </w:rPr>
      </w:r>
      <w:bookmarkStart w:id="292" w:name="_Toc296503168"/>
      <w:r>
        <w:rPr>
          <w:highlight w:val="none"/>
        </w:rPr>
      </w:r>
      <w:bookmarkStart w:id="293" w:name="_Toc304295557"/>
      <w:r>
        <w:rPr>
          <w:highlight w:val="none"/>
        </w:rPr>
      </w:r>
      <w:bookmarkStart w:id="294" w:name="_Toc300934980"/>
      <w:r>
        <w:rPr>
          <w:highlight w:val="none"/>
        </w:rPr>
      </w:r>
      <w:bookmarkStart w:id="295" w:name="_Toc303539137"/>
      <w:r>
        <w:rPr>
          <w:highlight w:val="none"/>
        </w:rPr>
      </w:r>
      <w:bookmarkStart w:id="296" w:name="_Toc312677494"/>
      <w:r>
        <w:rPr>
          <w:highlight w:val="none"/>
        </w:rPr>
      </w:r>
      <w:bookmarkStart w:id="297" w:name="_Toc296890996"/>
      <w:r>
        <w:rPr>
          <w:highlight w:val="none"/>
        </w:rPr>
      </w:r>
      <w:bookmarkStart w:id="298" w:name="_Toc296891208"/>
      <w:r>
        <w:rPr>
          <w:highlight w:val="none"/>
        </w:rPr>
      </w:r>
      <w:bookmarkStart w:id="299" w:name="_Toc297120468"/>
      <w:r>
        <w:rPr>
          <w:highlight w:val="none"/>
        </w:rPr>
      </w:r>
      <w:bookmarkStart w:id="300" w:name="_Toc296346669"/>
      <w:r>
        <w:rPr>
          <w:highlight w:val="none"/>
        </w:rPr>
      </w:r>
      <w:bookmarkStart w:id="301" w:name="_Toc296347167"/>
      <w:r>
        <w:rPr>
          <w:highlight w:val="none"/>
        </w:rPr>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bookmarkEnd w:id="280"/>
      <w:r>
        <w:rPr>
          <w:rFonts w:hint="eastAsia" w:ascii="宋体" w:hAnsi="宋体" w:cs="宋体"/>
          <w:szCs w:val="21"/>
          <w:highlight w:val="none"/>
        </w:rPr>
        <w:t xml:space="preserve">7.1.1发包人供应的材料设备的保管费用的承担：</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bookmarkEnd w:id="284"/>
      <w:r>
        <w:rPr>
          <w:highlight w:val="none"/>
        </w:rPr>
      </w:r>
      <w:bookmarkEnd w:id="28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7.2 样品</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7.2.1  样品的报送与封存</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302" w:name="_Toc351203641"/>
      <w:r>
        <w:rPr>
          <w:highlight w:val="none"/>
        </w:rPr>
      </w:r>
      <w:bookmarkStart w:id="303" w:name="_Toc312678021"/>
      <w:r>
        <w:rPr>
          <w:highlight w:val="none"/>
        </w:rPr>
      </w:r>
      <w:bookmarkStart w:id="304" w:name="_Toc304295559"/>
      <w:r>
        <w:rPr>
          <w:highlight w:val="none"/>
        </w:rPr>
      </w:r>
      <w:bookmarkStart w:id="305" w:name="_Toc300934982"/>
      <w:r>
        <w:rPr>
          <w:highlight w:val="none"/>
        </w:rPr>
      </w:r>
      <w:bookmarkStart w:id="306" w:name="_Toc297123533"/>
      <w:r>
        <w:rPr>
          <w:highlight w:val="none"/>
        </w:rPr>
      </w:r>
      <w:bookmarkStart w:id="307" w:name="_Toc297216192"/>
      <w:r>
        <w:rPr>
          <w:highlight w:val="none"/>
        </w:rPr>
      </w:r>
      <w:bookmarkStart w:id="308" w:name="_Toc312677495"/>
      <w:r>
        <w:rPr>
          <w:highlight w:val="none"/>
        </w:rPr>
      </w:r>
      <w:bookmarkStart w:id="309" w:name="_Toc303539139"/>
      <w:r>
        <w:rPr>
          <w:highlight w:val="none"/>
        </w:rPr>
      </w:r>
      <w:bookmarkStart w:id="310" w:name="_Toc292559883"/>
      <w:r>
        <w:rPr>
          <w:highlight w:val="none"/>
        </w:rPr>
      </w:r>
      <w:bookmarkStart w:id="311" w:name="_Toc297048359"/>
      <w:r>
        <w:rPr>
          <w:highlight w:val="none"/>
        </w:rPr>
      </w:r>
      <w:bookmarkStart w:id="312" w:name="_Toc296944512"/>
      <w:r>
        <w:rPr>
          <w:highlight w:val="none"/>
        </w:rPr>
      </w:r>
      <w:bookmarkStart w:id="313" w:name="_Toc296891001"/>
      <w:r>
        <w:rPr>
          <w:highlight w:val="none"/>
        </w:rPr>
      </w:r>
      <w:bookmarkStart w:id="314" w:name="_Toc296891213"/>
      <w:r>
        <w:rPr>
          <w:highlight w:val="none"/>
        </w:rPr>
      </w:r>
      <w:bookmarkStart w:id="315" w:name="_Toc267251428"/>
      <w:r>
        <w:rPr>
          <w:highlight w:val="none"/>
        </w:rPr>
      </w:r>
      <w:bookmarkStart w:id="316" w:name="_Toc267251427"/>
      <w:r>
        <w:rPr>
          <w:highlight w:val="none"/>
        </w:rPr>
      </w:r>
      <w:bookmarkStart w:id="317" w:name="_Toc296347172"/>
      <w:r>
        <w:rPr>
          <w:highlight w:val="none"/>
        </w:rPr>
      </w:r>
      <w:bookmarkStart w:id="318" w:name="_Toc296346674"/>
      <w:r>
        <w:rPr>
          <w:highlight w:val="none"/>
        </w:rPr>
      </w:r>
      <w:bookmarkStart w:id="319" w:name="_Toc297120473"/>
      <w:r>
        <w:rPr>
          <w:highlight w:val="none"/>
        </w:rPr>
      </w:r>
      <w:bookmarkStart w:id="320" w:name="_Toc296503173"/>
      <w:r>
        <w:rPr>
          <w:highlight w:val="none"/>
        </w:rPr>
      </w:r>
      <w:bookmarkStart w:id="321" w:name="_Toc292559378"/>
      <w:r>
        <w:rPr>
          <w:highlight w:val="none"/>
        </w:rPr>
      </w:r>
      <w:bookmarkEnd w:id="281"/>
      <w:r>
        <w:rPr>
          <w:highlight w:val="none"/>
        </w:rPr>
      </w:r>
      <w:bookmarkEnd w:id="282"/>
      <w:r>
        <w:rPr>
          <w:highlight w:val="none"/>
        </w:rPr>
      </w:r>
      <w:bookmarkEnd w:id="283"/>
      <w:r>
        <w:rPr>
          <w:highlight w:val="none"/>
        </w:rPr>
      </w:r>
      <w:bookmarkEnd w:id="286"/>
      <w:r>
        <w:rPr>
          <w:highlight w:val="none"/>
        </w:rPr>
      </w:r>
      <w:bookmarkEnd w:id="287"/>
      <w:r>
        <w:rPr>
          <w:highlight w:val="none"/>
        </w:rPr>
      </w:r>
      <w:bookmarkEnd w:id="288"/>
      <w:r>
        <w:rPr>
          <w:highlight w:val="none"/>
        </w:rPr>
      </w:r>
      <w:bookmarkEnd w:id="289"/>
      <w:r>
        <w:rPr>
          <w:highlight w:val="none"/>
        </w:rPr>
      </w:r>
      <w:bookmarkEnd w:id="290"/>
      <w:r>
        <w:rPr>
          <w:highlight w:val="none"/>
        </w:rPr>
      </w:r>
      <w:bookmarkEnd w:id="291"/>
      <w:r>
        <w:rPr>
          <w:highlight w:val="none"/>
        </w:rPr>
      </w:r>
      <w:bookmarkEnd w:id="292"/>
      <w:r>
        <w:rPr>
          <w:highlight w:val="none"/>
        </w:rPr>
      </w:r>
      <w:bookmarkEnd w:id="293"/>
      <w:r>
        <w:rPr>
          <w:highlight w:val="none"/>
        </w:rPr>
      </w:r>
      <w:bookmarkEnd w:id="294"/>
      <w:r>
        <w:rPr>
          <w:highlight w:val="none"/>
        </w:rPr>
      </w:r>
      <w:bookmarkEnd w:id="295"/>
      <w:r>
        <w:rPr>
          <w:highlight w:val="none"/>
        </w:rPr>
      </w:r>
      <w:bookmarkEnd w:id="296"/>
      <w:r>
        <w:rPr>
          <w:highlight w:val="none"/>
        </w:rPr>
      </w:r>
      <w:bookmarkEnd w:id="297"/>
      <w:r>
        <w:rPr>
          <w:highlight w:val="none"/>
        </w:rPr>
      </w:r>
      <w:bookmarkEnd w:id="298"/>
      <w:r>
        <w:rPr>
          <w:highlight w:val="none"/>
        </w:rPr>
      </w:r>
      <w:bookmarkEnd w:id="299"/>
      <w:r>
        <w:rPr>
          <w:highlight w:val="none"/>
        </w:rPr>
      </w:r>
      <w:bookmarkEnd w:id="300"/>
      <w:r>
        <w:rPr>
          <w:highlight w:val="none"/>
        </w:rPr>
      </w:r>
      <w:bookmarkEnd w:id="301"/>
      <w:r>
        <w:rPr>
          <w:rFonts w:hint="eastAsia" w:ascii="宋体" w:hAnsi="宋体" w:cs="宋体"/>
          <w:szCs w:val="21"/>
          <w:highlight w:val="none"/>
        </w:rPr>
        <w:t xml:space="preserve">8. 试验与检验</w:t>
      </w:r>
      <w:bookmarkEnd w:id="302"/>
      <w:r>
        <w:rPr>
          <w:highlight w:val="none"/>
        </w:rPr>
      </w:r>
      <w:r/>
    </w:p>
    <w:p>
      <w:pPr>
        <w:ind w:firstLine="420"/>
        <w:spacing w:line="360" w:lineRule="auto"/>
        <w:rPr>
          <w:rFonts w:ascii="宋体" w:hAnsi="宋体" w:cs="宋体"/>
          <w:szCs w:val="21"/>
          <w:highlight w:val="none"/>
        </w:rPr>
      </w:pPr>
      <w:r>
        <w:rPr>
          <w:highlight w:val="none"/>
        </w:rPr>
      </w:r>
      <w:bookmarkStart w:id="322" w:name="_Toc312678022"/>
      <w:r>
        <w:rPr>
          <w:highlight w:val="none"/>
        </w:rPr>
      </w:r>
      <w:bookmarkStart w:id="323" w:name="_Toc303539140"/>
      <w:r>
        <w:rPr>
          <w:highlight w:val="none"/>
        </w:rPr>
      </w:r>
      <w:bookmarkStart w:id="324" w:name="_Toc297216193"/>
      <w:r>
        <w:rPr>
          <w:highlight w:val="none"/>
        </w:rPr>
      </w:r>
      <w:bookmarkStart w:id="325" w:name="_Toc300934983"/>
      <w:r>
        <w:rPr>
          <w:highlight w:val="none"/>
        </w:rPr>
      </w:r>
      <w:bookmarkStart w:id="326" w:name="_Toc304295560"/>
      <w:r>
        <w:rPr>
          <w:highlight w:val="none"/>
        </w:rPr>
      </w:r>
      <w:bookmarkStart w:id="327" w:name="_Toc297123534"/>
      <w:r>
        <w:rPr>
          <w:highlight w:val="none"/>
        </w:rPr>
      </w:r>
      <w:bookmarkStart w:id="328" w:name="_Toc312677496"/>
      <w:r>
        <w:rPr>
          <w:highlight w:val="none"/>
        </w:rPr>
      </w:r>
      <w:bookmarkEnd w:id="303"/>
      <w:r>
        <w:rPr>
          <w:highlight w:val="none"/>
        </w:rPr>
      </w:r>
      <w:bookmarkEnd w:id="304"/>
      <w:r>
        <w:rPr>
          <w:highlight w:val="none"/>
        </w:rPr>
      </w:r>
      <w:bookmarkEnd w:id="305"/>
      <w:r>
        <w:rPr>
          <w:highlight w:val="none"/>
        </w:rPr>
      </w:r>
      <w:bookmarkEnd w:id="306"/>
      <w:r>
        <w:rPr>
          <w:highlight w:val="none"/>
        </w:rPr>
      </w:r>
      <w:bookmarkEnd w:id="307"/>
      <w:r>
        <w:rPr>
          <w:highlight w:val="none"/>
        </w:rPr>
      </w:r>
      <w:bookmarkEnd w:id="308"/>
      <w:r>
        <w:rPr>
          <w:highlight w:val="none"/>
        </w:rPr>
      </w:r>
      <w:bookmarkEnd w:id="309"/>
      <w:r>
        <w:rPr>
          <w:rFonts w:hint="eastAsia" w:ascii="宋体" w:hAnsi="宋体" w:cs="宋体"/>
          <w:szCs w:val="21"/>
          <w:highlight w:val="none"/>
        </w:rPr>
        <w:t xml:space="preserve">8.1试验设备与试验人员</w:t>
      </w:r>
      <w:r>
        <w:rPr>
          <w:highlight w:val="none"/>
        </w:rPr>
      </w:r>
      <w:r/>
    </w:p>
    <w:p>
      <w:pPr>
        <w:ind w:firstLine="420"/>
        <w:spacing w:line="360" w:lineRule="auto"/>
        <w:rPr>
          <w:rFonts w:ascii="宋体" w:hAnsi="宋体" w:cs="宋体"/>
          <w:szCs w:val="21"/>
          <w:highlight w:val="none"/>
        </w:rPr>
      </w:pPr>
      <w:r>
        <w:rPr>
          <w:highlight w:val="none"/>
        </w:rPr>
      </w:r>
      <w:bookmarkStart w:id="329" w:name="_Toc304295561"/>
      <w:r>
        <w:rPr>
          <w:highlight w:val="none"/>
        </w:rPr>
      </w:r>
      <w:bookmarkStart w:id="330" w:name="_Toc300934984"/>
      <w:r>
        <w:rPr>
          <w:highlight w:val="none"/>
        </w:rPr>
      </w:r>
      <w:bookmarkStart w:id="331" w:name="_Toc303539141"/>
      <w:r>
        <w:rPr>
          <w:highlight w:val="none"/>
        </w:rPr>
      </w:r>
      <w:bookmarkStart w:id="332" w:name="_Toc312677497"/>
      <w:r>
        <w:rPr>
          <w:highlight w:val="none"/>
        </w:rPr>
      </w:r>
      <w:bookmarkStart w:id="333" w:name="_Toc297216194"/>
      <w:r>
        <w:rPr>
          <w:highlight w:val="none"/>
        </w:rPr>
      </w:r>
      <w:bookmarkStart w:id="334" w:name="_Toc297123535"/>
      <w:r>
        <w:rPr>
          <w:highlight w:val="none"/>
        </w:rPr>
      </w:r>
      <w:bookmarkStart w:id="335" w:name="_Toc312678023"/>
      <w:r>
        <w:rPr>
          <w:highlight w:val="none"/>
        </w:rPr>
      </w:r>
      <w:bookmarkStart w:id="336" w:name="_Toc318581174"/>
      <w:r>
        <w:rPr>
          <w:highlight w:val="none"/>
        </w:rPr>
      </w:r>
      <w:bookmarkEnd w:id="322"/>
      <w:r>
        <w:rPr>
          <w:highlight w:val="none"/>
        </w:rPr>
      </w:r>
      <w:bookmarkEnd w:id="323"/>
      <w:r>
        <w:rPr>
          <w:highlight w:val="none"/>
        </w:rPr>
      </w:r>
      <w:bookmarkEnd w:id="324"/>
      <w:r>
        <w:rPr>
          <w:highlight w:val="none"/>
        </w:rPr>
      </w:r>
      <w:bookmarkEnd w:id="325"/>
      <w:r>
        <w:rPr>
          <w:highlight w:val="none"/>
        </w:rPr>
      </w:r>
      <w:bookmarkEnd w:id="326"/>
      <w:r>
        <w:rPr>
          <w:highlight w:val="none"/>
        </w:rPr>
      </w:r>
      <w:bookmarkEnd w:id="327"/>
      <w:r>
        <w:rPr>
          <w:highlight w:val="none"/>
        </w:rPr>
      </w:r>
      <w:bookmarkEnd w:id="328"/>
      <w:r>
        <w:rPr>
          <w:rFonts w:hint="eastAsia" w:ascii="宋体" w:hAnsi="宋体" w:cs="宋体"/>
          <w:szCs w:val="21"/>
          <w:highlight w:val="none"/>
        </w:rPr>
        <w:t xml:space="preserve">8.1.1 试验设备</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施工现场需要配置的试验场所：</w:t>
      </w:r>
      <w:bookmarkStart w:id="337" w:name="_Toc303539142"/>
      <w:r>
        <w:rPr>
          <w:highlight w:val="none"/>
        </w:rPr>
      </w:r>
      <w:bookmarkStart w:id="338" w:name="_Toc312677498"/>
      <w:r>
        <w:rPr>
          <w:highlight w:val="none"/>
        </w:rPr>
      </w:r>
      <w:bookmarkStart w:id="339" w:name="_Toc312678024"/>
      <w:r>
        <w:rPr>
          <w:highlight w:val="none"/>
        </w:rPr>
      </w:r>
      <w:bookmarkStart w:id="340" w:name="_Toc300934985"/>
      <w:r>
        <w:rPr>
          <w:highlight w:val="none"/>
        </w:rPr>
      </w:r>
      <w:bookmarkStart w:id="341" w:name="_Toc304295562"/>
      <w:r>
        <w:rPr>
          <w:highlight w:val="none"/>
        </w:rPr>
      </w:r>
      <w:bookmarkStart w:id="342" w:name="_Toc297123536"/>
      <w:r>
        <w:rPr>
          <w:highlight w:val="none"/>
        </w:rPr>
      </w:r>
      <w:bookmarkStart w:id="343" w:name="_Toc297216195"/>
      <w:r>
        <w:rPr>
          <w:highlight w:val="none"/>
        </w:rPr>
      </w:r>
      <w:bookmarkEnd w:id="329"/>
      <w:r>
        <w:rPr>
          <w:highlight w:val="none"/>
        </w:rPr>
      </w:r>
      <w:bookmarkEnd w:id="330"/>
      <w:r>
        <w:rPr>
          <w:highlight w:val="none"/>
        </w:rPr>
      </w:r>
      <w:bookmarkEnd w:id="331"/>
      <w:r>
        <w:rPr>
          <w:highlight w:val="none"/>
        </w:rPr>
      </w:r>
      <w:bookmarkEnd w:id="332"/>
      <w:r>
        <w:rPr>
          <w:highlight w:val="none"/>
        </w:rPr>
      </w:r>
      <w:bookmarkEnd w:id="333"/>
      <w:r>
        <w:rPr>
          <w:highlight w:val="none"/>
        </w:rPr>
      </w:r>
      <w:bookmarkEnd w:id="334"/>
      <w:r>
        <w:rPr>
          <w:highlight w:val="none"/>
        </w:rPr>
      </w:r>
      <w:bookmarkEnd w:id="335"/>
      <w:r>
        <w:rPr>
          <w:rFonts w:hint="eastAsia" w:ascii="宋体" w:hAnsi="宋体" w:cs="宋体"/>
          <w:szCs w:val="21"/>
          <w:highlight w:val="none"/>
          <w:u w:val="single"/>
        </w:rPr>
        <w:t xml:space="preserve">   无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  暂无，其他按通用条款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8.2 现场工艺试验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344" w:name="_Toc296347192"/>
      <w:r>
        <w:rPr>
          <w:highlight w:val="none"/>
        </w:rPr>
      </w:r>
      <w:bookmarkStart w:id="345" w:name="_Toc296891021"/>
      <w:r>
        <w:rPr>
          <w:highlight w:val="none"/>
        </w:rPr>
      </w:r>
      <w:bookmarkStart w:id="346" w:name="_Toc296891233"/>
      <w:r>
        <w:rPr>
          <w:highlight w:val="none"/>
        </w:rPr>
      </w:r>
      <w:bookmarkStart w:id="347" w:name="_Toc297123540"/>
      <w:r>
        <w:rPr>
          <w:highlight w:val="none"/>
        </w:rPr>
      </w:r>
      <w:bookmarkStart w:id="348" w:name="_Toc351203642"/>
      <w:r>
        <w:rPr>
          <w:highlight w:val="none"/>
        </w:rPr>
      </w:r>
      <w:bookmarkStart w:id="349" w:name="_Toc297120493"/>
      <w:r>
        <w:rPr>
          <w:highlight w:val="none"/>
        </w:rPr>
      </w:r>
      <w:bookmarkStart w:id="350" w:name="_Toc292559903"/>
      <w:r>
        <w:rPr>
          <w:highlight w:val="none"/>
        </w:rPr>
      </w:r>
      <w:bookmarkStart w:id="351" w:name="_Toc292559398"/>
      <w:r>
        <w:rPr>
          <w:highlight w:val="none"/>
        </w:rPr>
      </w:r>
      <w:bookmarkStart w:id="352" w:name="_Toc297048379"/>
      <w:r>
        <w:rPr>
          <w:highlight w:val="none"/>
        </w:rPr>
      </w:r>
      <w:bookmarkStart w:id="353" w:name="_Toc297216199"/>
      <w:r>
        <w:rPr>
          <w:highlight w:val="none"/>
        </w:rPr>
      </w:r>
      <w:bookmarkStart w:id="354" w:name="_Toc304295566"/>
      <w:r>
        <w:rPr>
          <w:highlight w:val="none"/>
        </w:rPr>
      </w:r>
      <w:bookmarkStart w:id="355" w:name="_Toc296346694"/>
      <w:r>
        <w:rPr>
          <w:highlight w:val="none"/>
        </w:rPr>
      </w:r>
      <w:bookmarkStart w:id="356" w:name="_Toc296503193"/>
      <w:r>
        <w:rPr>
          <w:highlight w:val="none"/>
        </w:rPr>
      </w:r>
      <w:bookmarkStart w:id="357" w:name="_Toc296944532"/>
      <w:r>
        <w:rPr>
          <w:highlight w:val="none"/>
        </w:rPr>
      </w:r>
      <w:bookmarkStart w:id="358" w:name="_Toc303539146"/>
      <w:r>
        <w:rPr>
          <w:highlight w:val="none"/>
        </w:rPr>
      </w:r>
      <w:bookmarkStart w:id="359" w:name="_Toc300934989"/>
      <w:r>
        <w:rPr>
          <w:highlight w:val="none"/>
        </w:rPr>
      </w:r>
      <w:bookmarkStart w:id="360" w:name="_Toc312677499"/>
      <w:r>
        <w:rPr>
          <w:highlight w:val="none"/>
        </w:rPr>
      </w:r>
      <w:bookmarkStart w:id="361" w:name="_Toc312678025"/>
      <w:r>
        <w:rPr>
          <w:highlight w:val="none"/>
        </w:rPr>
      </w:r>
      <w:bookmarkStart w:id="362" w:name="_Toc267251439"/>
      <w:r>
        <w:rPr>
          <w:highlight w:val="none"/>
        </w:rPr>
      </w:r>
      <w:bookmarkStart w:id="363" w:name="_Toc267251437"/>
      <w:r>
        <w:rPr>
          <w:highlight w:val="none"/>
        </w:rPr>
      </w:r>
      <w:bookmarkStart w:id="364" w:name="_Toc267251441"/>
      <w:r>
        <w:rPr>
          <w:highlight w:val="none"/>
        </w:rPr>
      </w:r>
      <w:bookmarkStart w:id="365" w:name="_Toc267251435"/>
      <w:r>
        <w:rPr>
          <w:highlight w:val="none"/>
        </w:rPr>
      </w:r>
      <w:bookmarkStart w:id="366" w:name="_Toc267251440"/>
      <w:r>
        <w:rPr>
          <w:highlight w:val="none"/>
        </w:rPr>
      </w:r>
      <w:bookmarkStart w:id="367" w:name="_Toc267251433"/>
      <w:r>
        <w:rPr>
          <w:highlight w:val="none"/>
        </w:rPr>
      </w:r>
      <w:bookmarkStart w:id="368" w:name="_Toc267251442"/>
      <w:r>
        <w:rPr>
          <w:highlight w:val="none"/>
        </w:rPr>
      </w:r>
      <w:bookmarkEnd w:id="310"/>
      <w:r>
        <w:rPr>
          <w:highlight w:val="none"/>
        </w:rPr>
      </w:r>
      <w:bookmarkEnd w:id="311"/>
      <w:r>
        <w:rPr>
          <w:highlight w:val="none"/>
        </w:rPr>
      </w:r>
      <w:bookmarkEnd w:id="312"/>
      <w:r>
        <w:rPr>
          <w:highlight w:val="none"/>
        </w:rPr>
      </w:r>
      <w:bookmarkEnd w:id="313"/>
      <w:r>
        <w:rPr>
          <w:highlight w:val="none"/>
        </w:rPr>
      </w:r>
      <w:bookmarkEnd w:id="314"/>
      <w:r>
        <w:rPr>
          <w:highlight w:val="none"/>
        </w:rPr>
      </w:r>
      <w:bookmarkEnd w:id="315"/>
      <w:r>
        <w:rPr>
          <w:highlight w:val="none"/>
        </w:rPr>
      </w:r>
      <w:bookmarkEnd w:id="316"/>
      <w:r>
        <w:rPr>
          <w:highlight w:val="none"/>
        </w:rPr>
      </w:r>
      <w:bookmarkEnd w:id="317"/>
      <w:r>
        <w:rPr>
          <w:highlight w:val="none"/>
        </w:rPr>
      </w:r>
      <w:bookmarkEnd w:id="318"/>
      <w:r>
        <w:rPr>
          <w:highlight w:val="none"/>
        </w:rPr>
      </w:r>
      <w:bookmarkEnd w:id="319"/>
      <w:r>
        <w:rPr>
          <w:highlight w:val="none"/>
        </w:rPr>
      </w:r>
      <w:bookmarkEnd w:id="320"/>
      <w:r>
        <w:rPr>
          <w:highlight w:val="none"/>
        </w:rPr>
      </w:r>
      <w:bookmarkEnd w:id="321"/>
      <w:r>
        <w:rPr>
          <w:highlight w:val="none"/>
        </w:rPr>
      </w:r>
      <w:bookmarkEnd w:id="336"/>
      <w:r>
        <w:rPr>
          <w:highlight w:val="none"/>
        </w:rPr>
      </w:r>
      <w:bookmarkEnd w:id="337"/>
      <w:r>
        <w:rPr>
          <w:highlight w:val="none"/>
        </w:rPr>
      </w:r>
      <w:bookmarkEnd w:id="338"/>
      <w:r>
        <w:rPr>
          <w:highlight w:val="none"/>
        </w:rPr>
      </w:r>
      <w:bookmarkEnd w:id="339"/>
      <w:r>
        <w:rPr>
          <w:highlight w:val="none"/>
        </w:rPr>
      </w:r>
      <w:bookmarkEnd w:id="340"/>
      <w:r>
        <w:rPr>
          <w:highlight w:val="none"/>
        </w:rPr>
      </w:r>
      <w:bookmarkEnd w:id="341"/>
      <w:r>
        <w:rPr>
          <w:highlight w:val="none"/>
        </w:rPr>
      </w:r>
      <w:bookmarkEnd w:id="342"/>
      <w:r>
        <w:rPr>
          <w:highlight w:val="none"/>
        </w:rPr>
      </w:r>
      <w:bookmarkEnd w:id="343"/>
      <w:r>
        <w:rPr>
          <w:rFonts w:hint="eastAsia" w:ascii="宋体" w:hAnsi="宋体" w:cs="宋体"/>
          <w:szCs w:val="21"/>
          <w:highlight w:val="none"/>
        </w:rPr>
        <w:t xml:space="preserve">9. 变更</w:t>
      </w:r>
      <w:bookmarkEnd w:id="344"/>
      <w:r>
        <w:rPr>
          <w:highlight w:val="none"/>
        </w:rPr>
      </w:r>
      <w:bookmarkEnd w:id="345"/>
      <w:r>
        <w:rPr>
          <w:highlight w:val="none"/>
        </w:rPr>
      </w:r>
      <w:bookmarkEnd w:id="346"/>
      <w:r>
        <w:rPr>
          <w:highlight w:val="none"/>
        </w:rPr>
      </w:r>
      <w:bookmarkEnd w:id="347"/>
      <w:r>
        <w:rPr>
          <w:highlight w:val="none"/>
        </w:rPr>
      </w:r>
      <w:bookmarkEnd w:id="348"/>
      <w:r>
        <w:rPr>
          <w:highlight w:val="none"/>
        </w:rPr>
      </w:r>
      <w:bookmarkEnd w:id="349"/>
      <w:r>
        <w:rPr>
          <w:highlight w:val="none"/>
        </w:rPr>
      </w:r>
      <w:bookmarkEnd w:id="350"/>
      <w:r>
        <w:rPr>
          <w:highlight w:val="none"/>
        </w:rPr>
      </w:r>
      <w:bookmarkEnd w:id="351"/>
      <w:r>
        <w:rPr>
          <w:highlight w:val="none"/>
        </w:rPr>
      </w:r>
      <w:bookmarkEnd w:id="352"/>
      <w:r>
        <w:rPr>
          <w:highlight w:val="none"/>
        </w:rPr>
      </w:r>
      <w:bookmarkEnd w:id="353"/>
      <w:r>
        <w:rPr>
          <w:highlight w:val="none"/>
        </w:rPr>
      </w:r>
      <w:bookmarkEnd w:id="354"/>
      <w:r>
        <w:rPr>
          <w:highlight w:val="none"/>
        </w:rPr>
      </w:r>
      <w:bookmarkEnd w:id="355"/>
      <w:r>
        <w:rPr>
          <w:highlight w:val="none"/>
        </w:rPr>
      </w:r>
      <w:bookmarkEnd w:id="356"/>
      <w:r>
        <w:rPr>
          <w:highlight w:val="none"/>
        </w:rPr>
      </w:r>
      <w:bookmarkEnd w:id="357"/>
      <w:r>
        <w:rPr>
          <w:highlight w:val="none"/>
        </w:rPr>
      </w:r>
      <w:bookmarkEnd w:id="358"/>
      <w:r>
        <w:rPr>
          <w:highlight w:val="none"/>
        </w:rPr>
      </w:r>
      <w:bookmarkEnd w:id="359"/>
      <w:r>
        <w:rPr>
          <w:highlight w:val="none"/>
        </w:rPr>
      </w:r>
      <w:r/>
    </w:p>
    <w:p>
      <w:pPr>
        <w:ind w:firstLine="420"/>
        <w:spacing w:line="360" w:lineRule="auto"/>
        <w:rPr>
          <w:rFonts w:ascii="宋体" w:hAnsi="宋体" w:cs="宋体"/>
          <w:szCs w:val="21"/>
          <w:highlight w:val="none"/>
        </w:rPr>
      </w:pPr>
      <w:r>
        <w:rPr>
          <w:highlight w:val="none"/>
        </w:rPr>
      </w:r>
      <w:bookmarkStart w:id="369" w:name="_Toc296891022"/>
      <w:r>
        <w:rPr>
          <w:highlight w:val="none"/>
        </w:rPr>
      </w:r>
      <w:bookmarkStart w:id="370" w:name="_Toc297048380"/>
      <w:r>
        <w:rPr>
          <w:highlight w:val="none"/>
        </w:rPr>
      </w:r>
      <w:bookmarkStart w:id="371" w:name="_Toc296503194"/>
      <w:r>
        <w:rPr>
          <w:highlight w:val="none"/>
        </w:rPr>
      </w:r>
      <w:bookmarkStart w:id="372" w:name="_Toc296891234"/>
      <w:r>
        <w:rPr>
          <w:highlight w:val="none"/>
        </w:rPr>
      </w:r>
      <w:bookmarkStart w:id="373" w:name="_Toc297123541"/>
      <w:r>
        <w:rPr>
          <w:highlight w:val="none"/>
        </w:rPr>
      </w:r>
      <w:bookmarkStart w:id="374" w:name="_Toc303539147"/>
      <w:r>
        <w:rPr>
          <w:highlight w:val="none"/>
        </w:rPr>
      </w:r>
      <w:bookmarkStart w:id="375" w:name="_Toc304295567"/>
      <w:r>
        <w:rPr>
          <w:highlight w:val="none"/>
        </w:rPr>
      </w:r>
      <w:bookmarkStart w:id="376" w:name="_Toc292559399"/>
      <w:r>
        <w:rPr>
          <w:highlight w:val="none"/>
        </w:rPr>
      </w:r>
      <w:bookmarkStart w:id="377" w:name="_Toc297216200"/>
      <w:r>
        <w:rPr>
          <w:highlight w:val="none"/>
        </w:rPr>
      </w:r>
      <w:bookmarkStart w:id="378" w:name="_Toc296347193"/>
      <w:r>
        <w:rPr>
          <w:highlight w:val="none"/>
        </w:rPr>
      </w:r>
      <w:bookmarkStart w:id="379" w:name="_Toc300934990"/>
      <w:r>
        <w:rPr>
          <w:highlight w:val="none"/>
        </w:rPr>
      </w:r>
      <w:bookmarkStart w:id="380" w:name="_Toc312678026"/>
      <w:r>
        <w:rPr>
          <w:highlight w:val="none"/>
        </w:rPr>
      </w:r>
      <w:bookmarkStart w:id="381" w:name="_Toc296346695"/>
      <w:r>
        <w:rPr>
          <w:highlight w:val="none"/>
        </w:rPr>
      </w:r>
      <w:bookmarkStart w:id="382" w:name="_Toc312677500"/>
      <w:r>
        <w:rPr>
          <w:highlight w:val="none"/>
        </w:rPr>
      </w:r>
      <w:bookmarkStart w:id="383" w:name="_Toc296944533"/>
      <w:r>
        <w:rPr>
          <w:highlight w:val="none"/>
        </w:rPr>
      </w:r>
      <w:bookmarkStart w:id="384" w:name="_Toc297120494"/>
      <w:r>
        <w:rPr>
          <w:highlight w:val="none"/>
        </w:rPr>
      </w:r>
      <w:bookmarkStart w:id="385" w:name="_Toc292559904"/>
      <w:r>
        <w:rPr>
          <w:highlight w:val="none"/>
        </w:rPr>
      </w:r>
      <w:bookmarkEnd w:id="360"/>
      <w:r>
        <w:rPr>
          <w:highlight w:val="none"/>
        </w:rPr>
      </w:r>
      <w:bookmarkEnd w:id="361"/>
      <w:r>
        <w:rPr>
          <w:rFonts w:hint="eastAsia" w:ascii="宋体" w:hAnsi="宋体" w:cs="宋体"/>
          <w:szCs w:val="21"/>
          <w:highlight w:val="none"/>
        </w:rPr>
        <w:t xml:space="preserve">9.1变更的范围</w:t>
      </w:r>
      <w:r>
        <w:rPr>
          <w:highlight w:val="none"/>
        </w:rPr>
      </w:r>
      <w:r/>
    </w:p>
    <w:p>
      <w:pPr>
        <w:ind w:firstLine="420"/>
        <w:keepLines/>
        <w:keepNext/>
        <w:spacing w:line="360" w:lineRule="auto"/>
        <w:rPr>
          <w:rFonts w:ascii="宋体" w:hAnsi="宋体" w:cs="宋体"/>
          <w:szCs w:val="21"/>
          <w:highlight w:val="none"/>
        </w:rPr>
        <w:outlineLvl w:val="3"/>
      </w:pPr>
      <w:r>
        <w:rPr>
          <w:rFonts w:hint="eastAsia" w:ascii="宋体" w:hAnsi="宋体" w:cs="宋体"/>
          <w:szCs w:val="21"/>
          <w:highlight w:val="none"/>
        </w:rPr>
        <w:t xml:space="preserve">关于变更的范围的约定：</w:t>
      </w:r>
      <w:r>
        <w:rPr>
          <w:highlight w:val="none"/>
        </w:rPr>
      </w:r>
      <w:r/>
    </w:p>
    <w:p>
      <w:pPr>
        <w:ind w:firstLine="420"/>
        <w:keepLines/>
        <w:keepNext/>
        <w:spacing w:line="360" w:lineRule="auto"/>
        <w:rPr>
          <w:rFonts w:ascii="宋体" w:hAnsi="宋体" w:cs="宋体"/>
          <w:szCs w:val="21"/>
          <w:highlight w:val="none"/>
          <w:u w:val="single"/>
        </w:rPr>
        <w:outlineLvl w:val="3"/>
      </w:pPr>
      <w:r>
        <w:rPr>
          <w:rFonts w:hint="eastAsia" w:ascii="宋体" w:hAnsi="宋体" w:cs="宋体"/>
          <w:szCs w:val="21"/>
          <w:highlight w:val="none"/>
          <w:u w:val="single"/>
        </w:rPr>
        <w:t xml:space="preserve">（1）经审核，得到发包人、监理、设计单位书面认可的设计变更；</w:t>
      </w:r>
      <w:r>
        <w:rPr>
          <w:highlight w:val="none"/>
        </w:rPr>
      </w:r>
      <w:r/>
    </w:p>
    <w:p>
      <w:pPr>
        <w:ind w:firstLine="420"/>
        <w:keepLines/>
        <w:keepNext/>
        <w:spacing w:line="360" w:lineRule="auto"/>
        <w:rPr>
          <w:rFonts w:ascii="宋体" w:hAnsi="宋体" w:cs="宋体"/>
          <w:szCs w:val="21"/>
          <w:highlight w:val="none"/>
          <w:u w:val="single"/>
        </w:rPr>
        <w:outlineLvl w:val="3"/>
      </w:pPr>
      <w:r>
        <w:rPr>
          <w:rFonts w:hint="eastAsia" w:ascii="宋体" w:hAnsi="宋体" w:cs="宋体"/>
          <w:szCs w:val="21"/>
          <w:highlight w:val="none"/>
          <w:u w:val="single"/>
        </w:rPr>
        <w:t xml:space="preserve">（2）由承包人提出，经过发包人、跟踪审计（如有）和监理、设计单位共同认可的工程签证、工程联系单。</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9.2 变更估价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9.2.1 变更估价原则</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关于变更估价的约定: </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386" w:name="_Toc297120497"/>
      <w:r>
        <w:rPr>
          <w:highlight w:val="none"/>
        </w:rPr>
      </w:r>
      <w:bookmarkStart w:id="387" w:name="_Toc297048383"/>
      <w:r>
        <w:rPr>
          <w:highlight w:val="none"/>
        </w:rPr>
      </w:r>
      <w:bookmarkStart w:id="388" w:name="_Toc292559402"/>
      <w:r>
        <w:rPr>
          <w:highlight w:val="none"/>
        </w:rPr>
      </w:r>
      <w:bookmarkStart w:id="389" w:name="_Toc296346698"/>
      <w:r>
        <w:rPr>
          <w:highlight w:val="none"/>
        </w:rPr>
      </w:r>
      <w:bookmarkStart w:id="390" w:name="_Toc296503197"/>
      <w:r>
        <w:rPr>
          <w:highlight w:val="none"/>
        </w:rPr>
      </w:r>
      <w:bookmarkStart w:id="391" w:name="_Toc296891025"/>
      <w:r>
        <w:rPr>
          <w:highlight w:val="none"/>
        </w:rPr>
      </w:r>
      <w:bookmarkStart w:id="392" w:name="_Toc297216203"/>
      <w:r>
        <w:rPr>
          <w:highlight w:val="none"/>
        </w:rPr>
      </w:r>
      <w:bookmarkStart w:id="393" w:name="_Toc303539150"/>
      <w:r>
        <w:rPr>
          <w:highlight w:val="none"/>
        </w:rPr>
      </w:r>
      <w:bookmarkStart w:id="394" w:name="_Toc296891237"/>
      <w:r>
        <w:rPr>
          <w:highlight w:val="none"/>
        </w:rPr>
      </w:r>
      <w:bookmarkStart w:id="395" w:name="_Toc292559907"/>
      <w:r>
        <w:rPr>
          <w:highlight w:val="none"/>
        </w:rPr>
      </w:r>
      <w:bookmarkStart w:id="396" w:name="_Toc297123544"/>
      <w:r>
        <w:rPr>
          <w:highlight w:val="none"/>
        </w:rPr>
      </w:r>
      <w:bookmarkStart w:id="397" w:name="_Toc300934993"/>
      <w:r>
        <w:rPr>
          <w:highlight w:val="none"/>
        </w:rPr>
      </w:r>
      <w:bookmarkStart w:id="398" w:name="_Toc296944536"/>
      <w:r>
        <w:rPr>
          <w:highlight w:val="none"/>
        </w:rPr>
      </w:r>
      <w:bookmarkStart w:id="399" w:name="_Toc296347196"/>
      <w:r>
        <w:rPr>
          <w:highlight w:val="none"/>
        </w:rPr>
      </w:r>
      <w:bookmarkStart w:id="400" w:name="_Toc312677503"/>
      <w:r>
        <w:rPr>
          <w:highlight w:val="none"/>
        </w:rPr>
      </w:r>
      <w:bookmarkStart w:id="401" w:name="_Toc312678029"/>
      <w:r>
        <w:rPr>
          <w:highlight w:val="none"/>
        </w:rPr>
      </w:r>
      <w:bookmarkStart w:id="402" w:name="_Toc304295570"/>
      <w:r>
        <w:rPr>
          <w:highlight w:val="none"/>
        </w:rPr>
      </w:r>
      <w:bookmarkEnd w:id="369"/>
      <w:r>
        <w:rPr>
          <w:highlight w:val="none"/>
        </w:rPr>
      </w:r>
      <w:bookmarkEnd w:id="370"/>
      <w:r>
        <w:rPr>
          <w:highlight w:val="none"/>
        </w:rPr>
      </w:r>
      <w:bookmarkEnd w:id="371"/>
      <w:r>
        <w:rPr>
          <w:highlight w:val="none"/>
        </w:rPr>
      </w:r>
      <w:bookmarkEnd w:id="372"/>
      <w:r>
        <w:rPr>
          <w:highlight w:val="none"/>
        </w:rPr>
      </w:r>
      <w:bookmarkEnd w:id="373"/>
      <w:r>
        <w:rPr>
          <w:highlight w:val="none"/>
        </w:rPr>
      </w:r>
      <w:bookmarkEnd w:id="374"/>
      <w:r>
        <w:rPr>
          <w:highlight w:val="none"/>
        </w:rPr>
      </w:r>
      <w:bookmarkEnd w:id="375"/>
      <w:r>
        <w:rPr>
          <w:highlight w:val="none"/>
        </w:rPr>
      </w:r>
      <w:bookmarkEnd w:id="376"/>
      <w:r>
        <w:rPr>
          <w:highlight w:val="none"/>
        </w:rPr>
      </w:r>
      <w:bookmarkEnd w:id="377"/>
      <w:r>
        <w:rPr>
          <w:highlight w:val="none"/>
        </w:rPr>
      </w:r>
      <w:bookmarkEnd w:id="378"/>
      <w:r>
        <w:rPr>
          <w:highlight w:val="none"/>
        </w:rPr>
      </w:r>
      <w:bookmarkEnd w:id="379"/>
      <w:r>
        <w:rPr>
          <w:highlight w:val="none"/>
        </w:rPr>
      </w:r>
      <w:bookmarkEnd w:id="380"/>
      <w:r>
        <w:rPr>
          <w:highlight w:val="none"/>
        </w:rPr>
      </w:r>
      <w:bookmarkEnd w:id="381"/>
      <w:r>
        <w:rPr>
          <w:highlight w:val="none"/>
        </w:rPr>
      </w:r>
      <w:bookmarkEnd w:id="382"/>
      <w:r>
        <w:rPr>
          <w:highlight w:val="none"/>
        </w:rPr>
      </w:r>
      <w:bookmarkEnd w:id="383"/>
      <w:r>
        <w:rPr>
          <w:highlight w:val="none"/>
        </w:rPr>
      </w:r>
      <w:bookmarkEnd w:id="384"/>
      <w:r>
        <w:rPr>
          <w:highlight w:val="none"/>
        </w:rPr>
      </w:r>
      <w:bookmarkEnd w:id="385"/>
      <w:r>
        <w:rPr>
          <w:rFonts w:hint="eastAsia" w:ascii="宋体" w:hAnsi="宋体" w:cs="宋体"/>
          <w:szCs w:val="21"/>
          <w:highlight w:val="none"/>
        </w:rPr>
        <w:t xml:space="preserve">9.3承</w:t>
      </w:r>
      <w:bookmarkStart w:id="403" w:name="_Toc296503203"/>
      <w:r>
        <w:rPr>
          <w:highlight w:val="none"/>
        </w:rPr>
      </w:r>
      <w:bookmarkStart w:id="404" w:name="_Toc300934994"/>
      <w:r>
        <w:rPr>
          <w:highlight w:val="none"/>
        </w:rPr>
      </w:r>
      <w:bookmarkStart w:id="405" w:name="_Toc297123545"/>
      <w:r>
        <w:rPr>
          <w:highlight w:val="none"/>
        </w:rPr>
      </w:r>
      <w:bookmarkStart w:id="406" w:name="_Toc296891243"/>
      <w:r>
        <w:rPr>
          <w:highlight w:val="none"/>
        </w:rPr>
      </w:r>
      <w:bookmarkStart w:id="407" w:name="_Toc296944542"/>
      <w:r>
        <w:rPr>
          <w:highlight w:val="none"/>
        </w:rPr>
      </w:r>
      <w:bookmarkStart w:id="408" w:name="_Toc292559408"/>
      <w:r>
        <w:rPr>
          <w:highlight w:val="none"/>
        </w:rPr>
      </w:r>
      <w:bookmarkStart w:id="409" w:name="_Toc297048389"/>
      <w:r>
        <w:rPr>
          <w:highlight w:val="none"/>
        </w:rPr>
      </w:r>
      <w:bookmarkStart w:id="410" w:name="_Toc296346704"/>
      <w:r>
        <w:rPr>
          <w:highlight w:val="none"/>
        </w:rPr>
      </w:r>
      <w:bookmarkStart w:id="411" w:name="_Toc296347202"/>
      <w:r>
        <w:rPr>
          <w:highlight w:val="none"/>
        </w:rPr>
      </w:r>
      <w:bookmarkStart w:id="412" w:name="_Toc296891031"/>
      <w:r>
        <w:rPr>
          <w:highlight w:val="none"/>
        </w:rPr>
      </w:r>
      <w:bookmarkStart w:id="413" w:name="_Toc292559913"/>
      <w:r>
        <w:rPr>
          <w:highlight w:val="none"/>
        </w:rPr>
      </w:r>
      <w:bookmarkStart w:id="414" w:name="_Toc297216204"/>
      <w:r>
        <w:rPr>
          <w:highlight w:val="none"/>
        </w:rPr>
      </w:r>
      <w:bookmarkStart w:id="415" w:name="_Toc297120503"/>
      <w:r>
        <w:rPr>
          <w:highlight w:val="none"/>
        </w:rPr>
      </w:r>
      <w:bookmarkStart w:id="416" w:name="_Toc303539151"/>
      <w:r>
        <w:rPr>
          <w:highlight w:val="none"/>
        </w:rPr>
      </w:r>
      <w:bookmarkEnd w:id="386"/>
      <w:r>
        <w:rPr>
          <w:highlight w:val="none"/>
        </w:rPr>
      </w:r>
      <w:bookmarkEnd w:id="387"/>
      <w:r>
        <w:rPr>
          <w:highlight w:val="none"/>
        </w:rPr>
      </w:r>
      <w:bookmarkEnd w:id="388"/>
      <w:r>
        <w:rPr>
          <w:highlight w:val="none"/>
        </w:rPr>
      </w:r>
      <w:bookmarkEnd w:id="389"/>
      <w:r>
        <w:rPr>
          <w:highlight w:val="none"/>
        </w:rPr>
      </w:r>
      <w:bookmarkEnd w:id="390"/>
      <w:r>
        <w:rPr>
          <w:highlight w:val="none"/>
        </w:rPr>
      </w:r>
      <w:bookmarkEnd w:id="391"/>
      <w:r>
        <w:rPr>
          <w:highlight w:val="none"/>
        </w:rPr>
      </w:r>
      <w:bookmarkEnd w:id="392"/>
      <w:r>
        <w:rPr>
          <w:highlight w:val="none"/>
        </w:rPr>
      </w:r>
      <w:bookmarkEnd w:id="393"/>
      <w:r>
        <w:rPr>
          <w:highlight w:val="none"/>
        </w:rPr>
      </w:r>
      <w:bookmarkEnd w:id="394"/>
      <w:r>
        <w:rPr>
          <w:highlight w:val="none"/>
        </w:rPr>
      </w:r>
      <w:bookmarkEnd w:id="395"/>
      <w:r>
        <w:rPr>
          <w:highlight w:val="none"/>
        </w:rPr>
      </w:r>
      <w:bookmarkEnd w:id="396"/>
      <w:r>
        <w:rPr>
          <w:highlight w:val="none"/>
        </w:rPr>
      </w:r>
      <w:bookmarkEnd w:id="397"/>
      <w:r>
        <w:rPr>
          <w:highlight w:val="none"/>
        </w:rPr>
      </w:r>
      <w:bookmarkEnd w:id="398"/>
      <w:r>
        <w:rPr>
          <w:highlight w:val="none"/>
        </w:rPr>
      </w:r>
      <w:bookmarkEnd w:id="399"/>
      <w:r>
        <w:rPr>
          <w:rFonts w:hint="eastAsia" w:ascii="宋体" w:hAnsi="宋体" w:cs="宋体"/>
          <w:szCs w:val="21"/>
          <w:highlight w:val="none"/>
        </w:rPr>
        <w:t xml:space="preserve">包人的合理化建议</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2日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2日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承</w:t>
      </w:r>
      <w:bookmarkStart w:id="417" w:name="_Toc312678030"/>
      <w:r>
        <w:rPr>
          <w:highlight w:val="none"/>
        </w:rPr>
      </w:r>
      <w:bookmarkStart w:id="418" w:name="_Toc296503204"/>
      <w:r>
        <w:rPr>
          <w:highlight w:val="none"/>
        </w:rPr>
      </w:r>
      <w:bookmarkStart w:id="419" w:name="_Toc296944543"/>
      <w:r>
        <w:rPr>
          <w:highlight w:val="none"/>
        </w:rPr>
      </w:r>
      <w:bookmarkStart w:id="420" w:name="_Toc296346705"/>
      <w:r>
        <w:rPr>
          <w:highlight w:val="none"/>
        </w:rPr>
      </w:r>
      <w:bookmarkStart w:id="421" w:name="_Toc296891032"/>
      <w:r>
        <w:rPr>
          <w:highlight w:val="none"/>
        </w:rPr>
      </w:r>
      <w:bookmarkStart w:id="422" w:name="_Toc292559409"/>
      <w:r>
        <w:rPr>
          <w:highlight w:val="none"/>
        </w:rPr>
      </w:r>
      <w:bookmarkStart w:id="423" w:name="_Toc312677504"/>
      <w:r>
        <w:rPr>
          <w:highlight w:val="none"/>
        </w:rPr>
      </w:r>
      <w:bookmarkStart w:id="424" w:name="_Toc300934995"/>
      <w:r>
        <w:rPr>
          <w:highlight w:val="none"/>
        </w:rPr>
      </w:r>
      <w:bookmarkStart w:id="425" w:name="_Toc303539152"/>
      <w:r>
        <w:rPr>
          <w:highlight w:val="none"/>
        </w:rPr>
      </w:r>
      <w:bookmarkStart w:id="426" w:name="_Toc318581175"/>
      <w:r>
        <w:rPr>
          <w:highlight w:val="none"/>
        </w:rPr>
      </w:r>
      <w:bookmarkStart w:id="427" w:name="_Toc296891244"/>
      <w:r>
        <w:rPr>
          <w:highlight w:val="none"/>
        </w:rPr>
      </w:r>
      <w:bookmarkStart w:id="428" w:name="_Toc297048390"/>
      <w:r>
        <w:rPr>
          <w:highlight w:val="none"/>
        </w:rPr>
      </w:r>
      <w:bookmarkStart w:id="429" w:name="_Toc297216205"/>
      <w:r>
        <w:rPr>
          <w:highlight w:val="none"/>
        </w:rPr>
      </w:r>
      <w:bookmarkStart w:id="430" w:name="_Toc296347203"/>
      <w:r>
        <w:rPr>
          <w:highlight w:val="none"/>
        </w:rPr>
      </w:r>
      <w:bookmarkStart w:id="431" w:name="_Toc297123546"/>
      <w:r>
        <w:rPr>
          <w:highlight w:val="none"/>
        </w:rPr>
      </w:r>
      <w:bookmarkStart w:id="432" w:name="_Toc292559914"/>
      <w:r>
        <w:rPr>
          <w:highlight w:val="none"/>
        </w:rPr>
      </w:r>
      <w:bookmarkStart w:id="433" w:name="_Toc297120504"/>
      <w:r>
        <w:rPr>
          <w:highlight w:val="none"/>
        </w:rPr>
      </w:r>
      <w:bookmarkStart w:id="434" w:name="_Toc304295571"/>
      <w:r>
        <w:rPr>
          <w:rFonts w:hint="eastAsia" w:ascii="宋体" w:hAnsi="宋体" w:cs="宋体"/>
          <w:szCs w:val="21"/>
          <w:highlight w:val="none"/>
        </w:rPr>
        <w:t xml:space="preserve">包人提出的合理化建议降低了合同价格或者提高了工程经济效益的奖励方法和金额为：</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435" w:name="_Toc292559404"/>
      <w:r>
        <w:rPr>
          <w:highlight w:val="none"/>
        </w:rPr>
      </w:r>
      <w:bookmarkStart w:id="436" w:name="_Toc296891027"/>
      <w:r>
        <w:rPr>
          <w:highlight w:val="none"/>
        </w:rPr>
      </w:r>
      <w:bookmarkStart w:id="437" w:name="_Toc300934997"/>
      <w:r>
        <w:rPr>
          <w:highlight w:val="none"/>
        </w:rPr>
      </w:r>
      <w:bookmarkStart w:id="438" w:name="_Toc304295574"/>
      <w:r>
        <w:rPr>
          <w:highlight w:val="none"/>
        </w:rPr>
      </w:r>
      <w:bookmarkStart w:id="439" w:name="_Toc303539154"/>
      <w:r>
        <w:rPr>
          <w:highlight w:val="none"/>
        </w:rPr>
      </w:r>
      <w:bookmarkStart w:id="440" w:name="_Toc292559909"/>
      <w:r>
        <w:rPr>
          <w:highlight w:val="none"/>
        </w:rPr>
      </w:r>
      <w:bookmarkStart w:id="441" w:name="_Toc312678033"/>
      <w:r>
        <w:rPr>
          <w:highlight w:val="none"/>
        </w:rPr>
      </w:r>
      <w:bookmarkStart w:id="442" w:name="_Toc297123548"/>
      <w:r>
        <w:rPr>
          <w:highlight w:val="none"/>
        </w:rPr>
      </w:r>
      <w:bookmarkStart w:id="443" w:name="_Toc297048385"/>
      <w:r>
        <w:rPr>
          <w:highlight w:val="none"/>
        </w:rPr>
      </w:r>
      <w:bookmarkStart w:id="444" w:name="_Toc312677507"/>
      <w:r>
        <w:rPr>
          <w:highlight w:val="none"/>
        </w:rPr>
      </w:r>
      <w:bookmarkStart w:id="445" w:name="_Toc296503199"/>
      <w:r>
        <w:rPr>
          <w:highlight w:val="none"/>
        </w:rPr>
      </w:r>
      <w:bookmarkStart w:id="446" w:name="_Toc296944538"/>
      <w:r>
        <w:rPr>
          <w:highlight w:val="none"/>
        </w:rPr>
      </w:r>
      <w:bookmarkStart w:id="447" w:name="_Toc297216207"/>
      <w:r>
        <w:rPr>
          <w:highlight w:val="none"/>
        </w:rPr>
      </w:r>
      <w:bookmarkStart w:id="448" w:name="_Toc296347198"/>
      <w:r>
        <w:rPr>
          <w:highlight w:val="none"/>
        </w:rPr>
      </w:r>
      <w:bookmarkStart w:id="449" w:name="_Toc296346700"/>
      <w:r>
        <w:rPr>
          <w:highlight w:val="none"/>
        </w:rPr>
      </w:r>
      <w:bookmarkStart w:id="450" w:name="_Toc297120499"/>
      <w:r>
        <w:rPr>
          <w:highlight w:val="none"/>
        </w:rPr>
      </w:r>
      <w:bookmarkStart w:id="451" w:name="_Toc296891239"/>
      <w:r>
        <w:rPr>
          <w:highlight w:val="none"/>
        </w:rPr>
      </w:r>
      <w:bookmarkEnd w:id="417"/>
      <w:r>
        <w:rPr>
          <w:highlight w:val="none"/>
        </w:rPr>
      </w:r>
      <w:bookmarkEnd w:id="418"/>
      <w:r>
        <w:rPr>
          <w:highlight w:val="none"/>
        </w:rPr>
      </w:r>
      <w:bookmarkEnd w:id="419"/>
      <w:r>
        <w:rPr>
          <w:highlight w:val="none"/>
        </w:rPr>
      </w:r>
      <w:bookmarkEnd w:id="420"/>
      <w:r>
        <w:rPr>
          <w:highlight w:val="none"/>
        </w:rPr>
      </w:r>
      <w:bookmarkEnd w:id="421"/>
      <w:r>
        <w:rPr>
          <w:highlight w:val="none"/>
        </w:rPr>
      </w:r>
      <w:bookmarkEnd w:id="422"/>
      <w:r>
        <w:rPr>
          <w:highlight w:val="none"/>
        </w:rPr>
      </w:r>
      <w:bookmarkEnd w:id="423"/>
      <w:r>
        <w:rPr>
          <w:highlight w:val="none"/>
        </w:rPr>
      </w:r>
      <w:bookmarkEnd w:id="424"/>
      <w:r>
        <w:rPr>
          <w:highlight w:val="none"/>
        </w:rPr>
      </w:r>
      <w:bookmarkEnd w:id="425"/>
      <w:r>
        <w:rPr>
          <w:highlight w:val="none"/>
        </w:rPr>
      </w:r>
      <w:bookmarkEnd w:id="426"/>
      <w:r>
        <w:rPr>
          <w:highlight w:val="none"/>
        </w:rPr>
      </w:r>
      <w:bookmarkEnd w:id="427"/>
      <w:r>
        <w:rPr>
          <w:highlight w:val="none"/>
        </w:rPr>
      </w:r>
      <w:bookmarkEnd w:id="428"/>
      <w:r>
        <w:rPr>
          <w:highlight w:val="none"/>
        </w:rPr>
      </w:r>
      <w:bookmarkEnd w:id="429"/>
      <w:r>
        <w:rPr>
          <w:highlight w:val="none"/>
        </w:rPr>
      </w:r>
      <w:bookmarkEnd w:id="430"/>
      <w:r>
        <w:rPr>
          <w:highlight w:val="none"/>
        </w:rPr>
      </w:r>
      <w:bookmarkEnd w:id="431"/>
      <w:r>
        <w:rPr>
          <w:highlight w:val="none"/>
        </w:rPr>
      </w:r>
      <w:bookmarkEnd w:id="432"/>
      <w:r>
        <w:rPr>
          <w:highlight w:val="none"/>
        </w:rPr>
      </w:r>
      <w:bookmarkEnd w:id="433"/>
      <w:r>
        <w:rPr>
          <w:highlight w:val="none"/>
        </w:rPr>
      </w:r>
      <w:bookmarkEnd w:id="434"/>
      <w:r>
        <w:rPr>
          <w:rFonts w:hint="eastAsia" w:ascii="宋体" w:hAnsi="宋体" w:cs="宋体"/>
          <w:szCs w:val="21"/>
          <w:highlight w:val="none"/>
        </w:rPr>
        <w:t xml:space="preserve">9.4暂估价</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暂</w:t>
      </w:r>
      <w:bookmarkStart w:id="452" w:name="_Toc318581176"/>
      <w:r>
        <w:rPr>
          <w:highlight w:val="none"/>
        </w:rPr>
      </w:r>
      <w:bookmarkStart w:id="453" w:name="_Toc312678034"/>
      <w:r>
        <w:rPr>
          <w:highlight w:val="none"/>
        </w:rPr>
      </w:r>
      <w:bookmarkStart w:id="454" w:name="_Toc312677508"/>
      <w:r>
        <w:rPr>
          <w:rFonts w:hint="eastAsia" w:ascii="宋体" w:hAnsi="宋体" w:cs="宋体"/>
          <w:szCs w:val="21"/>
          <w:highlight w:val="none"/>
        </w:rPr>
        <w:t xml:space="preserve">估价材料和工程设备的明细详见附件：《暂估价一览表》。</w:t>
      </w:r>
      <w:r>
        <w:rPr>
          <w:highlight w:val="none"/>
        </w:rPr>
      </w:r>
      <w:r/>
    </w:p>
    <w:p>
      <w:pPr>
        <w:ind w:firstLine="420"/>
        <w:spacing w:line="360" w:lineRule="auto"/>
        <w:rPr>
          <w:rFonts w:ascii="宋体" w:hAnsi="宋体" w:cs="宋体"/>
          <w:szCs w:val="21"/>
          <w:highlight w:val="none"/>
        </w:rPr>
      </w:pPr>
      <w:r>
        <w:rPr>
          <w:highlight w:val="none"/>
        </w:rPr>
      </w:r>
      <w:bookmarkStart w:id="455" w:name="_Toc318581177"/>
      <w:r>
        <w:rPr>
          <w:highlight w:val="none"/>
        </w:rPr>
      </w:r>
      <w:bookmarkStart w:id="456" w:name="_Toc312677509"/>
      <w:r>
        <w:rPr>
          <w:highlight w:val="none"/>
        </w:rPr>
      </w:r>
      <w:bookmarkStart w:id="457" w:name="_Toc312678035"/>
      <w:r>
        <w:rPr>
          <w:highlight w:val="none"/>
        </w:rPr>
      </w:r>
      <w:bookmarkEnd w:id="452"/>
      <w:r>
        <w:rPr>
          <w:highlight w:val="none"/>
        </w:rPr>
      </w:r>
      <w:bookmarkEnd w:id="453"/>
      <w:r>
        <w:rPr>
          <w:highlight w:val="none"/>
        </w:rPr>
      </w:r>
      <w:bookmarkEnd w:id="454"/>
      <w:r>
        <w:rPr>
          <w:rFonts w:hint="eastAsia" w:ascii="宋体" w:hAnsi="宋体" w:cs="宋体"/>
          <w:szCs w:val="21"/>
          <w:highlight w:val="none"/>
        </w:rPr>
        <w:t xml:space="preserve">9.5.1 依法必须招标的暂估价项目</w:t>
      </w:r>
      <w:bookmarkEnd w:id="455"/>
      <w:r>
        <w:rPr>
          <w:highlight w:val="none"/>
        </w:rPr>
      </w:r>
      <w:bookmarkEnd w:id="456"/>
      <w:r>
        <w:rPr>
          <w:highlight w:val="none"/>
        </w:rPr>
      </w:r>
      <w:bookmarkEnd w:id="457"/>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ascii="宋体" w:hAnsi="宋体" w:cs="宋体"/>
          <w:szCs w:val="21"/>
          <w:highlight w:val="none"/>
        </w:rPr>
        <w:t xml:space="preserve">对于依法必须招标的暂估价项目的确认和批准采取</w:t>
      </w:r>
      <w:r>
        <w:rPr>
          <w:rFonts w:ascii="宋体" w:hAnsi="宋体" w:cs="宋体"/>
          <w:szCs w:val="21"/>
          <w:highlight w:val="none"/>
          <w:u w:val="single"/>
        </w:rPr>
        <w:t xml:space="preserve">发包人招标</w:t>
      </w:r>
      <w:r>
        <w:rPr>
          <w:rFonts w:ascii="宋体" w:hAnsi="宋体" w:cs="宋体"/>
          <w:szCs w:val="21"/>
          <w:highlight w:val="none"/>
        </w:rPr>
        <w:t xml:space="preserve">方式确定。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对干依法必须招标的暂估价项目，由发包人招标确定暂估价供应商或专业工程承包人。确定中标人后，由发包人、承包人与中标人共同签订暂估价合同。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9.5.2 不属于依法必须招标的暂估价项目</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3</w:t>
      </w:r>
      <w:r>
        <w:rPr>
          <w:rFonts w:hint="eastAsia" w:ascii="宋体" w:hAnsi="宋体" w:cs="宋体"/>
          <w:szCs w:val="21"/>
          <w:highlight w:val="none"/>
        </w:rPr>
        <w:t xml:space="preserve">种方式确定。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第3种方式：承包人直接实施的暂估价项目</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9.6 暂列金额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458" w:name="_Toc351203643"/>
      <w:r>
        <w:rPr>
          <w:rFonts w:hint="eastAsia" w:ascii="宋体" w:hAnsi="宋体" w:cs="宋体"/>
          <w:szCs w:val="21"/>
          <w:highlight w:val="none"/>
        </w:rPr>
        <w:t xml:space="preserve">10. 价格调整</w:t>
      </w:r>
      <w:bookmarkEnd w:id="458"/>
      <w:r>
        <w:rPr>
          <w:highlight w:val="none"/>
        </w:rPr>
      </w:r>
      <w:r/>
    </w:p>
    <w:p>
      <w:pPr>
        <w:ind w:firstLine="420"/>
        <w:spacing w:line="360" w:lineRule="auto"/>
        <w:rPr>
          <w:rFonts w:ascii="宋体" w:hAnsi="宋体" w:cs="宋体"/>
          <w:szCs w:val="21"/>
          <w:highlight w:val="none"/>
        </w:rPr>
      </w:pPr>
      <w:r>
        <w:rPr>
          <w:highlight w:val="none"/>
        </w:rPr>
      </w:r>
      <w:bookmarkStart w:id="459" w:name="_Toc292559911"/>
      <w:r>
        <w:rPr>
          <w:highlight w:val="none"/>
        </w:rPr>
      </w:r>
      <w:bookmarkStart w:id="460" w:name="_Toc303539157"/>
      <w:r>
        <w:rPr>
          <w:highlight w:val="none"/>
        </w:rPr>
      </w:r>
      <w:bookmarkStart w:id="461" w:name="_Toc296503201"/>
      <w:r>
        <w:rPr>
          <w:highlight w:val="none"/>
        </w:rPr>
      </w:r>
      <w:bookmarkStart w:id="462" w:name="_Toc300935000"/>
      <w:r>
        <w:rPr>
          <w:highlight w:val="none"/>
        </w:rPr>
      </w:r>
      <w:bookmarkStart w:id="463" w:name="_Toc296891029"/>
      <w:r>
        <w:rPr>
          <w:highlight w:val="none"/>
        </w:rPr>
      </w:r>
      <w:bookmarkStart w:id="464" w:name="_Toc292559406"/>
      <w:r>
        <w:rPr>
          <w:highlight w:val="none"/>
        </w:rPr>
      </w:r>
      <w:bookmarkStart w:id="465" w:name="_Toc297048387"/>
      <w:r>
        <w:rPr>
          <w:highlight w:val="none"/>
        </w:rPr>
      </w:r>
      <w:bookmarkStart w:id="466" w:name="_Toc312678039"/>
      <w:r>
        <w:rPr>
          <w:highlight w:val="none"/>
        </w:rPr>
      </w:r>
      <w:bookmarkStart w:id="467" w:name="_Toc297120501"/>
      <w:r>
        <w:rPr>
          <w:highlight w:val="none"/>
        </w:rPr>
      </w:r>
      <w:bookmarkStart w:id="468" w:name="_Toc304295577"/>
      <w:r>
        <w:rPr>
          <w:highlight w:val="none"/>
        </w:rPr>
      </w:r>
      <w:bookmarkStart w:id="469" w:name="_Toc297216209"/>
      <w:r>
        <w:rPr>
          <w:highlight w:val="none"/>
        </w:rPr>
      </w:r>
      <w:bookmarkStart w:id="470" w:name="_Toc296347200"/>
      <w:r>
        <w:rPr>
          <w:highlight w:val="none"/>
        </w:rPr>
      </w:r>
      <w:bookmarkStart w:id="471" w:name="_Toc296891241"/>
      <w:r>
        <w:rPr>
          <w:highlight w:val="none"/>
        </w:rPr>
      </w:r>
      <w:bookmarkStart w:id="472" w:name="_Toc296346702"/>
      <w:r>
        <w:rPr>
          <w:highlight w:val="none"/>
        </w:rPr>
      </w:r>
      <w:bookmarkStart w:id="473" w:name="_Toc297123550"/>
      <w:r>
        <w:rPr>
          <w:highlight w:val="none"/>
        </w:rPr>
      </w:r>
      <w:bookmarkStart w:id="474" w:name="_Toc296944540"/>
      <w:r>
        <w:rPr>
          <w:rFonts w:hint="eastAsia" w:ascii="宋体" w:hAnsi="宋体" w:cs="宋体"/>
          <w:szCs w:val="21"/>
          <w:highlight w:val="none"/>
        </w:rPr>
        <w:t xml:space="preserve">10.1 市场价格波动引起的调整</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按相关的国家标准、行业标准等为依据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种方式对合同价格进行调整：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（1）关于基准价格的约定：</w:t>
      </w:r>
      <w:r>
        <w:rPr>
          <w:rFonts w:hint="eastAsia" w:ascii="宋体" w:hAnsi="宋体" w:cs="宋体"/>
          <w:szCs w:val="21"/>
          <w:highlight w:val="none"/>
          <w:u w:val="single"/>
        </w:rPr>
        <w:t xml:space="preserve">  材料、工程设备价格变化的价款调整按照发包人提供的基准价格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475" w:name="_Toc297120505"/>
      <w:r>
        <w:rPr>
          <w:highlight w:val="none"/>
        </w:rPr>
      </w:r>
      <w:bookmarkStart w:id="476" w:name="_Toc292559410"/>
      <w:r>
        <w:rPr>
          <w:highlight w:val="none"/>
        </w:rPr>
      </w:r>
      <w:bookmarkStart w:id="477" w:name="_Toc296503205"/>
      <w:r>
        <w:rPr>
          <w:highlight w:val="none"/>
        </w:rPr>
      </w:r>
      <w:bookmarkStart w:id="478" w:name="_Toc296891245"/>
      <w:r>
        <w:rPr>
          <w:highlight w:val="none"/>
        </w:rPr>
      </w:r>
      <w:bookmarkStart w:id="479" w:name="_Toc296347204"/>
      <w:r>
        <w:rPr>
          <w:highlight w:val="none"/>
        </w:rPr>
      </w:r>
      <w:bookmarkStart w:id="480" w:name="_Toc292559915"/>
      <w:r>
        <w:rPr>
          <w:highlight w:val="none"/>
        </w:rPr>
      </w:r>
      <w:bookmarkStart w:id="481" w:name="_Toc297048391"/>
      <w:r>
        <w:rPr>
          <w:highlight w:val="none"/>
        </w:rPr>
      </w:r>
      <w:bookmarkStart w:id="482" w:name="_Toc296346706"/>
      <w:r>
        <w:rPr>
          <w:highlight w:val="none"/>
        </w:rPr>
      </w:r>
      <w:bookmarkStart w:id="483" w:name="_Toc296944544"/>
      <w:r>
        <w:rPr>
          <w:highlight w:val="none"/>
        </w:rPr>
      </w:r>
      <w:bookmarkStart w:id="484" w:name="_Toc296891033"/>
      <w:r>
        <w:rPr>
          <w:highlight w:val="none"/>
        </w:rPr>
      </w:r>
      <w:bookmarkStart w:id="485" w:name="_Toc351203644"/>
      <w:r>
        <w:rPr>
          <w:highlight w:val="none"/>
        </w:rPr>
      </w:r>
      <w:bookmarkStart w:id="486" w:name="_Toc297123552"/>
      <w:r>
        <w:rPr>
          <w:highlight w:val="none"/>
        </w:rPr>
      </w:r>
      <w:bookmarkStart w:id="487" w:name="_Toc304295579"/>
      <w:r>
        <w:rPr>
          <w:highlight w:val="none"/>
        </w:rPr>
      </w:r>
      <w:bookmarkStart w:id="488" w:name="_Toc297216211"/>
      <w:r>
        <w:rPr>
          <w:highlight w:val="none"/>
        </w:rPr>
      </w:r>
      <w:bookmarkStart w:id="489" w:name="_Toc300935002"/>
      <w:r>
        <w:rPr>
          <w:highlight w:val="none"/>
        </w:rPr>
      </w:r>
      <w:bookmarkStart w:id="490" w:name="_Toc303539159"/>
      <w:r>
        <w:rPr>
          <w:highlight w:val="none"/>
        </w:rPr>
      </w:r>
      <w:bookmarkStart w:id="491" w:name="_Toc312678040"/>
      <w:r>
        <w:rPr>
          <w:highlight w:val="none"/>
        </w:rPr>
      </w:r>
      <w:bookmarkEnd w:id="362"/>
      <w:r>
        <w:rPr>
          <w:highlight w:val="none"/>
        </w:rPr>
      </w:r>
      <w:bookmarkEnd w:id="363"/>
      <w:r>
        <w:rPr>
          <w:highlight w:val="none"/>
        </w:rPr>
      </w:r>
      <w:bookmarkEnd w:id="364"/>
      <w:r>
        <w:rPr>
          <w:highlight w:val="none"/>
        </w:rPr>
      </w:r>
      <w:bookmarkEnd w:id="365"/>
      <w:r>
        <w:rPr>
          <w:highlight w:val="none"/>
        </w:rPr>
      </w:r>
      <w:bookmarkEnd w:id="366"/>
      <w:r>
        <w:rPr>
          <w:highlight w:val="none"/>
        </w:rPr>
      </w:r>
      <w:bookmarkEnd w:id="367"/>
      <w:r>
        <w:rPr>
          <w:rFonts w:hint="eastAsia" w:ascii="宋体" w:hAnsi="宋体" w:cs="宋体"/>
          <w:szCs w:val="21"/>
          <w:highlight w:val="none"/>
        </w:rPr>
        <w:t xml:space="preserve">11. </w:t>
      </w:r>
      <w:bookmarkEnd w:id="475"/>
      <w:r>
        <w:rPr>
          <w:highlight w:val="none"/>
        </w:rPr>
      </w:r>
      <w:bookmarkEnd w:id="476"/>
      <w:r>
        <w:rPr>
          <w:highlight w:val="none"/>
        </w:rPr>
      </w:r>
      <w:bookmarkEnd w:id="477"/>
      <w:r>
        <w:rPr>
          <w:highlight w:val="none"/>
        </w:rPr>
      </w:r>
      <w:bookmarkEnd w:id="478"/>
      <w:r>
        <w:rPr>
          <w:highlight w:val="none"/>
        </w:rPr>
      </w:r>
      <w:bookmarkEnd w:id="479"/>
      <w:r>
        <w:rPr>
          <w:highlight w:val="none"/>
        </w:rPr>
      </w:r>
      <w:bookmarkEnd w:id="480"/>
      <w:r>
        <w:rPr>
          <w:highlight w:val="none"/>
        </w:rPr>
      </w:r>
      <w:bookmarkEnd w:id="481"/>
      <w:r>
        <w:rPr>
          <w:highlight w:val="none"/>
        </w:rPr>
      </w:r>
      <w:bookmarkEnd w:id="482"/>
      <w:r>
        <w:rPr>
          <w:highlight w:val="none"/>
        </w:rPr>
      </w:r>
      <w:bookmarkEnd w:id="483"/>
      <w:r>
        <w:rPr>
          <w:highlight w:val="none"/>
        </w:rPr>
      </w:r>
      <w:bookmarkEnd w:id="484"/>
      <w:r>
        <w:rPr>
          <w:rFonts w:hint="eastAsia" w:ascii="宋体" w:hAnsi="宋体" w:cs="宋体"/>
          <w:szCs w:val="21"/>
          <w:highlight w:val="none"/>
        </w:rPr>
        <w:t xml:space="preserve">合同价格、计量与支付</w:t>
      </w:r>
      <w:bookmarkEnd w:id="485"/>
      <w:r>
        <w:rPr>
          <w:highlight w:val="none"/>
        </w:rPr>
      </w:r>
      <w:r/>
    </w:p>
    <w:p>
      <w:pPr>
        <w:ind w:firstLine="420"/>
        <w:spacing w:line="360" w:lineRule="auto"/>
        <w:rPr>
          <w:rFonts w:ascii="宋体" w:hAnsi="宋体" w:cs="宋体"/>
          <w:szCs w:val="21"/>
          <w:highlight w:val="none"/>
        </w:rPr>
      </w:pPr>
      <w:r>
        <w:rPr>
          <w:highlight w:val="none"/>
        </w:rPr>
      </w:r>
      <w:bookmarkStart w:id="492" w:name="_Toc267251461"/>
      <w:r>
        <w:rPr>
          <w:highlight w:val="none"/>
        </w:rPr>
      </w:r>
      <w:bookmarkStart w:id="493" w:name="_Toc292559916"/>
      <w:r>
        <w:rPr>
          <w:highlight w:val="none"/>
        </w:rPr>
      </w:r>
      <w:bookmarkStart w:id="494" w:name="_Toc292559411"/>
      <w:r>
        <w:rPr>
          <w:highlight w:val="none"/>
        </w:rPr>
      </w:r>
      <w:bookmarkStart w:id="495" w:name="_Toc296347205"/>
      <w:r>
        <w:rPr>
          <w:highlight w:val="none"/>
        </w:rPr>
      </w:r>
      <w:bookmarkStart w:id="496" w:name="_Toc296944545"/>
      <w:r>
        <w:rPr>
          <w:highlight w:val="none"/>
        </w:rPr>
      </w:r>
      <w:bookmarkStart w:id="497" w:name="_Toc296891034"/>
      <w:r>
        <w:rPr>
          <w:highlight w:val="none"/>
        </w:rPr>
      </w:r>
      <w:bookmarkStart w:id="498" w:name="_Toc297048392"/>
      <w:r>
        <w:rPr>
          <w:highlight w:val="none"/>
        </w:rPr>
      </w:r>
      <w:bookmarkStart w:id="499" w:name="_Toc296503206"/>
      <w:r>
        <w:rPr>
          <w:highlight w:val="none"/>
        </w:rPr>
      </w:r>
      <w:bookmarkStart w:id="500" w:name="_Toc296346707"/>
      <w:r>
        <w:rPr>
          <w:highlight w:val="none"/>
        </w:rPr>
      </w:r>
      <w:bookmarkStart w:id="501" w:name="_Toc297120506"/>
      <w:r>
        <w:rPr>
          <w:highlight w:val="none"/>
        </w:rPr>
      </w:r>
      <w:bookmarkStart w:id="502" w:name="_Toc296891246"/>
      <w:r>
        <w:rPr>
          <w:highlight w:val="none"/>
        </w:rPr>
      </w:r>
      <w:bookmarkStart w:id="503" w:name="_Toc312678041"/>
      <w:r>
        <w:rPr>
          <w:highlight w:val="none"/>
        </w:rPr>
      </w:r>
      <w:bookmarkStart w:id="504" w:name="_Toc300935003"/>
      <w:r>
        <w:rPr>
          <w:highlight w:val="none"/>
        </w:rPr>
      </w:r>
      <w:bookmarkStart w:id="505" w:name="_Toc304295580"/>
      <w:r>
        <w:rPr>
          <w:highlight w:val="none"/>
        </w:rPr>
      </w:r>
      <w:bookmarkStart w:id="506" w:name="_Toc297216212"/>
      <w:r>
        <w:rPr>
          <w:highlight w:val="none"/>
        </w:rPr>
      </w:r>
      <w:bookmarkStart w:id="507" w:name="_Toc303539160"/>
      <w:r>
        <w:rPr>
          <w:highlight w:val="none"/>
        </w:rPr>
      </w:r>
      <w:bookmarkStart w:id="508" w:name="_Toc297123553"/>
      <w:r>
        <w:rPr>
          <w:highlight w:val="none"/>
        </w:rPr>
      </w:r>
      <w:bookmarkEnd w:id="486"/>
      <w:r>
        <w:rPr>
          <w:highlight w:val="none"/>
        </w:rPr>
      </w:r>
      <w:bookmarkEnd w:id="487"/>
      <w:r>
        <w:rPr>
          <w:highlight w:val="none"/>
        </w:rPr>
      </w:r>
      <w:bookmarkEnd w:id="488"/>
      <w:r>
        <w:rPr>
          <w:highlight w:val="none"/>
        </w:rPr>
      </w:r>
      <w:bookmarkEnd w:id="489"/>
      <w:r>
        <w:rPr>
          <w:highlight w:val="none"/>
        </w:rPr>
      </w:r>
      <w:bookmarkEnd w:id="490"/>
      <w:r>
        <w:rPr>
          <w:highlight w:val="none"/>
        </w:rPr>
      </w:r>
      <w:bookmarkEnd w:id="491"/>
      <w:r>
        <w:rPr>
          <w:rFonts w:hint="eastAsia" w:ascii="宋体" w:hAnsi="宋体" w:cs="宋体"/>
          <w:szCs w:val="21"/>
          <w:highlight w:val="none"/>
        </w:rPr>
        <w:t xml:space="preserve">11.1 合</w:t>
      </w:r>
      <w:bookmarkEnd w:id="492"/>
      <w:r>
        <w:rPr>
          <w:highlight w:val="none"/>
        </w:rPr>
      </w:r>
      <w:bookmarkEnd w:id="493"/>
      <w:r>
        <w:rPr>
          <w:highlight w:val="none"/>
        </w:rPr>
      </w:r>
      <w:bookmarkEnd w:id="494"/>
      <w:r>
        <w:rPr>
          <w:rFonts w:hint="eastAsia" w:ascii="宋体" w:hAnsi="宋体" w:cs="宋体"/>
          <w:szCs w:val="21"/>
          <w:highlight w:val="none"/>
        </w:rPr>
        <w:t xml:space="preserve">同价</w:t>
      </w:r>
      <w:bookmarkEnd w:id="495"/>
      <w:r>
        <w:rPr>
          <w:highlight w:val="none"/>
        </w:rPr>
      </w:r>
      <w:bookmarkEnd w:id="496"/>
      <w:r>
        <w:rPr>
          <w:highlight w:val="none"/>
        </w:rPr>
      </w:r>
      <w:bookmarkEnd w:id="497"/>
      <w:r>
        <w:rPr>
          <w:highlight w:val="none"/>
        </w:rPr>
      </w:r>
      <w:bookmarkEnd w:id="498"/>
      <w:r>
        <w:rPr>
          <w:highlight w:val="none"/>
        </w:rPr>
      </w:r>
      <w:bookmarkEnd w:id="499"/>
      <w:r>
        <w:rPr>
          <w:highlight w:val="none"/>
        </w:rPr>
      </w:r>
      <w:bookmarkEnd w:id="500"/>
      <w:r>
        <w:rPr>
          <w:highlight w:val="none"/>
        </w:rPr>
      </w:r>
      <w:bookmarkEnd w:id="501"/>
      <w:r>
        <w:rPr>
          <w:highlight w:val="none"/>
        </w:rPr>
      </w:r>
      <w:bookmarkEnd w:id="502"/>
      <w:r>
        <w:rPr>
          <w:rFonts w:hint="eastAsia" w:ascii="宋体" w:hAnsi="宋体" w:cs="宋体"/>
          <w:szCs w:val="21"/>
          <w:highlight w:val="none"/>
        </w:rPr>
        <w:t xml:space="preserve">格形式</w:t>
      </w:r>
      <w:bookmarkEnd w:id="503"/>
      <w:r/>
      <w:bookmarkEnd w:id="504"/>
      <w:r/>
      <w:bookmarkEnd w:id="505"/>
      <w:r/>
      <w:bookmarkEnd w:id="506"/>
      <w:r/>
      <w:bookmarkEnd w:id="507"/>
      <w:r/>
      <w:bookmarkEnd w:id="50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1、单价合同。</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color w:val="000000"/>
          <w:szCs w:val="21"/>
          <w:highlight w:val="none"/>
        </w:rPr>
        <w:t xml:space="preserve">（1）</w:t>
      </w:r>
      <w:r>
        <w:rPr>
          <w:rFonts w:hint="eastAsia" w:ascii="宋体" w:hAnsi="宋体" w:cs="宋体"/>
          <w:szCs w:val="21"/>
          <w:highlight w:val="none"/>
          <w:u w:val="single"/>
        </w:rPr>
        <w:t xml:space="preserve">材料价格风险执行省建设厅《关于加强市政公用材料价格风险控制的指导意见》苏建价（2008）67号文件规定执行；人工工资单价按江宁区相关规定调整。 </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（2）变化幅度10%（含）以内的施工机械使用费的风险； </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szCs w:val="21"/>
          <w:highlight w:val="none"/>
          <w:u w:val="single"/>
        </w:rPr>
        <w:t xml:space="preserve">（3）供应商根据自身技术水平、管理、经营状况能够自主控制的风险。 </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szCs w:val="21"/>
          <w:highlight w:val="none"/>
          <w:u w:val="single"/>
        </w:rPr>
        <w:t xml:space="preserve">（4）现场条件不利的风险（包括场地环境、基础设施、气候风险影响）。</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szCs w:val="21"/>
          <w:highlight w:val="none"/>
          <w:u w:val="single"/>
        </w:rPr>
        <w:t xml:space="preserve">（5）供应商根据现场情况和各类资料能够采取或应当采取的各类措施和方案的风险。</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color w:val="000000"/>
          <w:szCs w:val="21"/>
          <w:highlight w:val="none"/>
        </w:rPr>
        <w:t xml:space="preserve">风险费用的计算方法：</w:t>
      </w:r>
      <w:r>
        <w:rPr>
          <w:rFonts w:hint="eastAsia" w:ascii="宋体" w:hAnsi="宋体" w:cs="宋体"/>
          <w:szCs w:val="21"/>
          <w:highlight w:val="none"/>
          <w:u w:val="single"/>
        </w:rPr>
        <w:t xml:space="preserve">以上风险费用已含在合同单价内，不再另行计取。 </w:t>
      </w:r>
      <w:r>
        <w:rPr>
          <w:highlight w:val="none"/>
        </w:rPr>
      </w:r>
      <w:r/>
    </w:p>
    <w:p>
      <w:pPr>
        <w:ind w:firstLine="420"/>
        <w:spacing w:line="360" w:lineRule="auto"/>
        <w:rPr>
          <w:rFonts w:ascii="宋体" w:hAnsi="宋体" w:cs="宋体"/>
          <w:color w:val="000000"/>
          <w:szCs w:val="21"/>
          <w:highlight w:val="none"/>
        </w:rPr>
      </w:pPr>
      <w:r>
        <w:rPr>
          <w:rFonts w:hint="eastAsia" w:ascii="宋体" w:hAnsi="宋体" w:cs="宋体"/>
          <w:szCs w:val="21"/>
          <w:highlight w:val="none"/>
          <w:u w:val="single"/>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cs="宋体"/>
          <w:color w:val="000000"/>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color w:val="000000"/>
          <w:szCs w:val="21"/>
          <w:highlight w:val="none"/>
        </w:rPr>
        <w:t xml:space="preserve">风险范围以外合同价格的调整方法：</w:t>
      </w:r>
      <w:r>
        <w:rPr>
          <w:rFonts w:hint="eastAsia" w:ascii="宋体" w:hAnsi="宋体" w:cs="宋体"/>
          <w:szCs w:val="21"/>
          <w:highlight w:val="none"/>
          <w:u w:val="single"/>
        </w:rPr>
        <w:t xml:space="preserve">工程量按施工中实际施工图纸+签证+变更计算，招标时工程量清单未施工的项目，竣工价款结算时应予以扣除（包括措施费），综合单价原则上按合同单价（投标单价）执行，执行方法如下：</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1）合同履行期间，由于招标工程量清单中缺项、因工程变更引起已标价工程量清单项目或其工程数量发生变化时，应按照下列规定调整：</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A、已标价工程量清单中有适用于变更工程项目的，应采用该项目的单价。如上述变化引起相关措施项目发生变化时，工程量增加的措施项目费调增，工程量减少的措施项目费调减。</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B、已标价工程量清单中没有适用但有类似于变更工程项目的，可在合理范围内参照类似项目的单价。</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cs="宋体"/>
          <w:szCs w:val="21"/>
          <w:highlight w:val="none"/>
          <w:u w:val="single"/>
        </w:rPr>
        <w:tab/>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（2）政策性调整的风险结算：至本工程投标截止日前28天，其后国家的法律、法规、规章和政策发生变化时，应按省级或行业建设主管部门或其授权的工程造价管理机构发布的规定调整合同价款。 </w:t>
      </w:r>
      <w:r>
        <w:rPr>
          <w:highlight w:val="none"/>
        </w:rPr>
      </w:r>
      <w:r/>
    </w:p>
    <w:p>
      <w:pPr>
        <w:ind w:firstLine="420"/>
        <w:spacing w:line="360" w:lineRule="auto"/>
        <w:rPr>
          <w:rFonts w:ascii="宋体" w:hAnsi="宋体"/>
          <w:color w:val="000000"/>
          <w:szCs w:val="21"/>
          <w:highlight w:val="none"/>
        </w:rPr>
      </w:pPr>
      <w:r>
        <w:rPr>
          <w:rFonts w:hint="eastAsia" w:ascii="宋体" w:hAnsi="宋体" w:cs="宋体"/>
          <w:szCs w:val="21"/>
          <w:highlight w:val="none"/>
          <w:u w:val="single"/>
        </w:rPr>
        <w:t xml:space="preserve">（3）</w:t>
      </w:r>
      <w:r>
        <w:rPr>
          <w:rFonts w:hint="eastAsia" w:ascii="宋体" w:hAnsi="宋体"/>
          <w:color w:val="000000"/>
          <w:szCs w:val="21"/>
          <w:highlight w:val="none"/>
          <w:u w:val="single"/>
        </w:rPr>
        <w:t xml:space="preserve">承包人应针对原设计内容图纸和发包人工作量需求对项目清单进行清标，若清标过程中未发现相关漏项、缺项，后期因此产生的费用和责任均由承包人自行承担。</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A、采用单价计算的措施项目费，应按照实际发生变化的措施项目，按照本款中第1）条的规定确定单价。</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B、按总价（或系数）计算的措施项目费，按照实际发生变化的措施项目调整，但应考虑承包人报价浮动因素，即调整金额按照实际调整金额乘以本款中第1）条规定的承包人报价浮动率计算。</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如果承包人未事先将拟实施的方案提交给发包人确认，则应视为工程变更不引起措施项目费的调整或承包人放弃调整措施项目费的权利。</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szCs w:val="21"/>
          <w:highlight w:val="none"/>
          <w:u w:val="single"/>
        </w:rPr>
        <w:t xml:space="preserve">承包人达到招标文件关于现场安全文明施工奖励标准的，发包人按要求支付奖励费用，未达到招标文件要求的，则按承包人所达到的创建目标支付奖励费用。</w:t>
      </w:r>
      <w:r>
        <w:rPr>
          <w:highlight w:val="none"/>
        </w:rPr>
      </w:r>
      <w:r/>
    </w:p>
    <w:p>
      <w:pPr>
        <w:ind w:firstLine="420"/>
        <w:spacing w:line="360" w:lineRule="auto"/>
        <w:rPr>
          <w:rFonts w:ascii="宋体" w:hAnsi="宋体" w:cs="宋体"/>
          <w:szCs w:val="21"/>
          <w:highlight w:val="none"/>
        </w:rPr>
      </w:pPr>
      <w:r>
        <w:rPr>
          <w:highlight w:val="none"/>
        </w:rPr>
      </w:r>
      <w:bookmarkStart w:id="509" w:name="_Toc303539161"/>
      <w:r>
        <w:rPr>
          <w:highlight w:val="none"/>
        </w:rPr>
      </w:r>
      <w:bookmarkStart w:id="510" w:name="_Toc304295581"/>
      <w:r>
        <w:rPr>
          <w:highlight w:val="none"/>
        </w:rPr>
      </w:r>
      <w:bookmarkStart w:id="511" w:name="_Toc297123554"/>
      <w:r>
        <w:rPr>
          <w:highlight w:val="none"/>
        </w:rPr>
      </w:r>
      <w:bookmarkStart w:id="512" w:name="_Toc300935004"/>
      <w:r>
        <w:rPr>
          <w:highlight w:val="none"/>
        </w:rPr>
      </w:r>
      <w:bookmarkStart w:id="513" w:name="_Toc297216213"/>
      <w:r>
        <w:rPr>
          <w:highlight w:val="none"/>
        </w:rPr>
      </w:r>
      <w:bookmarkStart w:id="514" w:name="_Toc312678042"/>
      <w:r>
        <w:rPr>
          <w:highlight w:val="none"/>
        </w:rPr>
      </w:r>
      <w:bookmarkStart w:id="515" w:name="_Toc296346708"/>
      <w:r>
        <w:rPr>
          <w:highlight w:val="none"/>
        </w:rPr>
      </w:r>
      <w:bookmarkStart w:id="516" w:name="_Toc296944546"/>
      <w:r>
        <w:rPr>
          <w:highlight w:val="none"/>
        </w:rPr>
      </w:r>
      <w:bookmarkStart w:id="517" w:name="_Toc296891035"/>
      <w:r>
        <w:rPr>
          <w:highlight w:val="none"/>
        </w:rPr>
      </w:r>
      <w:bookmarkStart w:id="518" w:name="_Toc296347206"/>
      <w:r>
        <w:rPr>
          <w:highlight w:val="none"/>
        </w:rPr>
      </w:r>
      <w:bookmarkStart w:id="519" w:name="_Toc296891247"/>
      <w:r>
        <w:rPr>
          <w:highlight w:val="none"/>
        </w:rPr>
      </w:r>
      <w:bookmarkStart w:id="520" w:name="_Toc292559412"/>
      <w:r>
        <w:rPr>
          <w:highlight w:val="none"/>
        </w:rPr>
      </w:r>
      <w:bookmarkStart w:id="521" w:name="_Toc297048393"/>
      <w:r>
        <w:rPr>
          <w:highlight w:val="none"/>
        </w:rPr>
      </w:r>
      <w:bookmarkStart w:id="522" w:name="_Toc292559917"/>
      <w:r>
        <w:rPr>
          <w:highlight w:val="none"/>
        </w:rPr>
      </w:r>
      <w:bookmarkStart w:id="523" w:name="_Toc296503207"/>
      <w:r>
        <w:rPr>
          <w:highlight w:val="none"/>
        </w:rPr>
      </w:r>
      <w:bookmarkStart w:id="524" w:name="_Toc297120507"/>
      <w:r>
        <w:rPr>
          <w:rFonts w:hint="eastAsia" w:ascii="宋体" w:hAnsi="宋体" w:cs="宋体"/>
          <w:szCs w:val="21"/>
          <w:highlight w:val="none"/>
        </w:rPr>
        <w:t xml:space="preserve">11.2 预付款</w:t>
      </w:r>
      <w:bookmarkEnd w:id="509"/>
      <w:r/>
      <w:bookmarkEnd w:id="510"/>
      <w:r/>
      <w:bookmarkEnd w:id="511"/>
      <w:r/>
      <w:bookmarkEnd w:id="512"/>
      <w:r/>
      <w:bookmarkEnd w:id="513"/>
      <w:r/>
      <w:bookmarkEnd w:id="51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11.2.1 预付款的支付</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spacing w:val="10"/>
          <w:szCs w:val="21"/>
          <w:highlight w:val="none"/>
          <w:u w:val="single"/>
        </w:rPr>
        <w:t xml:space="preserve">/</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pacing w:val="10"/>
          <w:szCs w:val="21"/>
          <w:highlight w:val="none"/>
          <w:u w:val="single"/>
        </w:rPr>
        <w:t xml:space="preserve">/</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11.2.2 预付款担保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bookmarkEnd w:id="515"/>
      <w:r/>
      <w:bookmarkEnd w:id="516"/>
      <w:r/>
      <w:bookmarkEnd w:id="517"/>
      <w:r/>
      <w:bookmarkEnd w:id="518"/>
      <w:r/>
      <w:bookmarkEnd w:id="519"/>
      <w:r/>
      <w:bookmarkEnd w:id="520"/>
      <w:r/>
      <w:bookmarkEnd w:id="521"/>
      <w:r/>
      <w:bookmarkEnd w:id="522"/>
      <w:r/>
      <w:bookmarkEnd w:id="523"/>
      <w:r/>
      <w:bookmarkEnd w:id="52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 计量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11.3.1 计量原则</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    按相关的国家标准、行业标准等为依据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11.3.2 计量周期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11.3.2 计量周期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关于计量周期的约定：</w:t>
      </w:r>
      <w:r>
        <w:rPr>
          <w:rFonts w:ascii="宋体" w:hAnsi="宋体" w:cs="宋体"/>
          <w:color w:val="000000"/>
          <w:sz w:val="22"/>
          <w:highlight w:val="none"/>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cs="宋体"/>
          <w:color w:val="000000"/>
          <w:sz w:val="22"/>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11.3.3 单价合同的计量</w:t>
      </w:r>
      <w:r>
        <w:rPr>
          <w:highlight w:val="none"/>
        </w:rPr>
      </w:r>
      <w:r/>
    </w:p>
    <w:p>
      <w:pPr>
        <w:ind w:firstLine="42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关于单价合同计量的约定：</w:t>
      </w:r>
      <w:r>
        <w:rPr>
          <w:rFonts w:ascii="宋体" w:hAnsi="宋体" w:cs="宋体"/>
          <w:color w:val="000000"/>
          <w:szCs w:val="21"/>
          <w:highlight w:val="none"/>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rPr>
          <w:highlight w:val="none"/>
        </w:rPr>
      </w:r>
      <w:r/>
    </w:p>
    <w:p>
      <w:pPr>
        <w:ind w:firstLine="420"/>
        <w:spacing w:line="360" w:lineRule="auto"/>
        <w:rPr>
          <w:rFonts w:ascii="宋体" w:hAnsi="宋体" w:cs="宋体"/>
          <w:color w:val="000000"/>
          <w:szCs w:val="21"/>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highlight w:val="none"/>
        </w:rPr>
      </w:r>
      <w:r/>
    </w:p>
    <w:p>
      <w:pPr>
        <w:ind w:firstLine="42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u w:val="single"/>
        </w:rPr>
        <w:t xml:space="preserve">（3）监理人未在收到承包人提交的工程量报表后的7天内完成审核的，承包人报送的工程量报告中的工程量视为承包人实际完成的工程量，据此计算工程价款。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11.3.4 总价合同的计量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11.3.5 其他价格形式合同的计量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11.4 工程进度款支付</w:t>
      </w:r>
      <w:r>
        <w:rPr>
          <w:highlight w:val="none"/>
        </w:rPr>
      </w:r>
      <w:r/>
    </w:p>
    <w:p>
      <w:pPr>
        <w:ind w:firstLine="420"/>
        <w:spacing w:line="360" w:lineRule="auto"/>
        <w:rPr>
          <w:rFonts w:ascii="宋体" w:hAnsi="宋体" w:cs="宋体"/>
          <w:szCs w:val="21"/>
          <w:highlight w:val="none"/>
        </w:rPr>
      </w:pPr>
      <w:r>
        <w:rPr>
          <w:highlight w:val="none"/>
        </w:rPr>
      </w:r>
      <w:bookmarkStart w:id="525" w:name="_Toc296891039"/>
      <w:r>
        <w:rPr>
          <w:highlight w:val="none"/>
        </w:rPr>
      </w:r>
      <w:bookmarkStart w:id="526" w:name="_Toc297123556"/>
      <w:r>
        <w:rPr>
          <w:highlight w:val="none"/>
        </w:rPr>
      </w:r>
      <w:bookmarkStart w:id="527" w:name="_Toc303539163"/>
      <w:r>
        <w:rPr>
          <w:highlight w:val="none"/>
        </w:rPr>
      </w:r>
      <w:bookmarkStart w:id="528" w:name="_Toc292559416"/>
      <w:r>
        <w:rPr>
          <w:highlight w:val="none"/>
        </w:rPr>
      </w:r>
      <w:bookmarkStart w:id="529" w:name="_Toc296891251"/>
      <w:r>
        <w:rPr>
          <w:highlight w:val="none"/>
        </w:rPr>
      </w:r>
      <w:bookmarkStart w:id="530" w:name="_Toc296503211"/>
      <w:r>
        <w:rPr>
          <w:highlight w:val="none"/>
        </w:rPr>
      </w:r>
      <w:bookmarkStart w:id="531" w:name="_Toc297120511"/>
      <w:r>
        <w:rPr>
          <w:highlight w:val="none"/>
        </w:rPr>
      </w:r>
      <w:bookmarkStart w:id="532" w:name="_Toc296944550"/>
      <w:r>
        <w:rPr>
          <w:highlight w:val="none"/>
        </w:rPr>
      </w:r>
      <w:bookmarkStart w:id="533" w:name="_Toc297216215"/>
      <w:r>
        <w:rPr>
          <w:highlight w:val="none"/>
        </w:rPr>
      </w:r>
      <w:bookmarkStart w:id="534" w:name="_Toc296347210"/>
      <w:r>
        <w:rPr>
          <w:highlight w:val="none"/>
        </w:rPr>
      </w:r>
      <w:bookmarkStart w:id="535" w:name="_Toc296346712"/>
      <w:r>
        <w:rPr>
          <w:highlight w:val="none"/>
        </w:rPr>
      </w:r>
      <w:bookmarkStart w:id="536" w:name="_Toc292559921"/>
      <w:r>
        <w:rPr>
          <w:highlight w:val="none"/>
        </w:rPr>
      </w:r>
      <w:bookmarkStart w:id="537" w:name="_Toc297048397"/>
      <w:r>
        <w:rPr>
          <w:highlight w:val="none"/>
        </w:rPr>
      </w:r>
      <w:bookmarkStart w:id="538" w:name="_Toc300935006"/>
      <w:r>
        <w:rPr>
          <w:rFonts w:hint="eastAsia" w:ascii="宋体" w:hAnsi="宋体" w:cs="宋体"/>
          <w:szCs w:val="21"/>
          <w:highlight w:val="none"/>
        </w:rPr>
        <w:t xml:space="preserve">11.4.1 付款周期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关于付款周期的约定：</w:t>
      </w:r>
      <w:r>
        <w:rPr>
          <w:highlight w:val="none"/>
        </w:rPr>
      </w:r>
      <w:r/>
    </w:p>
    <w:p>
      <w:pPr>
        <w:ind w:firstLine="420"/>
        <w:spacing w:line="360" w:lineRule="auto"/>
        <w:rPr>
          <w:rFonts w:ascii="宋体" w:hAnsi="宋体"/>
          <w:highlight w:val="none"/>
        </w:rPr>
      </w:pPr>
      <w:r>
        <w:rPr>
          <w:rFonts w:hint="eastAsia" w:ascii="宋体" w:hAnsi="宋体"/>
          <w:highlight w:val="none"/>
        </w:rPr>
        <w:t xml:space="preserve">结算价即审定价。</w:t>
      </w:r>
      <w:r>
        <w:rPr>
          <w:rFonts w:hint="eastAsia" w:ascii="宋体" w:hAnsi="宋体"/>
          <w:szCs w:val="21"/>
          <w:highlight w:val="none"/>
        </w:rPr>
        <w:t xml:space="preserve">如乙方磋商时的最终报价相比</w:t>
      </w:r>
      <w:r>
        <w:rPr>
          <w:rFonts w:hint="eastAsia" w:ascii="宋体" w:hAnsi="宋体" w:cs="宋体"/>
          <w:szCs w:val="21"/>
          <w:highlight w:val="none"/>
          <w:lang w:bidi="ar"/>
        </w:rPr>
        <w:t xml:space="preserve">首轮报价</w:t>
      </w:r>
      <w:r>
        <w:rPr>
          <w:rFonts w:hint="eastAsia" w:ascii="宋体" w:hAnsi="宋体"/>
          <w:szCs w:val="21"/>
          <w:highlight w:val="none"/>
        </w:rPr>
        <w:t xml:space="preserve">进行下浮，含税单价以乙方最终报价等比例下浮后的为准。</w:t>
      </w:r>
      <w:r>
        <w:rPr>
          <w:highlight w:val="none"/>
        </w:rPr>
      </w:r>
      <w:r/>
    </w:p>
    <w:p>
      <w:pPr>
        <w:ind w:firstLine="420"/>
        <w:spacing w:line="360" w:lineRule="auto"/>
        <w:rPr>
          <w:rFonts w:ascii="宋体" w:hAnsi="宋体" w:cs="宋体"/>
          <w:color w:val="ff0000"/>
          <w:szCs w:val="21"/>
          <w:highlight w:val="none"/>
          <w:shd w:val="clear" w:color="auto" w:fill="ffffff"/>
        </w:rPr>
      </w:pPr>
      <w:r>
        <w:rPr>
          <w:rFonts w:hint="eastAsia" w:ascii="宋体" w:hAnsi="宋体"/>
          <w:highlight w:val="none"/>
        </w:rPr>
        <w:t xml:space="preserve">付款周期：</w:t>
      </w:r>
      <w:r>
        <w:rPr>
          <w:rFonts w:hint="eastAsia" w:ascii="宋体" w:hAnsi="宋体"/>
          <w:color w:val="ff0000"/>
          <w:highlight w:val="none"/>
        </w:rPr>
        <w:t xml:space="preserve">合同价款分四次支付，工程主体完成支付合同总价的30%，工程竣工并通过审计支付至审定价的60%（留整），竣工满一年付至审定价的80%（取整），竣工满两年按照审定价付清全部款项。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关于进度付款申请单编制的约定：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bookmarkEnd w:id="525"/>
      <w:r>
        <w:rPr>
          <w:highlight w:val="none"/>
        </w:rPr>
      </w:r>
      <w:bookmarkEnd w:id="526"/>
      <w:r>
        <w:rPr>
          <w:highlight w:val="none"/>
        </w:rPr>
      </w:r>
      <w:bookmarkEnd w:id="527"/>
      <w:r>
        <w:rPr>
          <w:highlight w:val="none"/>
        </w:rPr>
      </w:r>
      <w:bookmarkEnd w:id="528"/>
      <w:r>
        <w:rPr>
          <w:highlight w:val="none"/>
        </w:rPr>
      </w:r>
      <w:bookmarkEnd w:id="529"/>
      <w:r>
        <w:rPr>
          <w:highlight w:val="none"/>
        </w:rPr>
      </w:r>
      <w:bookmarkEnd w:id="530"/>
      <w:r>
        <w:rPr>
          <w:highlight w:val="none"/>
        </w:rPr>
      </w:r>
      <w:bookmarkEnd w:id="531"/>
      <w:r>
        <w:rPr>
          <w:highlight w:val="none"/>
        </w:rPr>
      </w:r>
      <w:bookmarkEnd w:id="532"/>
      <w:r>
        <w:rPr>
          <w:highlight w:val="none"/>
        </w:rPr>
      </w:r>
      <w:bookmarkEnd w:id="533"/>
      <w:r>
        <w:rPr>
          <w:highlight w:val="none"/>
        </w:rPr>
      </w:r>
      <w:bookmarkEnd w:id="534"/>
      <w:r>
        <w:rPr>
          <w:highlight w:val="none"/>
        </w:rPr>
      </w:r>
      <w:bookmarkEnd w:id="535"/>
      <w:r>
        <w:rPr>
          <w:highlight w:val="none"/>
        </w:rPr>
      </w:r>
      <w:bookmarkEnd w:id="536"/>
      <w:r>
        <w:rPr>
          <w:highlight w:val="none"/>
        </w:rPr>
      </w:r>
      <w:bookmarkEnd w:id="537"/>
      <w:r>
        <w:rPr>
          <w:highlight w:val="none"/>
        </w:rPr>
      </w:r>
      <w:bookmarkEnd w:id="538"/>
      <w:r>
        <w:rPr>
          <w:rFonts w:hint="eastAsia" w:ascii="宋体" w:hAnsi="宋体" w:cs="宋体"/>
          <w:szCs w:val="21"/>
          <w:highlight w:val="none"/>
        </w:rPr>
        <w:t xml:space="preserve">1.4.2 进度付款申请单的提交</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11.4.3进度款审核和支付</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11.4.4 支付分解表的编制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3、单价合同的总价项目支付分解表的编制与审批：</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539" w:name="_Toc351203645"/>
      <w:r>
        <w:rPr>
          <w:highlight w:val="none"/>
        </w:rPr>
      </w:r>
      <w:bookmarkStart w:id="540" w:name="_Toc300935015"/>
      <w:r>
        <w:rPr>
          <w:highlight w:val="none"/>
        </w:rPr>
      </w:r>
      <w:bookmarkStart w:id="541" w:name="_Toc296891259"/>
      <w:r>
        <w:rPr>
          <w:highlight w:val="none"/>
        </w:rPr>
      </w:r>
      <w:bookmarkStart w:id="542" w:name="_Toc304295593"/>
      <w:r>
        <w:rPr>
          <w:highlight w:val="none"/>
        </w:rPr>
      </w:r>
      <w:bookmarkStart w:id="543" w:name="_Toc296503219"/>
      <w:r>
        <w:rPr>
          <w:highlight w:val="none"/>
        </w:rPr>
      </w:r>
      <w:bookmarkStart w:id="544" w:name="_Toc292559929"/>
      <w:r>
        <w:rPr>
          <w:highlight w:val="none"/>
        </w:rPr>
      </w:r>
      <w:bookmarkStart w:id="545" w:name="_Toc297048405"/>
      <w:r>
        <w:rPr>
          <w:highlight w:val="none"/>
        </w:rPr>
      </w:r>
      <w:bookmarkStart w:id="546" w:name="_Toc296891047"/>
      <w:r>
        <w:rPr>
          <w:highlight w:val="none"/>
        </w:rPr>
      </w:r>
      <w:bookmarkStart w:id="547" w:name="_Toc303539172"/>
      <w:r>
        <w:rPr>
          <w:highlight w:val="none"/>
        </w:rPr>
      </w:r>
      <w:bookmarkStart w:id="548" w:name="_Toc312678053"/>
      <w:r>
        <w:rPr>
          <w:highlight w:val="none"/>
        </w:rPr>
      </w:r>
      <w:bookmarkStart w:id="549" w:name="_Toc296346720"/>
      <w:r>
        <w:rPr>
          <w:highlight w:val="none"/>
        </w:rPr>
      </w:r>
      <w:bookmarkStart w:id="550" w:name="_Toc297216223"/>
      <w:r>
        <w:rPr>
          <w:highlight w:val="none"/>
        </w:rPr>
      </w:r>
      <w:bookmarkStart w:id="551" w:name="_Toc296347218"/>
      <w:r>
        <w:rPr>
          <w:highlight w:val="none"/>
        </w:rPr>
      </w:r>
      <w:bookmarkStart w:id="552" w:name="_Toc297120519"/>
      <w:r>
        <w:rPr>
          <w:highlight w:val="none"/>
        </w:rPr>
      </w:r>
      <w:bookmarkStart w:id="553" w:name="_Toc297123564"/>
      <w:r>
        <w:rPr>
          <w:highlight w:val="none"/>
        </w:rPr>
      </w:r>
      <w:bookmarkStart w:id="554" w:name="_Toc296944558"/>
      <w:r>
        <w:rPr>
          <w:highlight w:val="none"/>
        </w:rPr>
      </w:r>
      <w:bookmarkStart w:id="555" w:name="_Toc292559424"/>
      <w:r>
        <w:rPr>
          <w:highlight w:val="none"/>
        </w:rPr>
      </w:r>
      <w:bookmarkEnd w:id="368"/>
      <w:r>
        <w:rPr>
          <w:rFonts w:hint="eastAsia" w:ascii="宋体" w:hAnsi="宋体" w:cs="宋体"/>
          <w:szCs w:val="21"/>
          <w:highlight w:val="none"/>
        </w:rPr>
        <w:t xml:space="preserve">12. 验收和工程试车</w:t>
      </w:r>
      <w:bookmarkEnd w:id="539"/>
      <w:r>
        <w:rPr>
          <w:highlight w:val="none"/>
        </w:rPr>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12.1 分部分项工程验收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12.1.1监理人不能按时进行验收时，应提前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rPr>
          <w:highlight w:val="none"/>
        </w:rPr>
      </w:r>
      <w:r/>
    </w:p>
    <w:p>
      <w:pPr>
        <w:ind w:firstLine="420"/>
        <w:spacing w:line="360" w:lineRule="auto"/>
        <w:rPr>
          <w:rFonts w:ascii="宋体" w:hAnsi="宋体" w:cs="宋体"/>
          <w:szCs w:val="21"/>
          <w:highlight w:val="none"/>
        </w:rPr>
      </w:pPr>
      <w:r>
        <w:rPr>
          <w:highlight w:val="none"/>
        </w:rPr>
      </w:r>
      <w:bookmarkStart w:id="556" w:name="_Toc292559933"/>
      <w:r>
        <w:rPr>
          <w:highlight w:val="none"/>
        </w:rPr>
      </w:r>
      <w:bookmarkStart w:id="557" w:name="_Toc296891263"/>
      <w:r>
        <w:rPr>
          <w:highlight w:val="none"/>
        </w:rPr>
      </w:r>
      <w:bookmarkStart w:id="558" w:name="_Toc296503223"/>
      <w:r>
        <w:rPr>
          <w:highlight w:val="none"/>
        </w:rPr>
      </w:r>
      <w:bookmarkStart w:id="559" w:name="_Toc297120523"/>
      <w:r>
        <w:rPr>
          <w:highlight w:val="none"/>
        </w:rPr>
      </w:r>
      <w:bookmarkStart w:id="560" w:name="_Toc303539173"/>
      <w:r>
        <w:rPr>
          <w:highlight w:val="none"/>
        </w:rPr>
      </w:r>
      <w:bookmarkStart w:id="561" w:name="_Toc292559428"/>
      <w:r>
        <w:rPr>
          <w:highlight w:val="none"/>
        </w:rPr>
      </w:r>
      <w:bookmarkStart w:id="562" w:name="_Toc297048409"/>
      <w:r>
        <w:rPr>
          <w:highlight w:val="none"/>
        </w:rPr>
      </w:r>
      <w:bookmarkStart w:id="563" w:name="_Toc296346724"/>
      <w:r>
        <w:rPr>
          <w:highlight w:val="none"/>
        </w:rPr>
      </w:r>
      <w:bookmarkStart w:id="564" w:name="_Toc300935016"/>
      <w:r>
        <w:rPr>
          <w:highlight w:val="none"/>
        </w:rPr>
      </w:r>
      <w:bookmarkStart w:id="565" w:name="_Toc297123565"/>
      <w:r>
        <w:rPr>
          <w:highlight w:val="none"/>
        </w:rPr>
      </w:r>
      <w:bookmarkStart w:id="566" w:name="_Toc296944562"/>
      <w:r>
        <w:rPr>
          <w:highlight w:val="none"/>
        </w:rPr>
      </w:r>
      <w:bookmarkStart w:id="567" w:name="_Toc304295596"/>
      <w:r>
        <w:rPr>
          <w:highlight w:val="none"/>
        </w:rPr>
      </w:r>
      <w:bookmarkStart w:id="568" w:name="_Toc296891051"/>
      <w:r>
        <w:rPr>
          <w:highlight w:val="none"/>
        </w:rPr>
      </w:r>
      <w:bookmarkStart w:id="569" w:name="_Toc296347222"/>
      <w:r>
        <w:rPr>
          <w:highlight w:val="none"/>
        </w:rPr>
      </w:r>
      <w:bookmarkStart w:id="570" w:name="_Toc297216224"/>
      <w:r>
        <w:rPr>
          <w:highlight w:val="none"/>
        </w:rPr>
      </w:r>
      <w:bookmarkStart w:id="571" w:name="_Toc312678056"/>
      <w:r>
        <w:rPr>
          <w:highlight w:val="none"/>
        </w:rPr>
      </w:r>
      <w:bookmarkStart w:id="572" w:name="_Toc267251470"/>
      <w:r>
        <w:rPr>
          <w:highlight w:val="none"/>
        </w:rPr>
      </w:r>
      <w:bookmarkStart w:id="573" w:name="_Toc267251471"/>
      <w:r>
        <w:rPr>
          <w:highlight w:val="none"/>
        </w:rPr>
      </w:r>
      <w:bookmarkStart w:id="574" w:name="_Toc267251476"/>
      <w:r>
        <w:rPr>
          <w:highlight w:val="none"/>
        </w:rPr>
      </w:r>
      <w:bookmarkStart w:id="575" w:name="_Toc267251475"/>
      <w:r>
        <w:rPr>
          <w:highlight w:val="none"/>
        </w:rPr>
      </w:r>
      <w:bookmarkStart w:id="576" w:name="_Toc267251474"/>
      <w:r>
        <w:rPr>
          <w:highlight w:val="none"/>
        </w:rPr>
      </w:r>
      <w:bookmarkStart w:id="577" w:name="_Toc267251472"/>
      <w:r>
        <w:rPr>
          <w:highlight w:val="none"/>
        </w:rPr>
      </w:r>
      <w:bookmarkStart w:id="578" w:name="_Toc267251473"/>
      <w:r>
        <w:rPr>
          <w:rFonts w:hint="eastAsia" w:ascii="宋体" w:hAnsi="宋体" w:cs="宋体"/>
          <w:szCs w:val="21"/>
          <w:highlight w:val="none"/>
        </w:rPr>
        <w:t xml:space="preserve">12.2 竣工验收</w:t>
      </w:r>
      <w:r>
        <w:rPr>
          <w:highlight w:val="none"/>
        </w:rPr>
      </w:r>
      <w:r/>
    </w:p>
    <w:p>
      <w:pPr>
        <w:ind w:firstLine="420"/>
        <w:spacing w:line="360" w:lineRule="auto"/>
        <w:rPr>
          <w:rFonts w:ascii="宋体" w:hAnsi="宋体" w:cs="宋体"/>
          <w:szCs w:val="21"/>
          <w:highlight w:val="none"/>
        </w:rPr>
      </w:pPr>
      <w:r>
        <w:rPr>
          <w:highlight w:val="none"/>
        </w:rPr>
      </w:r>
      <w:bookmarkStart w:id="579" w:name="_Toc280868704"/>
      <w:r>
        <w:rPr>
          <w:highlight w:val="none"/>
        </w:rPr>
      </w:r>
      <w:bookmarkStart w:id="580" w:name="_Toc280868705"/>
      <w:r>
        <w:rPr>
          <w:highlight w:val="none"/>
        </w:rPr>
      </w:r>
      <w:bookmarkStart w:id="581" w:name="_Toc280868706"/>
      <w:r>
        <w:rPr>
          <w:highlight w:val="none"/>
        </w:rPr>
      </w:r>
      <w:bookmarkStart w:id="582" w:name="_Toc280868707"/>
      <w:r>
        <w:rPr>
          <w:highlight w:val="none"/>
        </w:rPr>
      </w:r>
      <w:bookmarkStart w:id="583" w:name="_Toc280868708"/>
      <w:r>
        <w:rPr>
          <w:highlight w:val="none"/>
        </w:rPr>
      </w:r>
      <w:bookmarkStart w:id="584" w:name="_Toc280868709"/>
      <w:r>
        <w:rPr>
          <w:highlight w:val="none"/>
        </w:rPr>
      </w:r>
      <w:bookmarkEnd w:id="556"/>
      <w:r>
        <w:rPr>
          <w:highlight w:val="none"/>
        </w:rPr>
      </w:r>
      <w:bookmarkEnd w:id="557"/>
      <w:r>
        <w:rPr>
          <w:highlight w:val="none"/>
        </w:rPr>
      </w:r>
      <w:bookmarkEnd w:id="558"/>
      <w:r>
        <w:rPr>
          <w:highlight w:val="none"/>
        </w:rPr>
      </w:r>
      <w:bookmarkEnd w:id="559"/>
      <w:r>
        <w:rPr>
          <w:highlight w:val="none"/>
        </w:rPr>
      </w:r>
      <w:bookmarkEnd w:id="560"/>
      <w:r>
        <w:rPr>
          <w:highlight w:val="none"/>
        </w:rPr>
      </w:r>
      <w:bookmarkEnd w:id="561"/>
      <w:r>
        <w:rPr>
          <w:highlight w:val="none"/>
        </w:rPr>
      </w:r>
      <w:bookmarkEnd w:id="562"/>
      <w:r>
        <w:rPr>
          <w:highlight w:val="none"/>
        </w:rPr>
      </w:r>
      <w:bookmarkEnd w:id="563"/>
      <w:r>
        <w:rPr>
          <w:highlight w:val="none"/>
        </w:rPr>
      </w:r>
      <w:bookmarkEnd w:id="564"/>
      <w:r>
        <w:rPr>
          <w:highlight w:val="none"/>
        </w:rPr>
      </w:r>
      <w:bookmarkEnd w:id="565"/>
      <w:r>
        <w:rPr>
          <w:highlight w:val="none"/>
        </w:rPr>
      </w:r>
      <w:bookmarkEnd w:id="566"/>
      <w:r>
        <w:rPr>
          <w:highlight w:val="none"/>
        </w:rPr>
      </w:r>
      <w:bookmarkEnd w:id="567"/>
      <w:r>
        <w:rPr>
          <w:highlight w:val="none"/>
        </w:rPr>
      </w:r>
      <w:bookmarkEnd w:id="568"/>
      <w:r>
        <w:rPr>
          <w:highlight w:val="none"/>
        </w:rPr>
      </w:r>
      <w:bookmarkEnd w:id="569"/>
      <w:r>
        <w:rPr>
          <w:highlight w:val="none"/>
        </w:rPr>
      </w:r>
      <w:bookmarkEnd w:id="570"/>
      <w:r>
        <w:rPr>
          <w:highlight w:val="none"/>
        </w:rPr>
      </w:r>
      <w:bookmarkEnd w:id="571"/>
      <w:r>
        <w:rPr>
          <w:rFonts w:hint="eastAsia" w:ascii="宋体" w:hAnsi="宋体" w:cs="宋体"/>
          <w:szCs w:val="21"/>
          <w:highlight w:val="none"/>
        </w:rPr>
        <w:t xml:space="preserve">12.2.1竣工验收程序</w:t>
      </w:r>
      <w:bookmarkEnd w:id="579"/>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bookmarkEnd w:id="580"/>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12.2.2移交、接收全部与部分工程</w:t>
      </w:r>
      <w:bookmarkEnd w:id="58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   按照合同约定工期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End w:id="582"/>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承包人未按时移交工程的，违约金的计算方法为：</w:t>
      </w:r>
      <w:r>
        <w:rPr>
          <w:rFonts w:hint="eastAsia" w:ascii="宋体" w:hAnsi="宋体" w:cs="宋体"/>
          <w:spacing w:val="10"/>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12.3 工程试车</w:t>
      </w:r>
      <w:bookmarkEnd w:id="583"/>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12.3.1 试车程序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  </w:t>
      </w:r>
      <w:r>
        <w:rPr>
          <w:rFonts w:hint="eastAsia" w:ascii="宋体" w:hAnsi="宋体" w:cs="宋体"/>
          <w:szCs w:val="21"/>
          <w:highlight w:val="none"/>
        </w:rPr>
        <w:t xml:space="preserve">承担；</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      </w:t>
      </w:r>
      <w:r>
        <w:rPr>
          <w:rFonts w:hint="eastAsia" w:ascii="宋体" w:hAnsi="宋体" w:cs="宋体"/>
          <w:szCs w:val="21"/>
          <w:highlight w:val="none"/>
        </w:rPr>
        <w:t xml:space="preserve">承担。</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12.3.2 投料试车</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12.4 竣工退场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12.4.1 竣工退场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   竣工验收合同20日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585" w:name="_Toc351203646"/>
      <w:r>
        <w:rPr>
          <w:rFonts w:hint="eastAsia" w:ascii="宋体" w:hAnsi="宋体" w:cs="宋体"/>
          <w:szCs w:val="21"/>
          <w:highlight w:val="none"/>
        </w:rPr>
        <w:t xml:space="preserve">13. 竣工结算</w:t>
      </w:r>
      <w:bookmarkEnd w:id="58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13.1 竣工付款申请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承包人提交竣工付款申请单的期限：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竣工付款申请单应包括的内容：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13.2 竣工结算审核</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13.3 最终结清</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13.3.1 最终结清申请单</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   叁份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   根据进度款支付周期节点时间15日内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13.3.2 最终结清证书和支付</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 在缺陷责任期终止证书颁发后15天内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  按进度款支付约定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586" w:name="_Toc351203647"/>
      <w:r>
        <w:rPr>
          <w:highlight w:val="none"/>
        </w:rPr>
      </w:r>
      <w:bookmarkStart w:id="587" w:name="_Toc267251483"/>
      <w:r>
        <w:rPr>
          <w:highlight w:val="none"/>
        </w:rPr>
      </w:r>
      <w:bookmarkStart w:id="588" w:name="_Toc267251482"/>
      <w:r>
        <w:rPr>
          <w:highlight w:val="none"/>
        </w:rPr>
      </w:r>
      <w:bookmarkStart w:id="589" w:name="_Toc267251484"/>
      <w:r>
        <w:rPr>
          <w:highlight w:val="none"/>
        </w:rPr>
      </w:r>
      <w:bookmarkStart w:id="590" w:name="_Toc267251485"/>
      <w:r>
        <w:rPr>
          <w:highlight w:val="none"/>
        </w:rPr>
      </w:r>
      <w:bookmarkStart w:id="591" w:name="_Toc267251489"/>
      <w:r>
        <w:rPr>
          <w:highlight w:val="none"/>
        </w:rPr>
      </w:r>
      <w:bookmarkStart w:id="592" w:name="_Toc267251486"/>
      <w:r>
        <w:rPr>
          <w:highlight w:val="none"/>
        </w:rPr>
      </w:r>
      <w:bookmarkStart w:id="593" w:name="_Toc267251490"/>
      <w:r>
        <w:rPr>
          <w:highlight w:val="none"/>
        </w:rPr>
      </w:r>
      <w:bookmarkStart w:id="594" w:name="_Toc267251488"/>
      <w:r>
        <w:rPr>
          <w:highlight w:val="none"/>
        </w:rPr>
      </w:r>
      <w:bookmarkStart w:id="595" w:name="_Toc267251497"/>
      <w:r>
        <w:rPr>
          <w:highlight w:val="none"/>
        </w:rPr>
      </w:r>
      <w:bookmarkStart w:id="596" w:name="_Toc267251498"/>
      <w:r>
        <w:rPr>
          <w:highlight w:val="none"/>
        </w:rPr>
      </w:r>
      <w:bookmarkStart w:id="597" w:name="_Toc267251493"/>
      <w:r>
        <w:rPr>
          <w:highlight w:val="none"/>
        </w:rPr>
      </w:r>
      <w:bookmarkStart w:id="598" w:name="_Toc267251501"/>
      <w:r>
        <w:rPr>
          <w:highlight w:val="none"/>
        </w:rPr>
      </w:r>
      <w:bookmarkStart w:id="599" w:name="_Toc267251491"/>
      <w:r>
        <w:rPr>
          <w:highlight w:val="none"/>
        </w:rPr>
      </w:r>
      <w:bookmarkStart w:id="600" w:name="_Toc267251502"/>
      <w:r>
        <w:rPr>
          <w:highlight w:val="none"/>
        </w:rPr>
      </w:r>
      <w:bookmarkStart w:id="601" w:name="_Toc267251495"/>
      <w:r>
        <w:rPr>
          <w:highlight w:val="none"/>
        </w:rPr>
      </w:r>
      <w:bookmarkStart w:id="602" w:name="_Toc267251499"/>
      <w:r>
        <w:rPr>
          <w:highlight w:val="none"/>
        </w:rPr>
      </w:r>
      <w:bookmarkStart w:id="603" w:name="_Toc267251492"/>
      <w:r>
        <w:rPr>
          <w:highlight w:val="none"/>
        </w:rPr>
      </w:r>
      <w:bookmarkStart w:id="604" w:name="_Toc267251496"/>
      <w:r>
        <w:rPr>
          <w:highlight w:val="none"/>
        </w:rPr>
      </w:r>
      <w:bookmarkStart w:id="605" w:name="_Toc267251503"/>
      <w:r>
        <w:rPr>
          <w:highlight w:val="none"/>
        </w:rPr>
      </w:r>
      <w:bookmarkStart w:id="606" w:name="_Toc267251494"/>
      <w:r>
        <w:rPr>
          <w:highlight w:val="none"/>
        </w:rPr>
      </w:r>
      <w:bookmarkStart w:id="607" w:name="_Toc267251506"/>
      <w:r>
        <w:rPr>
          <w:highlight w:val="none"/>
        </w:rPr>
      </w:r>
      <w:bookmarkStart w:id="608" w:name="_Toc267251504"/>
      <w:r>
        <w:rPr>
          <w:highlight w:val="none"/>
        </w:rPr>
      </w:r>
      <w:bookmarkStart w:id="609" w:name="_Toc267251507"/>
      <w:r>
        <w:rPr>
          <w:highlight w:val="none"/>
        </w:rPr>
      </w:r>
      <w:bookmarkStart w:id="610" w:name="_Toc267251508"/>
      <w:r>
        <w:rPr>
          <w:highlight w:val="none"/>
        </w:rPr>
      </w:r>
      <w:bookmarkStart w:id="611" w:name="_Toc267251511"/>
      <w:r>
        <w:rPr>
          <w:highlight w:val="none"/>
        </w:rPr>
      </w:r>
      <w:bookmarkStart w:id="612" w:name="_Toc267251514"/>
      <w:r>
        <w:rPr>
          <w:highlight w:val="none"/>
        </w:rPr>
      </w:r>
      <w:bookmarkStart w:id="613" w:name="_Toc267251513"/>
      <w:r>
        <w:rPr>
          <w:highlight w:val="none"/>
        </w:rPr>
      </w:r>
      <w:bookmarkStart w:id="614" w:name="_Toc267251515"/>
      <w:r>
        <w:rPr>
          <w:highlight w:val="none"/>
        </w:rPr>
      </w:r>
      <w:bookmarkStart w:id="615" w:name="_Toc267251509"/>
      <w:r>
        <w:rPr>
          <w:highlight w:val="none"/>
        </w:rPr>
      </w:r>
      <w:bookmarkStart w:id="616" w:name="_Toc267251510"/>
      <w:r>
        <w:rPr>
          <w:highlight w:val="none"/>
        </w:rPr>
      </w:r>
      <w:bookmarkEnd w:id="572"/>
      <w:r>
        <w:rPr>
          <w:highlight w:val="none"/>
        </w:rPr>
      </w:r>
      <w:bookmarkEnd w:id="573"/>
      <w:r>
        <w:rPr>
          <w:highlight w:val="none"/>
        </w:rPr>
      </w:r>
      <w:bookmarkEnd w:id="574"/>
      <w:r>
        <w:rPr>
          <w:highlight w:val="none"/>
        </w:rPr>
      </w:r>
      <w:bookmarkEnd w:id="575"/>
      <w:r>
        <w:rPr>
          <w:highlight w:val="none"/>
        </w:rPr>
      </w:r>
      <w:bookmarkEnd w:id="576"/>
      <w:r>
        <w:rPr>
          <w:highlight w:val="none"/>
        </w:rPr>
      </w:r>
      <w:bookmarkEnd w:id="577"/>
      <w:r>
        <w:rPr>
          <w:highlight w:val="none"/>
        </w:rPr>
      </w:r>
      <w:bookmarkEnd w:id="578"/>
      <w:r>
        <w:rPr>
          <w:highlight w:val="none"/>
        </w:rPr>
      </w:r>
      <w:bookmarkEnd w:id="584"/>
      <w:r>
        <w:rPr>
          <w:rFonts w:hint="eastAsia" w:ascii="宋体" w:hAnsi="宋体" w:cs="宋体"/>
          <w:szCs w:val="21"/>
          <w:highlight w:val="none"/>
        </w:rPr>
        <w:t xml:space="preserve">14. 缺陷责任期与保修</w:t>
      </w:r>
      <w:bookmarkEnd w:id="58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14.1缺陷责任期</w:t>
      </w:r>
      <w:bookmarkEnd w:id="58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14.2 质量保证金</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  是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14.2.1 承包人提供质量保证金的方式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（1）质量保证金保函，保证金额为：；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3  </w:t>
      </w:r>
      <w:r>
        <w:rPr>
          <w:rFonts w:hint="eastAsia" w:ascii="宋体" w:hAnsi="宋体" w:cs="宋体"/>
          <w:szCs w:val="21"/>
          <w:highlight w:val="none"/>
        </w:rPr>
        <w:t xml:space="preserve">%的工程款；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（3）其他方式:。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14.2.2 质量保证金的扣留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（2）工程竣工结算时一次性扣留质量保证金；</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（3）其他扣留方式:。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End w:id="588"/>
      <w:r/>
      <w:bookmarkEnd w:id="589"/>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14.3保修</w:t>
      </w:r>
      <w:bookmarkEnd w:id="590"/>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14.3.1 保修责任</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14.3.2 修复通知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按通用条款</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617" w:name="_Toc351203648"/>
      <w:r>
        <w:rPr>
          <w:highlight w:val="none"/>
        </w:rPr>
      </w:r>
      <w:bookmarkStart w:id="618" w:name="_Toc280868717"/>
      <w:r>
        <w:rPr>
          <w:highlight w:val="none"/>
        </w:rPr>
      </w:r>
      <w:bookmarkStart w:id="619" w:name="_Toc280868718"/>
      <w:r>
        <w:rPr>
          <w:highlight w:val="none"/>
        </w:rPr>
      </w:r>
      <w:bookmarkEnd w:id="591"/>
      <w:r>
        <w:rPr>
          <w:highlight w:val="none"/>
        </w:rPr>
      </w:r>
      <w:bookmarkEnd w:id="592"/>
      <w:r>
        <w:rPr>
          <w:highlight w:val="none"/>
        </w:rPr>
      </w:r>
      <w:bookmarkEnd w:id="593"/>
      <w:r>
        <w:rPr>
          <w:highlight w:val="none"/>
        </w:rPr>
      </w:r>
      <w:bookmarkEnd w:id="594"/>
      <w:r>
        <w:rPr>
          <w:rFonts w:hint="eastAsia" w:ascii="宋体" w:hAnsi="宋体" w:cs="宋体"/>
          <w:szCs w:val="21"/>
          <w:highlight w:val="none"/>
        </w:rPr>
        <w:t xml:space="preserve">15. 违约</w:t>
      </w:r>
      <w:bookmarkEnd w:id="61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 发包人违约</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15.1.1发包人违约的情形</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15.1.2 发包人违约的责任</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发包人违约责任的承担方式和计算方法：</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  无 。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（6）其他：</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15.1.3 因发包人违约解除合同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承包人按16.1.1项〔发包人违约的情形〕约定暂停施工满天后发包人仍不纠正其违约行为并致使合同目的不能实现的，承包人有权解除合同。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 承包人违约</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15.2.1 承包人违约的情形</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 工期延误、质量问题、技术文件未按约定时间提交、承包人擅自停要或单方面终止合同等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15.2.2承包人违约的责任</w:t>
      </w:r>
      <w:r>
        <w:rPr>
          <w:highlight w:val="none"/>
        </w:rPr>
      </w:r>
      <w:r/>
    </w:p>
    <w:p>
      <w:pPr>
        <w:ind w:firstLine="420"/>
        <w:spacing w:line="360" w:lineRule="auto"/>
        <w:tabs>
          <w:tab w:val="left" w:pos="905" w:leader="none"/>
        </w:tabs>
        <w:rPr>
          <w:rFonts w:ascii="宋体" w:hAnsi="宋体" w:cs="宋体"/>
          <w:spacing w:val="10"/>
          <w:szCs w:val="21"/>
          <w:highlight w:val="none"/>
          <w:u w:val="single"/>
        </w:rPr>
      </w:pPr>
      <w:r>
        <w:rPr>
          <w:rFonts w:hint="eastAsia" w:ascii="宋体" w:hAnsi="宋体" w:cs="宋体"/>
          <w:szCs w:val="21"/>
          <w:highlight w:val="none"/>
        </w:rPr>
        <w:t xml:space="preserve">承包人违约责任的承担方式和计算方法：</w:t>
      </w:r>
      <w:r>
        <w:rPr>
          <w:rFonts w:hint="eastAsia" w:ascii="宋体" w:hAnsi="宋体" w:cs="宋体"/>
          <w:spacing w:val="10"/>
          <w:szCs w:val="21"/>
          <w:highlight w:val="none"/>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rPr>
          <w:highlight w:val="none"/>
        </w:rPr>
      </w:r>
      <w:r/>
    </w:p>
    <w:p>
      <w:pPr>
        <w:ind w:firstLine="460"/>
        <w:spacing w:line="360" w:lineRule="auto"/>
        <w:tabs>
          <w:tab w:val="left" w:pos="905" w:leader="none"/>
        </w:tabs>
        <w:rPr>
          <w:rFonts w:ascii="宋体" w:hAnsi="宋体" w:cs="宋体"/>
          <w:spacing w:val="10"/>
          <w:szCs w:val="21"/>
          <w:highlight w:val="none"/>
          <w:u w:val="single"/>
        </w:rPr>
      </w:pPr>
      <w:r>
        <w:rPr>
          <w:rFonts w:hint="eastAsia" w:ascii="宋体" w:hAnsi="宋体" w:cs="宋体"/>
          <w:spacing w:val="10"/>
          <w:szCs w:val="21"/>
          <w:highlight w:val="none"/>
          <w:u w:val="single"/>
        </w:rPr>
        <w:t xml:space="preserve">B、质量问题：工程质量应符合国家验收规范，若质量未达到要求，承包人应进行整改，返工合格后，发包人有权在承包人工程结算款中扣除由此而发给发包人而造成的经济损失。</w:t>
      </w:r>
      <w:r>
        <w:rPr>
          <w:highlight w:val="none"/>
        </w:rPr>
      </w:r>
      <w:r/>
    </w:p>
    <w:p>
      <w:pPr>
        <w:ind w:firstLine="460"/>
        <w:spacing w:line="360" w:lineRule="auto"/>
        <w:tabs>
          <w:tab w:val="left" w:pos="905" w:leader="none"/>
        </w:tabs>
        <w:rPr>
          <w:rFonts w:ascii="宋体" w:hAnsi="宋体" w:cs="宋体"/>
          <w:spacing w:val="10"/>
          <w:szCs w:val="21"/>
          <w:highlight w:val="none"/>
          <w:u w:val="single"/>
        </w:rPr>
      </w:pPr>
      <w:r>
        <w:rPr>
          <w:rFonts w:hint="eastAsia" w:ascii="宋体" w:hAnsi="宋体" w:cs="宋体"/>
          <w:spacing w:val="10"/>
          <w:szCs w:val="21"/>
          <w:highlight w:val="none"/>
          <w:u w:val="single"/>
        </w:rPr>
        <w:t xml:space="preserve">C、因承包人原因导致技术文件（包括竣工图纸、签证等）未能按约定时间提交，每迟一天，发包人在支付给承包人的工程款内扣除1000元的违约金。同时并不解除承包人继续交付上述技术文件的义务。</w:t>
      </w:r>
      <w:r>
        <w:rPr>
          <w:highlight w:val="none"/>
        </w:rPr>
      </w:r>
      <w:r/>
    </w:p>
    <w:p>
      <w:pPr>
        <w:ind w:firstLine="460"/>
        <w:spacing w:line="360" w:lineRule="auto"/>
        <w:rPr>
          <w:rFonts w:ascii="宋体" w:hAnsi="宋体" w:cs="宋体"/>
          <w:szCs w:val="21"/>
          <w:highlight w:val="none"/>
          <w:u w:val="single"/>
        </w:rPr>
      </w:pPr>
      <w:r>
        <w:rPr>
          <w:rFonts w:hint="eastAsia" w:ascii="宋体" w:hAnsi="宋体" w:cs="宋体"/>
          <w:spacing w:val="10"/>
          <w:szCs w:val="21"/>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15.2.3 因承包人违约解除合同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pacing w:val="10"/>
          <w:szCs w:val="21"/>
          <w:highlight w:val="none"/>
          <w:u w:val="single"/>
        </w:rPr>
        <w:t xml:space="preserve">在本合同解除后，承包人必须在5天内无条件退场。发包人将按承包人已完成工程量的70%给予结算，承包人并承担由此而给发包方造成的一切损失。</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根据监理、审计出具的报告结算给承包人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620" w:name="_Toc351203649"/>
      <w:r>
        <w:rPr>
          <w:rFonts w:hint="eastAsia" w:ascii="宋体" w:hAnsi="宋体" w:cs="宋体"/>
          <w:szCs w:val="21"/>
          <w:highlight w:val="none"/>
        </w:rPr>
        <w:t xml:space="preserve">16. 不可抗力</w:t>
      </w:r>
      <w:bookmarkEnd w:id="618"/>
      <w:r>
        <w:rPr>
          <w:highlight w:val="none"/>
        </w:rPr>
      </w:r>
      <w:bookmarkEnd w:id="620"/>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16.1 不可抗力的确认</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 </w:t>
      </w:r>
      <w:r>
        <w:rPr>
          <w:rFonts w:hint="eastAsia" w:ascii="宋体" w:hAnsi="宋体" w:cs="宋体"/>
          <w:spacing w:val="10"/>
          <w:szCs w:val="21"/>
          <w:highlight w:val="none"/>
          <w:u w:val="single"/>
        </w:rPr>
        <w:t xml:space="preserve">按省级有关部门的规定执行</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16.2 因不可抗力解除合同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 28天</w:t>
      </w:r>
      <w:r>
        <w:rPr>
          <w:rFonts w:hint="eastAsia" w:ascii="宋体" w:hAnsi="宋体" w:cs="宋体"/>
          <w:szCs w:val="21"/>
          <w:highlight w:val="none"/>
        </w:rPr>
        <w:t xml:space="preserve">内完成款项的支付。</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621" w:name="_Toc351203650"/>
      <w:r>
        <w:rPr>
          <w:rFonts w:hint="eastAsia" w:ascii="宋体" w:hAnsi="宋体" w:cs="宋体"/>
          <w:szCs w:val="21"/>
          <w:highlight w:val="none"/>
        </w:rPr>
        <w:t xml:space="preserve">17. 保险</w:t>
      </w:r>
      <w:bookmarkEnd w:id="621"/>
      <w:r>
        <w:rPr>
          <w:highlight w:val="none"/>
        </w:rPr>
      </w:r>
      <w:bookmarkEnd w:id="619"/>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17.1 工程保险</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17.2 其他保险</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  由承包人自行考虑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17.3 通知义务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622" w:name="_Toc351203651"/>
      <w:r>
        <w:rPr>
          <w:highlight w:val="none"/>
        </w:rPr>
      </w:r>
      <w:bookmarkEnd w:id="595"/>
      <w:r>
        <w:rPr>
          <w:highlight w:val="none"/>
        </w:rPr>
      </w:r>
      <w:bookmarkEnd w:id="596"/>
      <w:r>
        <w:rPr>
          <w:highlight w:val="none"/>
        </w:rPr>
      </w:r>
      <w:bookmarkEnd w:id="597"/>
      <w:r>
        <w:rPr>
          <w:highlight w:val="none"/>
        </w:rPr>
      </w:r>
      <w:bookmarkEnd w:id="598"/>
      <w:r>
        <w:rPr>
          <w:highlight w:val="none"/>
        </w:rPr>
      </w:r>
      <w:bookmarkEnd w:id="599"/>
      <w:r>
        <w:rPr>
          <w:highlight w:val="none"/>
        </w:rPr>
      </w:r>
      <w:bookmarkEnd w:id="600"/>
      <w:r>
        <w:rPr>
          <w:highlight w:val="none"/>
        </w:rPr>
      </w:r>
      <w:bookmarkEnd w:id="601"/>
      <w:r>
        <w:rPr>
          <w:highlight w:val="none"/>
        </w:rPr>
      </w:r>
      <w:bookmarkEnd w:id="602"/>
      <w:r>
        <w:rPr>
          <w:highlight w:val="none"/>
        </w:rPr>
      </w:r>
      <w:bookmarkEnd w:id="603"/>
      <w:r>
        <w:rPr>
          <w:highlight w:val="none"/>
        </w:rPr>
      </w:r>
      <w:bookmarkEnd w:id="604"/>
      <w:r>
        <w:rPr>
          <w:highlight w:val="none"/>
        </w:rPr>
      </w:r>
      <w:bookmarkEnd w:id="605"/>
      <w:r>
        <w:rPr>
          <w:highlight w:val="none"/>
        </w:rPr>
      </w:r>
      <w:bookmarkEnd w:id="606"/>
      <w:r>
        <w:rPr>
          <w:rFonts w:hint="eastAsia" w:ascii="宋体" w:hAnsi="宋体" w:cs="宋体"/>
          <w:szCs w:val="21"/>
          <w:highlight w:val="none"/>
        </w:rPr>
        <w:t xml:space="preserve">18. 争议解决</w:t>
      </w:r>
      <w:bookmarkEnd w:id="622"/>
      <w:r>
        <w:rPr>
          <w:highlight w:val="none"/>
        </w:rPr>
      </w:r>
      <w:bookmarkEnd w:id="607"/>
      <w:r/>
      <w:bookmarkEnd w:id="60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18.1 争</w:t>
      </w:r>
      <w:bookmarkEnd w:id="609"/>
      <w:r>
        <w:rPr>
          <w:rFonts w:hint="eastAsia" w:ascii="宋体" w:hAnsi="宋体" w:cs="宋体"/>
          <w:szCs w:val="21"/>
          <w:highlight w:val="none"/>
        </w:rPr>
        <w:t xml:space="preserve">议评审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不同意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18.1.1 争议评审小组的确定</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18.1.2 争议评审小组的决定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18.2仲裁或诉讼</w:t>
      </w:r>
      <w:bookmarkEnd w:id="610"/>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（1）向仲裁委员会申请仲裁；</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工程所在地  </w:t>
      </w:r>
      <w:r>
        <w:rPr>
          <w:rFonts w:hint="eastAsia" w:ascii="宋体" w:hAnsi="宋体" w:cs="宋体"/>
          <w:szCs w:val="21"/>
          <w:highlight w:val="none"/>
        </w:rPr>
        <w:t xml:space="preserve">人民法院起诉。</w:t>
      </w:r>
      <w:bookmarkEnd w:id="611"/>
      <w:r>
        <w:rPr>
          <w:highlight w:val="none"/>
        </w:rPr>
      </w:r>
      <w:bookmarkEnd w:id="612"/>
      <w:r>
        <w:rPr>
          <w:highlight w:val="none"/>
        </w:rPr>
      </w:r>
      <w:bookmarkEnd w:id="613"/>
      <w:r>
        <w:rPr>
          <w:highlight w:val="none"/>
        </w:rPr>
      </w:r>
      <w:bookmarkEnd w:id="614"/>
      <w:r>
        <w:rPr>
          <w:highlight w:val="none"/>
        </w:rPr>
      </w:r>
      <w:bookmarkEnd w:id="615"/>
      <w:r>
        <w:rPr>
          <w:highlight w:val="none"/>
        </w:rPr>
      </w:r>
      <w:bookmarkEnd w:id="616"/>
      <w:r>
        <w:rPr>
          <w:highlight w:val="none"/>
        </w:rPr>
      </w:r>
      <w:r/>
    </w:p>
    <w:p>
      <w:pPr>
        <w:jc w:val="left"/>
        <w:spacing w:line="360" w:lineRule="auto"/>
        <w:rPr>
          <w:rFonts w:ascii="宋体" w:hAnsi="宋体" w:cs="宋体"/>
          <w:szCs w:val="21"/>
          <w:highlight w:val="none"/>
        </w:rPr>
      </w:pPr>
      <w:r>
        <w:rPr>
          <w:rFonts w:hint="eastAsia" w:ascii="宋体" w:hAnsi="宋体" w:cs="宋体"/>
          <w:b/>
          <w:szCs w:val="21"/>
          <w:highlight w:val="none"/>
        </w:rPr>
        <w:t xml:space="preserve">附件</w:t>
      </w:r>
      <w:bookmarkEnd w:id="116"/>
      <w:r>
        <w:rPr>
          <w:highlight w:val="none"/>
        </w:rPr>
      </w:r>
      <w:r/>
    </w:p>
    <w:p>
      <w:pPr>
        <w:pStyle w:val="923"/>
        <w:rPr>
          <w:rFonts w:ascii="宋体" w:hAnsi="宋体" w:cs="宋体"/>
          <w:highlight w:val="none"/>
        </w:rPr>
      </w:pPr>
      <w:r>
        <w:rPr>
          <w:rFonts w:hint="eastAsia" w:ascii="宋体" w:hAnsi="宋体" w:cs="宋体"/>
          <w:szCs w:val="21"/>
          <w:highlight w:val="none"/>
        </w:rPr>
        <w:t xml:space="preserve">附件1：工程质量保修书</w:t>
      </w:r>
      <w:r>
        <w:rPr>
          <w:highlight w:val="none"/>
        </w:rPr>
      </w:r>
      <w:r/>
    </w:p>
    <w:p>
      <w:pPr>
        <w:pStyle w:val="923"/>
        <w:rPr>
          <w:rFonts w:ascii="宋体" w:hAnsi="宋体" w:cs="宋体"/>
          <w:highlight w:val="none"/>
        </w:rPr>
      </w:pPr>
      <w:r>
        <w:rPr>
          <w:rFonts w:ascii="宋体" w:hAnsi="宋体" w:cs="宋体"/>
          <w:highlight w:val="none"/>
        </w:rPr>
      </w:r>
      <w:r>
        <w:rPr>
          <w:highlight w:val="none"/>
        </w:rPr>
      </w:r>
      <w:r/>
    </w:p>
    <w:p>
      <w:pPr>
        <w:ind w:right="560"/>
        <w:rPr>
          <w:rFonts w:ascii="宋体" w:hAnsi="宋体" w:cs="宋体"/>
          <w:szCs w:val="21"/>
          <w:highlight w:val="none"/>
        </w:rPr>
      </w:pPr>
      <w:r>
        <w:rPr>
          <w:rFonts w:hint="eastAsia" w:ascii="宋体" w:hAnsi="宋体" w:cs="宋体"/>
          <w:szCs w:val="21"/>
          <w:highlight w:val="none"/>
        </w:rPr>
        <w:br w:type="page" w:clear="all"/>
        <w:t xml:space="preserve">附</w:t>
      </w:r>
      <w:bookmarkStart w:id="623" w:name="_Toc296891266"/>
      <w:r>
        <w:rPr>
          <w:highlight w:val="none"/>
        </w:rPr>
      </w:r>
      <w:bookmarkStart w:id="624" w:name="_Toc296503226"/>
      <w:r>
        <w:rPr>
          <w:highlight w:val="none"/>
        </w:rPr>
      </w:r>
      <w:bookmarkStart w:id="625" w:name="_Toc296346727"/>
      <w:r>
        <w:rPr>
          <w:highlight w:val="none"/>
        </w:rPr>
      </w:r>
      <w:bookmarkStart w:id="626" w:name="_Toc296347225"/>
      <w:r>
        <w:rPr>
          <w:highlight w:val="none"/>
        </w:rPr>
      </w:r>
      <w:bookmarkStart w:id="627" w:name="_Toc296891054"/>
      <w:r>
        <w:rPr>
          <w:highlight w:val="none"/>
        </w:rPr>
      </w:r>
      <w:bookmarkStart w:id="628" w:name="_Toc296944565"/>
      <w:r>
        <w:rPr>
          <w:highlight w:val="none"/>
        </w:rPr>
      </w:r>
      <w:bookmarkStart w:id="629" w:name="_Toc267261693"/>
      <w:r>
        <w:rPr>
          <w:rFonts w:hint="eastAsia" w:ascii="宋体" w:hAnsi="宋体" w:cs="宋体"/>
          <w:szCs w:val="21"/>
          <w:highlight w:val="none"/>
        </w:rPr>
        <w:t xml:space="preserve">件1：</w:t>
      </w:r>
      <w:bookmarkEnd w:id="623"/>
      <w:r>
        <w:rPr>
          <w:highlight w:val="none"/>
        </w:rPr>
      </w:r>
      <w:bookmarkEnd w:id="624"/>
      <w:r>
        <w:rPr>
          <w:highlight w:val="none"/>
        </w:rPr>
      </w:r>
      <w:bookmarkEnd w:id="625"/>
      <w:r>
        <w:rPr>
          <w:highlight w:val="none"/>
        </w:rPr>
      </w:r>
      <w:bookmarkEnd w:id="626"/>
      <w:r>
        <w:rPr>
          <w:highlight w:val="none"/>
        </w:rPr>
      </w:r>
      <w:bookmarkEnd w:id="627"/>
      <w:r>
        <w:rPr>
          <w:highlight w:val="none"/>
        </w:rPr>
      </w:r>
      <w:bookmarkEnd w:id="628"/>
      <w:r>
        <w:rPr>
          <w:highlight w:val="none"/>
        </w:rPr>
      </w:r>
      <w:bookmarkEnd w:id="629"/>
      <w:r>
        <w:rPr>
          <w:rFonts w:hint="eastAsia" w:ascii="宋体" w:hAnsi="宋体" w:cs="宋体"/>
          <w:szCs w:val="21"/>
          <w:highlight w:val="none"/>
        </w:rPr>
        <w:t xml:space="preserve">    </w:t>
      </w:r>
      <w:r>
        <w:rPr>
          <w:highlight w:val="none"/>
        </w:rPr>
      </w:r>
      <w:r/>
    </w:p>
    <w:p>
      <w:pPr>
        <w:jc w:val="center"/>
        <w:spacing w:before="120" w:after="120" w:line="440" w:lineRule="exact"/>
        <w:rPr>
          <w:rFonts w:ascii="宋体" w:hAnsi="宋体" w:cs="宋体"/>
          <w:szCs w:val="21"/>
          <w:highlight w:val="none"/>
        </w:rPr>
      </w:pPr>
      <w:r>
        <w:rPr>
          <w:rFonts w:hint="eastAsia" w:ascii="宋体" w:hAnsi="宋体" w:cs="宋体"/>
          <w:szCs w:val="21"/>
          <w:highlight w:val="none"/>
        </w:rPr>
        <w:t xml:space="preserve">工程质量保修书</w:t>
      </w:r>
      <w:r>
        <w:rPr>
          <w:highlight w:val="none"/>
        </w:rPr>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spacing w:line="440" w:lineRule="exact"/>
        <w:rPr>
          <w:rFonts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highlight w:val="none"/>
        </w:rPr>
      </w:r>
      <w:r/>
    </w:p>
    <w:p>
      <w:pPr>
        <w:spacing w:line="440" w:lineRule="exact"/>
        <w:rPr>
          <w:rFonts w:ascii="宋体" w:hAnsi="宋体" w:cs="宋体"/>
          <w:szCs w:val="21"/>
          <w:highlight w:val="none"/>
        </w:rPr>
      </w:pPr>
      <w:r>
        <w:rPr>
          <w:rFonts w:ascii="宋体" w:hAnsi="宋体" w:cs="宋体"/>
          <w:szCs w:val="21"/>
          <w:highlight w:val="none"/>
        </w:rPr>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发包人和承包人根据《中华人民共和国市政公用法》和《建设工程质量管理条例》，经协商一致就</w:t>
      </w:r>
      <w:r>
        <w:rPr>
          <w:rFonts w:hint="eastAsia" w:ascii="宋体" w:hAnsi="宋体" w:cs="宋体"/>
          <w:bCs/>
          <w:szCs w:val="21"/>
          <w:highlight w:val="none"/>
          <w:u w:val="single"/>
        </w:rPr>
        <w:t xml:space="preserve">                            </w:t>
      </w:r>
      <w:r>
        <w:rPr>
          <w:rFonts w:hint="eastAsia" w:ascii="宋体" w:hAnsi="宋体" w:cs="宋体"/>
          <w:szCs w:val="21"/>
          <w:highlight w:val="none"/>
        </w:rPr>
        <w:t xml:space="preserve">（工程全称）签订工程质量保修书。</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一、工程质量保修范围和内容</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cs="宋体"/>
          <w:szCs w:val="21"/>
          <w:highlight w:val="none"/>
        </w:rPr>
        <w:t xml:space="preserve">。</w:t>
      </w:r>
      <w:r>
        <w:rPr>
          <w:highlight w:val="none"/>
        </w:rPr>
      </w:r>
      <w:r/>
    </w:p>
    <w:p>
      <w:pPr>
        <w:spacing w:line="360" w:lineRule="auto"/>
        <w:rPr>
          <w:rFonts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二、质量保修期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2．屋面防水工程、有防水要求的卫生间、房间和外墙面的防渗为 5 年；</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3．装修工程为 2 年；</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质量保修期自工程竣工验收合格之日起计算。</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三、缺陷责任期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个月，缺陷责任期自工程竣工验收合格之日起计算。单位工程先于全部工程进行验收，单位工程缺陷责任期自单位工程验收合格之日起算。</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缺陷责任期终止后，发包人应无息退还剩余的质量保证金。</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四、质量保修责任</w:t>
      </w:r>
      <w:r>
        <w:rPr>
          <w:highlight w:val="none"/>
        </w:rPr>
      </w:r>
      <w:r/>
    </w:p>
    <w:p>
      <w:pPr>
        <w:ind w:left="105" w:firstLine="430"/>
        <w:spacing w:line="360" w:lineRule="auto"/>
        <w:rPr>
          <w:rFonts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rPr>
          <w:highlight w:val="none"/>
        </w:rPr>
      </w:r>
      <w:r/>
    </w:p>
    <w:p>
      <w:pPr>
        <w:ind w:left="105" w:firstLine="430"/>
        <w:spacing w:line="360" w:lineRule="auto"/>
        <w:rPr>
          <w:rFonts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rPr>
          <w:highlight w:val="none"/>
        </w:rPr>
      </w:r>
      <w:r/>
    </w:p>
    <w:p>
      <w:pPr>
        <w:ind w:left="105" w:firstLine="430"/>
        <w:spacing w:line="360" w:lineRule="auto"/>
        <w:rPr>
          <w:rFonts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4．质量保修完成后，由发包人组织验收。</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五、保修费用</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保修费用由造成质量缺陷的责任方承担。</w:t>
      </w:r>
      <w:r>
        <w:rPr>
          <w:highlight w:val="none"/>
        </w:rPr>
      </w:r>
      <w:r/>
    </w:p>
    <w:p>
      <w:pPr>
        <w:ind w:firstLine="422"/>
        <w:jc w:val="left"/>
        <w:spacing w:line="360" w:lineRule="auto"/>
        <w:rPr>
          <w:rFonts w:ascii="宋体" w:hAnsi="宋体" w:cs="宋体"/>
          <w:szCs w:val="21"/>
          <w:highlight w:val="none"/>
          <w:u w:val="single"/>
        </w:rPr>
      </w:pPr>
      <w:r>
        <w:rPr>
          <w:rFonts w:hint="eastAsia" w:ascii="宋体" w:hAnsi="宋体" w:cs="宋体"/>
          <w:b/>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  另行协商     </w:t>
      </w:r>
      <w:r>
        <w:rPr>
          <w:rFonts w:hint="eastAsia" w:ascii="宋体" w:hAnsi="宋体" w:cs="宋体"/>
          <w:szCs w:val="21"/>
          <w:highlight w:val="none"/>
        </w:rPr>
        <w:t xml:space="preserve">。</w:t>
      </w:r>
      <w:r>
        <w:rPr>
          <w:highlight w:val="none"/>
        </w:rPr>
      </w:r>
      <w:r/>
    </w:p>
    <w:p>
      <w:pPr>
        <w:ind w:firstLine="399"/>
        <w:spacing w:line="360" w:lineRule="auto"/>
        <w:rPr>
          <w:rFonts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rPr>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highlight w:val="none"/>
        </w:rPr>
      </w:r>
      <w:r/>
    </w:p>
    <w:p>
      <w:pPr>
        <w:pStyle w:val="1004"/>
        <w:ind w:left="208" w:firstLine="447"/>
        <w:jc w:val="both"/>
        <w:spacing w:line="240" w:lineRule="auto"/>
        <w:rPr>
          <w:rFonts w:ascii="Arial" w:hAnsi="Arial" w:cs="Arial"/>
          <w:sz w:val="21"/>
          <w:szCs w:val="21"/>
          <w:highlight w:val="none"/>
          <w:u w:val="single"/>
        </w:rPr>
      </w:pPr>
      <w:r>
        <w:rPr>
          <w:highlight w:val="none"/>
        </w:rPr>
      </w:r>
      <w:bookmarkStart w:id="630" w:name="_Toc9842"/>
      <w:r>
        <w:rPr>
          <w:highlight w:val="none"/>
        </w:rPr>
      </w:r>
      <w:bookmarkStart w:id="631" w:name="_Toc19425"/>
      <w:r>
        <w:rPr>
          <w:rFonts w:ascii="Arial" w:hAnsi="Arial" w:eastAsia="宋体" w:cs="Arial"/>
          <w:sz w:val="21"/>
          <w:szCs w:val="21"/>
          <w:highlight w:val="none"/>
          <w:lang w:val="en-US"/>
        </w:rPr>
        <w:t xml:space="preserve">邮政编码：</w:t>
      </w:r>
      <w:r>
        <w:rPr>
          <w:rFonts w:ascii="Arial" w:hAnsi="Arial"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t xml:space="preserve">邮政编码：</w:t>
      </w:r>
      <w:bookmarkEnd w:id="630"/>
      <w:r>
        <w:rPr>
          <w:highlight w:val="none"/>
        </w:rPr>
      </w:r>
      <w:bookmarkEnd w:id="631"/>
      <w:r>
        <w:rPr>
          <w:rFonts w:ascii="Arial" w:hAnsi="Arial" w:cs="Arial"/>
          <w:sz w:val="21"/>
          <w:szCs w:val="21"/>
          <w:highlight w:val="none"/>
          <w:u w:val="single"/>
        </w:rPr>
        <w:t xml:space="preserve">                      </w:t>
      </w:r>
      <w:r>
        <w:rPr>
          <w:highlight w:val="none"/>
        </w:rPr>
      </w:r>
      <w:r/>
    </w:p>
    <w:p>
      <w:pPr>
        <w:pStyle w:val="990"/>
        <w:rPr>
          <w:rFonts w:ascii="Arial" w:hAnsi="Arial" w:cs="Arial"/>
          <w:color w:val="000000"/>
          <w:highlight w:val="none"/>
          <w:u w:val="single"/>
        </w:rPr>
      </w:pPr>
      <w:r>
        <w:rPr>
          <w:rFonts w:ascii="Arial" w:hAnsi="Arial" w:cs="Arial"/>
          <w:color w:val="000000"/>
          <w:highlight w:val="none"/>
          <w:u w:val="single"/>
        </w:rPr>
      </w:r>
      <w:r>
        <w:rPr>
          <w:highlight w:val="none"/>
        </w:rPr>
      </w:r>
      <w:r/>
    </w:p>
    <w:p>
      <w:pPr>
        <w:pStyle w:val="1004"/>
        <w:ind w:left="208" w:firstLine="447"/>
        <w:jc w:val="both"/>
        <w:spacing w:line="240" w:lineRule="auto"/>
        <w:rPr>
          <w:rFonts w:ascii="Arial" w:hAnsi="Arial" w:cs="Arial"/>
          <w:sz w:val="21"/>
          <w:szCs w:val="21"/>
          <w:highlight w:val="none"/>
          <w:u w:val="single"/>
        </w:rPr>
      </w:pPr>
      <w:r>
        <w:rPr>
          <w:rFonts w:ascii="Arial" w:hAnsi="Arial" w:eastAsia="宋体" w:cs="Arial"/>
          <w:sz w:val="21"/>
          <w:szCs w:val="21"/>
          <w:highlight w:val="none"/>
        </w:rPr>
        <w:t xml:space="preserve">      </w:t>
      </w:r>
      <w:r>
        <w:rPr>
          <w:highlight w:val="none"/>
        </w:rPr>
      </w:r>
      <w:r/>
    </w:p>
    <w:p>
      <w:pPr>
        <w:pStyle w:val="990"/>
        <w:rPr>
          <w:rFonts w:ascii="Arial" w:hAnsi="Arial" w:cs="Arial"/>
          <w:color w:val="000000"/>
          <w:highlight w:val="none"/>
          <w:u w:val="single"/>
        </w:rPr>
      </w:pPr>
      <w:r>
        <w:rPr>
          <w:rFonts w:ascii="Arial" w:hAnsi="Arial" w:cs="Arial"/>
          <w:color w:val="000000"/>
          <w:highlight w:val="none"/>
          <w:u w:val="single"/>
        </w:rPr>
      </w:r>
      <w:r>
        <w:rPr>
          <w:highlight w:val="none"/>
        </w:rPr>
      </w:r>
      <w:r/>
    </w:p>
    <w:p>
      <w:pPr>
        <w:pStyle w:val="1004"/>
        <w:spacing w:line="240" w:lineRule="auto"/>
        <w:rPr>
          <w:highlight w:val="none"/>
        </w:rPr>
      </w:pPr>
      <w:r>
        <w:rPr>
          <w:rFonts w:ascii="Arial" w:hAnsi="Arial" w:eastAsia="宋体" w:cs="Arial"/>
          <w:sz w:val="21"/>
          <w:szCs w:val="21"/>
          <w:highlight w:val="none"/>
        </w:rPr>
        <w:br w:type="page" w:clear="all"/>
      </w:r>
      <w:bookmarkStart w:id="632" w:name="_Toc9391"/>
      <w:r>
        <w:rPr>
          <w:rFonts w:hint="eastAsia"/>
          <w:highlight w:val="none"/>
        </w:rPr>
        <w:t xml:space="preserve">第六章</w:t>
      </w:r>
      <w:r>
        <w:rPr>
          <w:rFonts w:hint="eastAsia"/>
          <w:highlight w:val="none"/>
        </w:rPr>
        <w:t xml:space="preserve"> </w:t>
      </w:r>
      <w:r>
        <w:rPr>
          <w:rFonts w:hint="eastAsia"/>
          <w:highlight w:val="none"/>
          <w:lang w:val="en-US"/>
        </w:rPr>
        <w:t xml:space="preserve"> </w:t>
      </w:r>
      <w:r>
        <w:rPr>
          <w:rFonts w:hint="eastAsia"/>
          <w:highlight w:val="none"/>
        </w:rPr>
        <w:t xml:space="preserve">磋商响应文件格式</w:t>
      </w:r>
      <w:bookmarkEnd w:id="81"/>
      <w:r>
        <w:rPr>
          <w:highlight w:val="none"/>
        </w:rPr>
      </w:r>
      <w:bookmarkEnd w:id="82"/>
      <w:r>
        <w:rPr>
          <w:highlight w:val="none"/>
        </w:rPr>
      </w:r>
      <w:bookmarkEnd w:id="83"/>
      <w:r>
        <w:rPr>
          <w:highlight w:val="none"/>
        </w:rPr>
      </w:r>
      <w:bookmarkEnd w:id="632"/>
      <w:r>
        <w:rPr>
          <w:highlight w:val="none"/>
        </w:rPr>
      </w:r>
      <w:r/>
    </w:p>
    <w:p>
      <w:pPr>
        <w:rPr>
          <w:rFonts w:ascii="宋体"/>
          <w:b/>
          <w:szCs w:val="21"/>
          <w:highlight w:val="none"/>
        </w:rPr>
      </w:pPr>
      <w:r>
        <w:rPr>
          <w:rFonts w:ascii="宋体"/>
          <w:b/>
          <w:szCs w:val="21"/>
          <w:highlight w:val="none"/>
          <w:lang w:val="zh-CN"/>
        </w:rPr>
      </w:r>
      <w:r>
        <w:rPr>
          <w:highlight w:val="none"/>
        </w:rPr>
      </w:r>
      <w:r/>
    </w:p>
    <w:p>
      <w:pPr>
        <w:rPr>
          <w:rFonts w:ascii="宋体"/>
          <w:b/>
          <w:szCs w:val="21"/>
          <w:highlight w:val="none"/>
        </w:rPr>
        <w:outlineLvl w:val="1"/>
      </w:pPr>
      <w:r>
        <w:rPr>
          <w:highlight w:val="none"/>
        </w:rPr>
      </w:r>
      <w:bookmarkStart w:id="633" w:name="_Toc15809"/>
      <w:r>
        <w:rPr>
          <w:rFonts w:hint="eastAsia" w:ascii="宋体"/>
          <w:b/>
          <w:szCs w:val="21"/>
          <w:highlight w:val="none"/>
          <w:lang w:val="zh-CN"/>
        </w:rPr>
        <w:t xml:space="preserve">附件一、磋商申请及声明</w:t>
      </w:r>
      <w:bookmarkEnd w:id="633"/>
      <w:r>
        <w:rPr>
          <w:highlight w:val="none"/>
        </w:rPr>
      </w:r>
      <w:r/>
    </w:p>
    <w:p>
      <w:pPr>
        <w:jc w:val="center"/>
        <w:rPr>
          <w:rFonts w:ascii="黑体" w:eastAsia="黑体"/>
          <w:sz w:val="36"/>
          <w:szCs w:val="36"/>
          <w:highlight w:val="none"/>
        </w:rPr>
      </w:pPr>
      <w:r>
        <w:rPr>
          <w:highlight w:val="none"/>
        </w:rPr>
      </w:r>
      <w:bookmarkStart w:id="634" w:name="_Toc503948079"/>
      <w:r>
        <w:rPr>
          <w:highlight w:val="none"/>
        </w:rPr>
      </w:r>
      <w:bookmarkStart w:id="635" w:name="_Toc503948586"/>
      <w:r>
        <w:rPr>
          <w:rFonts w:hint="eastAsia" w:ascii="黑体" w:eastAsia="黑体"/>
          <w:sz w:val="36"/>
          <w:szCs w:val="36"/>
          <w:highlight w:val="none"/>
        </w:rPr>
        <w:t xml:space="preserve">磋商申请及声明</w:t>
      </w:r>
      <w:bookmarkEnd w:id="634"/>
      <w:r>
        <w:rPr>
          <w:highlight w:val="none"/>
        </w:rPr>
      </w:r>
      <w:bookmarkEnd w:id="635"/>
      <w:r>
        <w:rPr>
          <w:highlight w:val="none"/>
        </w:rPr>
      </w:r>
      <w:r/>
    </w:p>
    <w:p>
      <w:pPr>
        <w:spacing w:line="360" w:lineRule="auto"/>
        <w:rPr>
          <w:highlight w:val="none"/>
        </w:rPr>
      </w:pPr>
      <w:r>
        <w:rPr>
          <w:highlight w:val="none"/>
        </w:rPr>
      </w:r>
      <w:bookmarkStart w:id="636" w:name="_Toc503948587"/>
      <w:r>
        <w:rPr>
          <w:highlight w:val="none"/>
        </w:rPr>
      </w:r>
      <w:bookmarkStart w:id="637" w:name="_Toc503948080"/>
      <w:r>
        <w:rPr>
          <w:highlight w:val="none"/>
        </w:rPr>
      </w:r>
      <w:r/>
    </w:p>
    <w:p>
      <w:pPr>
        <w:spacing w:line="360" w:lineRule="auto"/>
        <w:rPr>
          <w:highlight w:val="none"/>
        </w:rPr>
      </w:pPr>
      <w:r>
        <w:rPr>
          <w:rFonts w:hint="eastAsia"/>
          <w:highlight w:val="none"/>
        </w:rPr>
        <w:t xml:space="preserve">致：</w:t>
      </w:r>
      <w:bookmarkEnd w:id="636"/>
      <w:r>
        <w:rPr>
          <w:highlight w:val="none"/>
        </w:rPr>
      </w:r>
      <w:bookmarkEnd w:id="637"/>
      <w:r>
        <w:rPr>
          <w:rFonts w:hint="eastAsia"/>
          <w:highlight w:val="none"/>
        </w:rPr>
        <w:t xml:space="preserve">南京市六合区人民政府马鞍街道办事处</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据此函，签字人兹宣布声明和承诺如下：</w:t>
      </w:r>
      <w:r>
        <w:rPr>
          <w:highlight w:val="none"/>
        </w:rPr>
      </w:r>
      <w:r/>
    </w:p>
    <w:p>
      <w:pPr>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ind w:firstLine="420"/>
        <w:spacing w:line="360" w:lineRule="auto"/>
        <w:rPr>
          <w:rFonts w:ascii="宋体"/>
          <w:b/>
          <w:szCs w:val="21"/>
          <w:highlight w:val="none"/>
          <w:u w:val="single"/>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要求，我们的磋商</w:t>
      </w:r>
      <w:r>
        <w:rPr>
          <w:rFonts w:hint="eastAsia" w:ascii="宋体" w:hAnsi="宋体"/>
          <w:szCs w:val="21"/>
          <w:highlight w:val="none"/>
        </w:rPr>
        <w:t xml:space="preserve">报价总价为：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hAnsi="宋体"/>
          <w:szCs w:val="21"/>
          <w:highlight w:val="none"/>
        </w:rPr>
        <w:t xml:space="preserve">（大写）人民币；工期：</w:t>
      </w:r>
      <w:r>
        <w:rPr>
          <w:rFonts w:ascii="宋体" w:hAnsi="宋体"/>
          <w:szCs w:val="21"/>
          <w:highlight w:val="none"/>
          <w:u w:val="single"/>
        </w:rPr>
        <w:t xml:space="preserve">120</w:t>
      </w:r>
      <w:r>
        <w:rPr>
          <w:rFonts w:ascii="宋体" w:hAnsi="宋体"/>
          <w:szCs w:val="21"/>
          <w:highlight w:val="none"/>
          <w:u w:val="single"/>
        </w:rPr>
        <w:t xml:space="preserve">日历</w:t>
      </w:r>
      <w:r>
        <w:rPr>
          <w:rFonts w:hint="eastAsia" w:ascii="宋体" w:hAnsi="宋体"/>
          <w:szCs w:val="21"/>
          <w:highlight w:val="none"/>
          <w:u w:val="single"/>
        </w:rPr>
        <w:t xml:space="preserve">天</w:t>
      </w:r>
      <w:r>
        <w:rPr>
          <w:rFonts w:hint="eastAsia" w:ascii="宋体" w:hAnsi="宋体"/>
          <w:szCs w:val="21"/>
          <w:highlight w:val="none"/>
        </w:rPr>
        <w:t xml:space="preserve">；拟派的项目负责人为：</w:t>
      </w:r>
      <w:r>
        <w:rPr>
          <w:rFonts w:hint="eastAsia" w:ascii="宋体" w:hAnsi="宋体"/>
          <w:szCs w:val="21"/>
          <w:highlight w:val="none"/>
          <w:u w:val="single"/>
        </w:rPr>
        <w:t xml:space="preserve">       </w:t>
      </w:r>
      <w:r>
        <w:rPr>
          <w:rFonts w:hint="eastAsia" w:ascii="宋体" w:hAnsi="宋体"/>
          <w:szCs w:val="21"/>
          <w:highlight w:val="none"/>
        </w:rPr>
        <w:t xml:space="preserve">。</w:t>
      </w:r>
      <w:r>
        <w:rPr>
          <w:highlight w:val="none"/>
        </w:rPr>
      </w:r>
      <w:r/>
    </w:p>
    <w:p>
      <w:pPr>
        <w:ind w:firstLine="420"/>
        <w:spacing w:line="360" w:lineRule="auto"/>
        <w:rPr>
          <w:rFonts w:ascii="宋体"/>
          <w:szCs w:val="21"/>
          <w:highlight w:val="none"/>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highlight w:val="none"/>
        </w:rPr>
      </w:r>
      <w:r/>
    </w:p>
    <w:p>
      <w:pPr>
        <w:ind w:firstLine="420"/>
        <w:spacing w:line="360" w:lineRule="auto"/>
        <w:rPr>
          <w:rFonts w:ascii="宋体"/>
          <w:szCs w:val="21"/>
          <w:highlight w:val="none"/>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highlight w:val="none"/>
        </w:rPr>
      </w:r>
      <w:r/>
    </w:p>
    <w:p>
      <w:pPr>
        <w:ind w:firstLine="420"/>
        <w:spacing w:line="360" w:lineRule="auto"/>
        <w:rPr>
          <w:rFonts w:ascii="宋体"/>
          <w:szCs w:val="21"/>
          <w:highlight w:val="none"/>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rPr>
        <w:t xml:space="preserve">工程</w:t>
      </w:r>
      <w:r>
        <w:rPr>
          <w:rFonts w:hint="eastAsia" w:ascii="宋体"/>
          <w:szCs w:val="21"/>
          <w:highlight w:val="none"/>
          <w:lang w:val="zh-CN"/>
        </w:rPr>
        <w:t xml:space="preserve">，交付采购人验收、使用。</w:t>
      </w:r>
      <w:r>
        <w:rPr>
          <w:highlight w:val="none"/>
        </w:rPr>
      </w:r>
      <w:r/>
    </w:p>
    <w:p>
      <w:pPr>
        <w:ind w:firstLine="420"/>
        <w:spacing w:line="360" w:lineRule="auto"/>
        <w:rPr>
          <w:rFonts w:ascii="宋体"/>
          <w:szCs w:val="21"/>
          <w:highlight w:val="none"/>
        </w:rPr>
      </w:pPr>
      <w:r>
        <w:rPr>
          <w:rFonts w:hint="eastAsia" w:ascii="宋体"/>
          <w:szCs w:val="21"/>
          <w:highlight w:val="none"/>
        </w:rPr>
        <w:t xml:space="preserve">6.</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highlight w:val="none"/>
        </w:rPr>
      </w:r>
      <w:r/>
    </w:p>
    <w:p>
      <w:pPr>
        <w:ind w:firstLine="420"/>
        <w:spacing w:line="360" w:lineRule="auto"/>
        <w:rPr>
          <w:rFonts w:ascii="宋体"/>
          <w:szCs w:val="21"/>
          <w:highlight w:val="none"/>
        </w:rPr>
      </w:pPr>
      <w:r>
        <w:rPr>
          <w:rFonts w:hint="eastAsia" w:ascii="宋体"/>
          <w:szCs w:val="21"/>
          <w:highlight w:val="none"/>
        </w:rPr>
        <w:t xml:space="preserve">7.</w:t>
      </w:r>
      <w:r>
        <w:rPr>
          <w:rFonts w:hint="eastAsia" w:ascii="宋体"/>
          <w:szCs w:val="21"/>
          <w:highlight w:val="none"/>
          <w:lang w:val="zh-CN"/>
        </w:rPr>
        <w:t xml:space="preserve">与本磋商有关的正式联系方式为：</w:t>
      </w:r>
      <w:r>
        <w:rPr>
          <w:highlight w:val="none"/>
        </w:rPr>
      </w:r>
      <w:r/>
    </w:p>
    <w:p>
      <w:pPr>
        <w:ind w:firstLine="420"/>
        <w:spacing w:line="360" w:lineRule="auto"/>
        <w:rPr>
          <w:rFonts w:ascii="宋体"/>
          <w:szCs w:val="21"/>
          <w:highlight w:val="none"/>
          <w:u w:val="single"/>
        </w:rPr>
      </w:pPr>
      <w:r>
        <w:rPr>
          <w:rFonts w:hint="eastAsia" w:ascii="宋体"/>
          <w:szCs w:val="21"/>
          <w:highlight w:val="none"/>
          <w:lang w:val="zh-CN"/>
        </w:rPr>
        <w:t xml:space="preserve">地址：                                          电话：</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传真：                                          开户银行：</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银行账号：</w:t>
      </w:r>
      <w:r>
        <w:rPr>
          <w:highlight w:val="none"/>
        </w:rPr>
      </w:r>
      <w:r/>
    </w:p>
    <w:p>
      <w:pPr>
        <w:ind w:firstLine="420"/>
        <w:spacing w:line="360" w:lineRule="auto"/>
        <w:rPr>
          <w:rFonts w:ascii="宋体"/>
          <w:szCs w:val="21"/>
          <w:highlight w:val="none"/>
          <w:u w:val="single"/>
        </w:rPr>
      </w:pPr>
      <w:r>
        <w:rPr>
          <w:rFonts w:hint="eastAsia" w:ascii="宋体"/>
          <w:szCs w:val="21"/>
          <w:highlight w:val="none"/>
          <w:lang w:val="zh-CN"/>
        </w:rPr>
        <w:t xml:space="preserve">磋商供应商授权委托人姓名（签字）：</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日期：   年   月   日</w:t>
      </w:r>
      <w:r>
        <w:rPr>
          <w:highlight w:val="none"/>
        </w:rPr>
      </w:r>
      <w:r/>
    </w:p>
    <w:p>
      <w:pPr>
        <w:ind w:firstLine="420"/>
        <w:rPr>
          <w:rFonts w:ascii="宋体" w:hAnsi="宋体"/>
          <w:b/>
          <w:szCs w:val="21"/>
          <w:highlight w:val="none"/>
        </w:rPr>
      </w:pPr>
      <w:r>
        <w:rPr>
          <w:rFonts w:ascii="宋体" w:hAnsi="宋体"/>
          <w:b/>
          <w:szCs w:val="21"/>
          <w:highlight w:val="none"/>
        </w:rPr>
      </w:r>
      <w:r>
        <w:rPr>
          <w:highlight w:val="none"/>
        </w:rPr>
      </w:r>
      <w:r/>
    </w:p>
    <w:p>
      <w:pPr>
        <w:ind w:firstLine="420"/>
        <w:rPr>
          <w:rFonts w:ascii="宋体" w:hAnsi="宋体"/>
          <w:b/>
          <w:szCs w:val="21"/>
          <w:highlight w:val="none"/>
        </w:rPr>
      </w:pPr>
      <w:r>
        <w:rPr>
          <w:rFonts w:ascii="宋体" w:hAnsi="宋体"/>
          <w:b/>
          <w:szCs w:val="21"/>
          <w:highlight w:val="none"/>
        </w:rPr>
      </w:r>
      <w:r>
        <w:rPr>
          <w:highlight w:val="none"/>
        </w:rPr>
      </w:r>
      <w:r/>
    </w:p>
    <w:p>
      <w:pPr>
        <w:pStyle w:val="893"/>
        <w:rPr>
          <w:highlight w:val="none"/>
        </w:rPr>
      </w:pPr>
      <w:r>
        <w:rPr>
          <w:highlight w:val="none"/>
        </w:rPr>
      </w:r>
      <w:r>
        <w:rPr>
          <w:highlight w:val="none"/>
        </w:rPr>
      </w:r>
      <w:r/>
    </w:p>
    <w:p>
      <w:pPr>
        <w:jc w:val="left"/>
        <w:rPr>
          <w:rFonts w:ascii="宋体" w:hAnsi="宋体"/>
          <w:b/>
          <w:szCs w:val="21"/>
          <w:highlight w:val="none"/>
        </w:rPr>
        <w:outlineLvl w:val="1"/>
      </w:pPr>
      <w:r>
        <w:rPr>
          <w:rFonts w:hint="eastAsia" w:ascii="宋体" w:hAnsi="宋体"/>
          <w:b/>
          <w:szCs w:val="21"/>
          <w:highlight w:val="none"/>
        </w:rPr>
        <w:br w:type="page" w:clear="all"/>
      </w:r>
      <w:bookmarkStart w:id="638" w:name="_Toc23370"/>
      <w:r>
        <w:rPr>
          <w:rFonts w:hint="eastAsia" w:ascii="宋体" w:hAnsi="宋体"/>
          <w:b/>
          <w:szCs w:val="21"/>
          <w:highlight w:val="none"/>
        </w:rPr>
        <w:t xml:space="preserve">附件二、法定代表人授权委托书</w:t>
      </w:r>
      <w:bookmarkEnd w:id="638"/>
      <w:r>
        <w:rPr>
          <w:highlight w:val="none"/>
        </w:rPr>
      </w:r>
      <w:r/>
    </w:p>
    <w:p>
      <w:pPr>
        <w:jc w:val="center"/>
        <w:rPr>
          <w:rFonts w:ascii="黑体" w:eastAsia="黑体"/>
          <w:sz w:val="36"/>
          <w:szCs w:val="36"/>
          <w:highlight w:val="none"/>
        </w:rPr>
      </w:pPr>
      <w:r>
        <w:rPr>
          <w:highlight w:val="none"/>
        </w:rPr>
      </w:r>
      <w:bookmarkStart w:id="639" w:name="_Toc503948588"/>
      <w:r>
        <w:rPr>
          <w:highlight w:val="none"/>
        </w:rPr>
      </w:r>
      <w:bookmarkStart w:id="640" w:name="_Toc503948081"/>
      <w:r>
        <w:rPr>
          <w:highlight w:val="none"/>
        </w:rPr>
      </w:r>
      <w:r/>
    </w:p>
    <w:p>
      <w:pPr>
        <w:jc w:val="center"/>
        <w:rPr>
          <w:rFonts w:ascii="黑体" w:eastAsia="黑体"/>
          <w:sz w:val="36"/>
          <w:szCs w:val="36"/>
          <w:highlight w:val="none"/>
        </w:rPr>
      </w:pPr>
      <w:r>
        <w:rPr>
          <w:rFonts w:hint="eastAsia" w:ascii="黑体" w:eastAsia="黑体"/>
          <w:sz w:val="36"/>
          <w:szCs w:val="36"/>
          <w:highlight w:val="none"/>
        </w:rPr>
        <w:t xml:space="preserve">法定代表人授权委托书</w:t>
      </w:r>
      <w:bookmarkEnd w:id="639"/>
      <w:r>
        <w:rPr>
          <w:highlight w:val="none"/>
        </w:rPr>
      </w:r>
      <w:bookmarkEnd w:id="640"/>
      <w:r>
        <w:rPr>
          <w:highlight w:val="none"/>
        </w:rPr>
      </w:r>
      <w:r/>
    </w:p>
    <w:p>
      <w:pPr>
        <w:jc w:val="left"/>
        <w:spacing w:line="360" w:lineRule="auto"/>
        <w:widowControl/>
        <w:rPr>
          <w:rFonts w:ascii="宋体"/>
          <w:szCs w:val="21"/>
          <w:highlight w:val="none"/>
        </w:rPr>
      </w:pPr>
      <w:r>
        <w:rPr>
          <w:rFonts w:ascii="宋体"/>
          <w:szCs w:val="21"/>
          <w:highlight w:val="none"/>
          <w:lang w:val="zh-CN"/>
        </w:rPr>
      </w:r>
      <w:r>
        <w:rPr>
          <w:highlight w:val="none"/>
        </w:rPr>
      </w:r>
      <w:r/>
    </w:p>
    <w:p>
      <w:pPr>
        <w:jc w:val="left"/>
        <w:spacing w:line="360" w:lineRule="auto"/>
        <w:widowControl/>
        <w:rPr>
          <w:rFonts w:ascii="宋体" w:cs="宋体"/>
          <w:szCs w:val="21"/>
          <w:highlight w:val="none"/>
        </w:rPr>
      </w:pPr>
      <w:r>
        <w:rPr>
          <w:rFonts w:hint="eastAsia" w:ascii="宋体"/>
          <w:szCs w:val="21"/>
          <w:highlight w:val="none"/>
          <w:lang w:val="zh-CN"/>
        </w:rPr>
        <w:t xml:space="preserve">南京市六合区人民政府马鞍街道办事处</w:t>
      </w:r>
      <w:r>
        <w:rPr>
          <w:rFonts w:hint="eastAsia"/>
          <w:highlight w:val="none"/>
        </w:rPr>
        <w:t xml:space="preserve">：</w:t>
      </w:r>
      <w:r>
        <w:rPr>
          <w:highlight w:val="none"/>
        </w:rPr>
      </w:r>
      <w:r/>
    </w:p>
    <w:p>
      <w:pPr>
        <w:ind w:firstLine="420"/>
        <w:jc w:val="left"/>
        <w:spacing w:line="360" w:lineRule="auto"/>
        <w:widowControl/>
        <w:rPr>
          <w:rFonts w:ascii="宋体" w:cs="宋体"/>
          <w:szCs w:val="21"/>
          <w:highlight w:val="none"/>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highlight w:val="none"/>
        </w:rPr>
      </w:r>
      <w:r/>
    </w:p>
    <w:p>
      <w:pPr>
        <w:ind w:firstLine="420"/>
        <w:jc w:val="left"/>
        <w:spacing w:line="360" w:lineRule="auto"/>
        <w:widowControl/>
        <w:rPr>
          <w:rFonts w:ascii="宋体" w:cs="宋体"/>
          <w:szCs w:val="21"/>
          <w:highlight w:val="none"/>
        </w:rPr>
      </w:pPr>
      <w:r>
        <w:rPr>
          <w:rFonts w:hint="eastAsia" w:ascii="宋体" w:cs="宋体"/>
          <w:szCs w:val="21"/>
          <w:highlight w:val="none"/>
          <w:lang w:val="zh-CN"/>
        </w:rPr>
        <w:t xml:space="preserve">本授权书于    年  月  日签字生效，特此声明。</w:t>
      </w:r>
      <w:r>
        <w:rPr>
          <w:highlight w:val="none"/>
        </w:rPr>
      </w:r>
      <w:r/>
    </w:p>
    <w:p>
      <w:pPr>
        <w:jc w:val="left"/>
        <w:spacing w:line="360" w:lineRule="auto"/>
        <w:widowControl/>
        <w:rPr>
          <w:highlight w:val="none"/>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（附件：法定代表人身份证复印件、授权委托人身份证复印件、授权委托人社保材料）</w:t>
      </w:r>
      <w:r>
        <w:rPr>
          <w:highlight w:val="none"/>
        </w:rPr>
      </w:r>
      <w:r/>
    </w:p>
    <w:p>
      <w:pPr>
        <w:jc w:val="left"/>
        <w:spacing w:line="360" w:lineRule="auto"/>
        <w:widowControl/>
        <w:rPr>
          <w:rFonts w:ascii="宋体" w:cs="宋体"/>
          <w:szCs w:val="21"/>
          <w:highlight w:val="none"/>
        </w:rPr>
      </w:pPr>
      <w:r>
        <w:rPr>
          <w:rFonts w:hint="eastAsia" w:ascii="宋体" w:cs="宋体"/>
          <w:szCs w:val="21"/>
          <w:highlight w:val="none"/>
          <w:lang w:val="zh-CN"/>
        </w:rPr>
        <w:t xml:space="preserve">    法定代表人签字或盖章：</w:t>
      </w:r>
      <w:r>
        <w:rPr>
          <w:highlight w:val="none"/>
        </w:rPr>
      </w:r>
      <w:r/>
    </w:p>
    <w:p>
      <w:pPr>
        <w:jc w:val="left"/>
        <w:spacing w:line="360" w:lineRule="auto"/>
        <w:widowControl/>
        <w:rPr>
          <w:rFonts w:ascii="宋体" w:cs="宋体"/>
          <w:szCs w:val="21"/>
          <w:highlight w:val="none"/>
        </w:rPr>
      </w:pPr>
      <w:r>
        <w:rPr>
          <w:rFonts w:hint="eastAsia" w:ascii="宋体" w:cs="宋体"/>
          <w:szCs w:val="21"/>
          <w:highlight w:val="none"/>
          <w:lang w:val="zh-CN"/>
        </w:rPr>
        <w:t xml:space="preserve">    授权委托人签字或盖章：                    </w:t>
      </w:r>
      <w:r>
        <w:rPr>
          <w:highlight w:val="none"/>
        </w:rPr>
      </w:r>
      <w:r/>
    </w:p>
    <w:p>
      <w:pPr>
        <w:ind w:firstLine="420"/>
        <w:jc w:val="left"/>
        <w:spacing w:line="360" w:lineRule="auto"/>
        <w:widowControl/>
        <w:tabs>
          <w:tab w:val="left" w:pos="1440" w:leader="none"/>
        </w:tabs>
        <w:rPr>
          <w:rFonts w:ascii="宋体" w:cs="宋体"/>
          <w:szCs w:val="21"/>
          <w:highlight w:val="none"/>
        </w:rPr>
      </w:pPr>
      <w:r>
        <w:rPr>
          <w:rFonts w:hint="eastAsia" w:ascii="宋体" w:cs="宋体"/>
          <w:szCs w:val="21"/>
          <w:highlight w:val="none"/>
          <w:lang w:val="zh-CN"/>
        </w:rPr>
        <w:t xml:space="preserve">日        期：        年    月    日</w:t>
      </w:r>
      <w:r>
        <w:rPr>
          <w:highlight w:val="none"/>
        </w:rPr>
      </w:r>
      <w:r/>
    </w:p>
    <w:p>
      <w:pPr>
        <w:jc w:val="left"/>
        <w:spacing w:line="360" w:lineRule="auto"/>
        <w:widowControl/>
        <w:rPr>
          <w:rFonts w:ascii="宋体" w:cs="宋体"/>
          <w:b/>
          <w:szCs w:val="21"/>
          <w:highlight w:val="none"/>
        </w:rPr>
      </w:pPr>
      <w:r>
        <w:rPr>
          <w:rFonts w:ascii="宋体" w:cs="宋体"/>
          <w:b/>
          <w:szCs w:val="21"/>
          <w:highlight w:val="none"/>
          <w:lang w:val="zh-CN"/>
        </w:rPr>
      </w:r>
      <w:r>
        <w:rPr>
          <w:highlight w:val="none"/>
        </w:rPr>
      </w:r>
      <w:r/>
    </w:p>
    <w:p>
      <w:pPr>
        <w:jc w:val="left"/>
        <w:spacing w:line="360" w:lineRule="auto"/>
        <w:widowControl/>
        <w:rPr>
          <w:rFonts w:ascii="宋体" w:hAnsi="宋体" w:cs="宋体"/>
          <w:b/>
          <w:szCs w:val="21"/>
          <w:highlight w:val="none"/>
        </w:rPr>
        <w:outlineLvl w:val="1"/>
      </w:pPr>
      <w:r>
        <w:rPr>
          <w:rFonts w:hint="eastAsia" w:ascii="宋体" w:cs="宋体"/>
          <w:b/>
          <w:szCs w:val="21"/>
          <w:highlight w:val="none"/>
          <w:lang w:val="zh-CN"/>
        </w:rPr>
        <w:br w:type="page" w:clear="all"/>
      </w:r>
      <w:bookmarkStart w:id="641"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641"/>
      <w:r>
        <w:rPr>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报价表（第</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 xml:space="preserve">轮）</w:t>
      </w:r>
      <w:r>
        <w:rPr>
          <w:highlight w:val="none"/>
        </w:rPr>
      </w:r>
      <w:r/>
    </w:p>
    <w:p>
      <w:pPr>
        <w:ind w:firstLine="210"/>
        <w:spacing w:line="360" w:lineRule="auto"/>
        <w:rPr>
          <w:rFonts w:ascii="宋体" w:hAnsi="宋体"/>
          <w:bCs/>
          <w:szCs w:val="21"/>
          <w:highlight w:val="none"/>
        </w:rPr>
      </w:pPr>
      <w:r>
        <w:rPr>
          <w:rFonts w:hint="eastAsia" w:ascii="宋体" w:hAnsi="宋体" w:cs="宋体"/>
          <w:bCs/>
          <w:szCs w:val="21"/>
          <w:highlight w:val="none"/>
        </w:rPr>
        <w:t xml:space="preserve">项目编号：                                 货币单位：人民币元</w:t>
      </w:r>
      <w:r>
        <w:rPr>
          <w:highlight w:val="none"/>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项目名称</w:t>
            </w:r>
            <w:r>
              <w:rPr>
                <w:highlight w:val="none"/>
              </w:rPr>
            </w:r>
            <w:r/>
          </w:p>
        </w:tc>
        <w:tc>
          <w:tcPr>
            <w:tcW w:w="27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项目内容</w:t>
            </w:r>
            <w:r>
              <w:rPr>
                <w:highlight w:val="none"/>
              </w:rPr>
            </w:r>
            <w:r/>
          </w:p>
        </w:tc>
        <w:tc>
          <w:tcPr>
            <w:tcW w:w="4282"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总价（小写）</w:t>
            </w:r>
            <w:r>
              <w:rPr>
                <w:highlight w:val="none"/>
              </w:rPr>
            </w:r>
            <w:r/>
          </w:p>
        </w:tc>
      </w:tr>
      <w:tr>
        <w:trPr>
          <w:cantSplit/>
          <w:trHeight w:val="725"/>
        </w:trPr>
        <w:tc>
          <w:tcPr>
            <w:tcW w:w="2735" w:type="dxa"/>
            <w:vAlign w:val="center"/>
            <w:textDirection w:val="lrTb"/>
            <w:noWrap w:val="false"/>
          </w:tcPr>
          <w:p>
            <w:pPr>
              <w:jc w:val="left"/>
              <w:rPr>
                <w:rFonts w:ascii="宋体" w:hAnsi="宋体" w:cs="宋体"/>
                <w:bCs/>
                <w:szCs w:val="21"/>
                <w:highlight w:val="none"/>
              </w:rPr>
            </w:pPr>
            <w:r>
              <w:rPr>
                <w:rFonts w:ascii="宋体" w:hAnsi="宋体" w:cs="宋体"/>
                <w:bCs/>
                <w:szCs w:val="21"/>
                <w:highlight w:val="none"/>
                <w:lang w:eastAsia="en-US"/>
              </w:rPr>
            </w:r>
            <w:r>
              <w:rPr>
                <w:highlight w:val="none"/>
              </w:rPr>
            </w:r>
            <w:r/>
          </w:p>
        </w:tc>
        <w:tc>
          <w:tcPr>
            <w:tcW w:w="27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详见响应文件</w:t>
            </w:r>
            <w:r>
              <w:rPr>
                <w:highlight w:val="none"/>
              </w:rPr>
            </w:r>
            <w:r/>
          </w:p>
        </w:tc>
        <w:tc>
          <w:tcPr>
            <w:tcW w:w="4282" w:type="dxa"/>
            <w:vAlign w:val="center"/>
            <w:textDirection w:val="lrTb"/>
            <w:noWrap w:val="false"/>
          </w:tcPr>
          <w:p>
            <w:pPr>
              <w:jc w:val="left"/>
              <w:rPr>
                <w:rFonts w:ascii="宋体" w:hAnsi="宋体" w:cs="宋体"/>
                <w:bCs/>
                <w:szCs w:val="21"/>
                <w:highlight w:val="none"/>
              </w:rPr>
            </w:pPr>
            <w:r>
              <w:rPr>
                <w:rFonts w:ascii="宋体" w:hAnsi="宋体" w:cs="宋体"/>
                <w:bCs/>
                <w:szCs w:val="21"/>
                <w:highlight w:val="none"/>
                <w:lang w:eastAsia="en-US"/>
              </w:rPr>
            </w:r>
            <w:r>
              <w:rPr>
                <w:highlight w:val="none"/>
              </w:rPr>
            </w:r>
            <w:r/>
          </w:p>
        </w:tc>
      </w:tr>
      <w:tr>
        <w:trPr>
          <w:cantSplit/>
          <w:trHeight w:val="725"/>
        </w:trPr>
        <w:tc>
          <w:tcPr>
            <w:tcW w:w="27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总价（大写）：</w:t>
            </w:r>
            <w:r>
              <w:rPr>
                <w:highlight w:val="none"/>
              </w:rPr>
            </w:r>
            <w:r/>
          </w:p>
        </w:tc>
        <w:tc>
          <w:tcPr>
            <w:gridSpan w:val="2"/>
            <w:tcW w:w="7017" w:type="dxa"/>
            <w:vAlign w:val="center"/>
            <w:textDirection w:val="lrTb"/>
            <w:noWrap w:val="false"/>
          </w:tcPr>
          <w:p>
            <w:pPr>
              <w:jc w:val="left"/>
              <w:rPr>
                <w:rFonts w:ascii="宋体" w:hAnsi="宋体" w:cs="宋体"/>
                <w:bCs/>
                <w:szCs w:val="21"/>
                <w:highlight w:val="none"/>
              </w:rPr>
            </w:pPr>
            <w:r>
              <w:rPr>
                <w:rFonts w:ascii="宋体" w:hAnsi="宋体" w:cs="宋体"/>
                <w:bCs/>
                <w:szCs w:val="21"/>
                <w:highlight w:val="none"/>
                <w:lang w:eastAsia="en-US"/>
              </w:rPr>
            </w:r>
            <w:r>
              <w:rPr>
                <w:highlight w:val="none"/>
              </w:rPr>
            </w:r>
            <w:r/>
          </w:p>
        </w:tc>
      </w:tr>
    </w:tbl>
    <w:p>
      <w:pPr>
        <w:jc w:val="left"/>
        <w:spacing w:line="360" w:lineRule="auto"/>
        <w:widowControl/>
        <w:rPr>
          <w:rFonts w:ascii="宋体" w:hAnsi="宋体" w:cs="宋体"/>
          <w:szCs w:val="21"/>
          <w:highlight w:val="none"/>
        </w:rPr>
      </w:pPr>
      <w:r>
        <w:rPr>
          <w:rFonts w:ascii="宋体" w:hAnsi="宋体" w:cs="宋体"/>
          <w:szCs w:val="21"/>
          <w:highlight w:val="none"/>
          <w:lang w:val="zh-CN"/>
        </w:rPr>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报价说明：</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1、报价包括完成项目的所有费用。采购人不再支付报价以外的任何费用。</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2、报价以总价为准，大小写不一致以大写为准。</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3、偏离说明：详见《偏离表》。</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4、如最后报价未列明单价，则最后所报各项单价计算方法为：（最后报价/ 最初报价）* 各项最初报价的单价。</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lang w:val="zh-CN"/>
        </w:rPr>
      </w:r>
      <w:r>
        <w:rPr>
          <w:highlight w:val="none"/>
        </w:rPr>
      </w:r>
      <w:r/>
    </w:p>
    <w:p>
      <w:pPr>
        <w:widowControl/>
        <w:rPr>
          <w:rFonts w:ascii="宋体" w:hAnsi="宋体" w:cs="宋体"/>
          <w:b/>
          <w:szCs w:val="21"/>
          <w:highlight w:val="none"/>
        </w:rPr>
        <w:outlineLvl w:val="1"/>
      </w:pPr>
      <w:r>
        <w:rPr>
          <w:rFonts w:ascii="宋体" w:hAnsi="宋体" w:cs="宋体"/>
          <w:b/>
          <w:szCs w:val="21"/>
          <w:highlight w:val="none"/>
          <w:lang w:val="zh-CN"/>
        </w:rPr>
      </w:r>
      <w:r>
        <w:rPr>
          <w:highlight w:val="none"/>
        </w:rPr>
      </w:r>
      <w:r/>
    </w:p>
    <w:p>
      <w:pPr>
        <w:widowControl/>
        <w:rPr>
          <w:rFonts w:ascii="宋体" w:hAnsi="宋体" w:cs="宋体"/>
          <w:b/>
          <w:szCs w:val="21"/>
          <w:highlight w:val="none"/>
        </w:rPr>
        <w:outlineLvl w:val="1"/>
      </w:pPr>
      <w:r>
        <w:rPr>
          <w:rFonts w:ascii="宋体" w:hAnsi="宋体" w:cs="宋体"/>
          <w:b/>
          <w:szCs w:val="21"/>
          <w:highlight w:val="none"/>
          <w:lang w:val="zh-CN"/>
        </w:rPr>
      </w:r>
      <w:r>
        <w:rPr>
          <w:highlight w:val="none"/>
        </w:rPr>
      </w:r>
      <w:r/>
    </w:p>
    <w:p>
      <w:pPr>
        <w:widowControl/>
        <w:rPr>
          <w:rFonts w:ascii="宋体" w:hAnsi="宋体" w:cs="宋体"/>
          <w:b/>
          <w:szCs w:val="21"/>
          <w:highlight w:val="none"/>
        </w:rPr>
        <w:outlineLvl w:val="1"/>
      </w:pPr>
      <w:r>
        <w:rPr>
          <w:rFonts w:ascii="宋体" w:hAnsi="宋体" w:cs="宋体"/>
          <w:b/>
          <w:szCs w:val="21"/>
          <w:highlight w:val="none"/>
          <w:lang w:val="zh-CN"/>
        </w:rPr>
      </w:r>
      <w:r>
        <w:rPr>
          <w:highlight w:val="none"/>
        </w:rPr>
      </w:r>
      <w:r/>
    </w:p>
    <w:p>
      <w:pPr>
        <w:widowControl/>
        <w:rPr>
          <w:rFonts w:ascii="宋体" w:hAnsi="宋体" w:cs="宋体"/>
          <w:b/>
          <w:szCs w:val="21"/>
          <w:highlight w:val="none"/>
        </w:rPr>
        <w:outlineLvl w:val="1"/>
      </w:pPr>
      <w:r>
        <w:rPr>
          <w:highlight w:val="none"/>
        </w:rPr>
      </w:r>
      <w:bookmarkStart w:id="642" w:name="_Toc15405"/>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642"/>
      <w:r>
        <w:rPr>
          <w:highlight w:val="none"/>
        </w:rPr>
      </w:r>
      <w:r/>
    </w:p>
    <w:p>
      <w:pPr>
        <w:ind w:firstLine="405"/>
        <w:rPr>
          <w:rFonts w:ascii="宋体" w:hAnsi="宋体"/>
          <w:szCs w:val="21"/>
          <w:highlight w:val="none"/>
        </w:rPr>
      </w:pPr>
      <w:r>
        <w:rPr>
          <w:rFonts w:ascii="宋体" w:hAnsi="宋体"/>
          <w:szCs w:val="21"/>
          <w:highlight w:val="none"/>
        </w:rPr>
      </w:r>
      <w:r>
        <w:rPr>
          <w:highlight w:val="none"/>
        </w:rPr>
      </w:r>
      <w:r/>
    </w:p>
    <w:p>
      <w:pPr>
        <w:spacing w:line="360" w:lineRule="auto"/>
        <w:shd w:val="clear" w:color="auto" w:fill="ffffff"/>
        <w:widowControl/>
        <w:rPr>
          <w:rFonts w:ascii="宋体" w:hAnsi="宋体" w:cs="宋体"/>
          <w:highlight w:val="none"/>
        </w:rPr>
      </w:pPr>
      <w:r>
        <w:rPr>
          <w:rFonts w:hint="eastAsia" w:ascii="宋体" w:hAnsi="宋体" w:cs="宋体"/>
          <w:highlight w:val="none"/>
        </w:rPr>
        <w:t xml:space="preserve">（按第四章、二、工程量清单进行报价）</w:t>
      </w:r>
      <w:r>
        <w:rPr>
          <w:highlight w:val="none"/>
        </w:rPr>
      </w:r>
      <w:r/>
    </w:p>
    <w:p>
      <w:pPr>
        <w:rPr>
          <w:rFonts w:ascii="宋体" w:hAnsi="宋体"/>
          <w:b/>
          <w:bCs/>
          <w:szCs w:val="21"/>
          <w:highlight w:val="none"/>
        </w:rPr>
      </w:pPr>
      <w:r>
        <w:rPr>
          <w:rFonts w:ascii="宋体" w:hAnsi="宋体"/>
          <w:b/>
          <w:bCs/>
          <w:szCs w:val="21"/>
          <w:highlight w:val="none"/>
        </w:rPr>
      </w:r>
      <w:r>
        <w:rPr>
          <w:highlight w:val="none"/>
        </w:rPr>
      </w:r>
      <w:r/>
    </w:p>
    <w:p>
      <w:pPr>
        <w:jc w:val="left"/>
        <w:widowControl/>
        <w:rPr>
          <w:rFonts w:ascii="宋体" w:hAnsi="宋体" w:cs="宋体"/>
          <w:b/>
          <w:szCs w:val="21"/>
          <w:highlight w:val="none"/>
        </w:rPr>
      </w:pPr>
      <w:r>
        <w:rPr>
          <w:rFonts w:hint="eastAsia" w:ascii="宋体" w:hAnsi="宋体" w:cs="宋体"/>
          <w:b/>
          <w:szCs w:val="21"/>
          <w:highlight w:val="none"/>
          <w:lang w:val="zh-CN"/>
        </w:rPr>
        <w:t xml:space="preserve">说明：</w:t>
      </w:r>
      <w:r>
        <w:rPr>
          <w:highlight w:val="none"/>
        </w:rPr>
      </w:r>
      <w:r/>
    </w:p>
    <w:p>
      <w:pPr>
        <w:ind w:right="290"/>
        <w:spacing w:line="360" w:lineRule="auto"/>
        <w:rPr>
          <w:rFonts w:ascii="宋体" w:hAnsi="宋体"/>
          <w:b/>
          <w:szCs w:val="21"/>
          <w:highlight w:val="none"/>
          <w:u w:val="single"/>
        </w:rPr>
        <w:outlineLvl w:val="1"/>
      </w:pPr>
      <w:r>
        <w:rPr>
          <w:highlight w:val="none"/>
        </w:rPr>
      </w:r>
      <w:bookmarkStart w:id="643" w:name="_Toc7587"/>
      <w:r>
        <w:rPr>
          <w:highlight w:val="none"/>
        </w:rPr>
      </w:r>
      <w:bookmarkStart w:id="644" w:name="_Toc22013"/>
      <w:r>
        <w:rPr>
          <w:rFonts w:hint="eastAsia" w:ascii="宋体" w:hAnsi="宋体"/>
          <w:b/>
          <w:szCs w:val="21"/>
          <w:highlight w:val="none"/>
          <w:u w:val="single"/>
        </w:rPr>
        <w:t xml:space="preserve">1.不提供此表格的将视为没有实质性响应磋商文件。</w:t>
      </w:r>
      <w:bookmarkEnd w:id="643"/>
      <w:r>
        <w:rPr>
          <w:highlight w:val="none"/>
        </w:rPr>
      </w:r>
      <w:bookmarkEnd w:id="644"/>
      <w:r>
        <w:rPr>
          <w:highlight w:val="none"/>
        </w:rPr>
      </w:r>
      <w:r/>
    </w:p>
    <w:p>
      <w:pPr>
        <w:ind w:firstLine="5060"/>
        <w:widowControl/>
        <w:rPr>
          <w:rFonts w:ascii="宋体" w:hAnsi="宋体" w:cs="宋体"/>
          <w:b/>
          <w:szCs w:val="21"/>
          <w:highlight w:val="none"/>
        </w:rPr>
      </w:pPr>
      <w:r>
        <w:rPr>
          <w:rFonts w:ascii="宋体" w:hAnsi="宋体" w:cs="宋体"/>
          <w:b/>
          <w:szCs w:val="21"/>
          <w:highlight w:val="none"/>
          <w:lang w:val="zh-CN"/>
        </w:rPr>
      </w:r>
      <w:r>
        <w:rPr>
          <w:highlight w:val="none"/>
        </w:rPr>
      </w:r>
      <w:r/>
    </w:p>
    <w:p>
      <w:pPr>
        <w:ind w:right="290"/>
        <w:spacing w:line="360" w:lineRule="auto"/>
        <w:rPr>
          <w:rFonts w:ascii="宋体" w:hAnsi="宋体"/>
          <w:sz w:val="24"/>
          <w:highlight w:val="none"/>
        </w:rPr>
        <w:outlineLvl w:val="1"/>
      </w:pPr>
      <w:r>
        <w:rPr>
          <w:rFonts w:hint="eastAsia" w:ascii="宋体" w:hAnsi="宋体" w:cs="宋体"/>
          <w:b/>
          <w:bCs/>
          <w:szCs w:val="21"/>
          <w:highlight w:val="none"/>
          <w:lang w:val="zh-CN"/>
        </w:rPr>
        <w:br w:type="page" w:clear="all"/>
      </w:r>
      <w:bookmarkStart w:id="645" w:name="_Toc30128"/>
      <w:r>
        <w:rPr>
          <w:rFonts w:hint="eastAsia" w:ascii="宋体" w:hAnsi="宋体" w:cs="宋体"/>
          <w:b/>
          <w:szCs w:val="21"/>
          <w:highlight w:val="none"/>
          <w:lang w:val="zh-CN"/>
        </w:rPr>
        <w:t xml:space="preserve">附件五、商务条款响应表</w:t>
      </w:r>
      <w:bookmarkEnd w:id="645"/>
      <w:r>
        <w:rPr>
          <w:highlight w:val="none"/>
        </w:rPr>
      </w:r>
      <w:r/>
    </w:p>
    <w:p>
      <w:pPr>
        <w:ind w:left="223"/>
        <w:jc w:val="left"/>
        <w:rPr>
          <w:rFonts w:ascii="宋体" w:hAnsi="宋体"/>
          <w:sz w:val="24"/>
          <w:highlight w:val="none"/>
        </w:rPr>
      </w:pPr>
      <w:r>
        <w:rPr>
          <w:rFonts w:ascii="宋体" w:hAnsi="宋体"/>
          <w:sz w:val="24"/>
          <w:highlight w:val="none"/>
          <w:lang w:val="zh-CN"/>
        </w:rPr>
      </w:r>
      <w:r>
        <w:rPr>
          <w:highlight w:val="none"/>
        </w:rPr>
      </w:r>
      <w:r/>
    </w:p>
    <w:p>
      <w:pPr>
        <w:jc w:val="center"/>
        <w:rPr>
          <w:rFonts w:ascii="宋体" w:hAnsi="宋体" w:cs="宋体"/>
          <w:sz w:val="24"/>
          <w:highlight w:val="none"/>
        </w:rPr>
      </w:pPr>
      <w:r>
        <w:rPr>
          <w:rFonts w:hint="eastAsia" w:ascii="宋体" w:hAnsi="宋体"/>
          <w:b/>
          <w:sz w:val="32"/>
          <w:szCs w:val="32"/>
          <w:highlight w:val="none"/>
          <w:lang w:val="zh-CN"/>
        </w:rPr>
        <w:t xml:space="preserve">商务条款响应表</w:t>
      </w:r>
      <w:r>
        <w:rPr>
          <w:highlight w:val="none"/>
        </w:rPr>
      </w:r>
      <w:r/>
    </w:p>
    <w:p>
      <w:pPr>
        <w:ind w:left="223"/>
        <w:jc w:val="left"/>
        <w:rPr>
          <w:rFonts w:ascii="宋体" w:hAnsi="宋体" w:cs="宋体"/>
          <w:sz w:val="24"/>
          <w:highlight w:val="none"/>
        </w:rPr>
      </w:pPr>
      <w:r>
        <w:rPr>
          <w:rFonts w:ascii="宋体" w:hAnsi="宋体" w:cs="宋体"/>
          <w:sz w:val="24"/>
          <w:highlight w:val="none"/>
          <w:lang w:val="zh-CN" w:bidi="zh-CN"/>
        </w:rPr>
      </w:r>
      <w:r>
        <w:rPr>
          <w:highlight w:val="none"/>
        </w:rPr>
      </w:r>
      <w:r/>
    </w:p>
    <w:p>
      <w:pPr>
        <w:ind w:left="223"/>
        <w:jc w:val="left"/>
        <w:rPr>
          <w:rFonts w:ascii="宋体" w:hAnsi="宋体" w:cs="宋体"/>
          <w:szCs w:val="21"/>
          <w:highlight w:val="none"/>
        </w:rPr>
      </w:pPr>
      <w:r>
        <w:rPr>
          <w:rFonts w:hint="eastAsia" w:ascii="宋体" w:hAnsi="宋体" w:cs="宋体"/>
          <w:szCs w:val="21"/>
          <w:highlight w:val="none"/>
          <w:lang w:val="zh-CN" w:bidi="zh-CN"/>
        </w:rPr>
        <w:t xml:space="preserve">项目编号：</w:t>
      </w:r>
      <w:r>
        <w:rPr>
          <w:highlight w:val="none"/>
        </w:rPr>
      </w:r>
      <w:r/>
    </w:p>
    <w:p>
      <w:pPr>
        <w:ind w:left="223"/>
        <w:spacing w:before="119"/>
        <w:rPr>
          <w:rFonts w:ascii="宋体" w:hAnsi="宋体" w:cs="宋体"/>
          <w:szCs w:val="21"/>
          <w:highlight w:val="none"/>
        </w:rPr>
      </w:pPr>
      <w:r>
        <w:rPr>
          <w:rFonts w:hint="eastAsia" w:ascii="宋体" w:hAnsi="宋体" w:cs="宋体"/>
          <w:szCs w:val="21"/>
          <w:highlight w:val="none"/>
          <w:lang w:val="zh-CN" w:bidi="zh-CN"/>
        </w:rPr>
        <w:t xml:space="preserve">项目名称：</w:t>
      </w:r>
      <w:r>
        <w:rPr>
          <w:highlight w:val="none"/>
        </w:rPr>
      </w:r>
      <w:r/>
    </w:p>
    <w:tbl>
      <w:tblPr>
        <w:tblW w:w="57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207"/>
        <w:gridCol w:w="3244"/>
        <w:gridCol w:w="2498"/>
        <w:gridCol w:w="2132"/>
        <w:gridCol w:w="1246"/>
      </w:tblGrid>
      <w:tr>
        <w:trPr>
          <w:jc w:val="center"/>
          <w:trHeight w:val="468"/>
        </w:trPr>
        <w:tc>
          <w:tcPr>
            <w:tcW w:w="584" w:type="dxa"/>
            <w:vAlign w:val="center"/>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序号</w:t>
            </w:r>
            <w:r>
              <w:rPr>
                <w:highlight w:val="none"/>
              </w:rPr>
            </w:r>
            <w:r/>
          </w:p>
        </w:tc>
        <w:tc>
          <w:tcPr>
            <w:tcW w:w="1570" w:type="dxa"/>
            <w:vAlign w:val="center"/>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招标文件的商务条款</w:t>
            </w:r>
            <w:r>
              <w:rPr>
                <w:highlight w:val="none"/>
              </w:rPr>
            </w:r>
            <w:r/>
          </w:p>
        </w:tc>
        <w:tc>
          <w:tcPr>
            <w:tcW w:w="1209" w:type="dxa"/>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实际响应</w:t>
            </w:r>
            <w:r>
              <w:rPr>
                <w:highlight w:val="none"/>
              </w:rPr>
            </w:r>
            <w:r/>
          </w:p>
        </w:tc>
        <w:tc>
          <w:tcPr>
            <w:tcW w:w="1032" w:type="dxa"/>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符合/正偏离/负偏离</w:t>
            </w:r>
            <w:r>
              <w:rPr>
                <w:highlight w:val="none"/>
              </w:rPr>
            </w:r>
            <w:r/>
          </w:p>
        </w:tc>
        <w:tc>
          <w:tcPr>
            <w:tcW w:w="603" w:type="dxa"/>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备注</w:t>
            </w:r>
            <w:r>
              <w:rPr>
                <w:highlight w:val="none"/>
              </w:rPr>
            </w:r>
            <w:r/>
          </w:p>
        </w:tc>
      </w:tr>
      <w:tr>
        <w:trPr>
          <w:jc w:val="center"/>
          <w:trHeight w:val="467"/>
        </w:trPr>
        <w:tc>
          <w:tcPr>
            <w:tcW w:w="584" w:type="dxa"/>
            <w:vAlign w:val="center"/>
            <w:textDirection w:val="lrTb"/>
            <w:noWrap w:val="false"/>
          </w:tcPr>
          <w:p>
            <w:pPr>
              <w:ind w:left="11"/>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570" w:type="dxa"/>
            <w:vAlign w:val="center"/>
            <w:textDirection w:val="lrTb"/>
            <w:noWrap w:val="false"/>
          </w:tcPr>
          <w:p>
            <w:pPr>
              <w:ind w:right="1190"/>
              <w:jc w:val="left"/>
              <w:rPr>
                <w:rFonts w:ascii="宋体" w:hAnsi="宋体" w:cs="宋体"/>
                <w:szCs w:val="21"/>
                <w:highlight w:val="none"/>
              </w:rPr>
            </w:pPr>
            <w:r>
              <w:rPr>
                <w:rFonts w:ascii="宋体" w:hAnsi="宋体" w:cs="宋体"/>
                <w:szCs w:val="21"/>
                <w:highlight w:val="none"/>
                <w:lang w:bidi="zh-CN"/>
              </w:rPr>
            </w:r>
            <w:r>
              <w:rPr>
                <w:highlight w:val="none"/>
              </w:rPr>
            </w:r>
            <w:r/>
          </w:p>
        </w:tc>
        <w:tc>
          <w:tcPr>
            <w:tcW w:w="1209" w:type="dxa"/>
            <w:textDirection w:val="lrTb"/>
            <w:noWrap w:val="false"/>
          </w:tcPr>
          <w:p>
            <w:pPr>
              <w:jc w:val="center"/>
              <w:spacing w:before="98"/>
              <w:rPr>
                <w:rFonts w:ascii="宋体" w:hAnsi="宋体" w:cs="宋体"/>
                <w:b/>
                <w:szCs w:val="21"/>
                <w:highlight w:val="none"/>
              </w:rPr>
            </w:pPr>
            <w:r>
              <w:rPr>
                <w:rFonts w:ascii="宋体" w:hAnsi="宋体" w:cs="宋体"/>
                <w:b/>
                <w:szCs w:val="21"/>
                <w:highlight w:val="none"/>
                <w:lang w:val="zh-CN" w:bidi="zh-CN"/>
              </w:rPr>
            </w:r>
            <w:r>
              <w:rPr>
                <w:highlight w:val="none"/>
              </w:rPr>
            </w:r>
            <w:r/>
          </w:p>
        </w:tc>
        <w:tc>
          <w:tcPr>
            <w:tcW w:w="1032" w:type="dxa"/>
            <w:textDirection w:val="lrTb"/>
            <w:noWrap w:val="false"/>
          </w:tcPr>
          <w:p>
            <w:pPr>
              <w:jc w:val="center"/>
              <w:spacing w:before="98"/>
              <w:rPr>
                <w:rFonts w:ascii="宋体" w:hAnsi="宋体" w:cs="宋体"/>
                <w:b/>
                <w:szCs w:val="21"/>
                <w:highlight w:val="none"/>
              </w:rPr>
            </w:pPr>
            <w:r>
              <w:rPr>
                <w:rFonts w:ascii="宋体" w:hAnsi="宋体" w:cs="宋体"/>
                <w:b/>
                <w:szCs w:val="21"/>
                <w:highlight w:val="none"/>
                <w:lang w:val="zh-CN" w:bidi="zh-CN"/>
              </w:rPr>
            </w:r>
            <w:r>
              <w:rPr>
                <w:highlight w:val="none"/>
              </w:rPr>
            </w:r>
            <w:r/>
          </w:p>
        </w:tc>
        <w:tc>
          <w:tcPr>
            <w:tcW w:w="603" w:type="dxa"/>
            <w:textDirection w:val="lrTb"/>
            <w:noWrap w:val="false"/>
          </w:tcPr>
          <w:p>
            <w:pPr>
              <w:jc w:val="center"/>
              <w:spacing w:before="98"/>
              <w:rPr>
                <w:rFonts w:ascii="宋体" w:hAnsi="宋体" w:cs="宋体"/>
                <w:b/>
                <w:szCs w:val="21"/>
                <w:highlight w:val="none"/>
              </w:rPr>
            </w:pPr>
            <w:r>
              <w:rPr>
                <w:rFonts w:ascii="宋体" w:hAnsi="宋体" w:cs="宋体"/>
                <w:b/>
                <w:szCs w:val="21"/>
                <w:highlight w:val="none"/>
                <w:lang w:val="zh-CN" w:bidi="zh-CN"/>
              </w:rPr>
            </w:r>
            <w:r>
              <w:rPr>
                <w:highlight w:val="none"/>
              </w:rPr>
            </w:r>
            <w:r/>
          </w:p>
        </w:tc>
      </w:tr>
      <w:tr>
        <w:trPr>
          <w:jc w:val="center"/>
          <w:trHeight w:val="467"/>
        </w:trPr>
        <w:tc>
          <w:tcPr>
            <w:tcW w:w="584" w:type="dxa"/>
            <w:vAlign w:val="center"/>
            <w:textDirection w:val="lrTb"/>
            <w:noWrap w:val="false"/>
          </w:tcPr>
          <w:p>
            <w:pPr>
              <w:ind w:left="11"/>
              <w:jc w:val="center"/>
              <w:spacing w:before="99"/>
              <w:rPr>
                <w:rFonts w:ascii="宋体" w:hAnsi="宋体" w:cs="宋体"/>
                <w:szCs w:val="21"/>
                <w:highlight w:val="none"/>
              </w:rPr>
            </w:pPr>
            <w:r>
              <w:rPr>
                <w:rFonts w:ascii="宋体" w:hAnsi="宋体" w:cs="宋体"/>
                <w:szCs w:val="21"/>
                <w:highlight w:val="none"/>
                <w:lang w:val="zh-CN" w:bidi="zh-CN"/>
              </w:rPr>
            </w:r>
            <w:r>
              <w:rPr>
                <w:highlight w:val="none"/>
              </w:rPr>
            </w:r>
            <w:r/>
          </w:p>
        </w:tc>
        <w:tc>
          <w:tcPr>
            <w:tcW w:w="1570" w:type="dxa"/>
            <w:vAlign w:val="center"/>
            <w:textDirection w:val="lrTb"/>
            <w:noWrap w:val="false"/>
          </w:tcPr>
          <w:p>
            <w:pPr>
              <w:jc w:val="left"/>
              <w:spacing w:before="99"/>
              <w:rPr>
                <w:rFonts w:ascii="宋体" w:hAnsi="宋体" w:cs="宋体"/>
                <w:szCs w:val="21"/>
                <w:highlight w:val="none"/>
              </w:rPr>
            </w:pPr>
            <w:r>
              <w:rPr>
                <w:rFonts w:ascii="宋体" w:hAnsi="宋体" w:cs="宋体"/>
                <w:szCs w:val="21"/>
                <w:highlight w:val="none"/>
                <w:lang w:val="zh-CN" w:bidi="zh-CN"/>
              </w:rPr>
            </w:r>
            <w:r>
              <w:rPr>
                <w:highlight w:val="none"/>
              </w:rPr>
            </w:r>
            <w:r/>
          </w:p>
        </w:tc>
        <w:tc>
          <w:tcPr>
            <w:tcW w:w="1209"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03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03"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8"/>
        </w:trPr>
        <w:tc>
          <w:tcPr>
            <w:tcW w:w="584" w:type="dxa"/>
            <w:vAlign w:val="center"/>
            <w:textDirection w:val="lrTb"/>
            <w:noWrap w:val="false"/>
          </w:tcPr>
          <w:p>
            <w:pPr>
              <w:ind w:left="11"/>
              <w:jc w:val="center"/>
              <w:spacing w:before="99"/>
              <w:rPr>
                <w:rFonts w:ascii="宋体" w:hAnsi="宋体" w:cs="宋体"/>
                <w:szCs w:val="21"/>
                <w:highlight w:val="none"/>
              </w:rPr>
            </w:pPr>
            <w:r>
              <w:rPr>
                <w:rFonts w:ascii="宋体" w:hAnsi="宋体" w:cs="宋体"/>
                <w:szCs w:val="21"/>
                <w:highlight w:val="none"/>
                <w:lang w:val="zh-CN" w:bidi="zh-CN"/>
              </w:rPr>
            </w:r>
            <w:r>
              <w:rPr>
                <w:highlight w:val="none"/>
              </w:rPr>
            </w:r>
            <w:r/>
          </w:p>
        </w:tc>
        <w:tc>
          <w:tcPr>
            <w:tcW w:w="1570" w:type="dxa"/>
            <w:vAlign w:val="center"/>
            <w:textDirection w:val="lrTb"/>
            <w:noWrap w:val="false"/>
          </w:tcPr>
          <w:p>
            <w:pPr>
              <w:jc w:val="left"/>
              <w:spacing w:before="99"/>
              <w:rPr>
                <w:rFonts w:ascii="宋体" w:hAnsi="宋体" w:cs="宋体"/>
                <w:szCs w:val="21"/>
                <w:highlight w:val="none"/>
              </w:rPr>
            </w:pPr>
            <w:r>
              <w:rPr>
                <w:rFonts w:ascii="宋体" w:hAnsi="宋体" w:cs="宋体"/>
                <w:szCs w:val="21"/>
                <w:highlight w:val="none"/>
                <w:lang w:val="zh-CN" w:bidi="zh-CN"/>
              </w:rPr>
            </w:r>
            <w:r>
              <w:rPr>
                <w:highlight w:val="none"/>
              </w:rPr>
            </w:r>
            <w:r/>
          </w:p>
        </w:tc>
        <w:tc>
          <w:tcPr>
            <w:tcW w:w="1209"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03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03"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7"/>
        </w:trPr>
        <w:tc>
          <w:tcPr>
            <w:tcW w:w="584" w:type="dxa"/>
            <w:vAlign w:val="center"/>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570" w:type="dxa"/>
            <w:vAlign w:val="center"/>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209"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032"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603"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r>
      <w:tr>
        <w:trPr>
          <w:jc w:val="center"/>
          <w:trHeight w:val="467"/>
        </w:trPr>
        <w:tc>
          <w:tcPr>
            <w:tcW w:w="584" w:type="dxa"/>
            <w:vAlign w:val="center"/>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57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bidi="zh-CN"/>
              </w:rPr>
              <w:t xml:space="preserve">（行数不够，自行添加）</w:t>
            </w:r>
            <w:r>
              <w:rPr>
                <w:highlight w:val="none"/>
              </w:rPr>
            </w:r>
            <w:r/>
          </w:p>
        </w:tc>
        <w:tc>
          <w:tcPr>
            <w:tcW w:w="1209"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032"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603"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r>
    </w:tbl>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说明：</w:t>
      </w:r>
      <w:r>
        <w:rPr>
          <w:highlight w:val="none"/>
        </w:rPr>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1.如果行数不够，请自行增加。</w:t>
      </w:r>
      <w:r>
        <w:rPr>
          <w:highlight w:val="none"/>
        </w:rPr>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2.供应商必须仔细阅读磋商文件所有条款，并对所有符合或偏离的条目列入上表，未列入上表的视作供应商完全接受。</w:t>
      </w:r>
      <w:r>
        <w:rPr>
          <w:highlight w:val="none"/>
        </w:rPr>
      </w:r>
      <w:r/>
    </w:p>
    <w:p>
      <w:pPr>
        <w:ind w:left="223"/>
        <w:jc w:val="left"/>
        <w:rPr>
          <w:rFonts w:ascii="宋体" w:hAnsi="宋体" w:cs="宋体"/>
          <w:szCs w:val="21"/>
          <w:highlight w:val="none"/>
        </w:rPr>
      </w:pPr>
      <w:r>
        <w:rPr>
          <w:rFonts w:ascii="宋体" w:hAnsi="宋体" w:cs="宋体"/>
          <w:szCs w:val="21"/>
          <w:highlight w:val="none"/>
          <w:lang w:val="zh-CN" w:bidi="zh-CN"/>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 </w:t>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ascii="宋体" w:hAnsi="宋体" w:cs="宋体"/>
          <w:szCs w:val="21"/>
          <w:highlight w:val="none"/>
          <w:lang w:val="zh-CN" w:bidi="zh-CN"/>
        </w:rPr>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lang w:val="zh-CN"/>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hint="eastAsia" w:ascii="宋体" w:hAnsi="宋体"/>
          <w:szCs w:val="21"/>
          <w:highlight w:val="none"/>
          <w:lang w:val="zh-CN"/>
        </w:rPr>
        <w:t xml:space="preserve">日期：  年 月 日</w:t>
      </w:r>
      <w:r>
        <w:rPr>
          <w:highlight w:val="none"/>
        </w:rPr>
      </w:r>
      <w:r/>
    </w:p>
    <w:p>
      <w:pPr>
        <w:ind w:right="287"/>
        <w:spacing w:before="58" w:line="360" w:lineRule="auto"/>
        <w:rPr>
          <w:rFonts w:ascii="宋体" w:hAnsi="宋体" w:cs="宋体"/>
          <w:b/>
          <w:szCs w:val="21"/>
          <w:highlight w:val="none"/>
        </w:rPr>
      </w:pPr>
      <w:r>
        <w:rPr>
          <w:rFonts w:ascii="宋体" w:hAnsi="宋体" w:cs="宋体"/>
          <w:b/>
          <w:szCs w:val="21"/>
          <w:highlight w:val="none"/>
          <w:lang w:val="zh-CN" w:bidi="zh-CN"/>
        </w:rPr>
      </w:r>
      <w:r>
        <w:rPr>
          <w:highlight w:val="none"/>
        </w:rPr>
      </w:r>
      <w:r/>
    </w:p>
    <w:p>
      <w:pPr>
        <w:pStyle w:val="912"/>
        <w:rPr>
          <w:highlight w:val="none"/>
        </w:rPr>
      </w:pPr>
      <w:r>
        <w:rPr>
          <w:highlight w:val="none"/>
        </w:rPr>
      </w:r>
      <w:bookmarkStart w:id="646" w:name="_Toc22560"/>
      <w:r>
        <w:rPr>
          <w:highlight w:val="none"/>
        </w:rPr>
      </w:r>
      <w:r/>
    </w:p>
    <w:p>
      <w:pPr>
        <w:rPr>
          <w:rFonts w:ascii="宋体" w:hAnsi="宋体" w:cs="宋体"/>
          <w:szCs w:val="21"/>
          <w:highlight w:val="none"/>
        </w:rPr>
        <w:outlineLvl w:val="1"/>
      </w:pPr>
      <w:r>
        <w:rPr>
          <w:rFonts w:hint="eastAsia" w:ascii="宋体" w:hAnsi="宋体"/>
          <w:sz w:val="24"/>
          <w:highlight w:val="none"/>
          <w:lang w:val="zh-CN"/>
        </w:rPr>
        <w:br w:type="page" w:clear="all"/>
      </w:r>
      <w:bookmarkStart w:id="647" w:name="_Toc6302"/>
      <w:r>
        <w:rPr>
          <w:rFonts w:hint="eastAsia" w:ascii="宋体" w:hAnsi="宋体" w:cs="宋体"/>
          <w:b/>
          <w:szCs w:val="21"/>
          <w:highlight w:val="none"/>
          <w:lang w:val="zh-CN"/>
        </w:rPr>
        <w:t xml:space="preserve">附件六、技术规格偏离表</w:t>
      </w:r>
      <w:bookmarkEnd w:id="646"/>
      <w:r>
        <w:rPr>
          <w:highlight w:val="none"/>
        </w:rPr>
      </w:r>
      <w:bookmarkEnd w:id="647"/>
      <w:r>
        <w:rPr>
          <w:highlight w:val="none"/>
        </w:rPr>
      </w:r>
      <w:r/>
    </w:p>
    <w:p>
      <w:pPr>
        <w:ind w:left="223"/>
        <w:jc w:val="left"/>
        <w:rPr>
          <w:rFonts w:ascii="宋体" w:hAnsi="宋体"/>
          <w:sz w:val="24"/>
          <w:highlight w:val="none"/>
        </w:rPr>
      </w:pPr>
      <w:r>
        <w:rPr>
          <w:rFonts w:ascii="宋体" w:hAnsi="宋体"/>
          <w:sz w:val="24"/>
          <w:highlight w:val="none"/>
          <w:lang w:val="zh-CN"/>
        </w:rPr>
      </w:r>
      <w:r>
        <w:rPr>
          <w:highlight w:val="none"/>
        </w:rPr>
      </w:r>
      <w:r/>
    </w:p>
    <w:p>
      <w:pPr>
        <w:jc w:val="center"/>
        <w:rPr>
          <w:rFonts w:ascii="宋体" w:hAnsi="宋体" w:cs="宋体"/>
          <w:sz w:val="24"/>
          <w:highlight w:val="none"/>
        </w:rPr>
      </w:pPr>
      <w:r>
        <w:rPr>
          <w:rFonts w:hint="eastAsia" w:ascii="宋体" w:hAnsi="宋体"/>
          <w:b/>
          <w:sz w:val="32"/>
          <w:szCs w:val="32"/>
          <w:highlight w:val="none"/>
          <w:lang w:val="zh-CN"/>
        </w:rPr>
        <w:t xml:space="preserve">技术规格偏离表</w:t>
      </w:r>
      <w:r>
        <w:rPr>
          <w:highlight w:val="none"/>
        </w:rPr>
      </w:r>
      <w:r/>
    </w:p>
    <w:p>
      <w:pPr>
        <w:ind w:left="223"/>
        <w:jc w:val="left"/>
        <w:rPr>
          <w:rFonts w:ascii="宋体" w:hAnsi="宋体" w:cs="宋体"/>
          <w:sz w:val="24"/>
          <w:highlight w:val="none"/>
        </w:rPr>
      </w:pPr>
      <w:r>
        <w:rPr>
          <w:rFonts w:ascii="宋体" w:hAnsi="宋体" w:cs="宋体"/>
          <w:sz w:val="24"/>
          <w:highlight w:val="none"/>
          <w:lang w:val="zh-CN" w:bidi="zh-CN"/>
        </w:rPr>
      </w:r>
      <w:r>
        <w:rPr>
          <w:highlight w:val="none"/>
        </w:rPr>
      </w:r>
      <w:r/>
    </w:p>
    <w:p>
      <w:pPr>
        <w:ind w:left="223"/>
        <w:jc w:val="left"/>
        <w:rPr>
          <w:rFonts w:ascii="宋体" w:hAnsi="宋体" w:cs="宋体"/>
          <w:szCs w:val="21"/>
          <w:highlight w:val="none"/>
        </w:rPr>
      </w:pPr>
      <w:r>
        <w:rPr>
          <w:rFonts w:hint="eastAsia" w:ascii="宋体" w:hAnsi="宋体" w:cs="宋体"/>
          <w:szCs w:val="21"/>
          <w:highlight w:val="none"/>
          <w:lang w:val="zh-CN" w:bidi="zh-CN"/>
        </w:rPr>
        <w:t xml:space="preserve">项目编号：</w:t>
      </w:r>
      <w:r>
        <w:rPr>
          <w:highlight w:val="none"/>
        </w:rPr>
      </w:r>
      <w:r/>
    </w:p>
    <w:p>
      <w:pPr>
        <w:ind w:left="223"/>
        <w:spacing w:before="119"/>
        <w:rPr>
          <w:rFonts w:ascii="宋体" w:hAnsi="宋体" w:cs="宋体"/>
          <w:szCs w:val="21"/>
          <w:highlight w:val="none"/>
        </w:rPr>
      </w:pPr>
      <w:r>
        <w:rPr>
          <w:rFonts w:hint="eastAsia" w:ascii="宋体" w:hAnsi="宋体" w:cs="宋体"/>
          <w:szCs w:val="21"/>
          <w:highlight w:val="none"/>
          <w:lang w:val="zh-CN" w:bidi="zh-CN"/>
        </w:rPr>
        <w:t xml:space="preserve">项目名称：</w:t>
      </w:r>
      <w:r>
        <w:rPr>
          <w:highlight w:val="none"/>
        </w:rPr>
      </w:r>
      <w:r/>
    </w:p>
    <w:tbl>
      <w:tblPr>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131"/>
        <w:gridCol w:w="2177"/>
        <w:gridCol w:w="2454"/>
        <w:gridCol w:w="2037"/>
        <w:gridCol w:w="1251"/>
      </w:tblGrid>
      <w:tr>
        <w:trPr>
          <w:jc w:val="center"/>
          <w:trHeight w:val="465"/>
        </w:trPr>
        <w:tc>
          <w:tcPr>
            <w:tcW w:w="624"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序号</w:t>
            </w:r>
            <w:r>
              <w:rPr>
                <w:highlight w:val="none"/>
              </w:rPr>
            </w:r>
            <w:r/>
          </w:p>
        </w:tc>
        <w:tc>
          <w:tcPr>
            <w:tcW w:w="1202"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招标文件的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highlight w:val="none"/>
              </w:rPr>
            </w:r>
            <w:r/>
          </w:p>
        </w:tc>
        <w:tc>
          <w:tcPr>
            <w:tcW w:w="1355"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实际响应</w:t>
            </w:r>
            <w:r>
              <w:rPr>
                <w:highlight w:val="none"/>
              </w:rPr>
            </w:r>
            <w:r/>
          </w:p>
        </w:tc>
        <w:tc>
          <w:tcPr>
            <w:tcW w:w="1125"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符合/正偏离/负偏离</w:t>
            </w:r>
            <w:r>
              <w:rPr>
                <w:highlight w:val="none"/>
              </w:rPr>
            </w:r>
            <w:r/>
          </w:p>
        </w:tc>
        <w:tc>
          <w:tcPr>
            <w:tcW w:w="691"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备注</w:t>
            </w:r>
            <w:r>
              <w:rPr>
                <w:highlight w:val="none"/>
              </w:rPr>
            </w:r>
            <w:r/>
          </w:p>
        </w:tc>
      </w:tr>
      <w:tr>
        <w:trPr>
          <w:jc w:val="center"/>
          <w:trHeight w:val="467"/>
        </w:trPr>
        <w:tc>
          <w:tcPr>
            <w:tcW w:w="624"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20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35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12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91"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8"/>
        </w:trPr>
        <w:tc>
          <w:tcPr>
            <w:tcW w:w="624"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20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35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12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91"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7"/>
        </w:trPr>
        <w:tc>
          <w:tcPr>
            <w:tcW w:w="624"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20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35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12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91"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8"/>
        </w:trPr>
        <w:tc>
          <w:tcPr>
            <w:tcW w:w="624"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202"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355"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125"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691"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r>
      <w:tr>
        <w:trPr>
          <w:jc w:val="center"/>
          <w:trHeight w:val="467"/>
        </w:trPr>
        <w:tc>
          <w:tcPr>
            <w:tcW w:w="624"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202" w:type="dxa"/>
            <w:textDirection w:val="lrTb"/>
            <w:noWrap w:val="false"/>
          </w:tcPr>
          <w:p>
            <w:pPr>
              <w:jc w:val="center"/>
              <w:rPr>
                <w:rFonts w:ascii="宋体" w:hAnsi="宋体" w:cs="宋体"/>
                <w:szCs w:val="21"/>
                <w:highlight w:val="none"/>
              </w:rPr>
            </w:pPr>
            <w:r>
              <w:rPr>
                <w:rFonts w:hint="eastAsia" w:ascii="宋体" w:hAnsi="宋体" w:cs="宋体"/>
                <w:szCs w:val="21"/>
                <w:highlight w:val="none"/>
                <w:lang w:val="zh-CN" w:bidi="zh-CN"/>
              </w:rPr>
              <w:t xml:space="preserve">（行数不够，自行添加）</w:t>
            </w:r>
            <w:r>
              <w:rPr>
                <w:highlight w:val="none"/>
              </w:rPr>
            </w:r>
            <w:r/>
          </w:p>
        </w:tc>
        <w:tc>
          <w:tcPr>
            <w:tcW w:w="1355"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125"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691"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r>
    </w:tbl>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说明：</w:t>
      </w:r>
      <w:r>
        <w:rPr>
          <w:highlight w:val="none"/>
        </w:rPr>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1.如果行数不够，请自行增加。</w:t>
      </w:r>
      <w:r>
        <w:rPr>
          <w:highlight w:val="none"/>
        </w:rPr>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2.供应商必须仔细阅读磋商文件所有条款，并对所有符合或偏离的条目列入上表，未列入上表的视作供应商完全接受。</w:t>
      </w:r>
      <w:r>
        <w:rPr>
          <w:highlight w:val="none"/>
        </w:rPr>
      </w:r>
      <w:r/>
    </w:p>
    <w:p>
      <w:pPr>
        <w:tabs>
          <w:tab w:val="left" w:pos="7067" w:leader="none"/>
          <w:tab w:val="left" w:pos="8327" w:leader="none"/>
          <w:tab w:val="left" w:pos="8956" w:leader="none"/>
          <w:tab w:val="left" w:pos="9482" w:leader="none"/>
        </w:tabs>
        <w:rPr>
          <w:rFonts w:ascii="宋体" w:hAnsi="宋体" w:cs="宋体"/>
          <w:szCs w:val="21"/>
          <w:highlight w:val="none"/>
        </w:rPr>
      </w:pPr>
      <w:r>
        <w:rPr>
          <w:rFonts w:ascii="宋体" w:hAnsi="宋体" w:cs="宋体"/>
          <w:szCs w:val="21"/>
          <w:highlight w:val="none"/>
          <w:lang w:val="zh-CN" w:bidi="zh-CN"/>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 </w:t>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ascii="宋体" w:hAnsi="宋体" w:cs="宋体"/>
          <w:szCs w:val="21"/>
          <w:highlight w:val="none"/>
          <w:lang w:val="zh-CN" w:bidi="zh-CN"/>
        </w:rPr>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lang w:val="zh-CN"/>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hint="eastAsia" w:ascii="宋体" w:hAnsi="宋体"/>
          <w:szCs w:val="21"/>
          <w:highlight w:val="none"/>
          <w:lang w:val="zh-CN"/>
        </w:rPr>
        <w:t xml:space="preserve">日期：  年 月 日</w:t>
      </w:r>
      <w:r>
        <w:rPr>
          <w:highlight w:val="none"/>
        </w:rPr>
      </w:r>
      <w:r/>
    </w:p>
    <w:p>
      <w:pPr>
        <w:spacing w:line="440" w:lineRule="exact"/>
        <w:rPr>
          <w:rFonts w:ascii="宋体" w:hAnsi="宋体" w:cs="宋体"/>
          <w:b/>
          <w:szCs w:val="21"/>
          <w:highlight w:val="none"/>
        </w:rPr>
      </w:pPr>
      <w:r>
        <w:rPr>
          <w:rFonts w:ascii="宋体" w:hAnsi="宋体" w:cs="宋体"/>
          <w:b/>
          <w:szCs w:val="21"/>
          <w:highlight w:val="none"/>
          <w:lang w:val="zh-CN" w:bidi="zh-CN"/>
        </w:rPr>
      </w:r>
      <w:r>
        <w:rPr>
          <w:highlight w:val="none"/>
        </w:rPr>
      </w:r>
      <w:r/>
    </w:p>
    <w:p>
      <w:pPr>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rPr>
          <w:rFonts w:ascii="宋体" w:hAnsi="宋体"/>
          <w:b/>
          <w:szCs w:val="21"/>
          <w:highlight w:val="none"/>
        </w:rPr>
        <w:outlineLvl w:val="0"/>
      </w:pPr>
      <w:r>
        <w:rPr>
          <w:rFonts w:ascii="宋体" w:hAnsi="宋体"/>
          <w:b/>
          <w:szCs w:val="21"/>
          <w:highlight w:val="none"/>
        </w:rPr>
      </w:r>
      <w:r>
        <w:rPr>
          <w:highlight w:val="none"/>
        </w:rPr>
      </w:r>
      <w:r/>
    </w:p>
    <w:p>
      <w:pPr>
        <w:rPr>
          <w:rFonts w:ascii="宋体" w:hAnsi="宋体"/>
          <w:b/>
          <w:szCs w:val="21"/>
          <w:highlight w:val="none"/>
        </w:rPr>
        <w:outlineLvl w:val="0"/>
      </w:pPr>
      <w:r>
        <w:rPr>
          <w:rFonts w:ascii="宋体" w:hAnsi="宋体"/>
          <w:b/>
          <w:szCs w:val="21"/>
          <w:highlight w:val="none"/>
        </w:rPr>
      </w:r>
      <w:r>
        <w:rPr>
          <w:highlight w:val="none"/>
        </w:rPr>
      </w:r>
      <w:r/>
    </w:p>
    <w:p>
      <w:pPr>
        <w:rPr>
          <w:rFonts w:ascii="宋体" w:hAnsi="宋体" w:cs="宋体"/>
          <w:bCs/>
          <w:szCs w:val="21"/>
          <w:highlight w:val="none"/>
        </w:rPr>
        <w:outlineLvl w:val="1"/>
      </w:pPr>
      <w:r>
        <w:rPr>
          <w:rFonts w:hint="eastAsia" w:ascii="宋体" w:hAnsi="宋体"/>
          <w:b/>
          <w:szCs w:val="21"/>
          <w:highlight w:val="none"/>
        </w:rPr>
        <w:br w:type="page" w:clear="all"/>
      </w:r>
      <w:bookmarkStart w:id="648" w:name="_Toc3445"/>
      <w:r>
        <w:rPr>
          <w:rFonts w:hint="eastAsia" w:ascii="宋体" w:hAnsi="宋体"/>
          <w:b/>
          <w:szCs w:val="21"/>
          <w:highlight w:val="none"/>
        </w:rPr>
        <w:t xml:space="preserve">附件七、</w:t>
      </w:r>
      <w:bookmarkEnd w:id="648"/>
      <w:r>
        <w:rPr>
          <w:rFonts w:hint="eastAsia" w:ascii="宋体" w:hAnsi="宋体" w:cs="宋体"/>
          <w:b/>
          <w:szCs w:val="21"/>
          <w:highlight w:val="none"/>
          <w:lang w:val="zh-CN"/>
        </w:rPr>
        <w:t xml:space="preserve">第一章磋商邀请中规定的资格条件证明文件</w:t>
      </w:r>
      <w:r>
        <w:rPr>
          <w:highlight w:val="none"/>
        </w:rPr>
      </w:r>
      <w:r/>
    </w:p>
    <w:p>
      <w:pPr>
        <w:rPr>
          <w:rFonts w:ascii="宋体" w:hAnsi="宋体" w:cs="宋体"/>
          <w:bCs/>
          <w:szCs w:val="21"/>
          <w:highlight w:val="none"/>
        </w:rPr>
        <w:outlineLvl w:val="0"/>
      </w:pPr>
      <w:r>
        <w:rPr>
          <w:rFonts w:ascii="宋体" w:hAnsi="宋体" w:cs="宋体"/>
          <w:bCs/>
          <w:szCs w:val="21"/>
          <w:highlight w:val="none"/>
          <w:lang w:val="zh-CN"/>
        </w:rPr>
      </w:r>
      <w:r>
        <w:rPr>
          <w:highlight w:val="none"/>
        </w:rPr>
      </w:r>
      <w:r/>
    </w:p>
    <w:p>
      <w:pPr>
        <w:rPr>
          <w:rFonts w:ascii="宋体" w:hAnsi="宋体" w:cs="宋体"/>
          <w:bCs/>
          <w:szCs w:val="21"/>
          <w:highlight w:val="none"/>
        </w:rPr>
        <w:outlineLvl w:val="0"/>
      </w:pPr>
      <w:r>
        <w:rPr>
          <w:rFonts w:ascii="宋体" w:hAnsi="宋体" w:cs="宋体"/>
          <w:bCs/>
          <w:szCs w:val="21"/>
          <w:highlight w:val="none"/>
          <w:lang w:val="zh-CN"/>
        </w:rPr>
      </w:r>
      <w:r>
        <w:rPr>
          <w:highlight w:val="none"/>
        </w:rPr>
      </w:r>
      <w:r/>
    </w:p>
    <w:p>
      <w:pPr>
        <w:rPr>
          <w:rFonts w:ascii="宋体" w:hAnsi="宋体" w:cs="宋体"/>
          <w:bCs/>
          <w:szCs w:val="21"/>
          <w:highlight w:val="none"/>
        </w:rPr>
        <w:outlineLvl w:val="0"/>
      </w:pPr>
      <w:r>
        <w:rPr>
          <w:rFonts w:ascii="宋体" w:hAnsi="宋体" w:cs="宋体"/>
          <w:bCs/>
          <w:szCs w:val="21"/>
          <w:highlight w:val="none"/>
          <w:lang w:val="zh-CN"/>
        </w:rPr>
      </w:r>
      <w:r>
        <w:rPr>
          <w:highlight w:val="none"/>
        </w:rPr>
      </w:r>
      <w:r/>
    </w:p>
    <w:p>
      <w:pPr>
        <w:rPr>
          <w:rFonts w:ascii="宋体" w:hAnsi="宋体" w:cs="宋体"/>
          <w:bCs/>
          <w:szCs w:val="21"/>
          <w:highlight w:val="none"/>
        </w:rPr>
        <w:outlineLvl w:val="0"/>
      </w:pPr>
      <w:r>
        <w:rPr>
          <w:rFonts w:ascii="宋体" w:hAnsi="宋体" w:cs="宋体"/>
          <w:bCs/>
          <w:szCs w:val="21"/>
          <w:highlight w:val="none"/>
          <w:lang w:val="zh-CN"/>
        </w:rPr>
      </w:r>
      <w:r>
        <w:rPr>
          <w:highlight w:val="none"/>
        </w:rPr>
      </w:r>
      <w:r/>
    </w:p>
    <w:p>
      <w:pPr>
        <w:rPr>
          <w:rFonts w:ascii="宋体" w:hAnsi="宋体"/>
          <w:b/>
          <w:szCs w:val="21"/>
          <w:highlight w:val="none"/>
        </w:rPr>
        <w:outlineLvl w:val="0"/>
      </w:pPr>
      <w:r>
        <w:rPr>
          <w:rFonts w:ascii="宋体" w:hAnsi="宋体"/>
          <w:b/>
          <w:szCs w:val="21"/>
          <w:highlight w:val="none"/>
        </w:rPr>
      </w:r>
      <w:r>
        <w:rPr>
          <w:highlight w:val="none"/>
        </w:rPr>
      </w:r>
      <w:r/>
    </w:p>
    <w:p>
      <w:pPr>
        <w:rPr>
          <w:rFonts w:ascii="宋体" w:hAnsi="宋体"/>
          <w:b/>
          <w:szCs w:val="21"/>
          <w:highlight w:val="none"/>
        </w:rPr>
        <w:outlineLvl w:val="0"/>
      </w:pPr>
      <w:r>
        <w:rPr>
          <w:rFonts w:ascii="宋体" w:hAnsi="宋体"/>
          <w:b/>
          <w:szCs w:val="21"/>
          <w:highlight w:val="none"/>
        </w:rPr>
      </w:r>
      <w:r>
        <w:rPr>
          <w:highlight w:val="none"/>
        </w:rPr>
      </w:r>
      <w:r/>
    </w:p>
    <w:p>
      <w:pPr>
        <w:rPr>
          <w:rFonts w:ascii="宋体" w:hAnsi="宋体"/>
          <w:b/>
          <w:szCs w:val="21"/>
          <w:highlight w:val="none"/>
        </w:rPr>
        <w:outlineLvl w:val="1"/>
      </w:pPr>
      <w:r>
        <w:rPr>
          <w:highlight w:val="none"/>
        </w:rPr>
      </w:r>
      <w:bookmarkStart w:id="649" w:name="_Toc11005"/>
      <w:r>
        <w:rPr>
          <w:rFonts w:hint="eastAsia" w:ascii="宋体" w:hAnsi="宋体"/>
          <w:b/>
          <w:szCs w:val="21"/>
          <w:highlight w:val="none"/>
        </w:rPr>
        <w:t xml:space="preserve">附件</w:t>
      </w:r>
      <w:r>
        <w:rPr>
          <w:rFonts w:hint="eastAsia" w:ascii="宋体" w:hAnsi="宋体" w:cs="宋体"/>
          <w:b/>
          <w:szCs w:val="21"/>
          <w:highlight w:val="none"/>
        </w:rPr>
        <w:t xml:space="preserve">八</w:t>
      </w:r>
      <w:r>
        <w:rPr>
          <w:rFonts w:hint="eastAsia" w:ascii="宋体" w:hAnsi="宋体"/>
          <w:b/>
          <w:szCs w:val="21"/>
          <w:highlight w:val="none"/>
        </w:rPr>
        <w:t xml:space="preserve">、无重大违法记录声明</w:t>
      </w:r>
      <w:bookmarkEnd w:id="649"/>
      <w:r>
        <w:rPr>
          <w:highlight w:val="none"/>
        </w:rPr>
      </w:r>
      <w:r/>
    </w:p>
    <w:p>
      <w:pPr>
        <w:jc w:val="left"/>
        <w:widowControl/>
        <w:rPr>
          <w:b/>
          <w:highlight w:val="none"/>
        </w:rPr>
      </w:pPr>
      <w:r>
        <w:rPr>
          <w:b/>
          <w:highlight w:val="none"/>
        </w:rPr>
      </w:r>
      <w:r>
        <w:rPr>
          <w:highlight w:val="none"/>
        </w:rPr>
      </w:r>
      <w:r/>
    </w:p>
    <w:p>
      <w:pPr>
        <w:jc w:val="center"/>
        <w:rPr>
          <w:rFonts w:ascii="黑体" w:eastAsia="黑体"/>
          <w:sz w:val="36"/>
          <w:szCs w:val="36"/>
          <w:highlight w:val="none"/>
        </w:rPr>
      </w:pPr>
      <w:r>
        <w:rPr>
          <w:rFonts w:ascii="黑体" w:eastAsia="黑体"/>
          <w:sz w:val="36"/>
          <w:szCs w:val="36"/>
          <w:highlight w:val="none"/>
        </w:rPr>
      </w:r>
      <w:r>
        <w:rPr>
          <w:highlight w:val="none"/>
        </w:rPr>
      </w:r>
      <w:r/>
    </w:p>
    <w:p>
      <w:pPr>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highlight w:val="none"/>
        </w:rPr>
      </w:r>
      <w:r/>
    </w:p>
    <w:p>
      <w:pPr>
        <w:jc w:val="left"/>
        <w:rPr>
          <w:highlight w:val="none"/>
        </w:rPr>
      </w:pPr>
      <w:r>
        <w:rPr>
          <w:highlight w:val="none"/>
        </w:rPr>
      </w:r>
      <w:r>
        <w:rPr>
          <w:highlight w:val="none"/>
        </w:rPr>
      </w:r>
      <w:r/>
    </w:p>
    <w:p>
      <w:pPr>
        <w:jc w:val="left"/>
        <w:rPr>
          <w:highlight w:val="none"/>
        </w:rPr>
      </w:pPr>
      <w:r>
        <w:rPr>
          <w:rFonts w:hint="eastAsia"/>
          <w:highlight w:val="none"/>
        </w:rPr>
        <w:t xml:space="preserve">南京市六合区人民政府马鞍街道办事处</w:t>
      </w:r>
      <w:r>
        <w:rPr>
          <w:rFonts w:hint="eastAsia"/>
          <w:highlight w:val="none"/>
        </w:rPr>
        <w:t xml:space="preserve">：</w:t>
      </w:r>
      <w:r>
        <w:rPr>
          <w:highlight w:val="none"/>
        </w:rPr>
      </w:r>
      <w:r/>
    </w:p>
    <w:p>
      <w:pPr>
        <w:jc w:val="left"/>
        <w:rPr>
          <w:highlight w:val="none"/>
        </w:rPr>
      </w:pPr>
      <w:r>
        <w:rPr>
          <w:highlight w:val="none"/>
        </w:rPr>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我单位（供应商名称）郑重声明：</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参加本次采购活动前3年内在经营活动中 </w:t>
      </w:r>
      <w:r>
        <w:rPr>
          <w:rFonts w:hint="eastAsia" w:ascii="宋体" w:hAnsi="宋体" w:cs="宋体"/>
          <w:highlight w:val="none"/>
          <w:u w:val="single"/>
        </w:rPr>
        <w:t xml:space="preserve">         （</w:t>
      </w:r>
      <w:r>
        <w:rPr>
          <w:rFonts w:hint="eastAsia" w:ascii="宋体" w:hAnsi="宋体" w:cs="宋体"/>
          <w:highlight w:val="none"/>
        </w:rPr>
        <w:t xml:space="preserve">在下划线上如实填写：有或没有）重大违法记录。</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highlight w:val="none"/>
        </w:rPr>
      </w:r>
      <w:r/>
    </w:p>
    <w:p>
      <w:pPr>
        <w:ind w:firstLine="420"/>
        <w:jc w:val="left"/>
        <w:rPr>
          <w:highlight w:val="none"/>
        </w:rPr>
      </w:pPr>
      <w:r>
        <w:rPr>
          <w:highlight w:val="none"/>
        </w:rPr>
      </w:r>
      <w:r>
        <w:rPr>
          <w:highlight w:val="none"/>
        </w:rPr>
      </w:r>
      <w:r/>
    </w:p>
    <w:p>
      <w:pPr>
        <w:ind w:firstLine="420"/>
        <w:jc w:val="left"/>
        <w:rPr>
          <w:highlight w:val="none"/>
        </w:rPr>
      </w:pPr>
      <w:r>
        <w:rPr>
          <w:rFonts w:hint="eastAsia"/>
          <w:highlight w:val="none"/>
        </w:rPr>
        <w:t xml:space="preserve">声明人（公章）：</w:t>
      </w:r>
      <w:r>
        <w:rPr>
          <w:highlight w:val="none"/>
        </w:rPr>
      </w:r>
      <w:r/>
    </w:p>
    <w:p>
      <w:pPr>
        <w:jc w:val="left"/>
        <w:rPr>
          <w:highlight w:val="none"/>
        </w:rPr>
      </w:pPr>
      <w:r>
        <w:rPr>
          <w:highlight w:val="none"/>
        </w:rPr>
      </w:r>
      <w:r>
        <w:rPr>
          <w:highlight w:val="none"/>
        </w:rPr>
      </w:r>
      <w:r/>
    </w:p>
    <w:p>
      <w:pPr>
        <w:jc w:val="right"/>
        <w:rPr>
          <w:highlight w:val="none"/>
        </w:rPr>
      </w:pPr>
      <w:r>
        <w:rPr>
          <w:rFonts w:hint="eastAsia"/>
          <w:highlight w:val="none"/>
        </w:rPr>
        <w:t xml:space="preserve">年</w:t>
      </w:r>
      <w:r>
        <w:rPr>
          <w:rFonts w:hint="eastAsia"/>
          <w:highlight w:val="none"/>
        </w:rPr>
        <w:t xml:space="preserve">      </w:t>
      </w:r>
      <w:r>
        <w:rPr>
          <w:rFonts w:hint="eastAsia"/>
          <w:highlight w:val="none"/>
        </w:rPr>
        <w:t xml:space="preserve">月</w:t>
      </w:r>
      <w:r>
        <w:rPr>
          <w:rFonts w:hint="eastAsia"/>
          <w:highlight w:val="none"/>
        </w:rPr>
        <w:t xml:space="preserve">      </w:t>
      </w:r>
      <w:r>
        <w:rPr>
          <w:rFonts w:hint="eastAsia"/>
          <w:highlight w:val="none"/>
        </w:rPr>
        <w:t xml:space="preserve">日</w:t>
      </w:r>
      <w:r>
        <w:rPr>
          <w:highlight w:val="none"/>
        </w:rPr>
      </w:r>
      <w:r/>
    </w:p>
    <w:p>
      <w:pPr>
        <w:rPr>
          <w:highlight w:val="none"/>
        </w:rPr>
      </w:pPr>
      <w:r>
        <w:rPr>
          <w:highlight w:val="none"/>
        </w:rPr>
      </w:r>
      <w:r>
        <w:rPr>
          <w:highlight w:val="none"/>
        </w:rPr>
      </w:r>
      <w:r/>
    </w:p>
    <w:p>
      <w:pPr>
        <w:pStyle w:val="886"/>
        <w:rPr>
          <w:highlight w:val="none"/>
        </w:rPr>
      </w:pPr>
      <w:r>
        <w:rPr>
          <w:highlight w:val="none"/>
        </w:rPr>
      </w:r>
      <w:r>
        <w:rPr>
          <w:highlight w:val="none"/>
        </w:rPr>
      </w:r>
      <w:r/>
    </w:p>
    <w:p>
      <w:pPr>
        <w:spacing w:line="360" w:lineRule="auto"/>
        <w:rPr>
          <w:rFonts w:ascii="宋体" w:hAnsi="宋体" w:cs="宋体"/>
          <w:b/>
          <w:spacing w:val="15"/>
          <w:szCs w:val="21"/>
          <w:highlight w:val="none"/>
        </w:rPr>
        <w:outlineLvl w:val="1"/>
      </w:pPr>
      <w:r>
        <w:rPr>
          <w:rFonts w:ascii="宋体" w:hAnsi="宋体" w:cs="宋体"/>
          <w:b/>
          <w:spacing w:val="15"/>
          <w:szCs w:val="21"/>
          <w:highlight w:val="none"/>
        </w:rPr>
      </w:r>
      <w:r>
        <w:rPr>
          <w:highlight w:val="none"/>
        </w:rPr>
      </w:r>
      <w:r/>
    </w:p>
    <w:p>
      <w:pPr>
        <w:spacing w:line="360" w:lineRule="auto"/>
        <w:rPr>
          <w:rFonts w:ascii="宋体" w:hAnsi="宋体" w:cs="宋体"/>
          <w:b/>
          <w:spacing w:val="15"/>
          <w:szCs w:val="21"/>
          <w:highlight w:val="none"/>
        </w:rPr>
        <w:outlineLvl w:val="1"/>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1"/>
      </w:pPr>
      <w:r>
        <w:rPr>
          <w:highlight w:val="none"/>
        </w:rPr>
      </w:r>
      <w:bookmarkStart w:id="650" w:name="_Toc23310"/>
      <w:r>
        <w:rPr>
          <w:rFonts w:hint="eastAsia" w:ascii="宋体" w:hAnsi="宋体" w:cs="宋体"/>
          <w:b/>
          <w:spacing w:val="15"/>
          <w:szCs w:val="21"/>
          <w:highlight w:val="none"/>
        </w:rPr>
        <w:br w:type="page" w:clear="all"/>
      </w:r>
      <w:bookmarkStart w:id="651" w:name="_Toc24427"/>
      <w:r>
        <w:rPr>
          <w:rFonts w:hint="eastAsia" w:ascii="宋体" w:hAnsi="宋体" w:cs="宋体"/>
          <w:b/>
          <w:spacing w:val="15"/>
          <w:szCs w:val="21"/>
          <w:highlight w:val="none"/>
        </w:rPr>
        <w:t xml:space="preserve">附件九、</w:t>
      </w:r>
      <w:r>
        <w:rPr>
          <w:rFonts w:hint="eastAsia" w:ascii="宋体" w:hAnsi="宋体" w:cs="宋体"/>
          <w:b/>
          <w:bCs/>
          <w:spacing w:val="15"/>
          <w:szCs w:val="21"/>
          <w:highlight w:val="none"/>
        </w:rPr>
        <w:t xml:space="preserve">安全生产责任承诺书</w:t>
      </w:r>
      <w:bookmarkEnd w:id="650"/>
      <w:r>
        <w:rPr>
          <w:highlight w:val="none"/>
        </w:rPr>
      </w:r>
      <w:bookmarkEnd w:id="651"/>
      <w:r>
        <w:rPr>
          <w:highlight w:val="none"/>
        </w:rPr>
      </w:r>
      <w:r/>
    </w:p>
    <w:p>
      <w:pPr>
        <w:jc w:val="center"/>
        <w:rPr>
          <w:rFonts w:ascii="黑体" w:eastAsia="黑体"/>
          <w:sz w:val="36"/>
          <w:szCs w:val="36"/>
          <w:highlight w:val="none"/>
        </w:rPr>
      </w:pPr>
      <w:r>
        <w:rPr>
          <w:rFonts w:ascii="黑体" w:eastAsia="黑体"/>
          <w:sz w:val="36"/>
          <w:szCs w:val="36"/>
          <w:highlight w:val="none"/>
        </w:rPr>
      </w:r>
      <w:r>
        <w:rPr>
          <w:highlight w:val="none"/>
        </w:rPr>
      </w:r>
      <w:r/>
    </w:p>
    <w:p>
      <w:pPr>
        <w:jc w:val="center"/>
        <w:rPr>
          <w:rFonts w:ascii="宋体" w:hAnsi="宋体" w:cs="宋体"/>
          <w:b/>
          <w:bCs/>
          <w:spacing w:val="15"/>
          <w:szCs w:val="21"/>
          <w:highlight w:val="none"/>
        </w:rPr>
      </w:pPr>
      <w:r>
        <w:rPr>
          <w:rFonts w:hint="eastAsia" w:ascii="黑体" w:eastAsia="黑体"/>
          <w:sz w:val="36"/>
          <w:szCs w:val="36"/>
          <w:highlight w:val="none"/>
        </w:rPr>
        <w:t xml:space="preserve">安全生产责任承诺书</w:t>
      </w:r>
      <w:r>
        <w:rPr>
          <w:highlight w:val="none"/>
        </w:rPr>
      </w:r>
      <w:r/>
    </w:p>
    <w:p>
      <w:pPr>
        <w:jc w:val="center"/>
        <w:rPr>
          <w:rFonts w:ascii="宋体" w:hAnsi="宋体" w:cs="宋体"/>
          <w:b/>
          <w:bCs/>
          <w:spacing w:val="15"/>
          <w:szCs w:val="21"/>
          <w:highlight w:val="none"/>
        </w:rPr>
      </w:pPr>
      <w:r>
        <w:rPr>
          <w:rFonts w:ascii="宋体" w:hAnsi="宋体" w:cs="宋体"/>
          <w:b/>
          <w:bCs/>
          <w:spacing w:val="15"/>
          <w:szCs w:val="21"/>
          <w:highlight w:val="none"/>
        </w:rPr>
      </w:r>
      <w:r>
        <w:rPr>
          <w:highlight w:val="none"/>
        </w:rPr>
      </w:r>
      <w:r/>
    </w:p>
    <w:p>
      <w:pPr>
        <w:jc w:val="left"/>
        <w:rPr>
          <w:highlight w:val="none"/>
        </w:rPr>
      </w:pPr>
      <w:r>
        <w:rPr>
          <w:rFonts w:hint="eastAsia"/>
          <w:highlight w:val="none"/>
        </w:rPr>
        <w:t xml:space="preserve">南京市六合区人民政府马鞍街道办事处</w:t>
      </w:r>
      <w:r>
        <w:rPr>
          <w:rFonts w:hint="eastAsia"/>
          <w:highlight w:val="none"/>
        </w:rPr>
        <w:t xml:space="preserve">：</w:t>
      </w:r>
      <w:r>
        <w:rPr>
          <w:highlight w:val="none"/>
        </w:rPr>
      </w:r>
      <w:r/>
    </w:p>
    <w:p>
      <w:pPr>
        <w:jc w:val="left"/>
        <w:rPr>
          <w:highlight w:val="none"/>
        </w:rPr>
      </w:pPr>
      <w:r>
        <w:rPr>
          <w:highlight w:val="none"/>
        </w:rPr>
      </w:r>
      <w:r>
        <w:rPr>
          <w:highlight w:val="none"/>
        </w:rPr>
      </w:r>
      <w:r/>
    </w:p>
    <w:p>
      <w:pPr>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过程中，保证不发生重大人员伤亡事故，在此过程中所发生的一切工伤事故，或安全事故，均由我公司承担一切责任。</w:t>
      </w:r>
      <w:r>
        <w:rPr>
          <w:highlight w:val="none"/>
        </w:rPr>
      </w:r>
      <w:r/>
    </w:p>
    <w:p>
      <w:pPr>
        <w:ind w:firstLine="480"/>
        <w:jc w:val="left"/>
        <w:rPr>
          <w:rFonts w:ascii="宋体" w:hAnsi="宋体" w:cs="宋体"/>
          <w:spacing w:val="15"/>
          <w:szCs w:val="21"/>
          <w:highlight w:val="none"/>
        </w:rPr>
      </w:pPr>
      <w:r>
        <w:rPr>
          <w:rFonts w:ascii="宋体" w:hAnsi="宋体" w:cs="宋体"/>
          <w:spacing w:val="15"/>
          <w:szCs w:val="21"/>
          <w:highlight w:val="none"/>
        </w:rPr>
      </w:r>
      <w:r>
        <w:rPr>
          <w:highlight w:val="none"/>
        </w:rPr>
      </w:r>
      <w:r/>
    </w:p>
    <w:p>
      <w:pPr>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highlight w:val="none"/>
        </w:rPr>
      </w:r>
      <w:r/>
    </w:p>
    <w:p>
      <w:pPr>
        <w:ind w:firstLine="480"/>
        <w:jc w:val="left"/>
        <w:rPr>
          <w:rFonts w:ascii="宋体" w:hAnsi="宋体"/>
          <w:spacing w:val="15"/>
          <w:szCs w:val="21"/>
          <w:highlight w:val="none"/>
        </w:rPr>
      </w:pPr>
      <w:r>
        <w:rPr>
          <w:rFonts w:ascii="宋体" w:hAnsi="宋体"/>
          <w:spacing w:val="15"/>
          <w:szCs w:val="21"/>
          <w:highlight w:val="none"/>
        </w:rPr>
      </w:r>
      <w:r>
        <w:rPr>
          <w:highlight w:val="none"/>
        </w:rPr>
      </w:r>
      <w:r/>
    </w:p>
    <w:p>
      <w:pPr>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法定代表人（签字或盖章）：</w:t>
      </w:r>
      <w:r>
        <w:rPr>
          <w:highlight w:val="none"/>
        </w:rPr>
      </w:r>
      <w:r/>
    </w:p>
    <w:p>
      <w:pPr>
        <w:ind w:firstLine="480"/>
        <w:jc w:val="left"/>
        <w:rPr>
          <w:rFonts w:ascii="宋体" w:hAnsi="宋体"/>
          <w:spacing w:val="15"/>
          <w:szCs w:val="21"/>
          <w:highlight w:val="none"/>
        </w:rPr>
      </w:pPr>
      <w:r>
        <w:rPr>
          <w:rFonts w:ascii="宋体" w:hAnsi="宋体"/>
          <w:spacing w:val="15"/>
          <w:szCs w:val="21"/>
          <w:highlight w:val="none"/>
        </w:rPr>
      </w:r>
      <w:r>
        <w:rPr>
          <w:highlight w:val="none"/>
        </w:rPr>
      </w:r>
      <w:r/>
    </w:p>
    <w:p>
      <w:pPr>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代理人（签字或盖章）：</w:t>
      </w:r>
      <w:r>
        <w:rPr>
          <w:highlight w:val="none"/>
        </w:rPr>
      </w:r>
      <w:r/>
    </w:p>
    <w:p>
      <w:pPr>
        <w:ind w:firstLine="480"/>
        <w:jc w:val="left"/>
        <w:rPr>
          <w:rFonts w:ascii="宋体" w:hAnsi="宋体"/>
          <w:spacing w:val="15"/>
          <w:szCs w:val="21"/>
          <w:highlight w:val="none"/>
        </w:rPr>
      </w:pPr>
      <w:r>
        <w:rPr>
          <w:rFonts w:ascii="宋体" w:hAnsi="宋体"/>
          <w:spacing w:val="15"/>
          <w:szCs w:val="21"/>
          <w:highlight w:val="none"/>
        </w:rPr>
      </w:r>
      <w:r>
        <w:rPr>
          <w:highlight w:val="none"/>
        </w:rPr>
      </w:r>
      <w:r/>
    </w:p>
    <w:p>
      <w:pPr>
        <w:ind w:firstLine="480"/>
        <w:spacing w:line="360" w:lineRule="auto"/>
        <w:rPr>
          <w:rFonts w:ascii="宋体" w:hAnsi="宋体" w:cs="宋体"/>
          <w:spacing w:val="15"/>
          <w:szCs w:val="21"/>
          <w:highlight w:val="none"/>
        </w:rPr>
        <w:outlineLvl w:val="1"/>
      </w:pPr>
      <w:r>
        <w:rPr>
          <w:highlight w:val="none"/>
        </w:rPr>
      </w:r>
      <w:bookmarkStart w:id="652" w:name="_Toc22403"/>
      <w:r>
        <w:rPr>
          <w:highlight w:val="none"/>
        </w:rPr>
      </w:r>
      <w:bookmarkStart w:id="653" w:name="_Toc26658"/>
      <w:r>
        <w:rPr>
          <w:rFonts w:hint="eastAsia" w:ascii="宋体" w:hAnsi="宋体" w:cs="宋体"/>
          <w:spacing w:val="15"/>
          <w:szCs w:val="21"/>
          <w:highlight w:val="none"/>
        </w:rPr>
        <w:t xml:space="preserve">日期：</w:t>
      </w:r>
      <w:bookmarkEnd w:id="652"/>
      <w:r>
        <w:rPr>
          <w:highlight w:val="none"/>
        </w:rPr>
      </w:r>
      <w:bookmarkEnd w:id="653"/>
      <w:r>
        <w:rPr>
          <w:highlight w:val="none"/>
        </w:rPr>
      </w:r>
      <w:r/>
    </w:p>
    <w:p>
      <w:pPr>
        <w:ind w:firstLine="480"/>
        <w:spacing w:line="360" w:lineRule="auto"/>
        <w:rPr>
          <w:rFonts w:ascii="宋体" w:hAnsi="宋体" w:cs="宋体"/>
          <w:spacing w:val="15"/>
          <w:szCs w:val="21"/>
          <w:highlight w:val="none"/>
        </w:rPr>
        <w:outlineLvl w:val="1"/>
      </w:pPr>
      <w:r>
        <w:rPr>
          <w:rFonts w:ascii="宋体" w:hAnsi="宋体" w:cs="宋体"/>
          <w:spacing w:val="15"/>
          <w:szCs w:val="21"/>
          <w:highlight w:val="none"/>
        </w:rPr>
      </w:r>
      <w:r>
        <w:rPr>
          <w:highlight w:val="none"/>
        </w:rPr>
      </w:r>
      <w:r/>
    </w:p>
    <w:p>
      <w:pPr>
        <w:ind w:firstLine="480"/>
        <w:spacing w:line="360" w:lineRule="auto"/>
        <w:rPr>
          <w:rFonts w:ascii="宋体" w:hAnsi="宋体" w:cs="宋体"/>
          <w:spacing w:val="15"/>
          <w:szCs w:val="21"/>
          <w:highlight w:val="none"/>
        </w:rPr>
        <w:outlineLvl w:val="1"/>
      </w:pPr>
      <w:r>
        <w:rPr>
          <w:rFonts w:ascii="宋体" w:hAnsi="宋体" w:cs="宋体"/>
          <w:spacing w:val="15"/>
          <w:szCs w:val="21"/>
          <w:highlight w:val="none"/>
        </w:rPr>
      </w:r>
      <w:r>
        <w:rPr>
          <w:highlight w:val="none"/>
        </w:rPr>
      </w:r>
      <w:r/>
    </w:p>
    <w:p>
      <w:pPr>
        <w:ind w:firstLine="480"/>
        <w:spacing w:line="360" w:lineRule="auto"/>
        <w:rPr>
          <w:rFonts w:ascii="宋体" w:hAnsi="宋体" w:cs="宋体"/>
          <w:spacing w:val="15"/>
          <w:szCs w:val="21"/>
          <w:highlight w:val="none"/>
        </w:rPr>
        <w:outlineLvl w:val="1"/>
      </w:pPr>
      <w:r>
        <w:rPr>
          <w:rFonts w:ascii="宋体" w:hAnsi="宋体" w:cs="宋体"/>
          <w:spacing w:val="15"/>
          <w:szCs w:val="21"/>
          <w:highlight w:val="none"/>
        </w:rPr>
      </w:r>
      <w:r>
        <w:rPr>
          <w:highlight w:val="none"/>
        </w:rPr>
      </w:r>
      <w:r/>
    </w:p>
    <w:p>
      <w:pPr>
        <w:spacing w:line="360" w:lineRule="auto"/>
        <w:rPr>
          <w:rFonts w:ascii="宋体" w:hAnsi="宋体" w:cs="宋体"/>
          <w:b/>
          <w:spacing w:val="15"/>
          <w:szCs w:val="21"/>
          <w:highlight w:val="none"/>
        </w:rPr>
        <w:outlineLvl w:val="1"/>
      </w:pPr>
      <w:r>
        <w:rPr>
          <w:highlight w:val="none"/>
        </w:rPr>
      </w:r>
      <w:bookmarkStart w:id="654" w:name="_Toc14786"/>
      <w:r>
        <w:rPr>
          <w:rFonts w:hint="eastAsia" w:ascii="宋体" w:hAnsi="宋体" w:cs="宋体"/>
          <w:b/>
          <w:spacing w:val="15"/>
          <w:szCs w:val="21"/>
          <w:highlight w:val="none"/>
        </w:rPr>
        <w:t xml:space="preserve">附件十、具备履行合同所必需的设备和专业技术能力的声明</w:t>
      </w:r>
      <w:bookmarkEnd w:id="654"/>
      <w:r>
        <w:rPr>
          <w:highlight w:val="none"/>
        </w:rPr>
      </w:r>
      <w:r/>
    </w:p>
    <w:p>
      <w:pPr>
        <w:jc w:val="center"/>
        <w:rPr>
          <w:rFonts w:ascii="黑体" w:eastAsia="黑体"/>
          <w:sz w:val="36"/>
          <w:szCs w:val="36"/>
          <w:highlight w:val="none"/>
        </w:rPr>
      </w:pPr>
      <w:r>
        <w:rPr>
          <w:rFonts w:ascii="黑体" w:eastAsia="黑体"/>
          <w:sz w:val="36"/>
          <w:szCs w:val="36"/>
          <w:highlight w:val="none"/>
        </w:rPr>
      </w:r>
      <w:r>
        <w:rPr>
          <w:highlight w:val="none"/>
        </w:rPr>
      </w:r>
      <w:r/>
    </w:p>
    <w:p>
      <w:pPr>
        <w:jc w:val="center"/>
        <w:rPr>
          <w:rFonts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highlight w:val="none"/>
        </w:rPr>
      </w:r>
      <w:r/>
    </w:p>
    <w:p>
      <w:pPr>
        <w:jc w:val="left"/>
        <w:rPr>
          <w:highlight w:val="none"/>
        </w:rPr>
      </w:pPr>
      <w:r>
        <w:rPr>
          <w:highlight w:val="none"/>
        </w:rPr>
      </w:r>
      <w:r>
        <w:rPr>
          <w:highlight w:val="none"/>
        </w:rPr>
      </w:r>
      <w:r/>
    </w:p>
    <w:p>
      <w:pPr>
        <w:jc w:val="left"/>
        <w:rPr>
          <w:highlight w:val="none"/>
        </w:rPr>
      </w:pPr>
      <w:r>
        <w:rPr>
          <w:rFonts w:hint="eastAsia"/>
          <w:highlight w:val="none"/>
        </w:rPr>
        <w:t xml:space="preserve">南京市六合区人民政府马鞍街道办事处</w:t>
      </w:r>
      <w:r>
        <w:rPr>
          <w:rFonts w:hint="eastAsia"/>
          <w:highlight w:val="none"/>
        </w:rPr>
        <w:t xml:space="preserve">：</w:t>
      </w:r>
      <w:r>
        <w:rPr>
          <w:highlight w:val="none"/>
        </w:rPr>
      </w:r>
      <w:r/>
    </w:p>
    <w:p>
      <w:pPr>
        <w:spacing w:line="360" w:lineRule="auto"/>
        <w:rPr>
          <w:rFonts w:ascii="宋体" w:hAnsi="宋体"/>
          <w:szCs w:val="21"/>
          <w:highlight w:val="none"/>
        </w:rPr>
      </w:pPr>
      <w:r>
        <w:rPr>
          <w:rFonts w:ascii="宋体" w:hAnsi="宋体"/>
          <w:szCs w:val="21"/>
          <w:highlight w:val="none"/>
        </w:rPr>
      </w:r>
      <w:r>
        <w:rPr>
          <w:highlight w:val="none"/>
        </w:rPr>
      </w:r>
      <w:r/>
    </w:p>
    <w:p>
      <w:pPr>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highlight w:val="none"/>
        </w:rPr>
      </w:r>
      <w:r/>
    </w:p>
    <w:p>
      <w:pPr>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highlight w:val="none"/>
        </w:rPr>
      </w:r>
      <w:r/>
    </w:p>
    <w:p>
      <w:pPr>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highlight w:val="none"/>
        </w:rPr>
      </w:r>
      <w:r/>
    </w:p>
    <w:p>
      <w:pPr>
        <w:ind w:firstLine="492"/>
        <w:spacing w:line="360" w:lineRule="auto"/>
        <w:rPr>
          <w:rFonts w:ascii="宋体" w:hAnsi="宋体"/>
          <w:szCs w:val="21"/>
          <w:highlight w:val="none"/>
        </w:rPr>
      </w:pPr>
      <w:r>
        <w:rPr>
          <w:rFonts w:hint="eastAsia" w:ascii="宋体" w:hAnsi="宋体"/>
          <w:szCs w:val="21"/>
          <w:highlight w:val="none"/>
        </w:rPr>
        <w:t xml:space="preserve">声明人（公章）：</w:t>
      </w:r>
      <w:r>
        <w:rPr>
          <w:highlight w:val="none"/>
        </w:rPr>
      </w:r>
      <w:r/>
    </w:p>
    <w:p>
      <w:pPr>
        <w:jc w:val="left"/>
        <w:rPr>
          <w:highlight w:val="none"/>
        </w:rPr>
      </w:pPr>
      <w:r>
        <w:rPr>
          <w:highlight w:val="none"/>
        </w:rPr>
      </w:r>
      <w:r>
        <w:rPr>
          <w:highlight w:val="none"/>
        </w:rPr>
      </w:r>
      <w:r/>
    </w:p>
    <w:p>
      <w:pPr>
        <w:jc w:val="right"/>
        <w:rPr>
          <w:highlight w:val="none"/>
        </w:rPr>
      </w:pPr>
      <w:r>
        <w:rPr>
          <w:rFonts w:hint="eastAsia"/>
          <w:highlight w:val="none"/>
        </w:rPr>
        <w:t xml:space="preserve">年</w:t>
      </w:r>
      <w:r>
        <w:rPr>
          <w:rFonts w:hint="eastAsia"/>
          <w:highlight w:val="none"/>
        </w:rPr>
        <w:t xml:space="preserve">      </w:t>
      </w:r>
      <w:r>
        <w:rPr>
          <w:rFonts w:hint="eastAsia"/>
          <w:highlight w:val="none"/>
        </w:rPr>
        <w:t xml:space="preserve">月</w:t>
      </w:r>
      <w:r>
        <w:rPr>
          <w:rFonts w:hint="eastAsia"/>
          <w:highlight w:val="none"/>
        </w:rPr>
        <w:t xml:space="preserve">      </w:t>
      </w:r>
      <w:r>
        <w:rPr>
          <w:rFonts w:hint="eastAsia"/>
          <w:highlight w:val="none"/>
        </w:rPr>
        <w:t xml:space="preserve">日</w:t>
      </w:r>
      <w:r>
        <w:rPr>
          <w:highlight w:val="none"/>
        </w:rPr>
      </w:r>
      <w:r/>
    </w:p>
    <w:p>
      <w:pPr>
        <w:jc w:val="left"/>
        <w:rPr>
          <w:highlight w:val="none"/>
        </w:rPr>
      </w:pPr>
      <w:r>
        <w:rPr>
          <w:highlight w:val="none"/>
        </w:rPr>
      </w:r>
      <w:r>
        <w:rPr>
          <w:highlight w:val="none"/>
        </w:rPr>
      </w:r>
      <w:r/>
    </w:p>
    <w:p>
      <w:pPr>
        <w:ind w:right="1512"/>
        <w:jc w:val="right"/>
        <w:spacing w:before="1" w:after="200"/>
        <w:rPr>
          <w:highlight w:val="none"/>
        </w:rPr>
        <w:outlineLvl w:val="0"/>
      </w:pPr>
      <w:r>
        <w:rPr>
          <w:highlight w:val="none"/>
        </w:rPr>
      </w:r>
      <w:r>
        <w:rPr>
          <w:highlight w:val="none"/>
        </w:rPr>
      </w:r>
      <w:r/>
    </w:p>
    <w:p>
      <w:pPr>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655" w:name="_Toc21344"/>
      <w:r>
        <w:rPr>
          <w:rFonts w:ascii="宋体" w:hAnsi="宋体" w:cs="宋体"/>
          <w:b/>
          <w:color w:val="000000"/>
          <w:szCs w:val="21"/>
          <w:highlight w:val="none"/>
        </w:rPr>
        <w:t xml:space="preserve">附件</w:t>
      </w:r>
      <w:r>
        <w:rPr>
          <w:rFonts w:hint="eastAsia" w:ascii="宋体" w:hAnsi="宋体" w:cs="宋体"/>
          <w:b/>
          <w:color w:val="000000"/>
          <w:szCs w:val="21"/>
          <w:highlight w:val="none"/>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655"/>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highlight w:val="none"/>
        </w:rPr>
      </w:r>
      <w:r/>
    </w:p>
    <w:p>
      <w:pPr>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rPr>
          <w:highlight w:val="none"/>
        </w:rPr>
      </w:r>
      <w:r/>
    </w:p>
    <w:p>
      <w:pPr>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（注:1.</w:t>
      </w:r>
      <w:r>
        <w:rPr>
          <w:rFonts w:ascii="宋体" w:hAnsi="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cs="宋体"/>
          <w:color w:val="000000"/>
          <w:spacing w:val="15"/>
          <w:szCs w:val="21"/>
          <w:highlight w:val="none"/>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ascii="宋体" w:hAnsi="宋体" w:cs="宋体"/>
          <w:color w:val="000000"/>
          <w:spacing w:val="15"/>
          <w:szCs w:val="21"/>
          <w:highlight w:val="none"/>
        </w:rPr>
        <w:t xml:space="preserve"> </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highlight w:val="none"/>
        </w:rPr>
      </w:r>
      <w:r/>
    </w:p>
    <w:p>
      <w:pPr>
        <w:pStyle w:val="900"/>
        <w:rPr>
          <w:rFonts w:cs="宋体"/>
          <w:color w:val="000000"/>
          <w:spacing w:val="15"/>
          <w:sz w:val="22"/>
          <w:highlight w:val="none"/>
        </w:rPr>
      </w:pPr>
      <w:r>
        <w:rPr>
          <w:rFonts w:cs="宋体"/>
          <w:color w:val="000000"/>
          <w:spacing w:val="15"/>
          <w:sz w:val="22"/>
          <w:highlight w:val="none"/>
        </w:rPr>
      </w:r>
      <w:r>
        <w:rPr>
          <w:highlight w:val="none"/>
        </w:rPr>
      </w:r>
      <w:r/>
    </w:p>
    <w:p>
      <w:pPr>
        <w:spacing w:line="85" w:lineRule="atLeast"/>
        <w:rPr>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1"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8.1pt;height:283.0pt;mso-wrap-distance-left:0.0pt;mso-wrap-distance-top:0.0pt;mso-wrap-distance-right:0.0pt;mso-wrap-distance-bottom:0.0pt;" stroked="f">
                <v:path textboxrect="0,0,0,0"/>
                <v:imagedata r:id="rId12" o:title=""/>
              </v:shape>
            </w:pict>
          </mc:Fallback>
        </mc:AlternateContent>
      </w:r>
      <w:r>
        <w:rPr>
          <w:rFonts w:ascii="宋体" w:hAnsi="宋体" w:cs="宋体"/>
          <w:b/>
          <w:color w:val="000000"/>
          <w:spacing w:val="15"/>
          <w:szCs w:val="21"/>
          <w:highlight w:val="none"/>
        </w:rPr>
        <w:br w:type="page" w:clear="all"/>
      </w:r>
      <w:bookmarkStart w:id="656"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656"/>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highlight w:val="none"/>
        </w:rPr>
      </w:r>
      <w:r/>
    </w:p>
    <w:p>
      <w:pPr>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highlight w:val="none"/>
        </w:rPr>
      </w:r>
      <w:r/>
    </w:p>
    <w:p>
      <w:pPr>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highlight w:val="none"/>
        </w:rPr>
      </w:r>
      <w:r/>
    </w:p>
    <w:p>
      <w:pPr>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highlight w:val="none"/>
        </w:rPr>
      </w:r>
      <w:r/>
    </w:p>
    <w:p>
      <w:pPr>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highlight w:val="none"/>
        </w:rPr>
      </w:r>
      <w:r/>
    </w:p>
    <w:p>
      <w:pPr>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657"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件十三、属于监狱企业的证明文件（如有，无则不提供此项）</w:t>
      </w:r>
      <w:bookmarkEnd w:id="657"/>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jc w:val="center"/>
        <w:spacing w:line="85" w:lineRule="atLeast"/>
        <w:rPr>
          <w:rFonts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658" w:name="_Toc10952"/>
      <w:r>
        <w:rPr>
          <w:rFonts w:hint="eastAsia" w:ascii="宋体" w:hAnsi="宋体" w:cs="宋体"/>
          <w:b/>
          <w:color w:val="000000"/>
          <w:spacing w:val="15"/>
          <w:szCs w:val="21"/>
          <w:highlight w:val="none"/>
        </w:rPr>
        <w:t xml:space="preserve">附件十四、节能产品认证文件（如有，无则不提供此项）</w:t>
      </w:r>
      <w:bookmarkEnd w:id="658"/>
      <w:r>
        <w:rPr>
          <w:highlight w:val="none"/>
        </w:rPr>
      </w:r>
      <w:r/>
    </w:p>
    <w:p>
      <w:pPr>
        <w:jc w:val="center"/>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highlight w:val="none"/>
        </w:rPr>
      </w:r>
      <w:r/>
    </w:p>
    <w:p>
      <w:pPr>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659" w:name="_Toc17753"/>
      <w:r>
        <w:rPr>
          <w:rFonts w:hint="eastAsia" w:ascii="宋体" w:hAnsi="宋体" w:cs="宋体"/>
          <w:b/>
          <w:color w:val="000000"/>
          <w:spacing w:val="15"/>
          <w:szCs w:val="21"/>
          <w:highlight w:val="none"/>
        </w:rPr>
        <w:t xml:space="preserve">附件十五、环境标志产品认证文件（如有，无则不提供此项）</w:t>
      </w:r>
      <w:bookmarkEnd w:id="659"/>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660" w:name="_Toc3039"/>
      <w:r>
        <w:rPr>
          <w:rFonts w:hint="eastAsia" w:ascii="宋体" w:hAnsi="宋体" w:cs="宋体"/>
          <w:b/>
          <w:color w:val="000000"/>
          <w:spacing w:val="15"/>
          <w:szCs w:val="21"/>
          <w:highlight w:val="none"/>
        </w:rPr>
        <w:t xml:space="preserve">附件十六、进口产品转让技术、消化吸收再创新方案（如有，无则不提供此项）</w:t>
      </w:r>
      <w:bookmarkEnd w:id="660"/>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highlight w:val="none"/>
        </w:rPr>
      </w:r>
      <w:r/>
    </w:p>
    <w:p>
      <w:pPr>
        <w:jc w:val="center"/>
        <w:rPr>
          <w:rFonts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highlight w:val="none"/>
        </w:rPr>
      </w:r>
      <w:r/>
    </w:p>
    <w:p>
      <w:pPr>
        <w:ind w:right="1512"/>
        <w:jc w:val="center"/>
        <w:spacing w:before="1" w:after="200"/>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ind w:right="1512"/>
        <w:spacing w:before="1" w:after="200"/>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ind w:right="1512"/>
        <w:spacing w:before="1" w:after="200"/>
        <w:rPr>
          <w:rFonts w:ascii="宋体" w:hAnsi="宋体" w:cs="宋体"/>
          <w:b/>
          <w:bCs/>
          <w:szCs w:val="21"/>
          <w:highlight w:val="none"/>
        </w:rPr>
        <w:outlineLvl w:val="0"/>
      </w:pPr>
      <w:r>
        <w:rPr>
          <w:highlight w:val="none"/>
        </w:rPr>
      </w:r>
      <w:bookmarkStart w:id="661"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661"/>
      <w:r>
        <w:rPr>
          <w:highlight w:val="none"/>
        </w:rPr>
      </w:r>
      <w:r/>
    </w:p>
    <w:p>
      <w:pPr>
        <w:spacing w:line="360" w:lineRule="auto"/>
        <w:rPr>
          <w:rFonts w:ascii="宋体" w:hAnsi="宋体" w:cs="宋体"/>
          <w:bCs/>
          <w:szCs w:val="21"/>
          <w:highlight w:val="none"/>
        </w:rPr>
      </w:pPr>
      <w:r>
        <w:rPr>
          <w:rFonts w:ascii="宋体" w:hAnsi="宋体" w:cs="宋体"/>
          <w:bCs/>
          <w:szCs w:val="21"/>
          <w:highlight w:val="none"/>
          <w:lang w:val="zh-CN" w:bidi="zh-CN"/>
        </w:rPr>
        <w:t xml:space="preserve">（直接填写无效，需至“南京政府采购供应商诚信档案管理系统”在线打印）</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bidi="zh-CN"/>
        </w:rPr>
        <w:t xml:space="preserve">说明：</w:t>
      </w:r>
      <w:r>
        <w:rPr>
          <w:rFonts w:hint="eastAsia" w:ascii="宋体" w:hAnsi="宋体" w:cs="宋体"/>
          <w:bCs/>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（2）供应商必须在提交投标（响应）文件截止日2天前办理登记注册手续。供应商拟申请网上注册的，应当按以下程序进行：</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b.系统审核后，供应商即可登录系统，进行《南京市政府采购供应商信用记录表暨信用承诺书》下载打印；</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c.南京市政府采购供应商诚信档案管理系统客服电话：025-52718366。供应商可就用户注册与打印事宜进行咨询。</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（3）供应商参加本次政府采购活动时，</w:t>
      </w:r>
      <w:r>
        <w:rPr>
          <w:rFonts w:hint="eastAsia" w:ascii="宋体" w:hAnsi="宋体" w:cs="宋体"/>
          <w:bCs/>
          <w:szCs w:val="21"/>
          <w:highlight w:val="none"/>
          <w:u w:val="single"/>
          <w:lang w:val="zh-CN" w:bidi="zh-CN"/>
        </w:rPr>
        <w:t xml:space="preserve">在磋商文件发布之日起至递交响应文件截止日前</w:t>
      </w:r>
      <w:r>
        <w:rPr>
          <w:rFonts w:hint="eastAsia" w:ascii="宋体" w:hAnsi="宋体" w:cs="宋体"/>
          <w:bCs/>
          <w:szCs w:val="21"/>
          <w:highlight w:val="none"/>
          <w:lang w:val="zh-CN" w:bidi="zh-CN"/>
        </w:rPr>
        <w:t xml:space="preserve">，应先登录“南京公共采购信息网”在线打印其</w:t>
      </w:r>
      <w:r>
        <w:rPr>
          <w:rFonts w:hint="eastAsia" w:ascii="宋体" w:hAnsi="宋体" w:cs="宋体"/>
          <w:bCs/>
          <w:szCs w:val="21"/>
          <w:highlight w:val="none"/>
          <w:lang w:bidi="zh-CN"/>
        </w:rPr>
        <w:t xml:space="preserve">附带二维码的</w:t>
      </w:r>
      <w:r>
        <w:rPr>
          <w:rFonts w:hint="eastAsia" w:ascii="宋体" w:hAnsi="宋体" w:cs="宋体"/>
          <w:bCs/>
          <w:szCs w:val="21"/>
          <w:highlight w:val="none"/>
          <w:lang w:val="zh-CN" w:bidi="zh-CN"/>
        </w:rPr>
        <w:t xml:space="preserve">《南京市政府采购供应商信用记录表暨信用承诺书》，</w:t>
      </w:r>
      <w:r>
        <w:rPr>
          <w:rFonts w:hint="eastAsia" w:ascii="宋体" w:hAnsi="宋体" w:cs="宋体"/>
          <w:bCs/>
          <w:szCs w:val="21"/>
          <w:highlight w:val="none"/>
          <w:lang w:bidi="zh-CN"/>
        </w:rPr>
        <w:t xml:space="preserve">法定代表人签名并</w:t>
      </w:r>
      <w:r>
        <w:rPr>
          <w:rFonts w:hint="eastAsia" w:ascii="宋体" w:hAnsi="宋体" w:cs="宋体"/>
          <w:bCs/>
          <w:szCs w:val="21"/>
          <w:highlight w:val="none"/>
          <w:lang w:val="zh-CN" w:bidi="zh-CN"/>
        </w:rPr>
        <w:t xml:space="preserve">加盖单位公章后作为响应文件的组成部分。</w:t>
      </w:r>
      <w:r>
        <w:rPr>
          <w:highlight w:val="none"/>
        </w:rPr>
      </w:r>
      <w:r/>
    </w:p>
    <w:p>
      <w:pPr>
        <w:rPr>
          <w:rFonts w:ascii="宋体" w:hAnsi="宋体" w:cs="宋体"/>
          <w:b/>
          <w:spacing w:val="15"/>
          <w:szCs w:val="21"/>
          <w:highlight w:val="none"/>
        </w:rPr>
      </w:pPr>
      <w:r>
        <w:rPr>
          <w:rFonts w:ascii="宋体" w:hAnsi="宋体" w:cs="宋体"/>
          <w:b/>
          <w:spacing w:val="15"/>
          <w:szCs w:val="21"/>
          <w:highlight w:val="none"/>
        </w:rPr>
      </w:r>
      <w:r>
        <w:rPr>
          <w:highlight w:val="none"/>
        </w:rPr>
      </w:r>
      <w:r/>
    </w:p>
    <w:p>
      <w:pPr>
        <w:rPr>
          <w:rFonts w:ascii="宋体" w:hAnsi="宋体" w:cs="宋体"/>
          <w:b/>
          <w:spacing w:val="15"/>
          <w:szCs w:val="21"/>
          <w:highlight w:val="none"/>
        </w:rPr>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highlight w:val="none"/>
        </w:rPr>
      </w:r>
      <w:bookmarkStart w:id="662" w:name="_Toc11497"/>
      <w:r>
        <w:rPr>
          <w:rFonts w:hint="eastAsia" w:ascii="宋体" w:hAnsi="宋体" w:cs="宋体"/>
          <w:b/>
          <w:spacing w:val="15"/>
          <w:szCs w:val="21"/>
          <w:highlight w:val="none"/>
        </w:rPr>
        <w:br w:type="page" w:clear="all"/>
      </w:r>
      <w:bookmarkStart w:id="663" w:name="_Toc22543"/>
      <w:r>
        <w:rPr>
          <w:highlight w:val="none"/>
        </w:rPr>
      </w:r>
      <w:bookmarkEnd w:id="662"/>
      <w:r>
        <w:rPr>
          <w:highlight w:val="none"/>
        </w:rPr>
      </w:r>
      <w:r/>
    </w:p>
    <w:p>
      <w:pPr>
        <w:jc w:val="left"/>
        <w:rPr>
          <w:rFonts w:ascii="宋体" w:hAnsi="宋体" w:cs="宋体"/>
          <w:b/>
          <w:spacing w:val="15"/>
          <w:szCs w:val="21"/>
          <w:highlight w:val="none"/>
        </w:rPr>
        <w:outlineLvl w:val="0"/>
      </w:pPr>
      <w:r>
        <w:rPr>
          <w:rFonts w:hint="eastAsia" w:ascii="宋体" w:hAnsi="宋体" w:cs="宋体"/>
          <w:b/>
          <w:spacing w:val="15"/>
          <w:szCs w:val="21"/>
          <w:highlight w:val="none"/>
        </w:rPr>
        <w:t xml:space="preserve">附件十</w:t>
      </w:r>
      <w:r>
        <w:rPr>
          <w:rFonts w:hint="eastAsia" w:ascii="宋体" w:hAnsi="宋体" w:cs="宋体"/>
          <w:b/>
          <w:spacing w:val="15"/>
          <w:szCs w:val="21"/>
          <w:highlight w:val="none"/>
        </w:rPr>
        <w:t xml:space="preserve">八</w:t>
      </w:r>
      <w:r>
        <w:rPr>
          <w:rFonts w:hint="eastAsia" w:ascii="宋体" w:hAnsi="宋体" w:cs="宋体"/>
          <w:b/>
          <w:spacing w:val="15"/>
          <w:szCs w:val="21"/>
          <w:highlight w:val="none"/>
        </w:rPr>
        <w:t xml:space="preserve">、“信用中国”、“中国政府采购网”网站截图</w:t>
      </w:r>
      <w:bookmarkEnd w:id="663"/>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1"/>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1"/>
      </w:pPr>
      <w:r>
        <w:rPr>
          <w:rFonts w:hint="eastAsia" w:ascii="宋体" w:hAnsi="宋体" w:cs="宋体"/>
          <w:b/>
          <w:spacing w:val="15"/>
          <w:szCs w:val="21"/>
          <w:highlight w:val="none"/>
        </w:rPr>
        <w:t xml:space="preserve">附件</w:t>
      </w:r>
      <w:r>
        <w:rPr>
          <w:rFonts w:hint="eastAsia" w:ascii="宋体" w:hAnsi="宋体" w:cs="宋体"/>
          <w:b/>
          <w:spacing w:val="15"/>
          <w:szCs w:val="21"/>
          <w:highlight w:val="none"/>
        </w:rPr>
        <w:t xml:space="preserve">十九</w:t>
      </w:r>
      <w:r>
        <w:rPr>
          <w:rFonts w:hint="eastAsia" w:ascii="宋体" w:hAnsi="宋体" w:cs="宋体"/>
          <w:b/>
          <w:spacing w:val="15"/>
          <w:szCs w:val="21"/>
          <w:highlight w:val="none"/>
        </w:rPr>
        <w:t xml:space="preserve">、磋商供应商认为需提供的其他资料</w:t>
      </w:r>
      <w:r>
        <w:rPr>
          <w:highlight w:val="none"/>
        </w:rPr>
      </w:r>
      <w:r/>
    </w:p>
    <w:p>
      <w:pPr>
        <w:rPr>
          <w:rFonts w:ascii="宋体" w:hAnsi="宋体" w:cs="宋体"/>
          <w:b/>
          <w:spacing w:val="15"/>
          <w:szCs w:val="21"/>
          <w:highlight w:val="none"/>
        </w:rPr>
      </w:pPr>
      <w:r>
        <w:rPr>
          <w:rFonts w:ascii="宋体" w:hAnsi="宋体" w:cs="宋体"/>
          <w:b/>
          <w:spacing w:val="15"/>
          <w:szCs w:val="21"/>
          <w:highlight w:val="none"/>
        </w:rPr>
      </w:r>
      <w:r>
        <w:rPr>
          <w:highlight w:val="none"/>
        </w:rPr>
      </w:r>
      <w:r/>
    </w:p>
    <w:p>
      <w:pPr>
        <w:rPr>
          <w:rFonts w:ascii="宋体" w:hAnsi="宋体" w:cs="宋体"/>
          <w:b/>
          <w:spacing w:val="15"/>
          <w:szCs w:val="21"/>
          <w:highlight w:val="none"/>
        </w:rPr>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rPr>
          <w:rFonts w:ascii="宋体" w:cs="宋体"/>
          <w:szCs w:val="21"/>
          <w:highlight w:val="none"/>
        </w:rPr>
      </w:pPr>
      <w:r>
        <w:rPr>
          <w:rFonts w:ascii="宋体" w:cs="宋体"/>
          <w:szCs w:val="21"/>
          <w:highlight w:val="none"/>
          <w:lang w:val="zh-CN"/>
        </w:rPr>
      </w:r>
      <w:r>
        <w:rPr>
          <w:highlight w:val="none"/>
        </w:rPr>
      </w:r>
      <w:r/>
    </w:p>
    <w:p>
      <w:pPr>
        <w:jc w:val="left"/>
        <w:widowControl/>
        <w:rPr>
          <w:rFonts w:ascii="宋体" w:hAnsi="宋体"/>
          <w:szCs w:val="21"/>
          <w:highlight w:val="none"/>
        </w:rPr>
      </w:pPr>
      <w:r>
        <w:rPr>
          <w:rFonts w:ascii="宋体" w:hAnsi="宋体"/>
          <w:szCs w:val="21"/>
          <w:highlight w:val="none"/>
        </w:rPr>
      </w:r>
      <w:r>
        <w:rPr>
          <w:highlight w:val="none"/>
        </w:rPr>
      </w:r>
      <w:r/>
    </w:p>
    <w:p>
      <w:pPr>
        <w:jc w:val="left"/>
        <w:rPr>
          <w:rFonts w:ascii="宋体" w:hAnsi="宋体" w:cs="黑体"/>
          <w:b/>
          <w:bCs/>
          <w:szCs w:val="21"/>
          <w:highlight w:val="none"/>
        </w:rPr>
        <w:outlineLvl w:val="0"/>
      </w:pPr>
      <w:r>
        <w:rPr>
          <w:rFonts w:ascii="宋体" w:hAnsi="宋体" w:cs="黑体"/>
          <w:b/>
          <w:bCs/>
          <w:szCs w:val="21"/>
          <w:highlight w:val="none"/>
          <w:lang w:val="zh-CN"/>
        </w:rPr>
      </w:r>
      <w:r>
        <w:rPr>
          <w:highlight w:val="none"/>
        </w:rPr>
      </w:r>
      <w:r/>
    </w:p>
    <w:p>
      <w:pPr>
        <w:rPr>
          <w:rFonts w:ascii="宋体" w:cs="宋体"/>
          <w:szCs w:val="21"/>
          <w:highlight w:val="none"/>
        </w:rPr>
      </w:pPr>
      <w:r>
        <w:rPr>
          <w:rFonts w:ascii="宋体" w:cs="宋体"/>
          <w:szCs w:val="21"/>
          <w:highlight w:val="none"/>
          <w:lang w:val="zh-CN"/>
        </w:rPr>
      </w:r>
      <w:r>
        <w:rPr>
          <w:highlight w:val="none"/>
        </w:rPr>
      </w:r>
      <w:r/>
    </w:p>
    <w:sectPr>
      <w:footnotePr/>
      <w:endnotePr/>
      <w:type w:val="nextPage"/>
      <w:pgSz w:w="11906" w:h="16838"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rPr>
        <w:rFonts w:ascii="宋体" w:hAnsi="宋体" w:cs="宋体"/>
      </w:rPr>
    </w:pPr>
    <w:r>
      <w:rPr>
        <w:rFonts w:ascii="宋体" w:hAnsi="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49750974"/>
      <w:docPartObj>
        <w:docPartGallery w:val="Page Numbers (Bottom of Page)"/>
        <w:docPartUnique w:val="true"/>
      </w:docPartObj>
      <w:rPr/>
    </w:sdtPr>
    <w:sdtContent>
      <w:p>
        <w:pPr>
          <w:pStyle w:val="730"/>
          <w:jc w:val="center"/>
        </w:pPr>
        <w:r>
          <w:fldChar w:fldCharType="begin"/>
        </w:r>
        <w:r>
          <w:instrText xml:space="preserve">PAGE   \* MERGEFORMAT</w:instrText>
        </w:r>
        <w:r>
          <w:fldChar w:fldCharType="separate"/>
        </w:r>
        <w:r>
          <w:rPr>
            <w:lang w:val="zh-CN"/>
          </w:rPr>
          <w:t xml:space="preserve">6</w:t>
        </w:r>
        <w:r>
          <w:fldChar w:fldCharType="end"/>
        </w:r>
        <w:r/>
      </w:p>
    </w:sdtContent>
  </w:sdt>
  <w:p>
    <w:pPr>
      <w:spacing w:line="0" w:lineRule="atLeast"/>
      <w:tabs>
        <w:tab w:val="center" w:pos="4535" w:leader="none"/>
      </w:tabs>
      <w:rPr>
        <w:sz w:val="16"/>
        <w:szCs w:val="0"/>
      </w:rPr>
    </w:pP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rFonts w:hint="eastAsia"/>
      </w:rPr>
      <w:t xml:space="preserve">马鞍街道鞍山骨灰堂（一期扩建）工程</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Fonts w:ascii="宋体" w:hAnsi="宋体" w:cs="宋体"/>
      </w:rPr>
    </w:pPr>
    <w:r>
      <w:rPr>
        <w:rFonts w:hint="eastAsia" w:ascii="宋体" w:hAnsi="宋体" w:cs="宋体"/>
      </w:rPr>
      <w:t xml:space="preserve">马鞍街道鞍山骨灰堂（一期扩建）工程</w:t>
    </w:r>
    <w:r/>
  </w:p>
  <w:p>
    <w:pPr>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8 Char"/>
    <w:basedOn w:val="709"/>
    <w:link w:val="707"/>
    <w:uiPriority w:val="9"/>
    <w:rPr>
      <w:rFonts w:ascii="Arial" w:hAnsi="Arial" w:eastAsia="Arial" w:cs="Arial"/>
      <w:i/>
      <w:iCs/>
      <w:sz w:val="22"/>
      <w:szCs w:val="22"/>
    </w:rPr>
  </w:style>
  <w:style w:type="character" w:styleId="693">
    <w:name w:val="Heading 9 Char"/>
    <w:basedOn w:val="709"/>
    <w:link w:val="708"/>
    <w:uiPriority w:val="9"/>
    <w:rPr>
      <w:rFonts w:ascii="Arial" w:hAnsi="Arial" w:eastAsia="Arial" w:cs="Arial"/>
      <w:i/>
      <w:iCs/>
      <w:sz w:val="21"/>
      <w:szCs w:val="21"/>
    </w:rPr>
  </w:style>
  <w:style w:type="character" w:styleId="694">
    <w:name w:val="Title Char"/>
    <w:basedOn w:val="709"/>
    <w:link w:val="721"/>
    <w:uiPriority w:val="10"/>
    <w:rPr>
      <w:sz w:val="48"/>
      <w:szCs w:val="48"/>
    </w:rPr>
  </w:style>
  <w:style w:type="character" w:styleId="695">
    <w:name w:val="Quote Char"/>
    <w:link w:val="725"/>
    <w:uiPriority w:val="29"/>
    <w:rPr>
      <w:i/>
    </w:rPr>
  </w:style>
  <w:style w:type="character" w:styleId="696">
    <w:name w:val="Intense Quote Char"/>
    <w:link w:val="727"/>
    <w:uiPriority w:val="30"/>
    <w:rPr>
      <w:i/>
    </w:rPr>
  </w:style>
  <w:style w:type="character" w:styleId="697">
    <w:name w:val="Footnote Text Char"/>
    <w:link w:val="860"/>
    <w:uiPriority w:val="99"/>
    <w:rPr>
      <w:sz w:val="18"/>
    </w:rPr>
  </w:style>
  <w:style w:type="character" w:styleId="698">
    <w:name w:val="Endnote Text Char"/>
    <w:link w:val="863"/>
    <w:uiPriority w:val="99"/>
    <w:rPr>
      <w:sz w:val="20"/>
    </w:rPr>
  </w:style>
  <w:style w:type="paragraph" w:styleId="699" w:default="1">
    <w:name w:val="Normal"/>
    <w:qFormat/>
    <w:pPr>
      <w:jc w:val="both"/>
      <w:widowControl w:val="off"/>
    </w:pPr>
    <w:rPr>
      <w:sz w:val="21"/>
      <w:szCs w:val="24"/>
    </w:rPr>
  </w:style>
  <w:style w:type="paragraph" w:styleId="700">
    <w:name w:val="Heading 1"/>
    <w:basedOn w:val="699"/>
    <w:next w:val="699"/>
    <w:link w:val="877"/>
    <w:qFormat/>
    <w:pPr>
      <w:keepLines/>
      <w:keepNext/>
      <w:spacing w:before="340" w:after="330" w:line="576" w:lineRule="auto"/>
      <w:outlineLvl w:val="0"/>
    </w:pPr>
    <w:rPr>
      <w:b/>
      <w:bCs/>
      <w:sz w:val="44"/>
      <w:szCs w:val="44"/>
    </w:rPr>
  </w:style>
  <w:style w:type="paragraph" w:styleId="701">
    <w:name w:val="Heading 2"/>
    <w:basedOn w:val="699"/>
    <w:next w:val="699"/>
    <w:link w:val="878"/>
    <w:qFormat/>
    <w:pPr>
      <w:keepLines/>
      <w:keepNext/>
      <w:spacing w:before="260" w:after="260" w:line="413" w:lineRule="auto"/>
      <w:outlineLvl w:val="1"/>
    </w:pPr>
    <w:rPr>
      <w:rFonts w:ascii="Arial" w:hAnsi="Arial" w:eastAsia="黑体"/>
      <w:b/>
      <w:bCs/>
      <w:sz w:val="32"/>
      <w:szCs w:val="32"/>
    </w:rPr>
  </w:style>
  <w:style w:type="paragraph" w:styleId="702">
    <w:name w:val="Heading 3"/>
    <w:basedOn w:val="699"/>
    <w:next w:val="699"/>
    <w:link w:val="879"/>
    <w:qFormat/>
    <w:pPr>
      <w:keepLines/>
      <w:keepNext/>
      <w:spacing w:before="260" w:after="260" w:line="413" w:lineRule="auto"/>
      <w:outlineLvl w:val="2"/>
    </w:pPr>
    <w:rPr>
      <w:b/>
      <w:bCs/>
      <w:sz w:val="32"/>
      <w:szCs w:val="32"/>
    </w:rPr>
  </w:style>
  <w:style w:type="paragraph" w:styleId="703">
    <w:name w:val="Heading 4"/>
    <w:basedOn w:val="699"/>
    <w:next w:val="699"/>
    <w:link w:val="880"/>
    <w:qFormat/>
    <w:pPr>
      <w:keepLines/>
      <w:keepNext/>
      <w:spacing w:before="120" w:after="120"/>
      <w:outlineLvl w:val="3"/>
    </w:pPr>
    <w:rPr>
      <w:rFonts w:ascii="Arial" w:hAnsi="Arial" w:eastAsia="黑体"/>
      <w:b/>
      <w:sz w:val="28"/>
      <w:szCs w:val="20"/>
    </w:rPr>
  </w:style>
  <w:style w:type="paragraph" w:styleId="704">
    <w:name w:val="Heading 5"/>
    <w:basedOn w:val="699"/>
    <w:next w:val="699"/>
    <w:link w:val="881"/>
    <w:qFormat/>
    <w:pPr>
      <w:ind w:left="1008" w:hanging="1008"/>
      <w:keepLines/>
      <w:keepNext/>
      <w:spacing w:before="280" w:after="290" w:line="372" w:lineRule="auto"/>
      <w:tabs>
        <w:tab w:val="left" w:pos="1008" w:leader="none"/>
      </w:tabs>
      <w:outlineLvl w:val="4"/>
    </w:pPr>
    <w:rPr>
      <w:b/>
      <w:bCs/>
      <w:sz w:val="28"/>
      <w:szCs w:val="28"/>
    </w:rPr>
  </w:style>
  <w:style w:type="paragraph" w:styleId="705">
    <w:name w:val="Heading 6"/>
    <w:basedOn w:val="699"/>
    <w:next w:val="699"/>
    <w:link w:val="882"/>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06">
    <w:name w:val="Heading 7"/>
    <w:basedOn w:val="699"/>
    <w:next w:val="699"/>
    <w:link w:val="883"/>
    <w:qFormat/>
    <w:pPr>
      <w:ind w:left="1296" w:hanging="1296"/>
      <w:keepLines/>
      <w:keepNext/>
      <w:spacing w:before="240" w:after="64" w:line="317" w:lineRule="auto"/>
      <w:tabs>
        <w:tab w:val="left" w:pos="1296" w:leader="none"/>
      </w:tabs>
      <w:outlineLvl w:val="6"/>
    </w:pPr>
    <w:rPr>
      <w:b/>
      <w:bCs/>
      <w:sz w:val="24"/>
    </w:rPr>
  </w:style>
  <w:style w:type="paragraph" w:styleId="707">
    <w:name w:val="Heading 8"/>
    <w:basedOn w:val="699"/>
    <w:next w:val="699"/>
    <w:link w:val="71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08">
    <w:name w:val="Heading 9"/>
    <w:basedOn w:val="699"/>
    <w:next w:val="699"/>
    <w:link w:val="71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character" w:styleId="712" w:customStyle="1">
    <w:name w:val="Heading 3 Char"/>
    <w:uiPriority w:val="9"/>
    <w:rPr>
      <w:rFonts w:ascii="Arial" w:hAnsi="Arial" w:eastAsia="Arial" w:cs="Arial"/>
      <w:sz w:val="30"/>
      <w:szCs w:val="30"/>
    </w:rPr>
  </w:style>
  <w:style w:type="character" w:styleId="713" w:customStyle="1">
    <w:name w:val="Heading 4 Char"/>
    <w:uiPriority w:val="9"/>
    <w:rPr>
      <w:rFonts w:ascii="Arial" w:hAnsi="Arial" w:eastAsia="Arial" w:cs="Arial"/>
      <w:b/>
      <w:bCs/>
      <w:sz w:val="26"/>
      <w:szCs w:val="26"/>
    </w:rPr>
  </w:style>
  <w:style w:type="character" w:styleId="714" w:customStyle="1">
    <w:name w:val="Heading 5 Char"/>
    <w:uiPriority w:val="9"/>
    <w:rPr>
      <w:rFonts w:ascii="Arial" w:hAnsi="Arial" w:eastAsia="Arial" w:cs="Arial"/>
      <w:b/>
      <w:bCs/>
      <w:sz w:val="24"/>
      <w:szCs w:val="24"/>
    </w:rPr>
  </w:style>
  <w:style w:type="character" w:styleId="715" w:customStyle="1">
    <w:name w:val="Heading 6 Char"/>
    <w:uiPriority w:val="9"/>
    <w:rPr>
      <w:rFonts w:ascii="Arial" w:hAnsi="Arial" w:eastAsia="Arial" w:cs="Arial"/>
      <w:b/>
      <w:bCs/>
      <w:sz w:val="22"/>
      <w:szCs w:val="22"/>
    </w:rPr>
  </w:style>
  <w:style w:type="character" w:styleId="716" w:customStyle="1">
    <w:name w:val="Heading 7 Char"/>
    <w:uiPriority w:val="9"/>
    <w:rPr>
      <w:rFonts w:ascii="Arial" w:hAnsi="Arial" w:eastAsia="Arial" w:cs="Arial"/>
      <w:b/>
      <w:bCs/>
      <w:i/>
      <w:iCs/>
      <w:sz w:val="22"/>
      <w:szCs w:val="22"/>
    </w:rPr>
  </w:style>
  <w:style w:type="character" w:styleId="717" w:customStyle="1">
    <w:name w:val="标题 8 Char"/>
    <w:link w:val="707"/>
    <w:uiPriority w:val="9"/>
    <w:rPr>
      <w:rFonts w:ascii="Arial" w:hAnsi="Arial" w:eastAsia="Arial" w:cs="Arial"/>
      <w:i/>
      <w:iCs/>
      <w:sz w:val="22"/>
      <w:szCs w:val="22"/>
    </w:rPr>
  </w:style>
  <w:style w:type="character" w:styleId="718" w:customStyle="1">
    <w:name w:val="标题 9 Char"/>
    <w:link w:val="708"/>
    <w:uiPriority w:val="9"/>
    <w:rPr>
      <w:rFonts w:ascii="Arial" w:hAnsi="Arial" w:eastAsia="Arial" w:cs="Arial"/>
      <w:i/>
      <w:iCs/>
      <w:sz w:val="21"/>
      <w:szCs w:val="21"/>
    </w:rPr>
  </w:style>
  <w:style w:type="paragraph" w:styleId="719">
    <w:name w:val="List Paragraph"/>
    <w:basedOn w:val="699"/>
    <w:uiPriority w:val="34"/>
    <w:qFormat/>
    <w:pPr>
      <w:contextualSpacing/>
      <w:ind w:left="720"/>
    </w:pPr>
  </w:style>
  <w:style w:type="paragraph" w:styleId="720">
    <w:name w:val="No Spacing"/>
    <w:uiPriority w:val="1"/>
    <w:qFormat/>
    <w:pPr>
      <w:contextualSpacing/>
      <w:jc w:val="both"/>
      <w:widowControl w:val="off"/>
    </w:pPr>
    <w:rPr>
      <w:sz w:val="24"/>
    </w:rPr>
  </w:style>
  <w:style w:type="paragraph" w:styleId="721">
    <w:name w:val="Title"/>
    <w:basedOn w:val="699"/>
    <w:link w:val="722"/>
    <w:qFormat/>
    <w:pPr>
      <w:jc w:val="center"/>
      <w:spacing w:line="420" w:lineRule="exact"/>
      <w:widowControl/>
    </w:pPr>
    <w:rPr>
      <w:rFonts w:eastAsia="黑体"/>
      <w:b/>
      <w:sz w:val="28"/>
      <w:szCs w:val="20"/>
      <w:lang w:val="en-GB"/>
    </w:rPr>
  </w:style>
  <w:style w:type="character" w:styleId="722" w:customStyle="1">
    <w:name w:val="标题 Char"/>
    <w:link w:val="721"/>
    <w:uiPriority w:val="10"/>
    <w:rPr>
      <w:sz w:val="48"/>
      <w:szCs w:val="48"/>
    </w:rPr>
  </w:style>
  <w:style w:type="paragraph" w:styleId="723">
    <w:name w:val="Subtitle"/>
    <w:basedOn w:val="699"/>
    <w:next w:val="699"/>
    <w:link w:val="908"/>
    <w:qFormat/>
    <w:pPr>
      <w:jc w:val="center"/>
      <w:spacing w:after="560"/>
      <w:widowControl/>
    </w:pPr>
    <w:rPr>
      <w:rFonts w:ascii="Cambria" w:hAnsi="Cambria"/>
      <w:caps/>
      <w:spacing w:val="20"/>
      <w:sz w:val="18"/>
      <w:szCs w:val="18"/>
      <w:lang w:eastAsia="en-US" w:bidi="en-US"/>
    </w:rPr>
  </w:style>
  <w:style w:type="character" w:styleId="724" w:customStyle="1">
    <w:name w:val="Subtitle Char"/>
    <w:uiPriority w:val="11"/>
    <w:rPr>
      <w:sz w:val="24"/>
      <w:szCs w:val="24"/>
    </w:rPr>
  </w:style>
  <w:style w:type="paragraph" w:styleId="725">
    <w:name w:val="Quote"/>
    <w:basedOn w:val="699"/>
    <w:next w:val="699"/>
    <w:link w:val="726"/>
    <w:uiPriority w:val="29"/>
    <w:qFormat/>
    <w:pPr>
      <w:ind w:left="720" w:right="720"/>
    </w:pPr>
    <w:rPr>
      <w:i/>
    </w:rPr>
  </w:style>
  <w:style w:type="character" w:styleId="726" w:customStyle="1">
    <w:name w:val="引用 Char1"/>
    <w:link w:val="725"/>
    <w:uiPriority w:val="29"/>
    <w:rPr>
      <w:i/>
    </w:rPr>
  </w:style>
  <w:style w:type="paragraph" w:styleId="727">
    <w:name w:val="Intense Quote"/>
    <w:basedOn w:val="699"/>
    <w:next w:val="699"/>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Char1"/>
    <w:link w:val="727"/>
    <w:uiPriority w:val="30"/>
    <w:rPr>
      <w:i/>
    </w:rPr>
  </w:style>
  <w:style w:type="paragraph" w:styleId="729">
    <w:name w:val="Header"/>
    <w:basedOn w:val="699"/>
    <w:link w:val="904"/>
    <w:qFormat/>
    <w:pPr>
      <w:jc w:val="center"/>
      <w:tabs>
        <w:tab w:val="center" w:pos="4153" w:leader="none"/>
        <w:tab w:val="right" w:pos="8306" w:leader="none"/>
      </w:tabs>
      <w:pBdr>
        <w:bottom w:val="single" w:color="000000" w:sz="6" w:space="1"/>
      </w:pBdr>
    </w:pPr>
    <w:rPr>
      <w:sz w:val="18"/>
      <w:szCs w:val="18"/>
    </w:rPr>
  </w:style>
  <w:style w:type="paragraph" w:styleId="730">
    <w:name w:val="Footer"/>
    <w:basedOn w:val="699"/>
    <w:link w:val="903"/>
    <w:uiPriority w:val="99"/>
    <w:qFormat/>
    <w:pPr>
      <w:jc w:val="left"/>
      <w:tabs>
        <w:tab w:val="center" w:pos="4153" w:leader="none"/>
        <w:tab w:val="right" w:pos="8306" w:leader="none"/>
      </w:tabs>
    </w:pPr>
    <w:rPr>
      <w:sz w:val="18"/>
      <w:szCs w:val="18"/>
    </w:rPr>
  </w:style>
  <w:style w:type="paragraph" w:styleId="731">
    <w:name w:val="Caption"/>
    <w:basedOn w:val="699"/>
    <w:next w:val="699"/>
    <w:uiPriority w:val="35"/>
    <w:semiHidden/>
    <w:unhideWhenUsed/>
    <w:qFormat/>
    <w:pPr>
      <w:spacing w:line="276" w:lineRule="auto"/>
    </w:pPr>
    <w:rPr>
      <w:b/>
      <w:bCs/>
      <w:color w:val="4f81bd" w:themeColor="accent1"/>
      <w:sz w:val="18"/>
      <w:szCs w:val="18"/>
    </w:rPr>
  </w:style>
  <w:style w:type="character" w:styleId="732" w:customStyle="1">
    <w:name w:val="Caption Char"/>
    <w:uiPriority w:val="99"/>
  </w:style>
  <w:style w:type="table" w:styleId="733">
    <w:name w:val="Table Grid"/>
    <w:basedOn w:val="710"/>
    <w:uiPriority w:val="59"/>
    <w:rPr>
      <w:rFonts w:ascii="Calibri" w:hAnsi="Calibri"/>
      <w:sz w:val="21"/>
      <w:szCs w:val="22"/>
    </w:rPr>
    <w:tblPr/>
  </w:style>
  <w:style w:type="table" w:styleId="73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5">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4">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7"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8"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9"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name w:val="Hyperlink"/>
    <w:uiPriority w:val="99"/>
    <w:qFormat/>
    <w:rPr>
      <w:color w:val="0000ff"/>
      <w:u w:val="single"/>
    </w:rPr>
  </w:style>
  <w:style w:type="paragraph" w:styleId="860">
    <w:name w:val="footnote text"/>
    <w:basedOn w:val="699"/>
    <w:link w:val="861"/>
    <w:qFormat/>
    <w:pPr>
      <w:jc w:val="left"/>
    </w:pPr>
    <w:rPr>
      <w:sz w:val="18"/>
      <w:szCs w:val="18"/>
    </w:rPr>
  </w:style>
  <w:style w:type="character" w:styleId="861" w:customStyle="1">
    <w:name w:val="脚注文本 Char"/>
    <w:link w:val="860"/>
    <w:uiPriority w:val="99"/>
    <w:rPr>
      <w:sz w:val="18"/>
    </w:rPr>
  </w:style>
  <w:style w:type="character" w:styleId="862">
    <w:name w:val="footnote reference"/>
    <w:qFormat/>
    <w:rPr>
      <w:vertAlign w:val="superscript"/>
    </w:rPr>
  </w:style>
  <w:style w:type="paragraph" w:styleId="863">
    <w:name w:val="endnote text"/>
    <w:basedOn w:val="699"/>
    <w:link w:val="864"/>
    <w:uiPriority w:val="99"/>
    <w:semiHidden/>
    <w:unhideWhenUsed/>
    <w:rPr>
      <w:sz w:val="20"/>
    </w:rPr>
  </w:style>
  <w:style w:type="character" w:styleId="864" w:customStyle="1">
    <w:name w:val="尾注文本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699"/>
    <w:next w:val="699"/>
    <w:uiPriority w:val="39"/>
    <w:qFormat/>
  </w:style>
  <w:style w:type="paragraph" w:styleId="867">
    <w:name w:val="toc 2"/>
    <w:basedOn w:val="699"/>
    <w:next w:val="699"/>
    <w:uiPriority w:val="39"/>
    <w:qFormat/>
    <w:pPr>
      <w:ind w:left="420"/>
    </w:pPr>
  </w:style>
  <w:style w:type="paragraph" w:styleId="868">
    <w:name w:val="toc 3"/>
    <w:basedOn w:val="699"/>
    <w:next w:val="699"/>
    <w:uiPriority w:val="39"/>
    <w:qFormat/>
    <w:pPr>
      <w:ind w:left="840"/>
    </w:pPr>
  </w:style>
  <w:style w:type="paragraph" w:styleId="869">
    <w:name w:val="toc 4"/>
    <w:basedOn w:val="699"/>
    <w:next w:val="699"/>
    <w:uiPriority w:val="39"/>
    <w:unhideWhenUsed/>
    <w:pPr>
      <w:ind w:left="850"/>
      <w:spacing w:after="57"/>
    </w:pPr>
  </w:style>
  <w:style w:type="paragraph" w:styleId="870">
    <w:name w:val="toc 5"/>
    <w:basedOn w:val="699"/>
    <w:next w:val="699"/>
    <w:uiPriority w:val="39"/>
    <w:unhideWhenUsed/>
    <w:pPr>
      <w:ind w:left="1134"/>
      <w:spacing w:after="57"/>
    </w:pPr>
  </w:style>
  <w:style w:type="paragraph" w:styleId="871">
    <w:name w:val="toc 6"/>
    <w:basedOn w:val="699"/>
    <w:next w:val="699"/>
    <w:uiPriority w:val="39"/>
    <w:unhideWhenUsed/>
    <w:pPr>
      <w:ind w:left="1417"/>
      <w:spacing w:after="57"/>
    </w:pPr>
  </w:style>
  <w:style w:type="paragraph" w:styleId="872">
    <w:name w:val="toc 7"/>
    <w:basedOn w:val="699"/>
    <w:next w:val="699"/>
    <w:uiPriority w:val="39"/>
    <w:unhideWhenUsed/>
    <w:pPr>
      <w:ind w:left="1701"/>
      <w:spacing w:after="57"/>
    </w:pPr>
  </w:style>
  <w:style w:type="paragraph" w:styleId="873">
    <w:name w:val="toc 8"/>
    <w:basedOn w:val="699"/>
    <w:next w:val="699"/>
    <w:uiPriority w:val="39"/>
    <w:unhideWhenUsed/>
    <w:pPr>
      <w:ind w:left="1984"/>
      <w:spacing w:after="57"/>
    </w:pPr>
  </w:style>
  <w:style w:type="paragraph" w:styleId="874">
    <w:name w:val="toc 9"/>
    <w:basedOn w:val="699"/>
    <w:next w:val="699"/>
    <w:uiPriority w:val="39"/>
    <w:unhideWhenUsed/>
    <w:pPr>
      <w:ind w:left="2268"/>
      <w:spacing w:after="57"/>
    </w:pPr>
  </w:style>
  <w:style w:type="paragraph" w:styleId="875">
    <w:name w:val="TOC Heading"/>
    <w:basedOn w:val="700"/>
    <w:next w:val="699"/>
    <w:uiPriority w:val="39"/>
    <w:qFormat/>
    <w:pPr>
      <w:jc w:val="left"/>
      <w:spacing w:before="480" w:after="0" w:line="276" w:lineRule="auto"/>
      <w:widowControl/>
      <w:outlineLvl w:val="9"/>
    </w:pPr>
    <w:rPr>
      <w:rFonts w:ascii="Cambria" w:hAnsi="Cambria"/>
      <w:color w:val="365f91"/>
      <w:sz w:val="28"/>
      <w:szCs w:val="28"/>
    </w:rPr>
  </w:style>
  <w:style w:type="paragraph" w:styleId="876">
    <w:name w:val="table of figures"/>
    <w:basedOn w:val="699"/>
    <w:next w:val="699"/>
    <w:uiPriority w:val="99"/>
    <w:unhideWhenUsed/>
  </w:style>
  <w:style w:type="character" w:styleId="877" w:customStyle="1">
    <w:name w:val="标题 1 Char"/>
    <w:link w:val="700"/>
    <w:qFormat/>
    <w:rPr>
      <w:rFonts w:eastAsia="宋体"/>
      <w:b/>
      <w:bCs/>
      <w:sz w:val="44"/>
      <w:szCs w:val="44"/>
      <w:lang w:val="en-US" w:eastAsia="zh-CN" w:bidi="ar-SA"/>
    </w:rPr>
  </w:style>
  <w:style w:type="character" w:styleId="878" w:customStyle="1">
    <w:name w:val="标题 2 Char"/>
    <w:link w:val="701"/>
    <w:semiHidden/>
    <w:qFormat/>
    <w:rPr>
      <w:rFonts w:ascii="Arial" w:hAnsi="Arial" w:eastAsia="黑体"/>
      <w:b/>
      <w:bCs/>
      <w:sz w:val="32"/>
      <w:szCs w:val="32"/>
      <w:lang w:val="en-US" w:eastAsia="zh-CN" w:bidi="ar-SA"/>
    </w:rPr>
  </w:style>
  <w:style w:type="character" w:styleId="879" w:customStyle="1">
    <w:name w:val="标题 3 Char2"/>
    <w:link w:val="702"/>
    <w:semiHidden/>
    <w:qFormat/>
    <w:rPr>
      <w:rFonts w:eastAsia="宋体"/>
      <w:b/>
      <w:bCs/>
      <w:sz w:val="32"/>
      <w:szCs w:val="32"/>
      <w:lang w:val="en-US" w:eastAsia="zh-CN" w:bidi="ar-SA"/>
    </w:rPr>
  </w:style>
  <w:style w:type="character" w:styleId="880" w:customStyle="1">
    <w:name w:val="标题 4 Char"/>
    <w:link w:val="703"/>
    <w:qFormat/>
    <w:rPr>
      <w:rFonts w:ascii="Arial" w:hAnsi="Arial" w:eastAsia="黑体"/>
      <w:b/>
      <w:sz w:val="28"/>
      <w:lang w:val="en-US" w:eastAsia="zh-CN" w:bidi="ar-SA"/>
    </w:rPr>
  </w:style>
  <w:style w:type="character" w:styleId="881" w:customStyle="1">
    <w:name w:val="标题 5 Char"/>
    <w:link w:val="704"/>
    <w:semiHidden/>
    <w:qFormat/>
    <w:rPr>
      <w:rFonts w:eastAsia="宋体"/>
      <w:b/>
      <w:bCs/>
      <w:sz w:val="28"/>
      <w:szCs w:val="28"/>
      <w:lang w:val="en-US" w:eastAsia="zh-CN" w:bidi="ar-SA"/>
    </w:rPr>
  </w:style>
  <w:style w:type="character" w:styleId="882" w:customStyle="1">
    <w:name w:val="标题 6 Char"/>
    <w:link w:val="705"/>
    <w:semiHidden/>
    <w:qFormat/>
    <w:rPr>
      <w:rFonts w:ascii="Arial" w:hAnsi="Arial" w:eastAsia="黑体"/>
      <w:b/>
      <w:bCs/>
      <w:sz w:val="24"/>
      <w:szCs w:val="24"/>
      <w:lang w:val="en-US" w:eastAsia="zh-CN" w:bidi="ar-SA"/>
    </w:rPr>
  </w:style>
  <w:style w:type="character" w:styleId="883" w:customStyle="1">
    <w:name w:val="标题 7 Char"/>
    <w:link w:val="706"/>
    <w:semiHidden/>
    <w:qFormat/>
    <w:rPr>
      <w:rFonts w:eastAsia="宋体"/>
      <w:b/>
      <w:bCs/>
      <w:sz w:val="24"/>
      <w:szCs w:val="24"/>
      <w:lang w:val="en-US" w:eastAsia="zh-CN" w:bidi="ar-SA"/>
    </w:rPr>
  </w:style>
  <w:style w:type="paragraph" w:styleId="884">
    <w:name w:val="List Number 2"/>
    <w:basedOn w:val="699"/>
    <w:qFormat/>
    <w:pPr>
      <w:ind w:left="1440" w:hanging="1440"/>
      <w:spacing w:line="360" w:lineRule="auto"/>
      <w:tabs>
        <w:tab w:val="left" w:pos="1440" w:leader="none"/>
      </w:tabs>
    </w:pPr>
    <w:rPr>
      <w:sz w:val="24"/>
    </w:rPr>
  </w:style>
  <w:style w:type="paragraph" w:styleId="885">
    <w:name w:val="List Number"/>
    <w:basedOn w:val="699"/>
    <w:qFormat/>
    <w:pPr>
      <w:ind w:left="2952" w:hanging="432"/>
      <w:tabs>
        <w:tab w:val="left" w:pos="2952" w:leader="none"/>
      </w:tabs>
    </w:pPr>
  </w:style>
  <w:style w:type="paragraph" w:styleId="886">
    <w:name w:val="Normal Indent"/>
    <w:basedOn w:val="699"/>
    <w:qFormat/>
    <w:pPr>
      <w:ind w:firstLine="420"/>
    </w:pPr>
    <w:rPr>
      <w:szCs w:val="20"/>
    </w:rPr>
  </w:style>
  <w:style w:type="paragraph" w:styleId="887">
    <w:name w:val="Document Map"/>
    <w:basedOn w:val="699"/>
    <w:link w:val="888"/>
    <w:qFormat/>
    <w:pPr>
      <w:shd w:val="clear" w:color="auto" w:fill="000080"/>
    </w:pPr>
  </w:style>
  <w:style w:type="character" w:styleId="888" w:customStyle="1">
    <w:name w:val="文档结构图 Char"/>
    <w:link w:val="887"/>
    <w:semiHidden/>
    <w:qFormat/>
    <w:rPr>
      <w:rFonts w:eastAsia="宋体"/>
      <w:sz w:val="21"/>
      <w:szCs w:val="24"/>
      <w:lang w:val="en-US" w:eastAsia="zh-CN" w:bidi="ar-SA"/>
    </w:rPr>
  </w:style>
  <w:style w:type="paragraph" w:styleId="889">
    <w:name w:val="annotation text"/>
    <w:basedOn w:val="699"/>
    <w:link w:val="890"/>
    <w:qFormat/>
    <w:pPr>
      <w:jc w:val="left"/>
    </w:pPr>
    <w:rPr>
      <w:szCs w:val="20"/>
    </w:rPr>
  </w:style>
  <w:style w:type="character" w:styleId="890" w:customStyle="1">
    <w:name w:val="批注文字 Char"/>
    <w:link w:val="889"/>
    <w:qFormat/>
    <w:rPr>
      <w:rFonts w:eastAsia="宋体"/>
      <w:sz w:val="21"/>
      <w:lang w:val="en-US" w:eastAsia="zh-CN" w:bidi="ar-SA"/>
    </w:rPr>
  </w:style>
  <w:style w:type="paragraph" w:styleId="891">
    <w:name w:val="Salutation"/>
    <w:basedOn w:val="699"/>
    <w:next w:val="699"/>
    <w:qFormat/>
    <w:rPr>
      <w:rFonts w:ascii="仿宋_GB2312" w:eastAsia="仿宋_GB2312"/>
      <w:sz w:val="28"/>
      <w:szCs w:val="20"/>
    </w:rPr>
  </w:style>
  <w:style w:type="paragraph" w:styleId="892">
    <w:name w:val="Body Text 3"/>
    <w:basedOn w:val="699"/>
    <w:qFormat/>
    <w:pPr>
      <w:spacing w:after="120"/>
    </w:pPr>
    <w:rPr>
      <w:sz w:val="16"/>
      <w:szCs w:val="16"/>
    </w:rPr>
  </w:style>
  <w:style w:type="paragraph" w:styleId="893">
    <w:name w:val="Body Text"/>
    <w:basedOn w:val="699"/>
    <w:next w:val="699"/>
    <w:qFormat/>
    <w:pPr>
      <w:jc w:val="center"/>
    </w:pPr>
    <w:rPr>
      <w:rFonts w:ascii="方正大黑简体" w:eastAsia="方正大黑简体"/>
      <w:position w:val="6"/>
      <w:sz w:val="30"/>
      <w:szCs w:val="20"/>
    </w:rPr>
  </w:style>
  <w:style w:type="paragraph" w:styleId="894">
    <w:name w:val="Body Text Indent"/>
    <w:basedOn w:val="699"/>
    <w:qFormat/>
    <w:pPr>
      <w:ind w:left="420"/>
      <w:spacing w:after="120"/>
    </w:pPr>
  </w:style>
  <w:style w:type="paragraph" w:styleId="895">
    <w:name w:val="index 4"/>
    <w:basedOn w:val="699"/>
    <w:next w:val="699"/>
    <w:uiPriority w:val="99"/>
    <w:qFormat/>
    <w:pPr>
      <w:ind w:left="1260"/>
    </w:pPr>
    <w:rPr>
      <w:rFonts w:ascii="Calibri" w:hAnsi="Calibri"/>
      <w:szCs w:val="22"/>
    </w:rPr>
  </w:style>
  <w:style w:type="paragraph" w:styleId="896">
    <w:name w:val="Plain Text"/>
    <w:basedOn w:val="699"/>
    <w:link w:val="897"/>
    <w:qFormat/>
    <w:rPr>
      <w:rFonts w:ascii="宋体" w:hAnsi="Courier New"/>
      <w:szCs w:val="21"/>
    </w:rPr>
  </w:style>
  <w:style w:type="character" w:styleId="897" w:customStyle="1">
    <w:name w:val="纯文本 Char"/>
    <w:link w:val="896"/>
    <w:qFormat/>
    <w:rPr>
      <w:rFonts w:ascii="宋体" w:hAnsi="Courier New" w:eastAsia="宋体"/>
      <w:sz w:val="21"/>
      <w:szCs w:val="21"/>
      <w:lang w:val="en-US" w:eastAsia="zh-CN" w:bidi="ar-SA"/>
    </w:rPr>
  </w:style>
  <w:style w:type="paragraph" w:styleId="898">
    <w:name w:val="index 3"/>
    <w:basedOn w:val="699"/>
    <w:next w:val="699"/>
    <w:qFormat/>
    <w:pPr>
      <w:ind w:left="840"/>
    </w:pPr>
    <w:rPr>
      <w:szCs w:val="20"/>
    </w:rPr>
  </w:style>
  <w:style w:type="paragraph" w:styleId="899">
    <w:name w:val="Date"/>
    <w:basedOn w:val="699"/>
    <w:next w:val="699"/>
    <w:qFormat/>
    <w:pPr>
      <w:ind w:left="100"/>
    </w:pPr>
    <w:rPr>
      <w:sz w:val="28"/>
      <w:szCs w:val="20"/>
    </w:rPr>
  </w:style>
  <w:style w:type="paragraph" w:styleId="900">
    <w:name w:val="Body Text Indent 2"/>
    <w:basedOn w:val="699"/>
    <w:next w:val="699"/>
    <w:qFormat/>
    <w:pPr>
      <w:ind w:firstLine="480"/>
      <w:spacing w:line="400" w:lineRule="exact"/>
    </w:pPr>
    <w:rPr>
      <w:rFonts w:ascii="宋体" w:hAnsi="宋体"/>
      <w:sz w:val="24"/>
    </w:rPr>
  </w:style>
  <w:style w:type="paragraph" w:styleId="901">
    <w:name w:val="Balloon Text"/>
    <w:basedOn w:val="699"/>
    <w:link w:val="902"/>
    <w:qFormat/>
    <w:rPr>
      <w:sz w:val="18"/>
      <w:szCs w:val="18"/>
    </w:rPr>
  </w:style>
  <w:style w:type="character" w:styleId="902" w:customStyle="1">
    <w:name w:val="批注框文本 Char"/>
    <w:link w:val="901"/>
    <w:semiHidden/>
    <w:qFormat/>
    <w:rPr>
      <w:rFonts w:eastAsia="宋体"/>
      <w:sz w:val="18"/>
      <w:szCs w:val="18"/>
      <w:lang w:val="en-US" w:eastAsia="zh-CN" w:bidi="ar-SA"/>
    </w:rPr>
  </w:style>
  <w:style w:type="character" w:styleId="903" w:customStyle="1">
    <w:name w:val="页脚 Char1"/>
    <w:link w:val="730"/>
    <w:uiPriority w:val="99"/>
    <w:qFormat/>
    <w:rPr>
      <w:rFonts w:eastAsia="宋体"/>
      <w:sz w:val="18"/>
      <w:szCs w:val="18"/>
      <w:lang w:val="en-US" w:eastAsia="zh-CN" w:bidi="ar-SA"/>
    </w:rPr>
  </w:style>
  <w:style w:type="character" w:styleId="904" w:customStyle="1">
    <w:name w:val="页眉 Char"/>
    <w:link w:val="729"/>
    <w:qFormat/>
    <w:rPr>
      <w:rFonts w:eastAsia="宋体"/>
      <w:sz w:val="18"/>
      <w:szCs w:val="18"/>
      <w:lang w:val="en-US" w:eastAsia="zh-CN" w:bidi="ar-SA"/>
    </w:rPr>
  </w:style>
  <w:style w:type="paragraph" w:styleId="905">
    <w:name w:val="Signature"/>
    <w:basedOn w:val="699"/>
    <w:qFormat/>
    <w:pPr>
      <w:jc w:val="center"/>
      <w:spacing w:after="600" w:line="312" w:lineRule="atLeast"/>
    </w:pPr>
    <w:rPr>
      <w:rFonts w:eastAsia="仿宋_GB2312"/>
      <w:sz w:val="24"/>
      <w:szCs w:val="20"/>
    </w:rPr>
  </w:style>
  <w:style w:type="paragraph" w:styleId="906">
    <w:name w:val="index heading"/>
    <w:basedOn w:val="699"/>
    <w:next w:val="907"/>
    <w:qFormat/>
    <w:rPr>
      <w:szCs w:val="20"/>
    </w:rPr>
  </w:style>
  <w:style w:type="paragraph" w:styleId="907">
    <w:name w:val="index 1"/>
    <w:basedOn w:val="699"/>
    <w:next w:val="699"/>
    <w:qFormat/>
    <w:pPr>
      <w:jc w:val="center"/>
      <w:tabs>
        <w:tab w:val="left" w:pos="1260" w:leader="none"/>
      </w:tabs>
    </w:pPr>
    <w:rPr>
      <w:rFonts w:ascii="仿宋_GB2312" w:hAnsi="宋体" w:eastAsia="仿宋_GB2312"/>
      <w:sz w:val="30"/>
      <w:szCs w:val="20"/>
    </w:rPr>
  </w:style>
  <w:style w:type="character" w:styleId="908" w:customStyle="1">
    <w:name w:val="副标题 Char"/>
    <w:link w:val="723"/>
    <w:qFormat/>
    <w:rPr>
      <w:rFonts w:ascii="Cambria" w:hAnsi="Cambria" w:eastAsia="宋体"/>
      <w:caps/>
      <w:spacing w:val="20"/>
      <w:sz w:val="18"/>
      <w:szCs w:val="18"/>
      <w:lang w:val="en-US" w:eastAsia="en-US" w:bidi="en-US"/>
    </w:rPr>
  </w:style>
  <w:style w:type="paragraph" w:styleId="909">
    <w:name w:val="Body Text Indent 3"/>
    <w:basedOn w:val="699"/>
    <w:qFormat/>
    <w:pPr>
      <w:ind w:left="480"/>
      <w:spacing w:before="120" w:after="120" w:line="264" w:lineRule="auto"/>
    </w:pPr>
    <w:rPr>
      <w:b/>
      <w:bCs/>
      <w:sz w:val="24"/>
      <w:szCs w:val="20"/>
    </w:rPr>
  </w:style>
  <w:style w:type="paragraph" w:styleId="910">
    <w:name w:val="Body Text 2"/>
    <w:basedOn w:val="699"/>
    <w:qFormat/>
    <w:pPr>
      <w:jc w:val="center"/>
    </w:pPr>
    <w:rPr>
      <w:b/>
      <w:bCs/>
      <w:sz w:val="72"/>
      <w:szCs w:val="20"/>
    </w:rPr>
  </w:style>
  <w:style w:type="paragraph" w:styleId="911">
    <w:name w:val="HTML Preformatted"/>
    <w:basedOn w:val="6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2">
    <w:name w:val="Normal (Web)"/>
    <w:basedOn w:val="699"/>
    <w:uiPriority w:val="99"/>
    <w:qFormat/>
    <w:pPr>
      <w:jc w:val="left"/>
      <w:spacing w:before="100" w:beforeAutospacing="1" w:after="100" w:afterAutospacing="1"/>
      <w:widowControl/>
    </w:pPr>
    <w:rPr>
      <w:rFonts w:ascii="宋体" w:hAnsi="宋体" w:cs="宋体"/>
      <w:sz w:val="24"/>
    </w:rPr>
  </w:style>
  <w:style w:type="paragraph" w:styleId="913">
    <w:name w:val="annotation subject"/>
    <w:basedOn w:val="889"/>
    <w:next w:val="889"/>
    <w:qFormat/>
    <w:rPr>
      <w:b/>
      <w:bCs/>
      <w:szCs w:val="24"/>
    </w:rPr>
  </w:style>
  <w:style w:type="paragraph" w:styleId="914">
    <w:name w:val="Body Text First Indent"/>
    <w:basedOn w:val="893"/>
    <w:link w:val="915"/>
    <w:qFormat/>
    <w:pPr>
      <w:ind w:firstLine="420"/>
      <w:jc w:val="both"/>
      <w:spacing w:after="120"/>
    </w:pPr>
    <w:rPr>
      <w:rFonts w:ascii="Times New Roman" w:eastAsia="宋体"/>
      <w:position w:val="0"/>
      <w:sz w:val="21"/>
      <w:szCs w:val="24"/>
    </w:rPr>
  </w:style>
  <w:style w:type="character" w:styleId="915" w:customStyle="1">
    <w:name w:val="正文首行缩进 Char"/>
    <w:link w:val="914"/>
    <w:qFormat/>
    <w:rPr>
      <w:rFonts w:eastAsia="宋体"/>
      <w:sz w:val="21"/>
      <w:szCs w:val="24"/>
      <w:lang w:val="en-US" w:eastAsia="zh-CN" w:bidi="ar-SA"/>
    </w:rPr>
  </w:style>
  <w:style w:type="paragraph" w:styleId="916">
    <w:name w:val="Body Text First Indent 2"/>
    <w:basedOn w:val="894"/>
    <w:uiPriority w:val="99"/>
    <w:qFormat/>
    <w:pPr>
      <w:ind w:left="0" w:firstLine="420"/>
      <w:spacing w:after="0" w:line="360" w:lineRule="auto"/>
    </w:pPr>
    <w:rPr>
      <w:rFonts w:ascii="宋体" w:hAnsi="宋体"/>
    </w:rPr>
  </w:style>
  <w:style w:type="character" w:styleId="917">
    <w:name w:val="Strong"/>
    <w:qFormat/>
    <w:rPr>
      <w:b/>
      <w:bCs/>
    </w:rPr>
  </w:style>
  <w:style w:type="character" w:styleId="918">
    <w:name w:val="page number"/>
    <w:qFormat/>
  </w:style>
  <w:style w:type="character" w:styleId="919" w:customStyle="1">
    <w:name w:val="已访问的超链接"/>
    <w:qFormat/>
    <w:rPr>
      <w:color w:val="800080"/>
      <w:u w:val="single"/>
    </w:rPr>
  </w:style>
  <w:style w:type="character" w:styleId="920">
    <w:name w:val="Emphasis"/>
    <w:uiPriority w:val="20"/>
    <w:qFormat/>
    <w:rPr>
      <w:i/>
    </w:rPr>
  </w:style>
  <w:style w:type="character" w:styleId="921">
    <w:name w:val="line number"/>
    <w:qFormat/>
  </w:style>
  <w:style w:type="character" w:styleId="922">
    <w:name w:val="annotation reference"/>
    <w:qFormat/>
    <w:rPr>
      <w:sz w:val="21"/>
      <w:szCs w:val="21"/>
    </w:rPr>
  </w:style>
  <w:style w:type="paragraph" w:styleId="923" w:customStyle="1">
    <w:name w:val="列表段落"/>
    <w:basedOn w:val="699"/>
    <w:next w:val="699"/>
    <w:uiPriority w:val="99"/>
    <w:qFormat/>
    <w:pPr>
      <w:ind w:firstLine="420"/>
    </w:pPr>
  </w:style>
  <w:style w:type="paragraph" w:styleId="924" w:customStyle="1">
    <w:name w:val="标题 11"/>
    <w:basedOn w:val="699"/>
    <w:next w:val="699"/>
    <w:qFormat/>
    <w:pPr>
      <w:keepLines/>
      <w:keepNext/>
      <w:spacing w:before="340" w:after="330" w:line="576" w:lineRule="auto"/>
      <w:outlineLvl w:val="0"/>
    </w:pPr>
    <w:rPr>
      <w:b/>
      <w:bCs/>
      <w:sz w:val="44"/>
      <w:szCs w:val="44"/>
    </w:rPr>
  </w:style>
  <w:style w:type="paragraph" w:styleId="925" w:customStyle="1">
    <w:name w:val="首行缩进"/>
    <w:basedOn w:val="699"/>
    <w:uiPriority w:val="99"/>
    <w:qFormat/>
    <w:pPr>
      <w:ind w:firstLine="420"/>
      <w:spacing w:line="360" w:lineRule="auto"/>
    </w:pPr>
  </w:style>
  <w:style w:type="character" w:styleId="926" w:customStyle="1">
    <w:name w:val="正文 + 宋体 Char"/>
    <w:qFormat/>
    <w:rPr>
      <w:rFonts w:eastAsia="宋体"/>
      <w:sz w:val="21"/>
      <w:szCs w:val="24"/>
      <w:lang w:val="en-US" w:eastAsia="zh-CN" w:bidi="ar-SA"/>
    </w:rPr>
  </w:style>
  <w:style w:type="character" w:styleId="927" w:customStyle="1">
    <w:name w:val="样式 样式 样式 样式 内容 + 首行缩进:  2 字符18 + 首行缩进:  5.71 厘米 + 首行缩进:  8.04 厘米... Char"/>
    <w:link w:val="928"/>
    <w:rPr>
      <w:rFonts w:ascii="Trebuchet MS" w:hAnsi="Trebuchet MS"/>
      <w:color w:val="404040"/>
      <w:sz w:val="24"/>
      <w:lang w:eastAsia="en-US" w:bidi="en-US"/>
    </w:rPr>
  </w:style>
  <w:style w:type="paragraph" w:styleId="928" w:customStyle="1">
    <w:name w:val="样式 样式 样式 样式 内容 + 首行缩进:  2 字符18 + 首行缩进:  5.71 厘米 + 首行缩进:  8.04 厘米..."/>
    <w:basedOn w:val="699"/>
    <w:link w:val="927"/>
    <w:pPr>
      <w:ind w:firstLine="480"/>
      <w:jc w:val="left"/>
      <w:spacing w:line="360" w:lineRule="auto"/>
      <w:widowControl/>
    </w:pPr>
    <w:rPr>
      <w:rFonts w:ascii="Trebuchet MS" w:hAnsi="Trebuchet MS"/>
      <w:color w:val="404040"/>
      <w:sz w:val="24"/>
      <w:szCs w:val="20"/>
      <w:lang w:eastAsia="en-US" w:bidi="en-US"/>
    </w:rPr>
  </w:style>
  <w:style w:type="character" w:styleId="929" w:customStyle="1">
    <w:name w:val="style131"/>
    <w:qFormat/>
    <w:rPr>
      <w:rFonts w:cs="Times New Roman"/>
      <w:sz w:val="18"/>
      <w:szCs w:val="18"/>
    </w:rPr>
  </w:style>
  <w:style w:type="character" w:styleId="930" w:customStyle="1">
    <w:name w:val="1page sec3 Char2"/>
    <w:qFormat/>
    <w:rPr>
      <w:rFonts w:eastAsia="宋体"/>
      <w:sz w:val="18"/>
      <w:szCs w:val="18"/>
      <w:lang w:val="en-US" w:eastAsia="zh-CN" w:bidi="ar-SA"/>
    </w:rPr>
  </w:style>
  <w:style w:type="character" w:styleId="931" w:customStyle="1">
    <w:name w:val="华宇段落1 Char Char Char"/>
    <w:qFormat/>
    <w:rPr>
      <w:rFonts w:eastAsia="宋体"/>
      <w:bCs/>
      <w:sz w:val="24"/>
      <w:szCs w:val="24"/>
      <w:lang w:val="en-US" w:eastAsia="zh-CN" w:bidi="ar-SA"/>
    </w:rPr>
  </w:style>
  <w:style w:type="character" w:styleId="932" w:customStyle="1">
    <w:name w:val="h Char Char"/>
    <w:qFormat/>
    <w:rPr>
      <w:sz w:val="18"/>
      <w:szCs w:val="18"/>
    </w:rPr>
  </w:style>
  <w:style w:type="character" w:styleId="933" w:customStyle="1">
    <w:name w:val="小四 段落 宋体 Char1"/>
    <w:qFormat/>
    <w:rPr>
      <w:rFonts w:eastAsia="宋体"/>
      <w:sz w:val="24"/>
      <w:szCs w:val="24"/>
      <w:lang w:val="en-US" w:eastAsia="zh-CN" w:bidi="ar-SA"/>
    </w:rPr>
  </w:style>
  <w:style w:type="character" w:styleId="934" w:customStyle="1">
    <w:name w:val="正文缩进 Char1"/>
    <w:link w:val="935"/>
    <w:qFormat/>
    <w:rPr>
      <w:rFonts w:eastAsia="宋体"/>
      <w:lang w:bidi="ar-SA"/>
    </w:rPr>
  </w:style>
  <w:style w:type="paragraph" w:styleId="935" w:customStyle="1">
    <w:name w:val="正文缩进1"/>
    <w:basedOn w:val="699"/>
    <w:link w:val="934"/>
    <w:qFormat/>
    <w:pPr>
      <w:ind w:firstLine="420"/>
    </w:pPr>
    <w:rPr>
      <w:sz w:val="20"/>
      <w:szCs w:val="20"/>
    </w:rPr>
  </w:style>
  <w:style w:type="character" w:styleId="936" w:customStyle="1">
    <w:name w:val="无间隔 Char"/>
    <w:link w:val="937"/>
    <w:qFormat/>
    <w:rPr>
      <w:rFonts w:ascii="Calibri" w:hAnsi="Calibri" w:eastAsia="微软雅黑"/>
      <w:sz w:val="24"/>
      <w:szCs w:val="22"/>
      <w:lang w:val="en-US" w:eastAsia="zh-CN" w:bidi="ar-SA"/>
    </w:rPr>
  </w:style>
  <w:style w:type="paragraph" w:styleId="937" w:customStyle="1">
    <w:name w:val="无间隔1"/>
    <w:link w:val="936"/>
    <w:qFormat/>
    <w:pPr>
      <w:jc w:val="both"/>
      <w:widowControl w:val="off"/>
    </w:pPr>
    <w:rPr>
      <w:rFonts w:ascii="Calibri" w:hAnsi="Calibri" w:eastAsia="微软雅黑"/>
      <w:sz w:val="24"/>
      <w:szCs w:val="22"/>
    </w:rPr>
  </w:style>
  <w:style w:type="character" w:styleId="938" w:customStyle="1">
    <w:name w:val="引用 Char"/>
    <w:link w:val="939"/>
    <w:qFormat/>
    <w:rPr>
      <w:rFonts w:ascii="Cambria" w:hAnsi="Cambria" w:eastAsia="宋体"/>
      <w:i/>
      <w:iCs/>
      <w:sz w:val="22"/>
      <w:szCs w:val="22"/>
      <w:lang w:val="en-US" w:eastAsia="en-US" w:bidi="en-US"/>
    </w:rPr>
  </w:style>
  <w:style w:type="paragraph" w:styleId="939" w:customStyle="1">
    <w:name w:val="引用1"/>
    <w:basedOn w:val="699"/>
    <w:next w:val="699"/>
    <w:link w:val="938"/>
    <w:qFormat/>
    <w:pPr>
      <w:jc w:val="left"/>
      <w:spacing w:after="200" w:line="252" w:lineRule="auto"/>
      <w:widowControl/>
    </w:pPr>
    <w:rPr>
      <w:rFonts w:ascii="Cambria" w:hAnsi="Cambria"/>
      <w:i/>
      <w:iCs/>
      <w:sz w:val="22"/>
      <w:szCs w:val="22"/>
      <w:lang w:eastAsia="en-US" w:bidi="en-US"/>
    </w:rPr>
  </w:style>
  <w:style w:type="character" w:styleId="940" w:customStyle="1">
    <w:name w:val="特点 Char1"/>
    <w:qFormat/>
    <w:rPr>
      <w:rFonts w:eastAsia="宋体"/>
      <w:sz w:val="21"/>
      <w:lang w:val="en-US" w:eastAsia="zh-CN" w:bidi="ar-SA"/>
    </w:rPr>
  </w:style>
  <w:style w:type="character" w:styleId="941" w:customStyle="1">
    <w:name w:val="Header Char"/>
    <w:qFormat/>
    <w:rPr>
      <w:rFonts w:cs="Times New Roman"/>
      <w:sz w:val="18"/>
      <w:szCs w:val="18"/>
    </w:rPr>
  </w:style>
  <w:style w:type="character" w:styleId="942" w:customStyle="1">
    <w:name w:val="Heading 1 Char"/>
    <w:qFormat/>
    <w:rPr>
      <w:rFonts w:ascii="Times New Roman" w:hAnsi="Times New Roman" w:eastAsia="宋体" w:cs="Times New Roman"/>
      <w:b/>
      <w:bCs/>
      <w:sz w:val="44"/>
      <w:szCs w:val="44"/>
    </w:rPr>
  </w:style>
  <w:style w:type="character" w:styleId="943" w:customStyle="1">
    <w:name w:val="标题 21"/>
    <w:rPr>
      <w:rFonts w:ascii="黑体" w:eastAsia="黑体"/>
      <w:b/>
      <w:sz w:val="30"/>
      <w:szCs w:val="30"/>
      <w:lang w:val="en-US" w:eastAsia="zh-CN" w:bidi="ar-SA"/>
    </w:rPr>
  </w:style>
  <w:style w:type="character" w:styleId="944" w:customStyle="1">
    <w:name w:val="Char Char2"/>
    <w:qFormat/>
    <w:rPr>
      <w:rFonts w:ascii="宋体" w:hAnsi="Courier New" w:eastAsia="宋体"/>
      <w:sz w:val="21"/>
      <w:szCs w:val="21"/>
      <w:lang w:val="en-US" w:eastAsia="zh-CN" w:bidi="ar-SA"/>
    </w:rPr>
  </w:style>
  <w:style w:type="character" w:styleId="945" w:customStyle="1">
    <w:name w:val="1page sec3 Char"/>
    <w:qFormat/>
    <w:rPr>
      <w:rFonts w:eastAsia="宋体"/>
      <w:sz w:val="18"/>
      <w:lang w:val="en-US" w:eastAsia="zh-CN"/>
    </w:rPr>
  </w:style>
  <w:style w:type="character" w:styleId="946" w:customStyle="1">
    <w:name w:val="normalfont1"/>
    <w:qFormat/>
    <w:rPr>
      <w:rFonts w:ascii="ˎ̥" w:hAnsi="ˎ̥"/>
      <w:sz w:val="18"/>
      <w:szCs w:val="18"/>
      <w:u w:val="none"/>
    </w:rPr>
  </w:style>
  <w:style w:type="character" w:styleId="947" w:customStyle="1">
    <w:name w:val="sect1.2.3 Char1"/>
    <w:qFormat/>
    <w:rPr>
      <w:rFonts w:eastAsia="宋体"/>
      <w:b/>
      <w:bCs/>
      <w:sz w:val="32"/>
      <w:szCs w:val="32"/>
      <w:lang w:val="en-US" w:eastAsia="zh-CN" w:bidi="ar-SA"/>
    </w:rPr>
  </w:style>
  <w:style w:type="character" w:styleId="948" w:customStyle="1">
    <w:name w:val="样式 宋体 小四"/>
    <w:qFormat/>
    <w:rPr>
      <w:rFonts w:ascii="宋体" w:hAnsi="宋体"/>
      <w:sz w:val="24"/>
    </w:rPr>
  </w:style>
  <w:style w:type="character" w:styleId="949" w:customStyle="1">
    <w:name w:val="页脚 Char"/>
    <w:uiPriority w:val="99"/>
    <w:rPr>
      <w:lang w:eastAsia="zh-CN"/>
    </w:rPr>
  </w:style>
  <w:style w:type="character" w:styleId="950" w:customStyle="1">
    <w:name w:val="样式 首行缩进:  2 字符 Char Char"/>
    <w:link w:val="951"/>
    <w:qFormat/>
    <w:rPr>
      <w:rFonts w:eastAsia="宋体" w:cs="宋体"/>
      <w:sz w:val="24"/>
      <w:lang w:val="en-US" w:eastAsia="zh-CN" w:bidi="ar-SA"/>
    </w:rPr>
  </w:style>
  <w:style w:type="paragraph" w:styleId="951" w:customStyle="1">
    <w:name w:val="样式 首行缩进:  2 字符"/>
    <w:basedOn w:val="699"/>
    <w:link w:val="950"/>
    <w:qFormat/>
    <w:pPr>
      <w:ind w:firstLine="480"/>
      <w:spacing w:line="360" w:lineRule="auto"/>
    </w:pPr>
    <w:rPr>
      <w:rFonts w:cs="宋体"/>
      <w:sz w:val="24"/>
      <w:szCs w:val="20"/>
    </w:rPr>
  </w:style>
  <w:style w:type="character" w:styleId="952" w:customStyle="1">
    <w:name w:val="textcontents"/>
    <w:qFormat/>
  </w:style>
  <w:style w:type="character" w:styleId="953" w:customStyle="1">
    <w:name w:val="明显引用 Char"/>
    <w:link w:val="954"/>
    <w:qFormat/>
    <w:rPr>
      <w:rFonts w:ascii="Cambria" w:hAnsi="Cambria" w:eastAsia="宋体"/>
      <w:caps/>
      <w:color w:val="622423"/>
      <w:spacing w:val="5"/>
      <w:lang w:val="en-US" w:eastAsia="en-US" w:bidi="en-US"/>
    </w:rPr>
  </w:style>
  <w:style w:type="paragraph" w:styleId="954" w:customStyle="1">
    <w:name w:val="明显引用1"/>
    <w:basedOn w:val="699"/>
    <w:next w:val="699"/>
    <w:link w:val="953"/>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55" w:customStyle="1">
    <w:name w:val="ih151"/>
    <w:qFormat/>
    <w:rPr>
      <w:color w:val="666666"/>
      <w:sz w:val="18"/>
      <w:szCs w:val="18"/>
      <w:u w:val="none"/>
    </w:rPr>
  </w:style>
  <w:style w:type="character" w:styleId="956" w:customStyle="1">
    <w:name w:val="content_lineheight1"/>
    <w:qFormat/>
  </w:style>
  <w:style w:type="character" w:styleId="957" w:customStyle="1">
    <w:name w:val="标题 3 Char1"/>
    <w:qFormat/>
    <w:rPr>
      <w:rFonts w:eastAsia="宋体"/>
      <w:b/>
      <w:bCs/>
      <w:sz w:val="32"/>
      <w:szCs w:val="32"/>
      <w:lang w:val="en-US" w:eastAsia="zh-CN" w:bidi="ar-SA"/>
    </w:rPr>
  </w:style>
  <w:style w:type="character" w:styleId="958" w:customStyle="1">
    <w:name w:val="apple-style-span"/>
    <w:qFormat/>
  </w:style>
  <w:style w:type="character" w:styleId="9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60" w:customStyle="1">
    <w:name w:val="样式 宋体"/>
    <w:qFormat/>
    <w:rPr>
      <w:rFonts w:ascii="宋体" w:hAnsi="宋体" w:eastAsia="宋体"/>
      <w:sz w:val="24"/>
      <w:szCs w:val="24"/>
    </w:rPr>
  </w:style>
  <w:style w:type="character" w:styleId="961" w:customStyle="1">
    <w:name w:val="Title1 Char"/>
    <w:qFormat/>
    <w:rPr>
      <w:rFonts w:eastAsia="宋体"/>
      <w:b/>
      <w:bCs/>
      <w:sz w:val="44"/>
      <w:szCs w:val="44"/>
      <w:lang w:val="en-US" w:eastAsia="zh-CN" w:bidi="ar-SA"/>
    </w:rPr>
  </w:style>
  <w:style w:type="character" w:styleId="962" w:customStyle="1">
    <w:name w:val="1page sec3 Char1"/>
    <w:qFormat/>
    <w:rPr>
      <w:sz w:val="18"/>
      <w:szCs w:val="18"/>
    </w:rPr>
  </w:style>
  <w:style w:type="character" w:styleId="963" w:customStyle="1">
    <w:name w:val="小四 段落 宋体 Char Char Char1"/>
    <w:qFormat/>
    <w:rPr>
      <w:rFonts w:ascii="宋体" w:hAnsi="宋体" w:eastAsia="宋体"/>
      <w:sz w:val="24"/>
      <w:szCs w:val="24"/>
      <w:lang w:val="en-US" w:eastAsia="zh-CN" w:bidi="ar-SA"/>
    </w:rPr>
  </w:style>
  <w:style w:type="character" w:styleId="964" w:customStyle="1">
    <w:name w:val="小四 段落 宋体 Char Char Char Char Char Char Char Char"/>
    <w:qFormat/>
    <w:rPr>
      <w:rFonts w:eastAsia="宋体"/>
      <w:sz w:val="24"/>
      <w:szCs w:val="24"/>
      <w:lang w:val="en-US" w:eastAsia="zh-CN" w:bidi="ar-SA"/>
    </w:rPr>
  </w:style>
  <w:style w:type="character" w:styleId="965" w:customStyle="1">
    <w:name w:val="Heading 2 Char"/>
    <w:qFormat/>
    <w:rPr>
      <w:rFonts w:ascii="Calibri Light" w:hAnsi="Calibri Light" w:eastAsia="宋体" w:cs="Times New Roman"/>
      <w:b/>
      <w:bCs/>
      <w:sz w:val="32"/>
      <w:szCs w:val="32"/>
    </w:rPr>
  </w:style>
  <w:style w:type="character" w:styleId="966" w:customStyle="1">
    <w:name w:val="小四 段落 宋体 Char Char Char Char1"/>
    <w:qFormat/>
    <w:rPr>
      <w:rFonts w:eastAsia="宋体"/>
      <w:sz w:val="24"/>
      <w:szCs w:val="24"/>
      <w:lang w:val="en-US" w:eastAsia="zh-CN" w:bidi="ar-SA"/>
    </w:rPr>
  </w:style>
  <w:style w:type="character" w:styleId="967" w:customStyle="1">
    <w:name w:val="标题 3 Char"/>
    <w:qFormat/>
    <w:rPr>
      <w:rFonts w:eastAsia="仿宋_GB2312"/>
      <w:b/>
      <w:bCs/>
      <w:sz w:val="28"/>
      <w:szCs w:val="32"/>
      <w:lang w:val="en-US" w:eastAsia="zh-CN" w:bidi="ar-SA"/>
    </w:rPr>
  </w:style>
  <w:style w:type="character" w:styleId="968" w:customStyle="1">
    <w:name w:val="标准小四 Char Char"/>
    <w:qFormat/>
    <w:rPr>
      <w:rFonts w:ascii="Arial" w:hAnsi="Arial" w:eastAsia="宋体"/>
      <w:sz w:val="24"/>
      <w:szCs w:val="21"/>
      <w:lang w:val="en-US" w:eastAsia="zh-CN" w:bidi="ar-SA"/>
    </w:rPr>
  </w:style>
  <w:style w:type="character" w:styleId="969" w:customStyle="1">
    <w:name w:val="subtitle1"/>
    <w:qFormat/>
    <w:rPr>
      <w:rFonts w:ascii="Georgia" w:hAnsi="Georgia"/>
      <w:b/>
      <w:bCs/>
      <w:color w:val="666666"/>
      <w:sz w:val="18"/>
      <w:szCs w:val="18"/>
    </w:rPr>
  </w:style>
  <w:style w:type="character" w:styleId="970" w:customStyle="1">
    <w:name w:val="标准文本 Char Char"/>
    <w:qFormat/>
    <w:rPr>
      <w:rFonts w:eastAsia="宋体" w:cs="宋体"/>
      <w:sz w:val="24"/>
      <w:szCs w:val="24"/>
      <w:lang w:val="en-US" w:eastAsia="zh-CN" w:bidi="ar-SA"/>
    </w:rPr>
  </w:style>
  <w:style w:type="character" w:styleId="971" w:customStyle="1">
    <w:name w:val="3zw"/>
    <w:qFormat/>
  </w:style>
  <w:style w:type="character" w:styleId="972" w:customStyle="1">
    <w:name w:val="t1"/>
    <w:qFormat/>
  </w:style>
  <w:style w:type="character" w:styleId="973" w:customStyle="1">
    <w:name w:val="H2 Char1"/>
    <w:qFormat/>
    <w:rPr>
      <w:rFonts w:ascii="Arial" w:hAnsi="Arial" w:eastAsia="黑体"/>
      <w:b/>
      <w:bCs/>
      <w:sz w:val="32"/>
      <w:szCs w:val="32"/>
      <w:lang w:val="en-US" w:eastAsia="zh-CN" w:bidi="ar-SA"/>
    </w:rPr>
  </w:style>
  <w:style w:type="character" w:styleId="974" w:customStyle="1">
    <w:name w:val="2nd level Char"/>
    <w:qFormat/>
    <w:rPr>
      <w:rFonts w:ascii="Arial" w:hAnsi="Arial" w:eastAsia="黑体"/>
      <w:b/>
      <w:bCs/>
      <w:sz w:val="32"/>
      <w:szCs w:val="32"/>
      <w:lang w:val="en-US" w:eastAsia="zh-CN" w:bidi="ar-SA"/>
    </w:rPr>
  </w:style>
  <w:style w:type="character" w:styleId="975" w:customStyle="1">
    <w:name w:val="Footer Char"/>
    <w:qFormat/>
    <w:rPr>
      <w:rFonts w:cs="Times New Roman"/>
      <w:sz w:val="18"/>
      <w:szCs w:val="18"/>
    </w:rPr>
  </w:style>
  <w:style w:type="character" w:styleId="976" w:customStyle="1">
    <w:name w:val="副标题 字符1"/>
    <w:rPr>
      <w:rFonts w:ascii="Cambria" w:hAnsi="Cambria"/>
      <w:sz w:val="24"/>
      <w:szCs w:val="24"/>
    </w:rPr>
  </w:style>
  <w:style w:type="paragraph" w:styleId="977" w:customStyle="1">
    <w:name w:val="p16"/>
    <w:basedOn w:val="699"/>
    <w:qFormat/>
    <w:pPr>
      <w:ind w:left="720"/>
      <w:jc w:val="left"/>
      <w:widowControl/>
    </w:pPr>
    <w:rPr>
      <w:rFonts w:ascii="Arial" w:hAnsi="Arial" w:cs="Arial"/>
      <w:sz w:val="24"/>
    </w:rPr>
  </w:style>
  <w:style w:type="paragraph" w:styleId="978" w:customStyle="1">
    <w:name w:val="Char Char Char Char Char Char Char Char Char Char Char Char Char Char Char Char Char Char Char Char Char Char Char"/>
    <w:basedOn w:val="699"/>
    <w:qFormat/>
    <w:rPr>
      <w:rFonts w:ascii="Tahoma" w:hAnsi="Tahoma"/>
      <w:sz w:val="24"/>
      <w:szCs w:val="20"/>
    </w:rPr>
  </w:style>
  <w:style w:type="paragraph" w:styleId="979" w:customStyle="1">
    <w:name w:val="段"/>
    <w:next w:val="699"/>
    <w:qFormat/>
    <w:pPr>
      <w:ind w:firstLine="200"/>
      <w:jc w:val="both"/>
    </w:pPr>
    <w:rPr>
      <w:rFonts w:ascii="宋体"/>
      <w:sz w:val="21"/>
    </w:rPr>
  </w:style>
  <w:style w:type="paragraph" w:styleId="980" w:customStyle="1">
    <w:name w:val="华宇段落1 Char"/>
    <w:basedOn w:val="699"/>
    <w:qFormat/>
    <w:pPr>
      <w:ind w:firstLine="200"/>
      <w:spacing w:line="360" w:lineRule="auto"/>
    </w:pPr>
    <w:rPr>
      <w:bCs/>
      <w:sz w:val="24"/>
    </w:rPr>
  </w:style>
  <w:style w:type="paragraph" w:styleId="981" w:customStyle="1">
    <w:name w:val="xl44"/>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customStyle="1">
    <w:name w:val="样式 样式 首行缩进:  2 字符 + 行距: 1.5 倍行距"/>
    <w:basedOn w:val="699"/>
    <w:qFormat/>
    <w:pPr>
      <w:ind w:firstLine="470"/>
      <w:spacing w:line="360" w:lineRule="auto"/>
    </w:pPr>
    <w:rPr>
      <w:sz w:val="24"/>
      <w:szCs w:val="20"/>
    </w:rPr>
  </w:style>
  <w:style w:type="paragraph" w:styleId="983" w:customStyle="1">
    <w:name w:val="xl33"/>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984" w:customStyle="1">
    <w:name w:val="1"/>
    <w:basedOn w:val="699"/>
    <w:next w:val="910"/>
    <w:qFormat/>
    <w:pPr>
      <w:spacing w:line="360" w:lineRule="auto"/>
    </w:pPr>
    <w:rPr>
      <w:rFonts w:eastAsia="仿宋_GB2312"/>
      <w:sz w:val="24"/>
    </w:rPr>
  </w:style>
  <w:style w:type="paragraph" w:styleId="985" w:customStyle="1">
    <w:name w:val="xl37"/>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986" w:customStyle="1">
    <w:name w:val="xl39"/>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customStyle="1">
    <w:name w:val="z-窗体底端1"/>
    <w:basedOn w:val="699"/>
    <w:next w:val="699"/>
    <w:qFormat/>
    <w:pPr>
      <w:jc w:val="center"/>
      <w:widowControl/>
      <w:pBdr>
        <w:top w:val="single" w:color="000000" w:sz="6" w:space="1"/>
      </w:pBdr>
    </w:pPr>
    <w:rPr>
      <w:rFonts w:ascii="Arial" w:hAnsi="Arial" w:cs="Arial"/>
      <w:vanish/>
      <w:sz w:val="16"/>
      <w:szCs w:val="16"/>
    </w:rPr>
  </w:style>
  <w:style w:type="paragraph" w:styleId="988" w:customStyle="1">
    <w:name w:val="xl40"/>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customStyle="1">
    <w:name w:val="正文 + 宋体"/>
    <w:basedOn w:val="699"/>
    <w:qFormat/>
    <w:pPr>
      <w:ind w:firstLine="420"/>
      <w:spacing w:line="360" w:lineRule="auto"/>
    </w:pPr>
  </w:style>
  <w:style w:type="paragraph" w:styleId="990" w:customStyle="1">
    <w:name w:val="正文格式"/>
    <w:basedOn w:val="699"/>
    <w:qFormat/>
    <w:pPr>
      <w:ind w:left="178" w:right="44" w:hanging="178"/>
      <w:jc w:val="left"/>
      <w:spacing w:line="360" w:lineRule="auto"/>
      <w:widowControl/>
    </w:pPr>
    <w:rPr>
      <w:rFonts w:ascii="宋体" w:hAnsi="宋体"/>
      <w:bCs/>
      <w:szCs w:val="21"/>
    </w:rPr>
  </w:style>
  <w:style w:type="paragraph" w:styleId="991" w:customStyle="1">
    <w:name w:val="flName"/>
    <w:basedOn w:val="992"/>
    <w:qFormat/>
    <w:pPr>
      <w:spacing w:before="0" w:line="113" w:lineRule="atLeast"/>
    </w:pPr>
  </w:style>
  <w:style w:type="paragraph" w:styleId="992" w:customStyle="1">
    <w:name w:val="flNote"/>
    <w:basedOn w:val="699"/>
    <w:qFormat/>
    <w:pPr>
      <w:jc w:val="center"/>
      <w:spacing w:before="567" w:line="360" w:lineRule="atLeast"/>
    </w:pPr>
    <w:rPr>
      <w:rFonts w:eastAsia="黑体"/>
      <w:b/>
      <w:sz w:val="24"/>
      <w:szCs w:val="20"/>
    </w:rPr>
  </w:style>
  <w:style w:type="paragraph" w:styleId="993" w:customStyle="1">
    <w:name w:val="标题 4宋体"/>
    <w:basedOn w:val="703"/>
    <w:qFormat/>
    <w:pPr>
      <w:jc w:val="left"/>
      <w:keepLines w:val="0"/>
      <w:spacing w:before="0" w:after="0" w:line="360" w:lineRule="auto"/>
    </w:pPr>
    <w:rPr>
      <w:rFonts w:ascii="宋体" w:hAnsi="宋体" w:eastAsia="宋体"/>
      <w:bCs/>
      <w:color w:val="000000"/>
      <w:sz w:val="24"/>
    </w:rPr>
  </w:style>
  <w:style w:type="paragraph" w:styleId="994" w:customStyle="1">
    <w:name w:val="Char Char Char Char Char Char Char Char Char Char Char"/>
    <w:basedOn w:val="699"/>
    <w:qFormat/>
    <w:rPr>
      <w:rFonts w:ascii="Tahoma" w:hAnsi="Tahoma"/>
      <w:sz w:val="24"/>
      <w:szCs w:val="20"/>
    </w:rPr>
  </w:style>
  <w:style w:type="paragraph" w:styleId="995" w:customStyle="1">
    <w:name w:val="xl38"/>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96" w:customStyle="1">
    <w:name w:val="font7"/>
    <w:basedOn w:val="699"/>
    <w:qFormat/>
    <w:pPr>
      <w:jc w:val="left"/>
      <w:spacing w:before="100" w:beforeAutospacing="1" w:after="100" w:afterAutospacing="1"/>
      <w:widowControl/>
    </w:pPr>
    <w:rPr>
      <w:rFonts w:hint="eastAsia" w:ascii="宋体" w:hAnsi="宋体"/>
      <w:b/>
      <w:bCs/>
      <w:sz w:val="24"/>
    </w:rPr>
  </w:style>
  <w:style w:type="paragraph" w:styleId="997" w:customStyle="1">
    <w:name w:val="Default"/>
    <w:qFormat/>
    <w:pPr>
      <w:widowControl w:val="off"/>
    </w:pPr>
    <w:rPr>
      <w:rFonts w:ascii="宋体" w:cs="宋体"/>
      <w:color w:val="000000"/>
      <w:sz w:val="24"/>
      <w:szCs w:val="24"/>
    </w:rPr>
  </w:style>
  <w:style w:type="paragraph" w:styleId="998" w:customStyle="1">
    <w:name w:val="章标题"/>
    <w:next w:val="979"/>
    <w:qFormat/>
    <w:pPr>
      <w:jc w:val="both"/>
      <w:outlineLvl w:val="1"/>
    </w:pPr>
    <w:rPr>
      <w:rFonts w:eastAsia="黑体"/>
      <w:sz w:val="21"/>
    </w:rPr>
  </w:style>
  <w:style w:type="paragraph" w:styleId="999" w:customStyle="1">
    <w:name w:val="样式2"/>
    <w:basedOn w:val="699"/>
    <w:qFormat/>
    <w:pPr>
      <w:ind w:left="200"/>
      <w:spacing w:line="360" w:lineRule="auto"/>
    </w:pPr>
    <w:rPr>
      <w:rFonts w:ascii="宋体" w:hAnsi="宋体"/>
      <w:b/>
      <w:sz w:val="24"/>
    </w:rPr>
  </w:style>
  <w:style w:type="paragraph" w:styleId="1000" w:customStyle="1">
    <w:name w:val="表头_5"/>
    <w:basedOn w:val="699"/>
    <w:qFormat/>
    <w:pPr>
      <w:spacing w:line="360" w:lineRule="auto"/>
    </w:pPr>
    <w:rPr>
      <w:b/>
      <w:bCs/>
      <w:sz w:val="28"/>
      <w:szCs w:val="21"/>
    </w:rPr>
  </w:style>
  <w:style w:type="paragraph" w:styleId="1001" w:customStyle="1">
    <w:name w:val="符号与编号 Char Char"/>
    <w:basedOn w:val="699"/>
    <w:qFormat/>
    <w:pPr>
      <w:ind w:left="839" w:hanging="419"/>
      <w:spacing w:line="400" w:lineRule="atLeast"/>
      <w:tabs>
        <w:tab w:val="left" w:pos="840" w:leader="none"/>
      </w:tabs>
    </w:pPr>
    <w:rPr>
      <w:sz w:val="24"/>
    </w:rPr>
  </w:style>
  <w:style w:type="paragraph" w:styleId="1002" w:customStyle="1">
    <w:name w:val="段落"/>
    <w:qFormat/>
    <w:pPr>
      <w:ind w:firstLine="480"/>
      <w:jc w:val="both"/>
      <w:spacing w:before="120" w:after="120" w:line="360" w:lineRule="auto"/>
    </w:pPr>
    <w:rPr>
      <w:rFonts w:eastAsia="仿宋_GB2312"/>
      <w:sz w:val="24"/>
      <w:szCs w:val="24"/>
    </w:rPr>
  </w:style>
  <w:style w:type="paragraph" w:styleId="1003" w:customStyle="1">
    <w:name w:val="标准小四"/>
    <w:basedOn w:val="699"/>
    <w:qFormat/>
    <w:pPr>
      <w:ind w:firstLine="480"/>
      <w:spacing w:line="360" w:lineRule="auto"/>
    </w:pPr>
    <w:rPr>
      <w:rFonts w:ascii="Arial" w:hAnsi="Arial"/>
      <w:sz w:val="24"/>
      <w:szCs w:val="21"/>
    </w:rPr>
  </w:style>
  <w:style w:type="paragraph" w:styleId="1004" w:customStyle="1">
    <w:name w:val="标题1，章节第一层"/>
    <w:basedOn w:val="990"/>
    <w:next w:val="990"/>
    <w:qFormat/>
    <w:pPr>
      <w:ind w:left="272" w:hanging="272"/>
      <w:jc w:val="center"/>
      <w:tabs>
        <w:tab w:val="left" w:pos="693" w:leader="none"/>
      </w:tabs>
      <w:outlineLvl w:val="0"/>
    </w:pPr>
    <w:rPr>
      <w:rFonts w:eastAsia="黑体"/>
      <w:color w:val="000000"/>
      <w:sz w:val="32"/>
      <w:szCs w:val="24"/>
      <w:lang w:val="zh-CN"/>
    </w:rPr>
  </w:style>
  <w:style w:type="paragraph" w:styleId="1005" w:customStyle="1">
    <w:name w:val="样式 样式 标题 3H3sect1.2.3BOD 0Heading 3 - oldh3l3CTLevel 3 Head... +..."/>
    <w:basedOn w:val="699"/>
    <w:qFormat/>
    <w:pPr>
      <w:jc w:val="left"/>
      <w:keepLines/>
      <w:keepNext/>
      <w:outlineLvl w:val="2"/>
    </w:pPr>
    <w:rPr>
      <w:rFonts w:cs="宋体"/>
      <w:b/>
      <w:bCs/>
      <w:sz w:val="24"/>
      <w:szCs w:val="20"/>
    </w:rPr>
  </w:style>
  <w:style w:type="paragraph" w:styleId="1006" w:customStyle="1">
    <w:name w:val="部分1"/>
    <w:basedOn w:val="699"/>
    <w:qFormat/>
    <w:pPr>
      <w:jc w:val="center"/>
      <w:keepNext/>
      <w:pageBreakBefore/>
      <w:spacing w:line="360" w:lineRule="auto"/>
      <w:tabs>
        <w:tab w:val="left" w:pos="360" w:leader="none"/>
      </w:tabs>
      <w:outlineLvl w:val="0"/>
    </w:pPr>
    <w:rPr>
      <w:rFonts w:eastAsia="黑体"/>
      <w:b/>
      <w:sz w:val="36"/>
      <w:szCs w:val="20"/>
    </w:rPr>
  </w:style>
  <w:style w:type="paragraph" w:styleId="1007" w:customStyle="1">
    <w:name w:val="Char Char Char Char Char Char Char Char Char Char Char Char Char Char"/>
    <w:basedOn w:val="699"/>
    <w:qFormat/>
    <w:rPr>
      <w:rFonts w:ascii="Tahoma" w:hAnsi="Tahoma"/>
      <w:sz w:val="24"/>
      <w:szCs w:val="20"/>
    </w:rPr>
  </w:style>
  <w:style w:type="paragraph" w:styleId="1008" w:customStyle="1">
    <w:name w:val="xl45"/>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9" w:customStyle="1">
    <w:name w:val="小四 段落 宋体 Char"/>
    <w:basedOn w:val="885"/>
    <w:qFormat/>
    <w:pPr>
      <w:ind w:left="0" w:right="-33" w:firstLine="600"/>
      <w:jc w:val="left"/>
      <w:tabs>
        <w:tab w:val="clear" w:pos="2952" w:leader="none"/>
      </w:tabs>
    </w:pPr>
    <w:rPr>
      <w:rFonts w:ascii="仿宋_GB2312" w:eastAsia="仿宋_GB2312"/>
      <w:sz w:val="30"/>
      <w:szCs w:val="30"/>
    </w:rPr>
  </w:style>
  <w:style w:type="paragraph" w:styleId="1010" w:customStyle="1">
    <w:name w:val="正文 首行缩进:  2 字符 Char"/>
    <w:basedOn w:val="699"/>
    <w:qFormat/>
    <w:pPr>
      <w:ind w:firstLine="480"/>
      <w:spacing w:line="360" w:lineRule="auto"/>
    </w:pPr>
    <w:rPr>
      <w:rFonts w:cs="宋体"/>
      <w:sz w:val="24"/>
      <w:szCs w:val="20"/>
    </w:rPr>
  </w:style>
  <w:style w:type="paragraph" w:styleId="1011" w:customStyle="1">
    <w:name w:val="7"/>
    <w:basedOn w:val="699"/>
    <w:next w:val="912"/>
    <w:qFormat/>
    <w:pPr>
      <w:jc w:val="left"/>
      <w:spacing w:before="100" w:beforeAutospacing="1" w:after="100" w:afterAutospacing="1"/>
      <w:widowControl/>
    </w:pPr>
    <w:rPr>
      <w:rFonts w:ascii="宋体" w:hAnsi="宋体"/>
      <w:sz w:val="24"/>
      <w:szCs w:val="20"/>
    </w:rPr>
  </w:style>
  <w:style w:type="paragraph" w:styleId="1012" w:customStyle="1">
    <w:name w:val="列出段落1"/>
    <w:basedOn w:val="699"/>
    <w:qFormat/>
    <w:pPr>
      <w:ind w:firstLine="420"/>
    </w:pPr>
    <w:rPr>
      <w:rFonts w:ascii="Calibri" w:hAnsi="Calibri"/>
      <w:szCs w:val="22"/>
    </w:rPr>
  </w:style>
  <w:style w:type="paragraph" w:styleId="1013" w:customStyle="1">
    <w:name w:val="Char Char Char Char"/>
    <w:basedOn w:val="699"/>
    <w:qFormat/>
    <w:pPr>
      <w:jc w:val="center"/>
      <w:spacing w:after="160" w:line="240" w:lineRule="exact"/>
      <w:widowControl/>
    </w:pPr>
    <w:rPr>
      <w:rFonts w:ascii="黑体" w:hAnsi="Verdana" w:eastAsia="黑体"/>
      <w:sz w:val="32"/>
      <w:szCs w:val="32"/>
      <w:lang w:eastAsia="en-US"/>
    </w:rPr>
  </w:style>
  <w:style w:type="paragraph" w:styleId="1014" w:customStyle="1">
    <w:name w:val="项目符号，二级"/>
    <w:basedOn w:val="990"/>
    <w:next w:val="990"/>
    <w:qFormat/>
    <w:pPr>
      <w:ind w:left="1337" w:right="-27" w:firstLine="480"/>
      <w:tabs>
        <w:tab w:val="left" w:pos="1211" w:leader="none"/>
        <w:tab w:val="left" w:pos="1337" w:leader="none"/>
      </w:tabs>
    </w:pPr>
    <w:rPr>
      <w:bCs w:val="0"/>
      <w:color w:val="000000"/>
      <w:sz w:val="24"/>
      <w:szCs w:val="24"/>
    </w:rPr>
  </w:style>
  <w:style w:type="paragraph" w:styleId="1015" w:customStyle="1">
    <w:name w:val="项目符号，一级"/>
    <w:basedOn w:val="990"/>
    <w:next w:val="990"/>
    <w:qFormat/>
    <w:pPr>
      <w:ind w:left="376" w:firstLine="0"/>
      <w:spacing w:line="240" w:lineRule="atLeast"/>
      <w:tabs>
        <w:tab w:val="left" w:pos="1320" w:leader="none"/>
      </w:tabs>
    </w:pPr>
    <w:rPr>
      <w:bCs w:val="0"/>
      <w:color w:val="000000"/>
      <w:szCs w:val="24"/>
    </w:rPr>
  </w:style>
  <w:style w:type="paragraph" w:styleId="1016" w:customStyle="1">
    <w:name w:val="样式1"/>
    <w:basedOn w:val="699"/>
    <w:qFormat/>
    <w:pPr>
      <w:ind w:firstLine="480"/>
      <w:spacing w:line="300" w:lineRule="auto"/>
    </w:pPr>
    <w:rPr>
      <w:sz w:val="24"/>
    </w:rPr>
  </w:style>
  <w:style w:type="paragraph" w:styleId="1017" w:customStyle="1">
    <w:name w:val="样式 标题 2第一章 标题 2Heading 2 HiddenHeading 2 CCBSheading 2H2h2..."/>
    <w:basedOn w:val="701"/>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18" w:customStyle="1">
    <w:name w:val="Char Char Char Char Char Char Char"/>
    <w:basedOn w:val="699"/>
    <w:qFormat/>
    <w:rPr>
      <w:rFonts w:ascii="Tahoma" w:hAnsi="Tahoma"/>
      <w:sz w:val="24"/>
      <w:szCs w:val="20"/>
    </w:rPr>
  </w:style>
  <w:style w:type="paragraph" w:styleId="1019" w:customStyle="1">
    <w:name w:val="默认段落字体 Para Char Char Char Char Char Char Char"/>
    <w:basedOn w:val="699"/>
    <w:qFormat/>
    <w:rPr>
      <w:rFonts w:ascii="Tahoma" w:hAnsi="Tahoma"/>
      <w:sz w:val="24"/>
      <w:szCs w:val="20"/>
    </w:rPr>
  </w:style>
  <w:style w:type="paragraph" w:styleId="1020" w:customStyle="1">
    <w:name w:val="马刚标题3"/>
    <w:basedOn w:val="699"/>
    <w:next w:val="6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21" w:customStyle="1">
    <w:name w:val="Char Char Char Char Char Char Char Char Char Char Char Char Char Char Char Char Char Char Char Char Char"/>
    <w:basedOn w:val="699"/>
    <w:qFormat/>
    <w:rPr>
      <w:rFonts w:ascii="Tahoma" w:hAnsi="Tahoma"/>
      <w:sz w:val="24"/>
      <w:szCs w:val="20"/>
    </w:rPr>
  </w:style>
  <w:style w:type="paragraph" w:styleId="1022" w:customStyle="1">
    <w:name w:val="正文_0_0"/>
    <w:qFormat/>
    <w:pPr>
      <w:jc w:val="both"/>
      <w:widowControl w:val="off"/>
    </w:pPr>
    <w:rPr>
      <w:sz w:val="21"/>
      <w:szCs w:val="24"/>
    </w:rPr>
  </w:style>
  <w:style w:type="paragraph" w:styleId="1023" w:customStyle="1">
    <w:name w:val="正文 居中"/>
    <w:basedOn w:val="699"/>
    <w:qFormat/>
    <w:pPr>
      <w:jc w:val="center"/>
      <w:spacing w:line="360" w:lineRule="auto"/>
    </w:pPr>
    <w:rPr>
      <w:sz w:val="24"/>
      <w:szCs w:val="20"/>
    </w:rPr>
  </w:style>
  <w:style w:type="paragraph" w:styleId="1024" w:customStyle="1">
    <w:name w:val="Char Char Char1"/>
    <w:basedOn w:val="699"/>
    <w:qFormat/>
    <w:rPr>
      <w:rFonts w:ascii="Tahoma" w:hAnsi="Tahoma"/>
      <w:sz w:val="24"/>
      <w:szCs w:val="20"/>
    </w:rPr>
  </w:style>
  <w:style w:type="paragraph" w:styleId="1025" w:customStyle="1">
    <w:name w:val="宏图高科"/>
    <w:basedOn w:val="699"/>
    <w:qFormat/>
    <w:pPr>
      <w:ind w:firstLine="480"/>
      <w:spacing w:line="360" w:lineRule="auto"/>
    </w:pPr>
    <w:rPr>
      <w:rFonts w:eastAsia="楷体_GB2312"/>
      <w:sz w:val="24"/>
      <w:szCs w:val="20"/>
    </w:rPr>
  </w:style>
  <w:style w:type="paragraph" w:styleId="1026" w:customStyle="1">
    <w:name w:val="小四 段落 宋体 Char Char Char Char"/>
    <w:basedOn w:val="699"/>
    <w:qFormat/>
    <w:pPr>
      <w:ind w:right="-33" w:firstLine="480"/>
      <w:jc w:val="left"/>
      <w:spacing w:line="360" w:lineRule="auto"/>
    </w:pPr>
    <w:rPr>
      <w:sz w:val="24"/>
    </w:rPr>
  </w:style>
  <w:style w:type="paragraph" w:styleId="1027" w:customStyle="1">
    <w:name w:val="tableau"/>
    <w:basedOn w:val="699"/>
    <w:qFormat/>
    <w:pPr>
      <w:jc w:val="center"/>
      <w:spacing w:before="20" w:after="20"/>
      <w:widowControl/>
    </w:pPr>
    <w:rPr>
      <w:rFonts w:ascii="Arial" w:hAnsi="Arial"/>
      <w:sz w:val="16"/>
      <w:szCs w:val="20"/>
      <w:lang w:val="en-GB" w:eastAsia="en-US"/>
    </w:rPr>
  </w:style>
  <w:style w:type="paragraph" w:styleId="1028" w:customStyle="1">
    <w:name w:val="content_lineheight"/>
    <w:basedOn w:val="699"/>
    <w:qFormat/>
    <w:pPr>
      <w:jc w:val="left"/>
      <w:spacing w:before="100" w:beforeAutospacing="1" w:after="100" w:afterAutospacing="1"/>
      <w:widowControl/>
    </w:pPr>
    <w:rPr>
      <w:rFonts w:ascii="宋体" w:hAnsi="宋体"/>
      <w:sz w:val="24"/>
    </w:rPr>
  </w:style>
  <w:style w:type="paragraph" w:styleId="1029" w:customStyle="1">
    <w:name w:val="样式 样式 首行缩进:  0.74 厘米 行距: 1.5 倍行距 + 段后: 0.5 行"/>
    <w:basedOn w:val="699"/>
    <w:qFormat/>
    <w:pPr>
      <w:ind w:firstLine="420"/>
      <w:spacing w:line="360" w:lineRule="auto"/>
    </w:pPr>
    <w:rPr>
      <w:rFonts w:ascii="楷体_GB2312" w:eastAsia="楷体_GB2312"/>
      <w:bCs/>
      <w:sz w:val="24"/>
      <w:szCs w:val="20"/>
    </w:rPr>
  </w:style>
  <w:style w:type="paragraph" w:styleId="1030" w:customStyle="1">
    <w:name w:val="Char Char Char Char Char Char Char Char Char1"/>
    <w:basedOn w:val="699"/>
    <w:qFormat/>
    <w:pPr>
      <w:ind w:left="360" w:hanging="360"/>
      <w:tabs>
        <w:tab w:val="left" w:pos="360" w:leader="none"/>
      </w:tabs>
    </w:pPr>
    <w:rPr>
      <w:sz w:val="24"/>
    </w:rPr>
  </w:style>
  <w:style w:type="paragraph" w:styleId="1031" w:customStyle="1">
    <w:name w:val="项目符号：一级"/>
    <w:basedOn w:val="990"/>
    <w:next w:val="990"/>
    <w:qFormat/>
    <w:pPr>
      <w:ind w:right="-134"/>
    </w:pPr>
    <w:rPr>
      <w:bCs w:val="0"/>
    </w:rPr>
  </w:style>
  <w:style w:type="paragraph" w:styleId="1032" w:customStyle="1">
    <w:name w:val="正文缩进2字符"/>
    <w:basedOn w:val="699"/>
    <w:qFormat/>
    <w:pPr>
      <w:ind w:firstLine="200"/>
      <w:spacing w:line="300" w:lineRule="auto"/>
    </w:pPr>
    <w:rPr>
      <w:rFonts w:ascii="仿宋_GB2312" w:eastAsia="仿宋_GB2312"/>
      <w:sz w:val="32"/>
      <w:szCs w:val="32"/>
    </w:rPr>
  </w:style>
  <w:style w:type="paragraph" w:styleId="1033" w:customStyle="1">
    <w:name w:val="font6"/>
    <w:basedOn w:val="699"/>
    <w:qFormat/>
    <w:pPr>
      <w:jc w:val="left"/>
      <w:spacing w:before="100" w:beforeAutospacing="1" w:after="100" w:afterAutospacing="1"/>
      <w:widowControl/>
    </w:pPr>
    <w:rPr>
      <w:szCs w:val="21"/>
    </w:rPr>
  </w:style>
  <w:style w:type="paragraph" w:styleId="1034" w:customStyle="1">
    <w:name w:val="标题3，章节第三层"/>
    <w:basedOn w:val="699"/>
    <w:next w:val="990"/>
    <w:qFormat/>
    <w:pPr>
      <w:spacing w:before="78" w:line="300" w:lineRule="auto"/>
      <w:outlineLvl w:val="2"/>
    </w:pPr>
    <w:rPr>
      <w:rFonts w:ascii="Arial" w:hAnsi="Arial" w:eastAsia="华文细黑"/>
      <w:sz w:val="30"/>
    </w:rPr>
  </w:style>
  <w:style w:type="paragraph" w:styleId="1035" w:customStyle="1">
    <w:name w:val="表蕊"/>
    <w:basedOn w:val="699"/>
    <w:qFormat/>
    <w:pPr>
      <w:jc w:val="left"/>
      <w:spacing w:line="320" w:lineRule="atLeast"/>
    </w:pPr>
    <w:rPr>
      <w:rFonts w:eastAsia="楷体_GB2312"/>
      <w:spacing w:val="-10"/>
      <w:szCs w:val="20"/>
    </w:rPr>
  </w:style>
  <w:style w:type="paragraph" w:styleId="1036" w:customStyle="1">
    <w:name w:val="公文正文"/>
    <w:basedOn w:val="894"/>
    <w:qFormat/>
    <w:pPr>
      <w:ind w:left="0" w:firstLine="200"/>
      <w:spacing w:after="0"/>
    </w:pPr>
    <w:rPr>
      <w:rFonts w:ascii="仿宋_GB2312" w:hAnsi="宋体" w:eastAsia="仿宋_GB2312"/>
      <w:sz w:val="28"/>
    </w:rPr>
  </w:style>
  <w:style w:type="paragraph" w:styleId="1037" w:customStyle="1">
    <w:name w:val="样式4 Char"/>
    <w:basedOn w:val="699"/>
    <w:qFormat/>
    <w:pPr>
      <w:ind w:firstLine="480"/>
      <w:jc w:val="left"/>
      <w:spacing w:line="360" w:lineRule="auto"/>
      <w:widowControl/>
    </w:pPr>
    <w:rPr>
      <w:rFonts w:cs="宋体"/>
      <w:color w:val="000000"/>
      <w:sz w:val="24"/>
    </w:rPr>
  </w:style>
  <w:style w:type="paragraph" w:styleId="1038" w:customStyle="1">
    <w:name w:val="zw"/>
    <w:basedOn w:val="699"/>
    <w:qFormat/>
    <w:pPr>
      <w:ind w:firstLine="480"/>
      <w:jc w:val="left"/>
      <w:spacing w:line="360" w:lineRule="auto"/>
      <w:widowControl/>
    </w:pPr>
    <w:rPr>
      <w:rFonts w:ascii="宋体" w:hAnsi="宋体"/>
      <w:bCs/>
      <w:sz w:val="24"/>
      <w:szCs w:val="20"/>
    </w:rPr>
  </w:style>
  <w:style w:type="paragraph" w:styleId="1039" w:customStyle="1">
    <w:name w:val="retrait3"/>
    <w:basedOn w:val="699"/>
    <w:qFormat/>
    <w:pPr>
      <w:ind w:left="851"/>
      <w:jc w:val="left"/>
      <w:spacing w:before="20" w:after="20"/>
      <w:widowControl/>
    </w:pPr>
    <w:rPr>
      <w:rFonts w:ascii="Arial" w:hAnsi="Arial"/>
      <w:sz w:val="24"/>
      <w:szCs w:val="20"/>
      <w:lang w:val="en-GB"/>
    </w:rPr>
  </w:style>
  <w:style w:type="paragraph" w:styleId="1040" w:customStyle="1">
    <w:name w:val="Char2"/>
    <w:basedOn w:val="887"/>
    <w:qFormat/>
    <w:rPr>
      <w:rFonts w:ascii="Tahoma" w:hAnsi="Tahoma"/>
      <w:sz w:val="24"/>
    </w:rPr>
  </w:style>
  <w:style w:type="paragraph" w:styleId="1041" w:customStyle="1">
    <w:name w:val="方案正文"/>
    <w:basedOn w:val="699"/>
    <w:qFormat/>
    <w:pPr>
      <w:ind w:firstLine="359"/>
      <w:jc w:val="left"/>
      <w:spacing w:before="156" w:line="360" w:lineRule="auto"/>
    </w:pPr>
    <w:rPr>
      <w:rFonts w:ascii="Arial" w:hAnsi="Arial" w:cs="宋体"/>
      <w:sz w:val="24"/>
      <w:szCs w:val="21"/>
    </w:rPr>
  </w:style>
  <w:style w:type="paragraph" w:styleId="1042" w:customStyle="1">
    <w:name w:val="标题4，章节第四层"/>
    <w:basedOn w:val="699"/>
    <w:next w:val="699"/>
    <w:qFormat/>
    <w:pPr>
      <w:spacing w:line="360" w:lineRule="auto"/>
      <w:tabs>
        <w:tab w:val="left" w:pos="0" w:leader="none"/>
      </w:tabs>
      <w:outlineLvl w:val="3"/>
    </w:pPr>
    <w:rPr>
      <w:rFonts w:ascii="宋体" w:hAnsi="宋体"/>
      <w:b/>
      <w:sz w:val="24"/>
    </w:rPr>
  </w:style>
  <w:style w:type="paragraph" w:styleId="1043" w:customStyle="1">
    <w:name w:val="小四 段落 宋体 Char Char Char"/>
    <w:basedOn w:val="885"/>
    <w:qFormat/>
    <w:pPr>
      <w:ind w:left="0" w:right="-33" w:firstLine="545"/>
      <w:jc w:val="left"/>
      <w:spacing w:line="360" w:lineRule="auto"/>
      <w:tabs>
        <w:tab w:val="clear" w:pos="2952" w:leader="none"/>
      </w:tabs>
    </w:pPr>
    <w:rPr>
      <w:sz w:val="24"/>
    </w:rPr>
  </w:style>
  <w:style w:type="paragraph" w:styleId="1044" w:customStyle="1">
    <w:name w:val="文档正文"/>
    <w:basedOn w:val="699"/>
    <w:qFormat/>
    <w:pPr>
      <w:spacing w:line="360" w:lineRule="auto"/>
    </w:pPr>
    <w:rPr>
      <w:rFonts w:ascii="宋体" w:hAnsi="宋体"/>
      <w:b/>
      <w:bCs/>
    </w:rPr>
  </w:style>
  <w:style w:type="paragraph" w:styleId="1045" w:customStyle="1">
    <w:name w:val="丁华标题2"/>
    <w:basedOn w:val="701"/>
    <w:next w:val="1046"/>
    <w:qFormat/>
    <w:pPr>
      <w:ind w:left="567" w:hanging="567"/>
      <w:jc w:val="left"/>
      <w:spacing w:before="120" w:after="120"/>
      <w:tabs>
        <w:tab w:val="left" w:pos="567" w:leader="none"/>
      </w:tabs>
    </w:pPr>
    <w:rPr>
      <w:color w:val="000000"/>
      <w:sz w:val="28"/>
      <w:szCs w:val="20"/>
    </w:rPr>
  </w:style>
  <w:style w:type="paragraph" w:styleId="1046" w:customStyle="1">
    <w:name w:val="丁华正文"/>
    <w:basedOn w:val="909"/>
    <w:qFormat/>
    <w:pPr>
      <w:ind w:left="0" w:firstLine="510"/>
      <w:spacing w:before="0" w:after="0" w:line="360" w:lineRule="auto"/>
    </w:pPr>
    <w:rPr>
      <w:rFonts w:ascii="宋体" w:hAnsi="Arial"/>
      <w:bCs w:val="0"/>
      <w:color w:val="000000"/>
      <w:szCs w:val="16"/>
    </w:rPr>
  </w:style>
  <w:style w:type="paragraph" w:styleId="1047" w:customStyle="1">
    <w:name w:val="表格内容"/>
    <w:basedOn w:val="699"/>
    <w:qFormat/>
    <w:pPr>
      <w:jc w:val="center"/>
      <w:spacing w:before="60" w:line="300" w:lineRule="auto"/>
      <w:widowControl/>
    </w:pPr>
    <w:rPr>
      <w:szCs w:val="20"/>
    </w:rPr>
  </w:style>
  <w:style w:type="paragraph" w:styleId="1048" w:customStyle="1">
    <w:name w:val="样式 小四 段前: 3 磅 段后: 3 磅 行距: 1.5 倍行距"/>
    <w:basedOn w:val="699"/>
    <w:qFormat/>
    <w:pPr>
      <w:ind w:firstLine="540"/>
      <w:spacing w:before="60" w:after="60" w:line="360" w:lineRule="auto"/>
    </w:pPr>
    <w:rPr>
      <w:rFonts w:cs="宋体"/>
      <w:sz w:val="24"/>
    </w:rPr>
  </w:style>
  <w:style w:type="paragraph" w:styleId="1049" w:customStyle="1">
    <w:name w:val="正文表标题"/>
    <w:next w:val="979"/>
    <w:qFormat/>
    <w:pPr>
      <w:ind w:left="900" w:hanging="420"/>
      <w:jc w:val="center"/>
      <w:tabs>
        <w:tab w:val="left" w:pos="900" w:leader="none"/>
      </w:tabs>
    </w:pPr>
    <w:rPr>
      <w:rFonts w:ascii="黑体" w:eastAsia="黑体"/>
      <w:sz w:val="21"/>
    </w:rPr>
  </w:style>
  <w:style w:type="paragraph" w:styleId="1050" w:customStyle="1">
    <w:name w:val="列出段落11"/>
    <w:basedOn w:val="699"/>
    <w:qFormat/>
    <w:pPr>
      <w:contextualSpacing/>
      <w:ind w:left="720"/>
      <w:jc w:val="left"/>
      <w:widowControl/>
    </w:pPr>
    <w:rPr>
      <w:rFonts w:ascii="Arial" w:hAnsi="Arial" w:eastAsia="黑体"/>
      <w:sz w:val="24"/>
      <w:lang w:eastAsia="en-US"/>
    </w:rPr>
  </w:style>
  <w:style w:type="paragraph" w:styleId="1051" w:customStyle="1">
    <w:name w:val="正文--表格内正文"/>
    <w:basedOn w:val="699"/>
    <w:qFormat/>
    <w:pPr>
      <w:jc w:val="center"/>
      <w:spacing w:line="0" w:lineRule="atLeast"/>
    </w:pPr>
    <w:rPr>
      <w:rFonts w:ascii="宋体" w:hAnsi="宋体"/>
      <w:color w:val="000000"/>
      <w:sz w:val="24"/>
    </w:rPr>
  </w:style>
  <w:style w:type="paragraph" w:styleId="1052" w:customStyle="1">
    <w:name w:val="公文标题 2"/>
    <w:basedOn w:val="699"/>
    <w:next w:val="1036"/>
    <w:qFormat/>
    <w:pPr>
      <w:outlineLvl w:val="1"/>
    </w:pPr>
    <w:rPr>
      <w:rFonts w:ascii="仿宋_GB2312" w:hAnsi="宋体" w:eastAsia="仿宋_GB2312"/>
      <w:sz w:val="28"/>
    </w:rPr>
  </w:style>
  <w:style w:type="paragraph" w:styleId="1053" w:customStyle="1">
    <w:name w:val="标题5，章节第五层"/>
    <w:basedOn w:val="699"/>
    <w:next w:val="6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54" w:customStyle="1">
    <w:name w:val="样式 段后: 0.5 行 左  0.75 字符"/>
    <w:basedOn w:val="699"/>
    <w:qFormat/>
    <w:pPr>
      <w:ind w:firstLine="420"/>
      <w:spacing w:line="360" w:lineRule="auto"/>
      <w:widowControl/>
    </w:pPr>
    <w:rPr>
      <w:rFonts w:hAnsi="Arial" w:cs="Arial"/>
      <w:szCs w:val="21"/>
    </w:rPr>
  </w:style>
  <w:style w:type="paragraph" w:styleId="1055" w:customStyle="1">
    <w:name w:val="Char Char2 Char"/>
    <w:basedOn w:val="699"/>
    <w:qFormat/>
    <w:pPr>
      <w:ind w:left="390" w:hanging="390"/>
      <w:keepLines/>
      <w:keepNext/>
      <w:pageBreakBefore/>
      <w:tabs>
        <w:tab w:val="left" w:pos="390" w:leader="none"/>
      </w:tabs>
    </w:pPr>
    <w:rPr>
      <w:rFonts w:ascii="Tahoma" w:hAnsi="Tahoma"/>
      <w:sz w:val="24"/>
      <w:szCs w:val="20"/>
    </w:rPr>
  </w:style>
  <w:style w:type="paragraph" w:styleId="1056" w:customStyle="1">
    <w:name w:val="Char1 Char Char Char"/>
    <w:basedOn w:val="699"/>
    <w:qFormat/>
    <w:rPr>
      <w:rFonts w:ascii="Tahoma" w:hAnsi="Tahoma"/>
      <w:sz w:val="24"/>
      <w:szCs w:val="20"/>
    </w:rPr>
  </w:style>
  <w:style w:type="paragraph" w:styleId="1057" w:customStyle="1">
    <w:name w:val="z-窗体顶端1"/>
    <w:basedOn w:val="699"/>
    <w:next w:val="699"/>
    <w:qFormat/>
    <w:pPr>
      <w:jc w:val="center"/>
      <w:widowControl/>
      <w:pBdr>
        <w:bottom w:val="single" w:color="000000" w:sz="6" w:space="1"/>
      </w:pBdr>
    </w:pPr>
    <w:rPr>
      <w:rFonts w:ascii="Arial" w:hAnsi="Arial" w:cs="Arial"/>
      <w:vanish/>
      <w:sz w:val="16"/>
      <w:szCs w:val="16"/>
    </w:rPr>
  </w:style>
  <w:style w:type="paragraph" w:styleId="1058" w:customStyle="1">
    <w:name w:val="Char Char Char Char Char Char Char1"/>
    <w:basedOn w:val="699"/>
    <w:qFormat/>
    <w:pPr>
      <w:jc w:val="left"/>
    </w:pPr>
    <w:rPr>
      <w:rFonts w:ascii="Tahoma" w:hAnsi="Tahoma"/>
      <w:sz w:val="24"/>
      <w:szCs w:val="20"/>
    </w:rPr>
  </w:style>
  <w:style w:type="paragraph" w:styleId="1059" w:customStyle="1">
    <w:name w:val="条1"/>
    <w:basedOn w:val="699"/>
    <w:qFormat/>
    <w:pPr>
      <w:ind w:left="780" w:hanging="360"/>
      <w:spacing w:before="156" w:line="360" w:lineRule="auto"/>
      <w:tabs>
        <w:tab w:val="left" w:pos="780" w:leader="none"/>
      </w:tabs>
    </w:pPr>
    <w:rPr>
      <w:rFonts w:eastAsia="黑体"/>
      <w:sz w:val="24"/>
      <w:szCs w:val="20"/>
    </w:rPr>
  </w:style>
  <w:style w:type="paragraph" w:styleId="1060" w:customStyle="1">
    <w:name w:val="正文文本 New New"/>
    <w:basedOn w:val="699"/>
    <w:qFormat/>
    <w:pPr>
      <w:ind w:firstLine="200"/>
      <w:spacing w:before="60" w:after="60" w:line="360" w:lineRule="auto"/>
      <w:widowControl/>
    </w:pPr>
    <w:rPr>
      <w:rFonts w:eastAsia="华文楷体"/>
      <w:sz w:val="24"/>
    </w:rPr>
  </w:style>
  <w:style w:type="paragraph" w:styleId="1061" w:customStyle="1">
    <w:name w:val="Char Char1 Char Char Char Char1 Char Char Char Char Char Char"/>
    <w:basedOn w:val="699"/>
    <w:qFormat/>
    <w:rPr>
      <w:rFonts w:ascii="Tahoma" w:hAnsi="Tahoma"/>
      <w:sz w:val="24"/>
      <w:szCs w:val="20"/>
    </w:rPr>
  </w:style>
  <w:style w:type="paragraph" w:styleId="1062" w:customStyle="1">
    <w:name w:val="表格内文字"/>
    <w:basedOn w:val="699"/>
    <w:qFormat/>
    <w:pPr>
      <w:spacing w:line="300" w:lineRule="atLeast"/>
    </w:pPr>
    <w:rPr>
      <w:sz w:val="18"/>
    </w:rPr>
  </w:style>
  <w:style w:type="paragraph" w:styleId="1063" w:customStyle="1">
    <w:name w:val="正文 首行缩进:  2 字符 Char Char"/>
    <w:basedOn w:val="699"/>
    <w:qFormat/>
    <w:pPr>
      <w:ind w:firstLine="480"/>
      <w:spacing w:line="360" w:lineRule="auto"/>
    </w:pPr>
    <w:rPr>
      <w:rFonts w:ascii="楷体_GB2312" w:eastAsia="楷体_GB2312"/>
      <w:bCs/>
      <w:sz w:val="24"/>
    </w:rPr>
  </w:style>
  <w:style w:type="paragraph" w:styleId="1064" w:customStyle="1">
    <w:name w:val="xl28"/>
    <w:basedOn w:val="6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65" w:customStyle="1">
    <w:name w:val="正文lzq"/>
    <w:basedOn w:val="699"/>
    <w:qFormat/>
    <w:pPr>
      <w:ind w:firstLine="480"/>
      <w:spacing w:line="360" w:lineRule="auto"/>
    </w:pPr>
    <w:rPr>
      <w:sz w:val="24"/>
      <w:szCs w:val="20"/>
    </w:rPr>
  </w:style>
  <w:style w:type="paragraph" w:styleId="1066" w:customStyle="1">
    <w:name w:val="标题2，章节第二层"/>
    <w:basedOn w:val="699"/>
    <w:next w:val="99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067" w:customStyle="1">
    <w:name w:val="目录标题"/>
    <w:basedOn w:val="700"/>
    <w:next w:val="699"/>
    <w:uiPriority w:val="39"/>
    <w:unhideWhenUsed/>
    <w:qFormat/>
    <w:pPr>
      <w:jc w:val="left"/>
      <w:spacing w:before="480" w:after="0" w:line="276" w:lineRule="auto"/>
      <w:widowControl/>
      <w:outlineLvl w:val="9"/>
    </w:pPr>
    <w:rPr>
      <w:rFonts w:ascii="Cambria" w:hAnsi="Cambria"/>
      <w:color w:val="365f91"/>
      <w:sz w:val="28"/>
      <w:szCs w:val="28"/>
    </w:rPr>
  </w:style>
  <w:style w:type="paragraph" w:styleId="1068" w:customStyle="1">
    <w:name w:val="Test2"/>
    <w:basedOn w:val="701"/>
    <w:qFormat/>
    <w:pPr>
      <w:jc w:val="center"/>
      <w:spacing w:line="480" w:lineRule="exact"/>
      <w:widowControl/>
    </w:pPr>
    <w:rPr>
      <w:rFonts w:ascii="黑体"/>
      <w:sz w:val="24"/>
      <w:szCs w:val="24"/>
    </w:rPr>
  </w:style>
  <w:style w:type="paragraph" w:styleId="1069" w:customStyle="1">
    <w:name w:val="Char Char11"/>
    <w:basedOn w:val="699"/>
    <w:qFormat/>
    <w:rPr>
      <w:rFonts w:ascii="Tahoma" w:hAnsi="Tahoma"/>
      <w:sz w:val="24"/>
      <w:szCs w:val="20"/>
    </w:rPr>
  </w:style>
  <w:style w:type="paragraph" w:styleId="1070" w:customStyle="1">
    <w:name w:val="样式 模板正文 + 左侧:  2 字符 段前: 0 磅 行距: 单倍行距"/>
    <w:basedOn w:val="699"/>
    <w:qFormat/>
    <w:pPr>
      <w:ind w:firstLine="200"/>
      <w:spacing w:before="120" w:line="320" w:lineRule="exact"/>
    </w:pPr>
    <w:rPr>
      <w:rFonts w:ascii="Arial" w:hAnsi="Arial" w:cs="宋体"/>
      <w:szCs w:val="20"/>
    </w:rPr>
  </w:style>
  <w:style w:type="paragraph" w:styleId="1071" w:customStyle="1">
    <w:name w:val="flType"/>
    <w:basedOn w:val="991"/>
    <w:qFormat/>
    <w:pPr>
      <w:spacing w:after="284"/>
    </w:pPr>
    <w:rPr>
      <w:rFonts w:eastAsia="宋体"/>
      <w:b w:val="0"/>
    </w:rPr>
  </w:style>
  <w:style w:type="paragraph" w:styleId="1072" w:customStyle="1">
    <w:name w:val="Char Char Char Char Char Char Char Char Char"/>
    <w:basedOn w:val="699"/>
    <w:qFormat/>
    <w:rPr>
      <w:szCs w:val="21"/>
    </w:rPr>
  </w:style>
  <w:style w:type="paragraph" w:styleId="1073" w:customStyle="1">
    <w:name w:val="Char"/>
    <w:basedOn w:val="699"/>
    <w:qFormat/>
    <w:pPr>
      <w:spacing w:line="360" w:lineRule="auto"/>
    </w:pPr>
    <w:rPr>
      <w:rFonts w:ascii="Tahoma" w:hAnsi="Tahoma"/>
      <w:sz w:val="24"/>
      <w:szCs w:val="20"/>
    </w:rPr>
  </w:style>
  <w:style w:type="paragraph" w:styleId="1074" w:customStyle="1">
    <w:name w:val="a0"/>
    <w:basedOn w:val="699"/>
    <w:qFormat/>
    <w:pPr>
      <w:spacing w:before="100" w:beforeAutospacing="1" w:after="100" w:afterAutospacing="1"/>
      <w:widowControl/>
    </w:pPr>
    <w:rPr>
      <w:rFonts w:ascii="宋体" w:hAnsi="宋体" w:cs="宋体"/>
      <w:sz w:val="24"/>
    </w:rPr>
  </w:style>
  <w:style w:type="paragraph" w:styleId="1075" w:customStyle="1">
    <w:name w:val="xl34"/>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正文1"/>
    <w:basedOn w:val="699"/>
    <w:next w:val="699"/>
    <w:qFormat/>
    <w:pPr>
      <w:ind w:firstLine="510"/>
      <w:spacing w:before="156" w:line="360" w:lineRule="auto"/>
    </w:pPr>
    <w:rPr>
      <w:sz w:val="24"/>
      <w:szCs w:val="20"/>
    </w:rPr>
  </w:style>
  <w:style w:type="paragraph" w:styleId="1077" w:customStyle="1">
    <w:name w:val="a"/>
    <w:basedOn w:val="699"/>
    <w:qFormat/>
    <w:pPr>
      <w:spacing w:before="100" w:beforeAutospacing="1" w:after="100" w:afterAutospacing="1"/>
      <w:widowControl/>
    </w:pPr>
    <w:rPr>
      <w:rFonts w:ascii="宋体" w:hAnsi="宋体" w:cs="宋体"/>
      <w:sz w:val="24"/>
    </w:rPr>
  </w:style>
  <w:style w:type="paragraph" w:styleId="1078" w:customStyle="1">
    <w:name w:val="标准文本"/>
    <w:basedOn w:val="699"/>
    <w:qFormat/>
    <w:pPr>
      <w:ind w:firstLine="480"/>
      <w:spacing w:line="360" w:lineRule="auto"/>
    </w:pPr>
    <w:rPr>
      <w:rFonts w:cs="宋体"/>
      <w:sz w:val="24"/>
    </w:rPr>
  </w:style>
  <w:style w:type="paragraph" w:styleId="1079" w:customStyle="1">
    <w:name w:val="CD 正文"/>
    <w:basedOn w:val="699"/>
    <w:qFormat/>
    <w:pPr>
      <w:jc w:val="left"/>
    </w:pPr>
    <w:rPr>
      <w:rFonts w:ascii="Arial" w:hAnsi="Arial" w:eastAsia="微软雅黑"/>
    </w:rPr>
  </w:style>
  <w:style w:type="paragraph" w:styleId="1080" w:customStyle="1">
    <w:name w:val="样式 标题 3H3sect1.2.3BOD 0Heading 3 - oldh3l3CTLevel 3 Head..."/>
    <w:basedOn w:val="702"/>
    <w:qFormat/>
    <w:pPr>
      <w:jc w:val="left"/>
      <w:spacing w:line="240" w:lineRule="auto"/>
    </w:pPr>
    <w:rPr>
      <w:rFonts w:cs="宋体"/>
      <w:sz w:val="30"/>
      <w:szCs w:val="20"/>
    </w:rPr>
  </w:style>
  <w:style w:type="paragraph" w:styleId="1081" w:customStyle="1">
    <w:name w:val="正文文本 21"/>
    <w:basedOn w:val="699"/>
    <w:qFormat/>
    <w:pPr>
      <w:ind w:left="720" w:hanging="720"/>
      <w:widowControl/>
    </w:pPr>
    <w:rPr>
      <w:sz w:val="24"/>
      <w:szCs w:val="20"/>
      <w:lang w:val="en-GB"/>
    </w:rPr>
  </w:style>
  <w:style w:type="paragraph" w:styleId="1082" w:customStyle="1">
    <w:name w:val="Char Char Char"/>
    <w:basedOn w:val="887"/>
    <w:qFormat/>
    <w:pPr>
      <w:spacing w:line="436" w:lineRule="exact"/>
    </w:pPr>
  </w:style>
  <w:style w:type="paragraph" w:styleId="1083" w:customStyle="1">
    <w:name w:val="xl36"/>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普通(网站)1"/>
    <w:basedOn w:val="699"/>
    <w:qFormat/>
    <w:pPr>
      <w:jc w:val="left"/>
      <w:spacing w:before="100" w:beforeAutospacing="1" w:after="100" w:afterAutospacing="1"/>
      <w:widowControl/>
    </w:pPr>
    <w:rPr>
      <w:rFonts w:ascii="宋体" w:cs="宋体"/>
      <w:sz w:val="24"/>
    </w:rPr>
  </w:style>
  <w:style w:type="paragraph" w:styleId="1085" w:customStyle="1">
    <w:name w:val="Char Char Char Char Char Char Char Char Char Char Char1 Char Char Char1"/>
    <w:basedOn w:val="699"/>
    <w:qFormat/>
    <w:pPr>
      <w:ind w:firstLine="200"/>
      <w:jc w:val="left"/>
    </w:pPr>
    <w:rPr>
      <w:rFonts w:ascii="Tahoma" w:hAnsi="Tahoma"/>
      <w:sz w:val="24"/>
    </w:rPr>
  </w:style>
  <w:style w:type="paragraph" w:styleId="1086" w:customStyle="1">
    <w:name w:val="方案文档"/>
    <w:basedOn w:val="699"/>
    <w:qFormat/>
    <w:pPr>
      <w:ind w:firstLine="225"/>
      <w:spacing w:before="60" w:after="60" w:line="360" w:lineRule="auto"/>
    </w:pPr>
    <w:rPr>
      <w:rFonts w:ascii="宋体"/>
      <w:color w:val="000000"/>
      <w:sz w:val="24"/>
      <w:szCs w:val="20"/>
    </w:rPr>
  </w:style>
  <w:style w:type="paragraph" w:styleId="1087" w:customStyle="1">
    <w:name w:val="af17cgridlangnp1033langf"/>
    <w:qFormat/>
    <w:pPr>
      <w:ind w:left="567" w:firstLine="510"/>
      <w:jc w:val="both"/>
      <w:spacing w:before="156" w:line="360" w:lineRule="atLeast"/>
      <w:widowControl w:val="off"/>
    </w:pPr>
  </w:style>
  <w:style w:type="paragraph" w:styleId="1088" w:customStyle="1">
    <w:name w:val="Char Char Char Char Char"/>
    <w:basedOn w:val="699"/>
    <w:qFormat/>
    <w:rPr>
      <w:rFonts w:ascii="Tahoma" w:hAnsi="Tahoma"/>
      <w:sz w:val="24"/>
      <w:szCs w:val="20"/>
    </w:rPr>
  </w:style>
  <w:style w:type="paragraph" w:styleId="1089" w:customStyle="1">
    <w:name w:val="Char Char1 Char1"/>
    <w:basedOn w:val="699"/>
    <w:qFormat/>
    <w:pPr>
      <w:jc w:val="left"/>
      <w:spacing w:after="160" w:line="240" w:lineRule="exact"/>
      <w:widowControl/>
    </w:pPr>
    <w:rPr>
      <w:rFonts w:ascii="Verdana" w:hAnsi="Verdana"/>
      <w:sz w:val="20"/>
      <w:szCs w:val="20"/>
      <w:lang w:eastAsia="en-US"/>
    </w:rPr>
  </w:style>
  <w:style w:type="paragraph" w:styleId="1090" w:customStyle="1">
    <w:name w:val="xl43"/>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样式3"/>
    <w:basedOn w:val="699"/>
    <w:next w:val="699"/>
    <w:qFormat/>
    <w:pPr>
      <w:spacing w:line="360" w:lineRule="auto"/>
    </w:pPr>
    <w:rPr>
      <w:szCs w:val="20"/>
    </w:rPr>
  </w:style>
  <w:style w:type="paragraph" w:styleId="1092" w:customStyle="1">
    <w:name w:val="样式"/>
    <w:basedOn w:val="699"/>
    <w:qFormat/>
    <w:pPr>
      <w:spacing w:before="120" w:after="120" w:line="360" w:lineRule="auto"/>
    </w:pPr>
    <w:rPr>
      <w:rFonts w:ascii="宋体"/>
      <w:sz w:val="24"/>
      <w:szCs w:val="20"/>
    </w:rPr>
  </w:style>
  <w:style w:type="paragraph" w:styleId="1093" w:customStyle="1">
    <w:name w:val="符号与编号"/>
    <w:basedOn w:val="699"/>
    <w:qFormat/>
    <w:pPr>
      <w:ind w:left="900" w:hanging="420"/>
      <w:spacing w:line="400" w:lineRule="atLeast"/>
      <w:tabs>
        <w:tab w:val="left" w:pos="900" w:leader="none"/>
      </w:tabs>
    </w:pPr>
    <w:rPr>
      <w:sz w:val="24"/>
    </w:rPr>
  </w:style>
  <w:style w:type="paragraph" w:styleId="1094" w:customStyle="1">
    <w:name w:val="默认段落字体 Para Char"/>
    <w:basedOn w:val="699"/>
    <w:qFormat/>
    <w:pPr>
      <w:spacing w:line="360" w:lineRule="auto"/>
    </w:pPr>
    <w:rPr>
      <w:sz w:val="24"/>
    </w:rPr>
  </w:style>
  <w:style w:type="paragraph" w:styleId="1095" w:customStyle="1">
    <w:name w:val="二级条标题"/>
    <w:basedOn w:val="699"/>
    <w:next w:val="979"/>
    <w:qFormat/>
    <w:pPr>
      <w:ind w:hanging="420"/>
      <w:widowControl/>
      <w:tabs>
        <w:tab w:val="left" w:pos="2240" w:leader="none"/>
      </w:tabs>
      <w:outlineLvl w:val="3"/>
    </w:pPr>
    <w:rPr>
      <w:rFonts w:eastAsia="黑体"/>
      <w:szCs w:val="20"/>
    </w:rPr>
  </w:style>
  <w:style w:type="paragraph" w:styleId="1096" w:customStyle="1">
    <w:name w:val="xl35"/>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customStyle="1">
    <w:name w:val="马刚标题4"/>
    <w:basedOn w:val="1020"/>
    <w:next w:val="699"/>
    <w:qFormat/>
    <w:pPr>
      <w:spacing w:before="100" w:after="40"/>
      <w:tabs>
        <w:tab w:val="left" w:pos="1050" w:leader="none"/>
      </w:tabs>
      <w:outlineLvl w:val="3"/>
    </w:pPr>
    <w:rPr>
      <w:b w:val="0"/>
    </w:rPr>
  </w:style>
  <w:style w:type="paragraph" w:styleId="1098" w:customStyle="1">
    <w:name w:val="插图"/>
    <w:basedOn w:val="699"/>
    <w:qFormat/>
    <w:pPr>
      <w:jc w:val="center"/>
      <w:tabs>
        <w:tab w:val="left" w:pos="1620" w:leader="none"/>
      </w:tabs>
    </w:pPr>
    <w:rPr>
      <w:bCs/>
      <w:color w:val="000000"/>
      <w:szCs w:val="22"/>
    </w:rPr>
  </w:style>
  <w:style w:type="paragraph" w:styleId="1099" w:customStyle="1">
    <w:name w:val="普通(网站)11"/>
    <w:basedOn w:val="699"/>
    <w:qFormat/>
    <w:pPr>
      <w:jc w:val="left"/>
      <w:spacing w:before="100" w:beforeAutospacing="1" w:after="100" w:afterAutospacing="1"/>
      <w:widowControl/>
    </w:pPr>
    <w:rPr>
      <w:rFonts w:ascii="宋体" w:hAnsi="宋体" w:cs="宋体"/>
      <w:sz w:val="24"/>
    </w:rPr>
  </w:style>
  <w:style w:type="paragraph" w:styleId="1100" w:customStyle="1">
    <w:name w:val="Char Char1 Char"/>
    <w:basedOn w:val="699"/>
    <w:qFormat/>
    <w:pPr>
      <w:jc w:val="left"/>
      <w:spacing w:after="160" w:line="240" w:lineRule="exact"/>
      <w:widowControl/>
    </w:pPr>
    <w:rPr>
      <w:rFonts w:ascii="Verdana" w:hAnsi="Verdana"/>
      <w:sz w:val="20"/>
      <w:szCs w:val="20"/>
      <w:lang w:eastAsia="en-US"/>
    </w:rPr>
  </w:style>
  <w:style w:type="paragraph" w:styleId="1101" w:customStyle="1">
    <w:name w:val="样式 标题 3H32nd Subheadl3CTh3Level 3 Headlevel_3PIM 3Headi...2"/>
    <w:basedOn w:val="702"/>
    <w:qFormat/>
    <w:pPr>
      <w:ind w:left="709" w:hanging="709"/>
      <w:jc w:val="left"/>
      <w:spacing w:after="120" w:line="360" w:lineRule="auto"/>
      <w:tabs>
        <w:tab w:val="left" w:pos="709" w:leader="none"/>
      </w:tabs>
    </w:pPr>
    <w:rPr>
      <w:rFonts w:cs="宋体"/>
      <w:sz w:val="30"/>
      <w:szCs w:val="20"/>
    </w:rPr>
  </w:style>
  <w:style w:type="paragraph" w:styleId="1102" w:customStyle="1">
    <w:name w:val="大标题"/>
    <w:basedOn w:val="699"/>
    <w:next w:val="699"/>
    <w:qFormat/>
    <w:pPr>
      <w:ind w:hanging="420"/>
      <w:pageBreakBefore/>
      <w:spacing w:line="360" w:lineRule="auto"/>
      <w:tabs>
        <w:tab w:val="left" w:pos="420" w:leader="none"/>
      </w:tabs>
      <w:outlineLvl w:val="0"/>
    </w:pPr>
    <w:rPr>
      <w:b/>
      <w:iCs/>
      <w:sz w:val="44"/>
    </w:rPr>
  </w:style>
  <w:style w:type="paragraph" w:styleId="1103" w:customStyle="1">
    <w:name w:val="默认段落字体 Para Char Char Char Char Char Char Char Char Char1 Char Char Char Char Char Char Char"/>
    <w:basedOn w:val="887"/>
    <w:qFormat/>
    <w:rPr>
      <w:szCs w:val="20"/>
    </w:rPr>
  </w:style>
  <w:style w:type="paragraph" w:styleId="1104" w:customStyle="1">
    <w:name w:val="xl41"/>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05" w:customStyle="1">
    <w:name w:val="正文2"/>
    <w:basedOn w:val="699"/>
    <w:qFormat/>
    <w:pPr>
      <w:ind w:firstLine="510"/>
      <w:spacing w:before="156" w:line="360" w:lineRule="auto"/>
    </w:pPr>
    <w:rPr>
      <w:sz w:val="24"/>
      <w:szCs w:val="20"/>
    </w:rPr>
  </w:style>
  <w:style w:type="paragraph" w:styleId="1106" w:customStyle="1">
    <w:name w:val="font5"/>
    <w:basedOn w:val="699"/>
    <w:qFormat/>
    <w:pPr>
      <w:jc w:val="left"/>
      <w:spacing w:before="100" w:beforeAutospacing="1" w:after="100" w:afterAutospacing="1"/>
      <w:widowControl/>
    </w:pPr>
    <w:rPr>
      <w:rFonts w:ascii="宋体" w:hAnsi="宋体" w:cs="宋体"/>
      <w:sz w:val="18"/>
      <w:szCs w:val="18"/>
    </w:rPr>
  </w:style>
  <w:style w:type="paragraph" w:styleId="1107" w:customStyle="1">
    <w:name w:val="样式 加点正文 + 段前: 0.5 行 段后: 0.5 行1"/>
    <w:basedOn w:val="699"/>
    <w:qFormat/>
    <w:pPr>
      <w:ind w:left="1268" w:hanging="420"/>
      <w:spacing w:line="300" w:lineRule="auto"/>
      <w:tabs>
        <w:tab w:val="left" w:pos="1268" w:leader="none"/>
      </w:tabs>
    </w:pPr>
    <w:rPr>
      <w:sz w:val="24"/>
      <w:szCs w:val="20"/>
    </w:rPr>
  </w:style>
  <w:style w:type="paragraph" w:styleId="1108" w:customStyle="1">
    <w:name w:val="Char Char1"/>
    <w:basedOn w:val="699"/>
    <w:qFormat/>
    <w:pPr>
      <w:jc w:val="left"/>
      <w:spacing w:after="160" w:line="240" w:lineRule="exact"/>
      <w:widowControl/>
    </w:pPr>
    <w:rPr>
      <w:rFonts w:eastAsia="仿宋_GB2312"/>
      <w:sz w:val="28"/>
    </w:rPr>
  </w:style>
  <w:style w:type="paragraph" w:styleId="1109" w:customStyle="1">
    <w:name w:val="p0"/>
    <w:basedOn w:val="699"/>
    <w:qFormat/>
    <w:pPr>
      <w:widowControl/>
    </w:pPr>
    <w:rPr>
      <w:szCs w:val="21"/>
    </w:rPr>
  </w:style>
  <w:style w:type="paragraph" w:styleId="1110" w:customStyle="1">
    <w:name w:val="列出段落2"/>
    <w:basedOn w:val="699"/>
    <w:qFormat/>
    <w:pPr>
      <w:contextualSpacing/>
      <w:ind w:left="720"/>
      <w:jc w:val="left"/>
      <w:widowControl/>
    </w:pPr>
    <w:rPr>
      <w:rFonts w:ascii="Arial" w:hAnsi="Arial" w:eastAsia="黑体"/>
      <w:sz w:val="24"/>
      <w:lang w:eastAsia="en-US"/>
    </w:rPr>
  </w:style>
  <w:style w:type="paragraph" w:styleId="1111" w:customStyle="1">
    <w:name w:val="Char1"/>
    <w:basedOn w:val="699"/>
    <w:qFormat/>
    <w:rPr>
      <w:rFonts w:ascii="仿宋_GB2312" w:eastAsia="仿宋_GB2312"/>
      <w:b/>
      <w:sz w:val="32"/>
      <w:szCs w:val="32"/>
    </w:rPr>
  </w:style>
  <w:style w:type="paragraph" w:styleId="1112" w:customStyle="1">
    <w:name w:val="qw"/>
    <w:qFormat/>
    <w:pPr>
      <w:jc w:val="both"/>
      <w:spacing w:line="312" w:lineRule="atLeast"/>
      <w:widowControl w:val="off"/>
    </w:pPr>
    <w:rPr>
      <w:rFonts w:ascii="宋体"/>
      <w:sz w:val="24"/>
    </w:rPr>
  </w:style>
  <w:style w:type="paragraph" w:styleId="1113" w:customStyle="1">
    <w:name w:val="小四 段落 宋体"/>
    <w:basedOn w:val="885"/>
    <w:qFormat/>
    <w:pPr>
      <w:ind w:left="113" w:right="113" w:firstLine="425"/>
      <w:jc w:val="left"/>
      <w:spacing w:line="360" w:lineRule="auto"/>
      <w:tabs>
        <w:tab w:val="clear" w:pos="2952" w:leader="none"/>
      </w:tabs>
    </w:pPr>
    <w:rPr>
      <w:sz w:val="24"/>
    </w:rPr>
  </w:style>
  <w:style w:type="paragraph" w:styleId="1114" w:customStyle="1">
    <w:name w:val="xl42"/>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15" w:customStyle="1">
    <w:name w:val="xl32"/>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马刚标题1"/>
    <w:basedOn w:val="700"/>
    <w:next w:val="699"/>
    <w:qFormat/>
    <w:pPr>
      <w:ind w:left="567" w:hanging="567"/>
      <w:jc w:val="left"/>
      <w:spacing w:before="400" w:after="120"/>
      <w:tabs>
        <w:tab w:val="left" w:pos="315" w:leader="none"/>
        <w:tab w:val="left" w:pos="567" w:leader="none"/>
      </w:tabs>
    </w:pPr>
    <w:rPr>
      <w:rFonts w:eastAsia="黑体"/>
      <w:b w:val="0"/>
      <w:bCs w:val="0"/>
      <w:sz w:val="32"/>
      <w:szCs w:val="20"/>
    </w:rPr>
  </w:style>
  <w:style w:type="character" w:styleId="1117" w:customStyle="1">
    <w:name w:val="font21"/>
    <w:rPr>
      <w:rFonts w:ascii="Times New Roman" w:hAnsi="Times New Roman"/>
      <w:color w:val="000000"/>
      <w:sz w:val="20"/>
      <w:u w:val="none"/>
    </w:rPr>
  </w:style>
  <w:style w:type="character" w:styleId="1118" w:customStyle="1">
    <w:name w:val="纯文本 字符1"/>
    <w:rPr>
      <w:rFonts w:ascii="宋体" w:hAnsi="Courier New"/>
      <w:sz w:val="21"/>
    </w:rPr>
  </w:style>
  <w:style w:type="paragraph" w:styleId="1119" w:customStyle="1">
    <w:name w:val="正文 A"/>
    <w:qFormat/>
    <w:pPr>
      <w:jc w:val="both"/>
      <w:widowControl w:val="off"/>
    </w:pPr>
    <w:rPr>
      <w:rFonts w:eastAsia="ヒラギノ角ゴ Pro W3"/>
      <w:color w:val="000000"/>
      <w:sz w:val="21"/>
    </w:rPr>
  </w:style>
  <w:style w:type="character" w:styleId="1120" w:customStyle="1">
    <w:name w:val="rvts9"/>
    <w:uiPriority w:val="99"/>
    <w:qFormat/>
    <w:rPr>
      <w:rFonts w:ascii="KNLe" w:hAnsi="KNLe"/>
    </w:rPr>
  </w:style>
  <w:style w:type="character" w:styleId="1121" w:customStyle="1">
    <w:name w:val="rvts11"/>
    <w:qFormat/>
    <w:rPr>
      <w:rFonts w:ascii="KNLe" w:hAnsi="KNLe" w:cs="Times New Roman"/>
      <w:u w:val="single"/>
    </w:rPr>
  </w:style>
  <w:style w:type="paragraph" w:styleId="1122" w:customStyle="1">
    <w:name w:val="WPSOffice手动目录 1"/>
  </w:style>
  <w:style w:type="paragraph" w:styleId="1123" w:customStyle="1">
    <w:name w:val="WPSOffice手动目录 2"/>
  </w:style>
  <w:style w:type="paragraph" w:styleId="1124" w:customStyle="1">
    <w:name w:val="yzz表文"/>
    <w:basedOn w:val="699"/>
    <w:qFormat/>
    <w:pPr>
      <w:jc w:val="center"/>
      <w:widowControl/>
    </w:pPr>
    <w:rPr>
      <w:lang w:val="en-GB"/>
    </w:rPr>
  </w:style>
  <w:style w:type="character" w:styleId="1125" w:customStyle="1">
    <w:name w:val="NormalCharacter1"/>
    <w:semiHidden/>
    <w:qFormat/>
  </w:style>
  <w:style w:type="paragraph" w:styleId="1126" w:customStyle="1">
    <w:name w:val="正文（绿盟科技）"/>
    <w:qFormat/>
    <w:pPr>
      <w:spacing w:line="300" w:lineRule="auto"/>
    </w:pPr>
    <w:rPr>
      <w:rFonts w:ascii="Arial" w:hAnsi="Arial" w:cs="黑体"/>
      <w:sz w:val="21"/>
      <w:szCs w:val="21"/>
    </w:rPr>
  </w:style>
  <w:style w:type="paragraph" w:styleId="1127" w:customStyle="1">
    <w:name w:val="Table Paragraph"/>
    <w:basedOn w:val="699"/>
    <w:uiPriority w:val="99"/>
    <w:qFormat/>
    <w:pPr>
      <w:jc w:val="left"/>
    </w:pPr>
    <w:rPr>
      <w:rFonts w:ascii="Calibri" w:hAnsi="Calibri"/>
      <w:sz w:val="22"/>
      <w:szCs w:val="22"/>
      <w:lang w:eastAsia="en-US"/>
    </w:rPr>
  </w:style>
  <w:style w:type="paragraph" w:styleId="1128" w:customStyle="1">
    <w:name w:val="普通(网站)111"/>
    <w:basedOn w:val="699"/>
    <w:uiPriority w:val="99"/>
    <w:qFormat/>
    <w:pPr>
      <w:jc w:val="left"/>
      <w:spacing w:before="100" w:beforeAutospacing="1" w:after="100" w:afterAutospacing="1"/>
      <w:widowControl/>
    </w:pPr>
    <w:rPr>
      <w:rFonts w:ascii="Trebuchet MS" w:hAnsi="Trebuchet MS" w:cs="Trebuchet MS"/>
      <w:sz w:val="24"/>
    </w:rPr>
  </w:style>
  <w:style w:type="paragraph" w:styleId="1129" w:customStyle="1">
    <w:name w:val="纯文本11"/>
    <w:qFormat/>
    <w:pPr>
      <w:jc w:val="both"/>
      <w:widowControl w:val="off"/>
    </w:pPr>
    <w:rPr>
      <w:rFonts w:ascii="Trebuchet MS" w:hAnsi="华文楷体" w:cs="Tahoma"/>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史佳</cp:lastModifiedBy>
  <cp:revision>4</cp:revision>
  <dcterms:created xsi:type="dcterms:W3CDTF">2026-07-20T03:00:00Z</dcterms:created>
  <dcterms:modified xsi:type="dcterms:W3CDTF">2026-07-20T08:47:27Z</dcterms:modified>
</cp:coreProperties>
</file>