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竞争性磋商文件</w:t>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525" w:hanging="1807"/>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项目名称: 淮安市清江浦区残疾人联合会重度残疾人寄宿制托养服务项目</w:t>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项目编号:JSZC-320812-YSJS-C2026-0009</w:t>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1807"/>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采购单位：淮安市清江浦区残疾人联合会</w:t>
      </w:r>
      <w:r/>
    </w:p>
    <w:p>
      <w:pPr>
        <w:ind w:firstLine="1590"/>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代理单位：江苏永实工程项目管理有限公司</w:t>
      </w:r>
      <w:r/>
    </w:p>
    <w:p>
      <w:pPr>
        <w:ind w:firstLine="716"/>
        <w:jc w:val="center"/>
        <w:spacing w:line="760" w:lineRule="exact"/>
        <w:rPr>
          <w:rFonts w:hint="eastAsia" w:ascii="仿宋" w:hAnsi="仿宋" w:eastAsia="仿宋" w:cs="仿宋"/>
          <w:b/>
          <w:bCs/>
          <w:color w:val="auto"/>
          <w:sz w:val="28"/>
          <w:szCs w:val="28"/>
          <w:highlight w:val="none"/>
        </w:rPr>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lang w:eastAsia="zh-CN"/>
        </w:rPr>
        <w:t xml:space="preserve">年</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lang w:eastAsia="zh-CN"/>
        </w:rPr>
        <w:t xml:space="preserve">月</w:t>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磋商邀请</w:t>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受淮安市清江浦区残疾人联合会的委托，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就淮安市清江浦区残疾人联合会重度残疾人寄宿制托养服务项目进行竞争性磋商采购，现邀请符合条件的供应商参加竞争性磋商。</w:t>
      </w:r>
      <w:r/>
    </w:p>
    <w:p>
      <w:pPr>
        <w:ind w:left="1" w:firstLine="5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3940" cy="142748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23940" cy="1427480"/>
                        </a:xfrm>
                        <a:prstGeom prst="rect">
                          <a:avLst/>
                        </a:prstGeom>
                        <a:noFill/>
                        <a:ln>
                          <a:solidFill>
                            <a:srgbClr val="000000"/>
                          </a:solidFill>
                          <a:miter/>
                        </a:ln>
                      </wps:spPr>
                      <wps:txbx>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2026年7月14日</w:t>
                            </w:r>
                            <w:r>
                              <w:rPr>
                                <w:rFonts w:hint="eastAsia" w:ascii="仿宋" w:hAnsi="仿宋" w:eastAsia="仿宋" w:cs="仿宋"/>
                                <w:sz w:val="28"/>
                                <w:szCs w:val="28"/>
                                <w:lang w:val="en-US" w:eastAsia="zh-CN"/>
                              </w:rPr>
                              <w:t xml:space="preserve">14</w:t>
                            </w:r>
                            <w:r>
                              <w:rPr>
                                <w:rFonts w:hint="eastAsia" w:ascii="仿宋" w:hAnsi="仿宋" w:eastAsia="仿宋" w:cs="仿宋"/>
                                <w:sz w:val="28"/>
                                <w:szCs w:val="28"/>
                                <w:lang w:eastAsia="zh-CN"/>
                              </w:rPr>
                              <w:t xml:space="preserve">点30分</w:t>
                            </w:r>
                            <w:r>
                              <w:rPr>
                                <w:rFonts w:hint="eastAsia" w:ascii="仿宋" w:hAnsi="仿宋" w:eastAsia="仿宋" w:cs="仿宋"/>
                                <w:sz w:val="28"/>
                                <w:szCs w:val="28"/>
                              </w:rPr>
                              <w:t xml:space="preserve">（北京时间）前提交响应文件。</w:t>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2.4pt;mso-wrap-distance-left:9.0pt;mso-wrap-distance-top:0.0pt;mso-wrap-distance-right:9.0pt;mso-wrap-distance-bottom:0.0pt;visibility:visible;" filled="f" strokecolor="#000000">
                <v:textbox inset="0,0,0,0">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2026年7月14日</w:t>
                      </w:r>
                      <w:r>
                        <w:rPr>
                          <w:rFonts w:hint="eastAsia" w:ascii="仿宋" w:hAnsi="仿宋" w:eastAsia="仿宋" w:cs="仿宋"/>
                          <w:sz w:val="28"/>
                          <w:szCs w:val="28"/>
                          <w:lang w:val="en-US" w:eastAsia="zh-CN"/>
                        </w:rPr>
                        <w:t xml:space="preserve">14</w:t>
                      </w:r>
                      <w:r>
                        <w:rPr>
                          <w:rFonts w:hint="eastAsia" w:ascii="仿宋" w:hAnsi="仿宋" w:eastAsia="仿宋" w:cs="仿宋"/>
                          <w:sz w:val="28"/>
                          <w:szCs w:val="28"/>
                          <w:lang w:eastAsia="zh-CN"/>
                        </w:rPr>
                        <w:t xml:space="preserve">点30分</w:t>
                      </w:r>
                      <w:r>
                        <w:rPr>
                          <w:rFonts w:hint="eastAsia" w:ascii="仿宋" w:hAnsi="仿宋" w:eastAsia="仿宋" w:cs="仿宋"/>
                          <w:sz w:val="28"/>
                          <w:szCs w:val="28"/>
                        </w:rPr>
                        <w:t xml:space="preserve">（北京时间）前提交响应文件。</w:t>
                      </w:r>
                      <w:r/>
                    </w:p>
                  </w:txbxContent>
                </v:textbox>
              </v:shape>
            </w:pict>
          </mc:Fallback>
        </mc:AlternateConten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（一）项目编号</w:t>
      </w:r>
      <w:r>
        <w:rPr>
          <w:rFonts w:hint="eastAsia" w:ascii="仿宋" w:hAnsi="仿宋" w:eastAsia="仿宋" w:cs="仿宋"/>
          <w:bCs/>
          <w:color w:val="auto"/>
          <w:sz w:val="28"/>
          <w:szCs w:val="28"/>
          <w:highlight w:val="none"/>
        </w:rPr>
        <w:t xml:space="preserve">:JSZC-320812-YSJS-C2026-0009</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bCs/>
          <w:color w:val="auto"/>
          <w:sz w:val="28"/>
          <w:szCs w:val="28"/>
          <w:highlight w:val="none"/>
        </w:rPr>
        <w:t xml:space="preserve">淮安市清江浦区残疾人联合会重度残疾人寄宿制托养服务项目</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（三）采购方式:竞争性磋商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（四）预算金额:</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r/>
    </w:p>
    <w:p>
      <w:pPr>
        <w:ind w:firstLine="565"/>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（五）最高限价:</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r>
        <w:rPr>
          <w:rFonts w:hint="eastAsia" w:ascii="仿宋" w:hAnsi="仿宋" w:eastAsia="仿宋" w:cs="仿宋"/>
          <w:color w:val="auto"/>
          <w:sz w:val="28"/>
          <w:szCs w:val="28"/>
          <w:highlight w:val="none"/>
          <w:u w:val="none"/>
          <w:lang w:eastAsia="zh-CN"/>
        </w:rPr>
        <w:t xml:space="preserve">。</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（六）采购需求:淮安市清江浦区残疾人联合会重度残疾人寄宿制托养服务。详细内容见本磋商文件“第五部分、项目采购需求”。</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（七）合同履行期限: 壹年。合同期限届满，甲方对乙方履约考核结果合格的，双方可续签壹年；本合同累计履行总期限最长不超过三年。若乙方考核未达甲方合格标准，合同到期自动终止，甲方不予续期。</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（八）本项目（□是☑否）接受联合体竞争性磋商。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b/>
          <w:bCs/>
          <w:color w:val="auto"/>
          <w:sz w:val="28"/>
          <w:szCs w:val="28"/>
          <w:highlight w:val="none"/>
          <w:u w:val="single"/>
        </w:rPr>
        <w:t xml:space="preserve">其他未列明行业</w:t>
      </w:r>
      <w:r>
        <w:rPr>
          <w:rFonts w:hint="eastAsia" w:ascii="仿宋" w:hAnsi="仿宋" w:eastAsia="仿宋" w:cs="仿宋"/>
          <w:color w:val="auto"/>
          <w:sz w:val="28"/>
          <w:szCs w:val="28"/>
          <w:highlight w:val="none"/>
        </w:rPr>
        <w:t xml:space="preserve">。</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对小微企业报价给予扣除，用扣除后的价格参加评审，具体详见第二章“供应商须知”第3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本项目的特定资格要求:</w:t>
      </w:r>
      <w:r/>
    </w:p>
    <w:p>
      <w:pPr>
        <w:numPr>
          <w:ilvl w:val="0"/>
          <w:numId w:val="0"/>
        </w:numPr>
        <w:ind w:firstLine="560"/>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（1）供应商必须具有消防安全合格证或建设工程</w:t>
      </w:r>
      <w:r>
        <w:rPr>
          <w:rFonts w:hint="eastAsia" w:ascii="仿宋" w:hAnsi="仿宋" w:eastAsia="仿宋" w:cs="仿宋"/>
          <w:color w:val="auto"/>
          <w:sz w:val="28"/>
          <w:szCs w:val="28"/>
          <w:highlight w:val="none"/>
        </w:rPr>
        <w:t xml:space="preserve">消防意见书(需提供主管部门颁发的证书或意见书扫描件上传至电子响应文件中，加盖电子签章)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（2）承诺成交后提供所有服务人员的健康证(提供承诺书扫描件上传至电子响应文件中，加盖电子签章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672"/>
        <w:ind w:firstLine="560"/>
        <w:jc w:val="both"/>
        <w:rPr>
          <w:rFonts w:hint="default" w:eastAsia="仿宋"/>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3）供应商应在经营服务场所按规定设置内设医疗机构，同时为全部服务对象残疾人统一购买养老服务机构责任保险，保障期限须覆盖整个服务周期。(提供承诺书扫描件上传至电子响应文件中，加盖电子签章 ，格式自拟)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500" w:lineRule="exact"/>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三、获取磋商文件</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1、时间:</w:t>
      </w:r>
      <w:r>
        <w:rPr>
          <w:rFonts w:hint="eastAsia" w:ascii="仿宋" w:hAnsi="仿宋" w:eastAsia="仿宋"/>
          <w:sz w:val="28"/>
          <w:szCs w:val="28"/>
          <w:highlight w:val="none"/>
        </w:rPr>
        <w:t xml:space="preserve">自磋商公告发布之日起五个工作日。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2、方式：在“淮安市政府采购网”自行免费下载磋商文件。</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四、提交响应文件截止时间、磋商时间和地点</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（一）电子响应文件提交截止时间及磋商时间:202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7月14日14</w:t>
      </w:r>
      <w:bookmarkStart w:id="34" w:name="_GoBack"/>
      <w:r/>
      <w:bookmarkEnd w:id="34"/>
      <w:r>
        <w:rPr>
          <w:rFonts w:hint="eastAsia" w:ascii="仿宋" w:hAnsi="仿宋" w:eastAsia="仿宋" w:cs="仿宋"/>
          <w:color w:val="auto"/>
          <w:sz w:val="28"/>
          <w:szCs w:val="28"/>
          <w:highlight w:val="none"/>
          <w:lang w:val="en-US" w:eastAsia="zh-CN"/>
        </w:rPr>
        <w:t xml:space="preserve">点30分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（二）电子响应文件上传地址：“苏采云”政府采购交易系统网上开标大厅。</w:t>
      </w:r>
      <w:r/>
    </w:p>
    <w:p>
      <w:pPr>
        <w:pStyle w:val="672"/>
        <w:ind w:firstLine="600"/>
        <w:jc w:val="both"/>
        <w:rPr>
          <w:rFonts w:hint="eastAsia"/>
          <w:highlight w:val="none"/>
        </w:rPr>
      </w:pPr>
      <w:r>
        <w:rPr>
          <w:rFonts w:hint="eastAsia"/>
          <w:highlight w:val="none"/>
          <w:lang w:val="en-US" w:eastAsia="zh-CN"/>
        </w:rPr>
        <w:t xml:space="preserve">（三）</w:t>
      </w:r>
      <w:r>
        <w:rPr>
          <w:rFonts w:hint="eastAsia"/>
          <w:highlight w:val="none"/>
        </w:rPr>
        <w:t xml:space="preserve">开标地点：淮安市北京北路99号清江浦区公共资源交易中心不见面开标室</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五、公告期限</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六、其他补充事宜</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本项目仅采购非进口产品（注:本文件所称进口产品是指通过中国海关报关验放进入中国境内且产自关境外的产品）。</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七、对本次采购提出询问，请按以下方式联系。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（1）联系人: 周</w:t>
      </w:r>
      <w:r>
        <w:rPr>
          <w:rFonts w:hint="eastAsia" w:ascii="仿宋" w:hAnsi="仿宋" w:eastAsia="仿宋" w:cs="仿宋"/>
          <w:color w:val="auto"/>
          <w:sz w:val="28"/>
          <w:szCs w:val="28"/>
          <w:highlight w:val="none"/>
        </w:rPr>
        <w:t xml:space="preserve">建</w:t>
      </w:r>
      <w:r>
        <w:rPr>
          <w:rFonts w:hint="eastAsia" w:ascii="仿宋" w:hAnsi="仿宋" w:eastAsia="仿宋" w:cs="仿宋"/>
          <w:color w:val="auto"/>
          <w:sz w:val="28"/>
          <w:szCs w:val="28"/>
          <w:highlight w:val="none"/>
        </w:rPr>
        <w:t xml:space="preserve">波</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（2）联系电话: </w:t>
      </w:r>
      <w:r>
        <w:rPr>
          <w:rFonts w:hint="eastAsia" w:ascii="仿宋" w:hAnsi="仿宋" w:eastAsia="仿宋" w:cs="仿宋"/>
          <w:bCs/>
          <w:color w:val="auto"/>
          <w:sz w:val="28"/>
          <w:szCs w:val="28"/>
          <w:highlight w:val="none"/>
        </w:rPr>
        <w:t xml:space="preserve">0517-83965289</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（3）联系地址: 淮安市清江浦区解放西路城南体育场院内</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　</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en-US" w:eastAsia="zh-CN"/>
        </w:rPr>
        <w:t xml:space="preserve">淮安市经济技术开发区留学生创业园1号楼211室</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张</w:t>
      </w:r>
      <w:r>
        <w:rPr>
          <w:rFonts w:hint="eastAsia" w:ascii="仿宋" w:hAnsi="仿宋" w:eastAsia="仿宋" w:cs="仿宋"/>
          <w:color w:val="auto"/>
          <w:sz w:val="28"/>
          <w:szCs w:val="28"/>
          <w:highlight w:val="none"/>
        </w:rPr>
        <w:t xml:space="preserve">维</w:t>
      </w: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w:t>
      </w:r>
      <w:r>
        <w:rPr>
          <w:rFonts w:hint="eastAsia" w:ascii="仿宋" w:hAnsi="仿宋" w:eastAsia="仿宋" w:cs="仿宋"/>
          <w:color w:val="auto"/>
          <w:sz w:val="28"/>
          <w:szCs w:val="28"/>
          <w:highlight w:val="none"/>
          <w:lang w:val="en-US" w:eastAsia="zh-CN"/>
        </w:rPr>
        <w:t xml:space="preserve">8936389198</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八、其他</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2.有关本次磋商活动的事项若存在变动或修改，敬请及时关注淮安市政府采购人或采购代理机构在“淮安市政府采购网”发布的更正公告。</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3.本次采购不收取磋商保证金。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highlight w:val="none"/>
        </w:rPr>
        <w:t xml:space="preserve">第二章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供应商须知</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本竞争性磋商文件仅适用于本次采购邀请中所述项目的采购。</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2.合格的供应商</w:t>
      </w:r>
      <w:r/>
    </w:p>
    <w:p>
      <w:pPr>
        <w:ind w:left="-359" w:firstLine="91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2.1满足第一章磋商邀请中供应商资格要求的规定。</w:t>
      </w:r>
      <w:r/>
    </w:p>
    <w:p>
      <w:pPr>
        <w:ind w:firstLine="56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2.2</w:t>
      </w:r>
      <w:r>
        <w:rPr>
          <w:rFonts w:hint="eastAsia" w:ascii="仿宋" w:hAnsi="仿宋" w:eastAsia="仿宋" w:cs="仿宋"/>
          <w:color w:val="auto"/>
          <w:sz w:val="28"/>
          <w:szCs w:val="28"/>
          <w:highlight w:val="none"/>
        </w:rPr>
        <w:t xml:space="preserve">满足磋商文件中实质性条款的规定。</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3.1《中华人民共和国政府采购法》、《中华人民共和国政府采购法实施条例》、《政府采购竞争性磋商采购方式管理暂行办法》等有关法律、规章和规定等。</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4.磋商费用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4.1供应商应自行承担所有与参加磋商有关的费用。不论磋商的结果如何，淮安市政府采购人或采购代理机构（以下简称采购人或采购代理机构）在任何情况下均无义务和责任承担这些费用。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4.2本次采购项目由采购人委托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代理，经双方约定由成交人支付本项目代理费用，招标代理费参照《江苏省招标代理服务收费的指导意见》的通知》(苏招协【2022】002 号文)规定收费标准收取；评审费按实计取，不单独列项，供应商在报价时综合考虑，由成交供应商在领取成交通知书前向代理机构一次性付清。</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5、磋商文件的约束力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二、磋商文件</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.磋商文件</w:t>
      </w:r>
      <w:r>
        <w:rPr>
          <w:rFonts w:hint="eastAsia" w:ascii="仿宋" w:hAnsi="仿宋" w:eastAsia="仿宋" w:cs="仿宋"/>
          <w:color w:val="auto"/>
          <w:sz w:val="28"/>
          <w:szCs w:val="28"/>
          <w:highlight w:val="none"/>
        </w:rPr>
        <w:t xml:space="preserve">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6.磋商文件的澄清</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7.2代理机构可以视采购项目的具体情况，组织供应商进行现场考察或召开磋商前答疑会，但不单独或分别组织只有一个供应商参加的现场考察和答疑会。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三、响应文件的编制</w:t>
      </w:r>
      <w:r/>
    </w:p>
    <w:p>
      <w:pPr>
        <w:keepLines w:val="0"/>
        <w:keepNext w:val="0"/>
        <w:pageBreakBefore w:val="0"/>
        <w:spacing w:line="500" w:lineRule="exact"/>
        <w:rPr>
          <w:rFonts w:hint="eastAsia" w:ascii="仿宋" w:hAnsi="仿宋" w:eastAsia="仿宋" w:cs="仿宋"/>
          <w:color w:val="auto"/>
          <w:sz w:val="28"/>
          <w:szCs w:val="28"/>
          <w:highlight w:val="none"/>
        </w:rPr>
      </w:pPr>
      <w:r/>
      <w:bookmarkStart w:id="0" w:name="_Toc513029214"/>
      <w:r/>
      <w:bookmarkStart w:id="1" w:name="_Toc20823286"/>
      <w:r/>
      <w:bookmarkStart w:id="2" w:name="_Toc462564073"/>
      <w:r/>
      <w:bookmarkStart w:id="3" w:name="_Toc16938530"/>
      <w:r>
        <w:rPr>
          <w:rFonts w:hint="eastAsia" w:ascii="仿宋" w:hAnsi="仿宋" w:eastAsia="仿宋" w:cs="仿宋"/>
          <w:color w:val="auto"/>
          <w:sz w:val="28"/>
          <w:szCs w:val="28"/>
          <w:highlight w:val="none"/>
        </w:rPr>
        <w:t xml:space="preserve">8．响应文件的语言及度量衡单位</w:t>
      </w:r>
      <w:bookmarkEnd w:id="0"/>
      <w:r/>
      <w:bookmarkEnd w:id="1"/>
      <w:r/>
      <w:bookmarkEnd w:id="2"/>
      <w:r/>
      <w:bookmarkEnd w:id="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8.1供应商提交的响应文件以及供应商与采购人或采购代理机构就有关磋商的所有来往通知、函件和文件均应使用简体中文。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8.2除技术性能另有规定外，响应文件所使用的度量衡单位，均须采用国家法定计量单位。</w:t>
      </w:r>
      <w:r/>
    </w:p>
    <w:p>
      <w:pPr>
        <w:keepLines w:val="0"/>
        <w:keepNext w:val="0"/>
        <w:pageBreakBefore w:val="0"/>
        <w:spacing w:line="500" w:lineRule="exact"/>
        <w:rPr>
          <w:rFonts w:hint="eastAsia" w:ascii="仿宋" w:hAnsi="仿宋" w:eastAsia="仿宋" w:cs="仿宋"/>
          <w:color w:val="auto"/>
          <w:sz w:val="28"/>
          <w:szCs w:val="28"/>
          <w:highlight w:val="none"/>
        </w:rPr>
      </w:pPr>
      <w:r/>
      <w:bookmarkStart w:id="4" w:name="_Toc16938531"/>
      <w:r/>
      <w:bookmarkStart w:id="5" w:name="_Toc513029215"/>
      <w:r/>
      <w:bookmarkStart w:id="6" w:name="_Toc462564074"/>
      <w:r/>
      <w:bookmarkStart w:id="7" w:name="_Toc20823287"/>
      <w:r>
        <w:rPr>
          <w:rFonts w:hint="eastAsia" w:ascii="仿宋" w:hAnsi="仿宋" w:eastAsia="仿宋" w:cs="仿宋"/>
          <w:color w:val="auto"/>
          <w:sz w:val="28"/>
          <w:szCs w:val="28"/>
          <w:highlight w:val="none"/>
        </w:rPr>
        <w:t xml:space="preserve">9．响应文件构成</w:t>
      </w:r>
      <w:bookmarkEnd w:id="4"/>
      <w:r/>
      <w:bookmarkEnd w:id="5"/>
      <w:r/>
      <w:bookmarkEnd w:id="6"/>
      <w:r/>
      <w:bookmarkEnd w:id="7"/>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w:t>
      </w:r>
      <w:r>
        <w:rPr>
          <w:rFonts w:hint="eastAsia" w:ascii="仿宋" w:hAnsi="仿宋" w:eastAsia="仿宋" w:cs="Times New Roman"/>
          <w:sz w:val="28"/>
          <w:szCs w:val="28"/>
          <w:highlight w:val="none"/>
          <w:lang w:val="en-US" w:eastAsia="zh-CN"/>
        </w:rPr>
        <w:t xml:space="preserve">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w:t>
      </w:r>
      <w:r>
        <w:rPr>
          <w:rFonts w:hint="eastAsia" w:ascii="仿宋" w:hAnsi="仿宋" w:eastAsia="仿宋" w:cs="Times New Roman"/>
          <w:sz w:val="28"/>
          <w:szCs w:val="28"/>
          <w:highlight w:val="none"/>
          <w:lang w:val="en-US" w:eastAsia="zh-CN"/>
        </w:rPr>
        <w:t xml:space="preserve">如响应文件制作工具中格式和内容与“江苏政府采购网”、“淮安市政府采购网”发布的磋商文件不一致，请以“江苏政府采购网”、“淮安市政府采购网”发布的磋商文件为准。</w:t>
      </w:r>
      <w:r/>
    </w:p>
    <w:p>
      <w:pPr>
        <w:keepLines w:val="0"/>
        <w:keepNext w:val="0"/>
        <w:pageBreakBefore w:val="0"/>
        <w:spacing w:line="500" w:lineRule="exact"/>
        <w:rPr>
          <w:rFonts w:hint="eastAsia" w:ascii="仿宋" w:hAnsi="仿宋" w:eastAsia="仿宋" w:cs="仿宋"/>
          <w:color w:val="auto"/>
          <w:sz w:val="28"/>
          <w:szCs w:val="28"/>
          <w:highlight w:val="none"/>
        </w:rPr>
      </w:pPr>
      <w:r/>
      <w:bookmarkStart w:id="8" w:name="_Toc513029216"/>
      <w:r/>
      <w:bookmarkStart w:id="9" w:name="_Toc49090509"/>
      <w:r/>
      <w:bookmarkStart w:id="10" w:name="_Toc49090507"/>
      <w:r/>
      <w:bookmarkStart w:id="11" w:name="_Toc513029219"/>
      <w:r/>
      <w:bookmarkStart w:id="12" w:name="_Toc14577354"/>
      <w:r/>
      <w:bookmarkStart w:id="13" w:name="_Toc14577357"/>
      <w:r/>
      <w:bookmarkStart w:id="14" w:name="_Toc49090508"/>
      <w:r/>
      <w:bookmarkStart w:id="15" w:name="_Toc14577355"/>
      <w:r>
        <w:rPr>
          <w:rFonts w:hint="eastAsia" w:ascii="仿宋" w:hAnsi="仿宋" w:eastAsia="仿宋" w:cs="仿宋"/>
          <w:color w:val="auto"/>
          <w:sz w:val="28"/>
          <w:szCs w:val="28"/>
          <w:highlight w:val="none"/>
        </w:rPr>
        <w:t xml:space="preserve">10．证明磋商响应标的符合磋商文件规定的文件</w:t>
      </w:r>
      <w:bookmarkEnd w:id="8"/>
      <w:r/>
      <w:bookmarkEnd w:id="9"/>
      <w:r/>
      <w:bookmarkEnd w:id="10"/>
      <w:r/>
      <w:bookmarkEnd w:id="11"/>
      <w:r/>
      <w:bookmarkEnd w:id="12"/>
      <w:r/>
      <w:bookmarkEnd w:id="1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10.1供应商应按照磋商文件要求提交证明文件，证明其及磋商响应标的符合磋商文件规定。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10.2磋商文件对证明文件无明确形式要求的，证明文件可以以文字资料、图纸和数据等形式提交。</w:t>
      </w:r>
      <w:bookmarkEnd w:id="14"/>
      <w:r/>
      <w:bookmarkEnd w:id="15"/>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11.1供应商应按照磋商文件规定格式填报分项报价表。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2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磋商货币。响应文件中的单价和总价无特殊规定的采用人民币报价，以元为单位标注。磋商文件中另有规定的按规定执行。</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6" w:name="_Hlt26670482"/>
      <w:r/>
      <w:bookmarkEnd w:id="16"/>
      <w:r/>
      <w:bookmarkStart w:id="17" w:name="_Hlt26954848"/>
      <w:r/>
      <w:bookmarkEnd w:id="17"/>
      <w:r/>
      <w:bookmarkStart w:id="18" w:name="_Hlt26954731"/>
      <w:r/>
      <w:bookmarkEnd w:id="18"/>
      <w:r/>
      <w:bookmarkStart w:id="19" w:name="_Hlt26954846"/>
      <w:r/>
      <w:bookmarkEnd w:id="19"/>
      <w:r/>
      <w:bookmarkStart w:id="20" w:name="_Hlt26670486"/>
      <w:r/>
      <w:bookmarkEnd w:id="20"/>
      <w:r>
        <w:rPr>
          <w:rFonts w:hint="eastAsia" w:ascii="仿宋" w:hAnsi="仿宋" w:eastAsia="仿宋" w:cs="仿宋"/>
          <w:color w:val="auto"/>
          <w:sz w:val="28"/>
          <w:szCs w:val="28"/>
          <w:highlight w:val="none"/>
        </w:rPr>
        <w:t xml:space="preserve">12.技术要求响应及偏离表、商务要求响应及偏离表（如有）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12.1供应商需对磋商文件中的技术要求与商务要求逐项作出响应或偏离，并说明原因。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12.2供应商可在响应文件中提供认为需要的其他技术文件或说明。</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13.2供应商需根据磋商文件要求提供培训计划。</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13.3供应商需根据磋商文件要求提供磋商响应标的的主要组成部分、功能设计、实现思路及关键技术等。</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1" w:name="_Toc14577359"/>
      <w:r/>
      <w:bookmarkStart w:id="22" w:name="_Toc49090510"/>
      <w:r>
        <w:rPr>
          <w:rFonts w:hint="eastAsia" w:ascii="仿宋" w:hAnsi="仿宋" w:eastAsia="仿宋" w:cs="仿宋"/>
          <w:color w:val="auto"/>
          <w:sz w:val="28"/>
          <w:szCs w:val="28"/>
          <w:highlight w:val="none"/>
        </w:rPr>
        <w:t xml:space="preserve">14.磋商响应函</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14.1供应商应按照磋商文件中提供的格式完整、正确填写磋商响应函。</w:t>
      </w:r>
      <w:bookmarkEnd w:id="21"/>
      <w:r/>
      <w:bookmarkEnd w:id="22"/>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.方案部分</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.1</w:t>
      </w:r>
      <w:r>
        <w:rPr>
          <w:rFonts w:hint="eastAsia" w:ascii="仿宋" w:hAnsi="仿宋" w:eastAsia="仿宋" w:cs="仿宋"/>
          <w:b w:val="0"/>
          <w:bCs/>
          <w:color w:val="auto"/>
          <w:sz w:val="28"/>
          <w:szCs w:val="28"/>
          <w:highlight w:val="none"/>
        </w:rPr>
        <w:t xml:space="preserve">本项目评标标准中的方案部分</w:t>
      </w:r>
      <w:r>
        <w:rPr>
          <w:rFonts w:hint="eastAsia" w:ascii="仿宋" w:hAnsi="仿宋" w:eastAsia="仿宋" w:cs="仿宋"/>
          <w:b w:val="0"/>
          <w:bCs/>
          <w:color w:val="auto"/>
          <w:sz w:val="28"/>
          <w:szCs w:val="28"/>
          <w:highlight w:val="none"/>
          <w:lang w:val="en-US" w:eastAsia="zh-CN"/>
        </w:rPr>
        <w:t xml:space="preserve">不</w:t>
      </w:r>
      <w:r>
        <w:rPr>
          <w:rFonts w:hint="eastAsia" w:ascii="仿宋" w:hAnsi="仿宋" w:eastAsia="仿宋" w:cs="仿宋"/>
          <w:b w:val="0"/>
          <w:bCs/>
          <w:color w:val="auto"/>
          <w:sz w:val="28"/>
          <w:szCs w:val="28"/>
          <w:highlight w:val="none"/>
        </w:rPr>
        <w:t xml:space="preserve">采用暗标方式进行评审。</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四、响应文件上传</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20.响应文件被拒绝接收的情形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五、响应文件的解密与评审</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3" w:name="_Toc513029230"/>
      <w:r/>
      <w:bookmarkStart w:id="24" w:name="_Toc16938546"/>
      <w:r/>
      <w:bookmarkStart w:id="25" w:name="_Toc20823302"/>
      <w:r>
        <w:rPr>
          <w:rFonts w:hint="eastAsia" w:ascii="仿宋" w:hAnsi="仿宋" w:eastAsia="仿宋" w:cs="仿宋"/>
          <w:color w:val="auto"/>
          <w:sz w:val="28"/>
          <w:szCs w:val="28"/>
          <w:highlight w:val="none"/>
        </w:rPr>
        <w:t xml:space="preserve">2</w:t>
      </w:r>
      <w:bookmarkEnd w:id="23"/>
      <w:r/>
      <w:bookmarkEnd w:id="24"/>
      <w:r/>
      <w:bookmarkEnd w:id="25"/>
      <w:r>
        <w:rPr>
          <w:rFonts w:hint="eastAsia" w:ascii="仿宋" w:hAnsi="仿宋" w:eastAsia="仿宋" w:cs="仿宋"/>
          <w:color w:val="auto"/>
          <w:sz w:val="28"/>
          <w:szCs w:val="28"/>
          <w:highlight w:val="none"/>
        </w:rPr>
        <w:t xml:space="preserve">2.响应文件解密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22.1供应商应当按照《操作手册》规定，在苏采云系统规定的时间内对磋商响应文件进行解密。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23.磋商小组</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23.1采购人或采购代理机构将组织磋商小组对响应文件进行评审。磋商小组由采购人代表和有关技术、经济等方面的专家组成，且人员构成符合政府采购有关规定。</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23.2磋商小组独立工作，负责评审所有响应文件并确定成交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24.评审过程的保密与公正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24.1磋商小组、采购人和采购人或采购代理机构工作人员、相关监督人员等与评审工作有关的人员，对评审情况以及在评审过程中获悉的国家秘密、商业秘密负有保密责任。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24.2在评审过程中，供应商不得以任何行为影响磋商评审过程，否则其响应文件将被作为无效响应文件。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24.3在项目评审期间，采购人或采购代理机构将设专门人员与供应商联系。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24.4采购人或采购代理机构和磋商小组不向未成交的供应商解释未成交原因，也不公布评审过程中的相关细节。</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6" w:name="_Toc16938548"/>
      <w:r/>
      <w:bookmarkStart w:id="27" w:name="_Toc20823304"/>
      <w:r/>
      <w:bookmarkStart w:id="28" w:name="_Toc513029232"/>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26"/>
      <w:r/>
      <w:bookmarkEnd w:id="27"/>
      <w:r/>
      <w:bookmarkEnd w:id="28"/>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25.3接到磋商小组澄清、说明和更正要求的供应商如未按规定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9" w:name="_Toc16938549"/>
      <w:r/>
      <w:bookmarkStart w:id="30" w:name="_Toc513029233"/>
      <w:r/>
      <w:bookmarkStart w:id="31" w:name="_Toc20823305"/>
      <w:r>
        <w:rPr>
          <w:rFonts w:hint="eastAsia" w:ascii="仿宋" w:hAnsi="仿宋" w:eastAsia="仿宋" w:cs="仿宋"/>
          <w:color w:val="auto"/>
          <w:sz w:val="28"/>
          <w:szCs w:val="28"/>
          <w:highlight w:val="none"/>
        </w:rPr>
        <w:t xml:space="preserve">26.对响应文件的审</w:t>
      </w:r>
      <w:bookmarkEnd w:id="29"/>
      <w:r/>
      <w:bookmarkEnd w:id="30"/>
      <w:r/>
      <w:bookmarkEnd w:id="31"/>
      <w:r>
        <w:rPr>
          <w:rFonts w:hint="eastAsia" w:ascii="仿宋" w:hAnsi="仿宋" w:eastAsia="仿宋" w:cs="仿宋"/>
          <w:color w:val="auto"/>
          <w:sz w:val="28"/>
          <w:szCs w:val="28"/>
          <w:highlight w:val="none"/>
        </w:rPr>
        <w:t xml:space="preserve">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26.1响应文件审查分为资格审查和符合性审查。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26.3未实质性响应磋商文件的情形。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26.3.1供应商在苏采云系统规定的时间内未成功解密电子响应文件的。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26.3.2供应商未按照磋商文件要求上传电子响应文件的。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26.3.3同一供应商提交两个（含两个）以上不同的响应文件或者最后报价的。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26.3.4供应商不具备磋商文件中规定资格要求的。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sz w:val="28"/>
          <w:szCs w:val="28"/>
          <w:highlight w:val="none"/>
        </w:rPr>
        <w:t xml:space="preserve">26.3.6</w:t>
      </w:r>
      <w:r>
        <w:rPr>
          <w:rFonts w:hint="eastAsia" w:ascii="仿宋" w:hAnsi="仿宋" w:eastAsia="仿宋"/>
          <w:color w:val="auto"/>
          <w:sz w:val="28"/>
          <w:szCs w:val="28"/>
          <w:highlight w:val="none"/>
          <w:lang w:eastAsia="zh-CN"/>
        </w:rPr>
        <w:t xml:space="preserve">评标委员会按照苏财购〔2025〕62号文件要求启动异常低价投标（响应)审查的情形和具体要求，包括:</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(一)评审过程中出现下列情形之一的，评审委员会应当启动异常低价投标(响应)审查程序:</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1.投标(响应)报价低于采购项目预算50%的，即投标(响应)报价&lt;采购项目预算x50%;</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2.投标(响应)报价低于采购项目最高限价45%的，即投标(响应)报价&lt;采购项目最高限价x45%;</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3.评审委员会认定的供应商报价过低、有可能影响产品质量或者不能诚信履约的其他情形。</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不符合磋商文件中规定的实质性要求和条件的（实质性要求和条件是指本招标文件中用带星号（“★”）的商务和技术要求）。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响应文件含有采购人不能接受的附加条件的。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按照第37.4的要求本项目中具有“强制采购”产品，但未提供经国家确定的认证机构出具的、处于有效期之内该节能产品认证证书图片的；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响应文件未按照磋商文件要求加盖CA电子公章的。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26.4未实质性响应磋商文件的响应文件按无效响应处理。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s="仿宋"/>
          <w:color w:val="auto"/>
          <w:sz w:val="28"/>
          <w:szCs w:val="28"/>
          <w:highlight w:val="none"/>
          <w:lang w:eastAsia="zh-CN"/>
        </w:rPr>
        <w:t xml:space="preserve">不符</w:t>
      </w:r>
      <w:r>
        <w:rPr>
          <w:rFonts w:hint="eastAsia" w:ascii="仿宋" w:hAnsi="仿宋" w:eastAsia="仿宋" w:cs="仿宋"/>
          <w:color w:val="auto"/>
          <w:sz w:val="28"/>
          <w:szCs w:val="28"/>
          <w:highlight w:val="none"/>
        </w:rPr>
        <w:t xml:space="preserve">合要求的偏离或保留而使其成为实质性响应的文件。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26.6供应商在项目评审全过程中应保持通讯畅通，并安排专人与采购人或采购代理机构及磋商小组联系。</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27.磋商程序及评审方法和评审标准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27.1磋商程序</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最后报价是供应商响应文件的有效组成部分。符合《政府采购竞争性磋商采购方</w:t>
      </w:r>
      <w:r>
        <w:rPr>
          <w:rFonts w:hint="eastAsia" w:ascii="仿宋" w:hAnsi="仿宋" w:eastAsia="仿宋" w:cs="仿宋"/>
          <w:color w:val="auto"/>
          <w:sz w:val="28"/>
          <w:szCs w:val="28"/>
          <w:highlight w:val="none"/>
          <w:lang w:eastAsia="zh-CN"/>
        </w:rPr>
        <w:t xml:space="preserve">式管</w:t>
      </w:r>
      <w:r>
        <w:rPr>
          <w:rFonts w:hint="eastAsia" w:ascii="仿宋" w:hAnsi="仿宋" w:eastAsia="仿宋" w:cs="仿宋"/>
          <w:color w:val="auto"/>
          <w:sz w:val="28"/>
          <w:szCs w:val="28"/>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见本磋商文件第三章规定。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27.3采购活动终止的情况</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出现下列情形之一的，本次竞争性磋商采购活动将被终止：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27.3.1因情况变化，不再符合规定的竞争性磋商采购方式适用情形的。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27.3.2出现影响采购公正的违法、违规行为的。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28.推荐成交候选供应商</w:t>
      </w:r>
      <w:r/>
    </w:p>
    <w:p>
      <w:pPr>
        <w:ind w:firstLine="539"/>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28.1磋商小组将对通过资格性审查和符合性审查的响应文件进行评价和比较。</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28.2磋商小组按磋商文件第三章中公布的评标标准对每份合格响应文件进行评审，推荐3名成交候选供应商。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28.3磋商小组发现磋商文件存在歧义、重大缺陷导致评审工作无法进行，或者磋商文件内容存在违反国家有关规定的，评审工作停止，采购人或采购代理机构修改磋商文件后重新组织采购活动。</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29.磋商过程保密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29.1在宣布成交结果前，凡属于审查、澄清、磋商、评审响应文件和确定成交等相关信息，均不得泄露给任何供应商或与评审工作无关的人员。</w:t>
      </w:r>
      <w:r/>
    </w:p>
    <w:p>
      <w:pPr>
        <w:ind w:firstLine="5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29.2供应商不得探听上述信息，不得以任何行为影响磋商过程，否则将被取消成交资格。</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29.3磋商小组名单在磋商前确定，并在磋商结果确定前保密。</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六、确定成交及签订合同</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30.确定成交供应商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30.1采购人将从磋商小组推荐的符合采购需求的成交候选供应商中按排名先后确定成交供应商。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30.2采购人或采购代理机构将在淮安市政府采购网发布成交结果公告。</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30.3成交候选人在合同签订前，如经查实从参加该成交项目之日起计算所参加的政府采购活动前三年内，在经营活动中有行贿犯罪记录的，采购人或采购代理机构将取消其成交候选人资格。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31.成交通知书</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七、质疑处理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.质疑处理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.1供应商认为采购文件、采购过程和成交结果使自己的权益受到损害的，可以在知道或者应知其权益受到损害之日起七个工作日内，以电子文件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通过“苏采云平台”—“供应商”登录，从“项目质疑申请”模块提出质疑。未通过交易平台提交的、七个工作日之外以及未按35.5条的要求提供质疑的均不予受理。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.2上述应知其权益受到损害之日是指: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（1）对磋商文件提出质疑的，为采购文件公告期限届满之日起计算；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（3）对成交结果提出质疑的，为成交结果公告期限届满之日起计算。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.4质疑供应商在法定质疑期内应当一次性针对同一采购环节提出质疑。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.5质疑函应当包括以下主要内容，附上相关证明材料。否则，采购人或采购代理机构不予受理。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8供应商提出的质疑必须有理、有据，不得恶意质疑或提交虚假质疑。否则，一经查实，采购人或采购代理机构有权依据政府采购的有关规定，报请淮安市财政局政府采购管理处对该供应商列入失信行为或不良行为记录名单，进行相应的行政处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八、政府采购政策功能落实</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.政策功能落实</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46"/>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46"/>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ind w:firstLine="539"/>
        <w:jc w:val="center"/>
        <w:keepLines w:val="0"/>
        <w:keepNext w:val="0"/>
        <w:pageBreakBefore w:val="0"/>
        <w:spacing w:line="50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评审方法与评审标准</w:t>
      </w:r>
      <w:r/>
    </w:p>
    <w:p>
      <w:pPr>
        <w:ind w:firstLine="53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一、</w:t>
      </w:r>
      <w:r>
        <w:rPr>
          <w:rFonts w:hint="eastAsia" w:ascii="仿宋" w:hAnsi="仿宋" w:eastAsia="仿宋"/>
          <w:sz w:val="28"/>
          <w:szCs w:val="28"/>
          <w:highlight w:val="none"/>
          <w:lang w:val="zh-CN"/>
        </w:rPr>
        <w:t xml:space="preserve">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二、磋商小组将依据下列评标标准进行评审，本评标标准的总分为100分。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（一）价格:10分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满足磋商文件要求且最后报价最低为磋商基准价，其价格分为满分。其他供应商的价格分按照下列公式计算（小数点保留两位）: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磋商报价得分＝（磋商基准价/最后磋商报价）×10分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注：本项目最终磋商报价为项目总报价。</w:t>
      </w:r>
      <w:r/>
    </w:p>
    <w:p>
      <w:pPr>
        <w:pStyle w:val="691"/>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（二）方案部分：</w:t>
      </w: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1、对本项目的了解程度(</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根据供应商提供内容的详细程度、合理性进行综合评审:内容详细全面、合理性好得</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托养服务人员分工与组织安排(</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根据供应商提供托养服务人员分工与安排内容的详细程度、合理性进行综合评审:内容详细全面、合理性好得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服务质量保证措施(</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根据供应商提供的服务质量保证及措施详细程度、合理性进行综合评审:内容详细全面、合理性好得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zh-CN"/>
        </w:rPr>
        <w:t xml:space="preserve">突发事项的应对措施(</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根据供应商提供的突发事件处理具体措施的详细程度、合理性进行综合评审:内容详细全面、合理性好得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numPr>
          <w:ilvl w:val="0"/>
          <w:numId w:val="3"/>
        </w:numPr>
        <w:ind w:firstLine="539"/>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运营期间与其他单位部门的综合协调方案（10分）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w:t>
      </w:r>
      <w:r>
        <w:rPr>
          <w:rFonts w:hint="eastAsia" w:ascii="仿宋" w:hAnsi="仿宋" w:eastAsia="仿宋" w:cs="仿宋"/>
          <w:color w:val="auto"/>
          <w:sz w:val="28"/>
          <w:szCs w:val="28"/>
          <w:highlight w:val="none"/>
          <w:lang w:val="en-US" w:eastAsia="zh-CN"/>
        </w:rPr>
        <w:t xml:space="preserve">运营期间与其他单位部门的综合协调方案</w:t>
      </w:r>
      <w:r>
        <w:rPr>
          <w:rFonts w:hint="eastAsia" w:ascii="仿宋" w:hAnsi="仿宋" w:eastAsia="仿宋" w:cs="仿宋"/>
          <w:color w:val="auto"/>
          <w:sz w:val="28"/>
          <w:szCs w:val="28"/>
          <w:highlight w:val="none"/>
          <w:lang w:val="zh-CN"/>
        </w:rPr>
        <w:t xml:space="preserve">的详细程度、合理性进行综合评审:内容详细全面、合理性好得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（三）商务部分：</w:t>
      </w: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1、供应商现场实施团队</w:t>
      </w:r>
      <w:r>
        <w:rPr>
          <w:rFonts w:hint="eastAsia" w:ascii="仿宋" w:hAnsi="仿宋" w:eastAsia="仿宋" w:cs="仿宋"/>
          <w:color w:val="auto"/>
          <w:sz w:val="28"/>
          <w:szCs w:val="28"/>
          <w:highlight w:val="none"/>
          <w:lang w:val="en-US" w:eastAsia="zh-CN"/>
        </w:rPr>
        <w:t xml:space="preserve">项目总</w:t>
      </w:r>
      <w:r>
        <w:rPr>
          <w:rFonts w:hint="eastAsia" w:ascii="仿宋" w:hAnsi="仿宋" w:eastAsia="仿宋" w:cs="仿宋"/>
          <w:color w:val="auto"/>
          <w:sz w:val="28"/>
          <w:szCs w:val="28"/>
          <w:highlight w:val="none"/>
        </w:rPr>
        <w:t xml:space="preserve">负责人持有 护士中级及以上职称证书、养老护理员二级及以上证书、老年人能力评估师三级及以上证书</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 持有一本证书得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分，本项最多</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rPr>
          <w:rFonts w:hint="eastAsia" w:ascii="仿宋" w:hAnsi="仿宋" w:eastAsia="仿宋"/>
          <w:sz w:val="28"/>
          <w:szCs w:val="28"/>
          <w:highlight w:val="none"/>
          <w:lang w:eastAsia="zh-CN"/>
        </w:rPr>
        <w:t xml:space="preserve">需提供证书扫描件并加盖供应商电子签章，未提供的不得分</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2、在满足磋商文件需求的基础上</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除项目负责人</w:t>
      </w:r>
      <w:r>
        <w:rPr>
          <w:rFonts w:hint="eastAsia" w:ascii="仿宋" w:hAnsi="仿宋" w:eastAsia="仿宋" w:cs="仿宋"/>
          <w:color w:val="auto"/>
          <w:sz w:val="28"/>
          <w:szCs w:val="28"/>
          <w:highlight w:val="none"/>
          <w:lang w:val="en-US" w:eastAsia="zh-CN"/>
        </w:rPr>
        <w:t xml:space="preserve">外，增加</w:t>
      </w:r>
      <w:r>
        <w:rPr>
          <w:rFonts w:hint="eastAsia" w:ascii="仿宋" w:hAnsi="仿宋" w:eastAsia="仿宋" w:cs="仿宋"/>
          <w:color w:val="auto"/>
          <w:sz w:val="28"/>
          <w:szCs w:val="28"/>
          <w:highlight w:val="none"/>
        </w:rPr>
        <w:t xml:space="preserve">具有执业医师证书或护士证书或护理员证书的，每</w:t>
      </w:r>
      <w:r>
        <w:rPr>
          <w:rFonts w:hint="eastAsia" w:ascii="仿宋" w:hAnsi="仿宋" w:eastAsia="仿宋" w:cs="仿宋"/>
          <w:color w:val="auto"/>
          <w:sz w:val="28"/>
          <w:szCs w:val="28"/>
          <w:highlight w:val="none"/>
          <w:lang w:val="en-US" w:eastAsia="zh-CN"/>
        </w:rPr>
        <w:t xml:space="preserve">增加</w:t>
      </w:r>
      <w:r>
        <w:rPr>
          <w:rFonts w:hint="eastAsia" w:ascii="仿宋" w:hAnsi="仿宋" w:eastAsia="仿宋" w:cs="仿宋"/>
          <w:color w:val="auto"/>
          <w:sz w:val="28"/>
          <w:szCs w:val="28"/>
          <w:highlight w:val="none"/>
        </w:rPr>
        <w:t xml:space="preserve">1名人员证书得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分。(提供证书、劳动合同</w:t>
      </w:r>
      <w:r>
        <w:rPr>
          <w:rFonts w:hint="eastAsia" w:ascii="仿宋" w:hAnsi="仿宋" w:eastAsia="仿宋" w:cs="仿宋"/>
          <w:color w:val="auto"/>
          <w:sz w:val="28"/>
          <w:szCs w:val="28"/>
          <w:highlight w:val="none"/>
          <w:lang w:val="en-US" w:eastAsia="zh-CN"/>
        </w:rPr>
        <w:t xml:space="preserve">扫描件</w:t>
      </w:r>
      <w:r>
        <w:rPr>
          <w:rFonts w:hint="eastAsia" w:ascii="仿宋" w:hAnsi="仿宋" w:eastAsia="仿宋" w:cs="仿宋"/>
          <w:color w:val="auto"/>
          <w:sz w:val="28"/>
          <w:szCs w:val="28"/>
          <w:highlight w:val="none"/>
        </w:rPr>
        <w:t xml:space="preserve">加盖供应商的电子签章，</w:t>
      </w:r>
      <w:r>
        <w:rPr>
          <w:rFonts w:hint="eastAsia" w:ascii="仿宋" w:hAnsi="仿宋" w:eastAsia="仿宋" w:cs="仿宋"/>
          <w:color w:val="auto"/>
          <w:sz w:val="28"/>
          <w:szCs w:val="28"/>
          <w:highlight w:val="none"/>
          <w:lang w:val="en-US" w:eastAsia="zh-CN"/>
        </w:rPr>
        <w:t xml:space="preserve">未</w:t>
      </w:r>
      <w:r>
        <w:rPr>
          <w:rFonts w:hint="eastAsia" w:ascii="仿宋" w:hAnsi="仿宋" w:eastAsia="仿宋" w:cs="仿宋"/>
          <w:color w:val="auto"/>
          <w:sz w:val="28"/>
          <w:szCs w:val="28"/>
          <w:highlight w:val="none"/>
        </w:rPr>
        <w:t xml:space="preserve">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、供应商本单位具有食堂的得 </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分(提供食品经营许可证扫描件加盖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、供应商本单位具有</w:t>
      </w:r>
      <w:r>
        <w:rPr>
          <w:rFonts w:hint="eastAsia" w:ascii="仿宋" w:hAnsi="仿宋" w:eastAsia="仿宋" w:cs="仿宋"/>
          <w:color w:val="auto"/>
          <w:sz w:val="28"/>
          <w:szCs w:val="28"/>
          <w:highlight w:val="none"/>
          <w:lang w:val="en-US" w:eastAsia="zh-CN"/>
        </w:rPr>
        <w:t xml:space="preserve">康复</w:t>
      </w:r>
      <w:r>
        <w:rPr>
          <w:rFonts w:hint="eastAsia" w:ascii="仿宋" w:hAnsi="仿宋" w:eastAsia="仿宋" w:cs="仿宋"/>
          <w:color w:val="auto"/>
          <w:sz w:val="28"/>
          <w:szCs w:val="28"/>
          <w:highlight w:val="none"/>
        </w:rPr>
        <w:t xml:space="preserve">活动场所得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一名康复初级证书（康复士）及以上人员得3分，最高得5分</w:t>
      </w:r>
      <w:r>
        <w:rPr>
          <w:rFonts w:hint="eastAsia" w:ascii="仿宋" w:hAnsi="仿宋" w:eastAsia="仿宋" w:cs="仿宋"/>
          <w:color w:val="auto"/>
          <w:sz w:val="28"/>
          <w:szCs w:val="28"/>
          <w:highlight w:val="none"/>
        </w:rPr>
        <w:t xml:space="preserve">（需提供活动场所照片</w:t>
      </w:r>
      <w:r>
        <w:rPr>
          <w:rFonts w:hint="eastAsia" w:ascii="仿宋" w:hAnsi="仿宋" w:eastAsia="仿宋" w:cs="仿宋"/>
          <w:color w:val="auto"/>
          <w:sz w:val="28"/>
          <w:szCs w:val="28"/>
          <w:highlight w:val="none"/>
          <w:lang w:val="en-US" w:eastAsia="zh-CN"/>
        </w:rPr>
        <w:t xml:space="preserve">及康复人员证书以及劳动合同</w:t>
      </w:r>
      <w:r>
        <w:rPr>
          <w:rFonts w:hint="eastAsia" w:ascii="仿宋" w:hAnsi="仿宋" w:eastAsia="仿宋" w:cs="仿宋"/>
          <w:color w:val="auto"/>
          <w:sz w:val="28"/>
          <w:szCs w:val="28"/>
          <w:highlight w:val="none"/>
        </w:rPr>
        <w:t xml:space="preserve">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、供应商具有针对残疾人提供接送车辆的，有 1辆得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分，最多得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自有车辆</w:t>
      </w:r>
      <w:r>
        <w:rPr>
          <w:rFonts w:hint="eastAsia" w:ascii="仿宋" w:hAnsi="仿宋" w:eastAsia="仿宋" w:cs="仿宋"/>
          <w:color w:val="auto"/>
          <w:sz w:val="28"/>
          <w:szCs w:val="28"/>
          <w:highlight w:val="none"/>
        </w:rPr>
        <w:t xml:space="preserve">提供车辆行驶证</w:t>
      </w:r>
      <w:r>
        <w:rPr>
          <w:rFonts w:hint="eastAsia" w:ascii="仿宋" w:hAnsi="仿宋" w:eastAsia="仿宋" w:cs="仿宋"/>
          <w:color w:val="auto"/>
          <w:sz w:val="28"/>
          <w:szCs w:val="28"/>
          <w:highlight w:val="none"/>
          <w:lang w:val="en-US" w:eastAsia="zh-CN"/>
        </w:rPr>
        <w:t xml:space="preserve">或租赁车辆提供</w:t>
      </w:r>
      <w:r>
        <w:rPr>
          <w:rFonts w:hint="eastAsia" w:ascii="仿宋" w:hAnsi="仿宋" w:eastAsia="仿宋" w:cs="仿宋"/>
          <w:color w:val="auto"/>
          <w:sz w:val="28"/>
          <w:szCs w:val="28"/>
          <w:highlight w:val="none"/>
        </w:rPr>
        <w:t xml:space="preserve">租赁合同扫描件加盖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pStyle w:val="672"/>
        <w:ind w:firstLine="546"/>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6、服务场所位于淮安市清江浦区范围内的，得 3 分；服务场所位于淮安市清江浦区以外的，得1分；未设置残疾人专属服务场所的，本项不得分。（须提交场地权属证明或在服务期内有效的场地租赁协议，并附场地实景照片作为佐证材料，未提供不得分）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（四）承诺：</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供应商提供以下承诺之一，上传电子文件中，并加盖供应商电子签章：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（1）成交后收取个人承担费用，有生活自理能力不超过6000元每年:有半自理能力不超过8000元每年:无自理能力不超过 12000 元每年得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（2）成交后收取个人承担费用，有生活自理能力不超过8000元每年:有半自理能力不超过10000元每年:无自理能力不超过 14000 元每年得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成交后收取个人承担费用，有生活自理能力不超过10000元每年:有半自理能力不超过12000元每年;无自理能力不超过16000元每年得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注:①本项最高得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分，不提供不得分</w:t>
      </w:r>
      <w:r/>
    </w:p>
    <w:p>
      <w:pPr>
        <w:ind w:firstLine="91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②个人承担费用不包含残疾人用药和不在机构服务范围内的。</w:t>
      </w:r>
      <w:r/>
    </w:p>
    <w:p>
      <w:pPr>
        <w:ind w:firstLine="91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③严禁供应商额外向残疾人收取各项日常生活开支。除残疾人本人按规定自行承担的费用外，水电费、空调费、网络费、电视费、卫生纸、洗漱用品、日用品、管理费等相关费用均不得另行收取。</w:t>
      </w:r>
      <w:r/>
    </w:p>
    <w:p>
      <w:pPr>
        <w:pStyle w:val="672"/>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房间布局方案:6分</w:t>
      </w:r>
      <w:r/>
    </w:p>
    <w:p>
      <w:pPr>
        <w:pStyle w:val="672"/>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供应商根据自身营业场所情况，提供房间布局方案，必须体现人员集中托养。</w:t>
      </w:r>
      <w:r/>
    </w:p>
    <w:p>
      <w:pPr>
        <w:pStyle w:val="672"/>
        <w:ind w:firstLine="546"/>
        <w:jc w:val="both"/>
        <w:rPr>
          <w:rFonts w:hint="eastAsia" w:eastAsia="仿宋"/>
          <w:highlight w:val="none"/>
          <w:lang w:val="en-US" w:eastAsia="zh-CN"/>
        </w:rPr>
      </w:pPr>
      <w:r>
        <w:rPr>
          <w:rFonts w:hint="eastAsia" w:ascii="仿宋" w:hAnsi="仿宋" w:eastAsia="仿宋" w:cs="仿宋"/>
          <w:color w:val="auto"/>
          <w:sz w:val="28"/>
          <w:szCs w:val="28"/>
          <w:highlight w:val="none"/>
        </w:rPr>
        <w:t xml:space="preserve">根据供应商提供托养房间布局方案的详细程度进行综合评审:房间布局方案好、能充分体现人员集中托养、房间布局床位少得6分；房间布局方案较好、能较为充分体现人员集中托养、房间布局床位较多得4分；房间布局方案一般、能体现人员集中托养、房间布局床位多得2分；不提供不得分。</w:t>
      </w:r>
      <w:r/>
    </w:p>
    <w:p>
      <w:pPr>
        <w:pStyle w:val="672"/>
        <w:jc w:val="both"/>
        <w:rPr>
          <w:rFonts w:hint="default" w:eastAsia="仿宋"/>
          <w:highlight w:val="none"/>
          <w:lang w:val="en-US" w:eastAsia="zh-CN"/>
        </w:rPr>
      </w:pPr>
      <w:r>
        <w:rPr>
          <w:rFonts w:hint="default" w:eastAsia="仿宋"/>
          <w:highlight w:val="none"/>
          <w:lang w:val="en-US" w:eastAsia="zh-CN"/>
        </w:rPr>
      </w:r>
      <w:r/>
    </w:p>
    <w:p>
      <w:pPr>
        <w:pStyle w:val="672"/>
        <w:numPr>
          <w:ilvl w:val="-1"/>
          <w:numId w:val="0"/>
        </w:numPr>
        <w:ind w:firstLine="0"/>
        <w:jc w:val="both"/>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ind w:firstLine="539"/>
        <w:jc w:val="center"/>
        <w:spacing w:line="520" w:lineRule="exact"/>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highlight w:val="none"/>
        </w:rPr>
        <w:t xml:space="preserve">第四章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合同格式及条款</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4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甲、乙双方根据项目编号的</w:t>
      </w:r>
      <w:r>
        <w:rPr>
          <w:rFonts w:hint="eastAsia" w:ascii="仿宋" w:hAnsi="仿宋" w:eastAsia="仿宋" w:cs="仿宋"/>
          <w:b/>
          <w:bCs/>
          <w:color w:val="auto"/>
          <w:sz w:val="28"/>
          <w:szCs w:val="28"/>
          <w:highlight w:val="none"/>
          <w:u w:val="single"/>
          <w:lang w:val="en-US" w:eastAsia="zh-CN"/>
        </w:rPr>
        <w:t xml:space="preserve">淮安市</w:t>
      </w:r>
      <w:r>
        <w:rPr>
          <w:rFonts w:hint="eastAsia" w:ascii="仿宋" w:hAnsi="仿宋" w:eastAsia="仿宋" w:cs="仿宋"/>
          <w:b/>
          <w:bCs/>
          <w:color w:val="auto"/>
          <w:sz w:val="28"/>
          <w:szCs w:val="28"/>
          <w:highlight w:val="none"/>
          <w:u w:val="single"/>
        </w:rPr>
        <w:t xml:space="preserve">清江浦区残疾人联合会重度残疾人寄宿制托养服务项目</w:t>
      </w:r>
      <w:r>
        <w:rPr>
          <w:rFonts w:hint="eastAsia" w:ascii="仿宋" w:hAnsi="仿宋" w:eastAsia="仿宋" w:cs="仿宋"/>
          <w:color w:val="auto"/>
          <w:sz w:val="28"/>
          <w:szCs w:val="28"/>
          <w:highlight w:val="none"/>
        </w:rPr>
        <w:t xml:space="preserve">竞争性磋商采购结果及磋商文件的要求,经协商一致,达成如下购销合同:</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一、服务及要求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本合同所提供的服务及要求详见“项目采购需求”。</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本合同的总金额(大写)为___________元人民币，分项价格详见乙方提交的磋商报价表。</w:t>
      </w:r>
      <w:r/>
    </w:p>
    <w:p>
      <w:pPr>
        <w:ind w:left="-359" w:firstLine="82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w:t>
      </w:r>
      <w:r>
        <w:rPr>
          <w:rFonts w:hint="eastAsia" w:ascii="仿宋" w:hAnsi="仿宋" w:eastAsia="仿宋" w:cs="仿宋"/>
          <w:color w:val="auto"/>
          <w:sz w:val="28"/>
          <w:szCs w:val="28"/>
          <w:highlight w:val="none"/>
        </w:rPr>
        <w:t xml:space="preserve">服务时间和地点</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1、服务时间：一年（202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   月   日-202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年  月  日）</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2、服务地点：由采购人指定</w:t>
      </w:r>
      <w:r/>
    </w:p>
    <w:p>
      <w:pPr>
        <w:ind w:left="-357"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480"/>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合同签订后支付合同价的40%。剩余费用合同到期后根据实际托养人数和残疾人等级进行支付</w:t>
      </w:r>
      <w:r>
        <w:rPr>
          <w:rFonts w:hint="eastAsia" w:ascii="仿宋" w:hAnsi="仿宋" w:eastAsia="仿宋" w:cs="仿宋"/>
          <w:color w:val="auto"/>
          <w:sz w:val="28"/>
          <w:szCs w:val="28"/>
          <w:highlight w:val="none"/>
          <w:lang w:eastAsia="zh-CN"/>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甲方按招标文件相关要求进行。如需委托第三方验收，第三方是指：，验收费用由甲方承担。因乙方交付的货物不符合标准导致甲方重复支出的验收费用，由乙方承担。 </w:t>
      </w:r>
      <w:r/>
    </w:p>
    <w:p>
      <w:pPr>
        <w:numPr>
          <w:ilvl w:val="-1"/>
          <w:numId w:val="0"/>
        </w:numPr>
        <w:ind w:firstLine="56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w:t>
      </w:r>
      <w:r>
        <w:rPr>
          <w:rFonts w:hint="eastAsia" w:ascii="仿宋" w:hAnsi="仿宋" w:eastAsia="仿宋" w:cs="仿宋"/>
          <w:b/>
          <w:bCs/>
          <w:color w:val="auto"/>
          <w:sz w:val="28"/>
          <w:szCs w:val="28"/>
          <w:highlight w:val="none"/>
        </w:rPr>
        <w:t xml:space="preserve">本项目不收取履约保证金。</w:t>
      </w:r>
      <w:r/>
    </w:p>
    <w:p>
      <w:pPr>
        <w:pStyle w:val="672"/>
        <w:numPr>
          <w:ilvl w:val="0"/>
          <w:numId w:val="0"/>
        </w:numPr>
        <w:ind w:firstLine="560"/>
        <w:jc w:val="both"/>
        <w:rPr>
          <w:rFonts w:hint="eastAsia"/>
          <w:sz w:val="28"/>
          <w:szCs w:val="28"/>
          <w:highlight w:val="none"/>
        </w:rPr>
      </w:pPr>
      <w:r>
        <w:rPr>
          <w:rFonts w:hint="eastAsia"/>
          <w:sz w:val="28"/>
          <w:szCs w:val="28"/>
          <w:highlight w:val="none"/>
          <w:lang w:val="en-US" w:eastAsia="zh-CN"/>
        </w:rPr>
        <w:t xml:space="preserve">七、</w:t>
      </w:r>
      <w:r>
        <w:rPr>
          <w:rFonts w:hint="eastAsia"/>
          <w:sz w:val="28"/>
          <w:szCs w:val="28"/>
          <w:highlight w:val="none"/>
        </w:rPr>
        <w:t xml:space="preserve"> 收费规范与禁止违规收费</w:t>
      </w:r>
      <w:r/>
    </w:p>
    <w:p>
      <w:pPr>
        <w:pStyle w:val="672"/>
        <w:numPr>
          <w:ilvl w:val="-1"/>
          <w:numId w:val="0"/>
        </w:numPr>
        <w:ind w:firstLine="600"/>
        <w:jc w:val="both"/>
        <w:rPr>
          <w:rFonts w:hint="eastAsia"/>
          <w:highlight w:val="none"/>
        </w:rPr>
      </w:pPr>
      <w:r>
        <w:rPr>
          <w:rFonts w:hint="eastAsia"/>
          <w:highlight w:val="none"/>
        </w:rPr>
        <w:t xml:space="preserve">乙方（供应商）严禁以任何名义、任何方式向托养服务对象（残疾人）或其监护人收取合同约定及残疾人个人按规定自行承担费用以外的任何费用。</w:t>
      </w:r>
      <w:r/>
    </w:p>
    <w:p>
      <w:pPr>
        <w:pStyle w:val="672"/>
        <w:numPr>
          <w:ilvl w:val="-1"/>
          <w:numId w:val="0"/>
        </w:numPr>
        <w:ind w:firstLine="600"/>
        <w:jc w:val="both"/>
        <w:rPr>
          <w:rFonts w:hint="eastAsia"/>
          <w:highlight w:val="none"/>
        </w:rPr>
      </w:pPr>
      <w:r>
        <w:rPr>
          <w:rFonts w:hint="eastAsia"/>
          <w:highlight w:val="none"/>
        </w:rPr>
        <w:t xml:space="preserve">除残疾人本人按规定自行承担的费用外，水电费、空调费、网络费、电视费、卫生纸、洗漱用品、日用品、管理费等一切日常生活开支及杂费，乙方均不得另行收取、变相收取或搭车收取。</w:t>
      </w:r>
      <w:r/>
    </w:p>
    <w:p>
      <w:pPr>
        <w:pStyle w:val="672"/>
        <w:numPr>
          <w:ilvl w:val="-1"/>
          <w:numId w:val="0"/>
        </w:numPr>
        <w:ind w:firstLine="0"/>
        <w:jc w:val="both"/>
        <w:rPr>
          <w:rFonts w:hint="eastAsia"/>
          <w:highlight w:val="none"/>
        </w:rPr>
      </w:pPr>
      <w:r>
        <w:rPr>
          <w:rFonts w:hint="eastAsia"/>
          <w:highlight w:val="none"/>
        </w:rPr>
        <w:t xml:space="preserve">乙方应在服务场所显著位置公示收费项目、标准及依据，主动接受服务对象、监护人及主管部门监督。</w:t>
      </w:r>
      <w:r/>
    </w:p>
    <w:p>
      <w:pPr>
        <w:pStyle w:val="672"/>
        <w:numPr>
          <w:ilvl w:val="0"/>
          <w:numId w:val="0"/>
        </w:numPr>
        <w:ind w:firstLine="600"/>
        <w:jc w:val="both"/>
        <w:rPr>
          <w:rFonts w:hint="eastAsia"/>
          <w:highlight w:val="none"/>
        </w:rPr>
      </w:pPr>
      <w:r>
        <w:rPr>
          <w:rFonts w:hint="eastAsia"/>
          <w:highlight w:val="none"/>
          <w:lang w:val="en-US" w:eastAsia="zh-CN"/>
        </w:rPr>
        <w:t xml:space="preserve">八、</w:t>
      </w:r>
      <w:r>
        <w:rPr>
          <w:rFonts w:hint="eastAsia"/>
          <w:highlight w:val="none"/>
        </w:rPr>
        <w:t xml:space="preserve"> 违规收费的违约责任</w:t>
      </w:r>
      <w:r/>
    </w:p>
    <w:p>
      <w:pPr>
        <w:pStyle w:val="672"/>
        <w:numPr>
          <w:ilvl w:val="-1"/>
          <w:numId w:val="0"/>
        </w:numPr>
        <w:ind w:firstLine="600"/>
        <w:jc w:val="both"/>
        <w:rPr>
          <w:rFonts w:hint="eastAsia"/>
          <w:highlight w:val="none"/>
        </w:rPr>
      </w:pPr>
      <w:r>
        <w:rPr>
          <w:rFonts w:hint="eastAsia"/>
          <w:highlight w:val="none"/>
        </w:rPr>
        <w:t xml:space="preserve">一经查实存在违规收费行为的，甲方有权责令乙方立即整改、全额退还违规收取的费用，并向甲方支付违约金人民币 5000 元 / 次；</w:t>
      </w:r>
      <w:r/>
    </w:p>
    <w:p>
      <w:pPr>
        <w:pStyle w:val="672"/>
        <w:numPr>
          <w:ilvl w:val="-1"/>
          <w:numId w:val="0"/>
        </w:numPr>
        <w:ind w:firstLine="600"/>
        <w:jc w:val="both"/>
        <w:rPr>
          <w:rFonts w:hint="eastAsia"/>
          <w:highlight w:val="none"/>
        </w:rPr>
      </w:pPr>
      <w:r>
        <w:rPr>
          <w:rFonts w:hint="eastAsia"/>
          <w:highlight w:val="none"/>
        </w:rPr>
        <w:t xml:space="preserve">一年内累计发生 2 次及以上违规收费，或单次违规收费金额较大、引发投诉举报并查实的，甲方有权：扣除当期10%—30% 服务费用；暂停支付服务款项直至整改到位；</w:t>
      </w:r>
      <w:r/>
    </w:p>
    <w:p>
      <w:pPr>
        <w:pStyle w:val="672"/>
        <w:numPr>
          <w:ilvl w:val="-1"/>
          <w:numId w:val="0"/>
        </w:numPr>
        <w:ind w:firstLine="600"/>
        <w:jc w:val="both"/>
        <w:rPr>
          <w:rFonts w:hint="eastAsia"/>
          <w:highlight w:val="none"/>
        </w:rPr>
      </w:pPr>
      <w:r>
        <w:rPr>
          <w:rFonts w:hint="eastAsia"/>
          <w:highlight w:val="none"/>
        </w:rPr>
        <w:t xml:space="preserve">因违规收费造成严重后果（包括但不限于媒体曝光、群体性事件、残疾人权益受损引发诉讼等），甲方有权：立即解除合同，乙方承担由此造成的一切损失；</w:t>
      </w:r>
      <w:r/>
    </w:p>
    <w:p>
      <w:pPr>
        <w:ind w:firstLine="560"/>
        <w:jc w:val="both"/>
        <w:spacing w:line="500" w:lineRule="exact"/>
        <w:rPr>
          <w:rFonts w:hint="eastAsia"/>
          <w:highlight w:val="none"/>
        </w:rPr>
      </w:pPr>
      <w:r>
        <w:rPr>
          <w:rFonts w:hint="eastAsia" w:ascii="仿宋" w:hAnsi="仿宋" w:eastAsia="仿宋" w:cs="仿宋"/>
          <w:color w:val="auto"/>
          <w:sz w:val="28"/>
          <w:szCs w:val="28"/>
          <w:highlight w:val="none"/>
        </w:rPr>
        <w:t xml:space="preserve">注:如退出本托养服务需向采购人交付全套档案资料 (含电子文档)经过采购人验收合格，并完成与后续托养机构的衔接后，方可退出，同时结清托养</w:t>
      </w:r>
      <w:r>
        <w:rPr>
          <w:rFonts w:hint="eastAsia" w:ascii="仿宋" w:hAnsi="仿宋" w:eastAsia="仿宋" w:cs="仿宋"/>
          <w:color w:val="auto"/>
          <w:sz w:val="28"/>
          <w:szCs w:val="28"/>
          <w:highlight w:val="none"/>
          <w:lang w:val="en-US" w:eastAsia="zh-CN"/>
        </w:rPr>
        <w:t xml:space="preserve">费用</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、合同纠纷处理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本合同执行过程中发生纠纷，由甲乙双方协商解决，若协商不成，作如下处理：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1、申请仲裁。选定仲裁机构为淮安市清江浦区仲裁委员会。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2、提起诉讼。约定由采购人人所在地法院管辖。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、合同生效及其它</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本合同经甲方、乙方双方授权代表签字盖章之日起生效。如有变动，必须经甲方、乙方协商一致，方可更改。本合同一式</w:t>
      </w:r>
      <w:r>
        <w:rPr>
          <w:rFonts w:hint="eastAsia" w:ascii="仿宋" w:hAnsi="仿宋" w:eastAsia="仿宋" w:cs="仿宋"/>
          <w:color w:val="auto"/>
          <w:sz w:val="28"/>
          <w:szCs w:val="28"/>
          <w:highlight w:val="none"/>
          <w:lang w:eastAsia="zh-CN"/>
        </w:rPr>
        <w:t xml:space="preserve">四份</w:t>
      </w:r>
      <w:r>
        <w:rPr>
          <w:rFonts w:hint="eastAsia" w:ascii="仿宋" w:hAnsi="仿宋" w:eastAsia="仿宋" w:cs="仿宋"/>
          <w:color w:val="auto"/>
          <w:sz w:val="28"/>
          <w:szCs w:val="28"/>
          <w:highlight w:val="none"/>
        </w:rPr>
        <w:t xml:space="preserve">，甲、乙方各执贰份。</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w:t>
      </w:r>
      <w:r>
        <w:rPr>
          <w:rFonts w:hint="eastAsia" w:ascii="仿宋" w:hAnsi="仿宋" w:eastAsia="仿宋" w:cs="仿宋"/>
          <w:color w:val="auto"/>
          <w:sz w:val="28"/>
          <w:szCs w:val="28"/>
          <w:highlight w:val="none"/>
        </w:rPr>
        <w:t xml:space="preserve">、组成本合同的文件包括</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1、合同主要条款；</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2、磋商文件和乙方的响应文件；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3、成交通知书；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 上述合同文件内容互为补充，如有不明确，由甲方负责解释。</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p>
    <w:p>
      <w:pPr>
        <w:pStyle w:val="67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8"/>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678"/>
        <w:ind w:firstLine="2873"/>
        <w:keepLines w:val="0"/>
        <w:keepNext w:val="0"/>
        <w:pageBreakBefore w:val="0"/>
        <w:spacing w:line="500" w:lineRule="exact"/>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br w:type="page" w:clear="all"/>
      </w:r>
      <w:r>
        <w:rPr>
          <w:rFonts w:hint="eastAsia" w:ascii="仿宋" w:hAnsi="仿宋" w:eastAsia="仿宋" w:cs="Times New Roman"/>
          <w:b/>
          <w:bCs/>
          <w:sz w:val="36"/>
          <w:szCs w:val="36"/>
          <w:highlight w:val="none"/>
          <w:lang w:val="en-US" w:eastAsia="zh-CN" w:bidi="ar-SA"/>
        </w:rPr>
        <w:t xml:space="preserve">第五章 项目采购需求</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一、总体要求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以习近平新时代中国特色社会主义思想为指导，认真</w:t>
      </w:r>
      <w:r>
        <w:rPr>
          <w:rFonts w:hint="eastAsia" w:ascii="仿宋" w:hAnsi="仿宋" w:eastAsia="仿宋" w:cs="仿宋"/>
          <w:color w:val="auto"/>
          <w:sz w:val="28"/>
          <w:szCs w:val="28"/>
          <w:highlight w:val="none"/>
        </w:rPr>
        <w:t xml:space="preserve">落实习近平总书记关于加强残疾人工作的重要论述，强化政府保基本兜底线职能，进一步健全残疾人托养服务体系，鼓励引导社会力量、社会资本、社会资源投向残疾人托养服务领域，大力发展残疾人寄宿制托养服务、日间照料服务、居家托养服务，循序渐进推进残疾人托养服务稳步发展，更好地满足广大残疾人及其家庭对托养服务的需求，切实改善残疾人生活质量、减轻残疾人家庭照护负担、增进残疾人融入社会程度，力争到“十四五”末，全区托养服务供给能力基本满足残疾人托养需求，低保和低收入家庭中的残疾人 (以下简称困难残疾人) 托养服务得到有力保障。</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二、服务对象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根据清残发[2023]号文，以 16-59 周岁，无业且为本区户籍，并持有有效期内【中华人民共和国残疾证】的智力、精神和重度肢体残疾人。要优先保障低保、低保边缘、支出型贫困等家庭照护困难的精神、智力、重度残疾人。其他两种类型的托养服务对象，参照【关于进一步做好残疾人托养服务的通知】（淮残发【2021】12号）文件执行。本项目同时严格落实国办函〔2025〕75 号相关规定。</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三、服务方式</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机构统一安排专业服务人员、有计划</w:t>
      </w:r>
      <w:r>
        <w:rPr>
          <w:rFonts w:hint="eastAsia" w:ascii="仿宋" w:hAnsi="仿宋" w:eastAsia="仿宋" w:cs="仿宋"/>
          <w:color w:val="auto"/>
          <w:sz w:val="28"/>
          <w:szCs w:val="28"/>
          <w:highlight w:val="none"/>
          <w:lang w:eastAsia="zh-CN"/>
        </w:rPr>
        <w:t xml:space="preserve">地</w:t>
      </w:r>
      <w:r>
        <w:rPr>
          <w:rFonts w:hint="eastAsia" w:ascii="仿宋" w:hAnsi="仿宋" w:eastAsia="仿宋" w:cs="仿宋"/>
          <w:color w:val="auto"/>
          <w:sz w:val="28"/>
          <w:szCs w:val="28"/>
          <w:highlight w:val="none"/>
        </w:rPr>
        <w:t xml:space="preserve">定时提供各项服务:同时在服务对象及监护人需要的前提下，托养机构为服务对象提供治疗、康复等，为残疾人提供集体医、养、护“三位一体”的托养服务。</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四、费用补贴及其他要求</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1.根据区财政、区残联《关于进一步做好残疾人托养服务工作的通知》精神，寄宿制托养服务补贴标准分三类:一是无自理能力残疾人，区财政按照31000 元/年/人的标准给予机构补贴:二是半自理能力残疾人，区财政按照28000 元/年/人的标准给予机构补贴;三是有自理能力残疾人，区财</w:t>
      </w:r>
      <w:r>
        <w:rPr>
          <w:rFonts w:hint="eastAsia" w:ascii="仿宋" w:hAnsi="仿宋" w:eastAsia="仿宋" w:cs="仿宋"/>
          <w:color w:val="auto"/>
          <w:sz w:val="28"/>
          <w:szCs w:val="28"/>
          <w:highlight w:val="none"/>
        </w:rPr>
        <w:t xml:space="preserve">政按照26500 元/年/人的标准给予机构补贴。费用不足部分由个人和家庭根据残疾人生活自理能力不同，按照机构收费规定自行缴纳机构。凡未按规定向残联提出申请并获得批准的残疾人，财政部门不予拨付寄宿制托养服务补贴，亦不承担其他相关费用。 2.托养机构要保证每位残疾人一日三餐的标准不低于 700 元/人/月。3.托养机构为现场的服务人员提供统一服装(春夏秋冬)。另为服务的残疾人购置统一马甲，并印制专属标识。4.托养机构为残疾人提供集中场所及住宿标间，一个温馨的环境，提供有利于残疾人身心健康的标识，鼓舞残疾人士气。</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2.托养机构要保证每位残疾人一日三餐的标准不低于 700 元/人/月</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并</w:t>
      </w:r>
      <w:r>
        <w:rPr>
          <w:rFonts w:hint="eastAsia" w:ascii="仿宋" w:hAnsi="仿宋" w:eastAsia="仿宋" w:cs="仿宋"/>
          <w:color w:val="auto"/>
          <w:sz w:val="28"/>
          <w:szCs w:val="28"/>
          <w:highlight w:val="none"/>
          <w:lang w:eastAsia="zh-CN"/>
        </w:rPr>
        <w:t xml:space="preserve">配套设置残疾人专用就餐区域，保障残疾人就餐需求。</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3.托养机构为现场的服务人员提供统一服装(春夏秋冬)。另为服务的残疾人购置统一马甲，并印制专属标识。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4.托养机构为残疾人提供集中场所及住宿标间，一个温馨的环境，提供有利于残疾人身心健康的标识，鼓舞残疾人士气。</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5.残疾人服务场所二层及以上楼层应安装防盗窗或防坠防护窗，切实保障残疾人人身安全。</w:t>
      </w:r>
      <w:r/>
    </w:p>
    <w:p>
      <w:pPr>
        <w:pStyle w:val="672"/>
        <w:ind w:left="0" w:firstLine="560"/>
        <w:jc w:val="both"/>
        <w:rPr>
          <w:rFonts w:hint="default"/>
          <w:lang w:val="en-US" w:eastAsia="zh-CN"/>
        </w:rPr>
      </w:pPr>
      <w:r>
        <w:rPr>
          <w:rFonts w:hint="eastAsia" w:ascii="仿宋" w:hAnsi="仿宋" w:eastAsia="仿宋" w:cs="仿宋"/>
          <w:color w:val="auto"/>
          <w:sz w:val="28"/>
          <w:szCs w:val="28"/>
          <w:highlight w:val="none"/>
          <w:lang w:val="en-US" w:eastAsia="zh-CN"/>
        </w:rPr>
        <w:t xml:space="preserve">6.采购人与成交供应商签订合同前，采购人将按照成交供应商投标响应文件载明信息，对其服务场所开展现场踏勘核实。经核实，服务场所真实状况与响应文件描述存在不符情形的，采购人将取消其成交候选人资格。</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五、人员情况及其他</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1.本项目服务残疾人人数共有62人。</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重度残疾人托养照护服务的对象需同时满足以下条件：具有清江浦区户籍，持有《中华人民共和国残疾人证》，属于智力、精神或重度肢体、视力残疾人；有托养照护需求，且本人或监护人愿意接受服务；未纳入孤儿保障或特困人员救助供养范围。此外，服务对象中一、二级智力、精神、肢体残疾人的比例原则上不低于80%。</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六、服务内容</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生活照料和护理:为服务对象提供日常生活照顾、护理以及健康生活所需的基本服务。</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1、具体服务项目及标准</w:t>
      </w:r>
      <w:r/>
    </w:p>
    <w:tbl>
      <w:tblPr>
        <w:tblStyle w:val="693"/>
        <w:tblW w:w="99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213"/>
        <w:gridCol w:w="2142"/>
        <w:gridCol w:w="5946"/>
      </w:tblGrid>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服务类型</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助洁</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理发</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按规范进行，并处理好地面卫生。</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洗脚，修剪手脚指(趾)甲</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先洗干净，按规范进行修剪，并打磨平滑。</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房间清洁</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根据残疾人的居住情况和实际要求，为残疾人的居住场所提供清洁卫生服务，辅助残疾人收物取物便利，地面清洁。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厨房整理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厨房用具收纳整理、清洁。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洗涤前告知、提醒残疾人将衣物口袋中物品拿出，洗涤分类，并做到洗净、晾晒。</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更换洗涤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视衣物及床单、被罩等清洁程度，及时更换、洗涤、晾晒，保持衣物及床上用品洁净、干爽、整齐。</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血压检测</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常规血压监测，提供康复建议。在为残疾人提供血糖检测等服务时顺便为残疾人进行血压监测。</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体温测量</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常规体温监测。在为残疾人提供血糖检测等服务时顺便为残疾人进行体温测量。</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助医服务地点为就近的医疗机构，助医服务应注意途中安全。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遵照医嘱，协助残疾人进行康复运动等，由专业人员为残疾人进行康复护理服务。</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助浴或陪同助浴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按照安全防护要求，为有需求的残疾人提供助浴服务。浴前应进行安全提示，为评估后有助浴条件及身体状况允许的残疾人助浴。</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助行</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陪同散步</w:t>
            </w:r>
            <w:r/>
          </w:p>
        </w:tc>
        <w:tc>
          <w:tcPr>
            <w:tcW w:w="5946"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陪同残疾人外出、采购、聊天，使残疾人保持开朗心情。</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陪伴聊天</w:t>
            </w:r>
            <w:r/>
          </w:p>
        </w:tc>
        <w:tc>
          <w:tcPr>
            <w:tcW w:w="5946"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协助有需求的老年人开展各类有益于身心健康的文体娱乐活动。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代办</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根据老年人需求，提供代购、代领物品，代缴费用等服务。</w:t>
            </w:r>
            <w:r/>
          </w:p>
        </w:tc>
      </w:tr>
    </w:tbl>
    <w:p>
      <w:pPr>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2、生活照料服务要求</w:t>
      </w:r>
      <w:r/>
    </w:p>
    <w:tbl>
      <w:tblPr>
        <w:tblStyle w:val="693"/>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1496"/>
        <w:gridCol w:w="7117"/>
      </w:tblGrid>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w:t>
            </w:r>
            <w:r/>
          </w:p>
        </w:tc>
        <w:tc>
          <w:tcPr>
            <w:tcW w:w="7117"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服务标准</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日间照料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家务整理</w:t>
            </w:r>
            <w:r/>
          </w:p>
        </w:tc>
        <w:tc>
          <w:tcPr>
            <w:tcW w:w="7117" w:type="dxa"/>
            <w:textDirection w:val="lrTb"/>
            <w:noWrap/>
          </w:tcPr>
          <w:p>
            <w:pPr>
              <w:numPr>
                <w:ilvl w:val="0"/>
                <w:numId w:val="4"/>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开窗通风，保持卧室、厨房、卫生间等居室内部整洁，物品摆放有序，无乱放、乱挂;</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2、定期翻晒(被褥，枕头，毛毯等)、更换床上用品(床罩，床单，被套，枕套，枕巾)，按老年人习惯整理床铺，保持床铺清洁、美观。</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扫地拖地</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1、由内而外清扫地面，垃圾抛入簸箕时不扬尘;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2、由内而外拖洗地面</w:t>
            </w:r>
            <w:r/>
          </w:p>
        </w:tc>
      </w:tr>
      <w:tr>
        <w:trPr/>
        <w:tc>
          <w:tcPr>
            <w:tcW w:w="1310"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卧床照料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协助服务对象翻身、肢体关节活动等，防止压疮产生。</w:t>
            </w:r>
            <w:r/>
          </w:p>
        </w:tc>
      </w:tr>
      <w:tr>
        <w:trPr/>
        <w:tc>
          <w:tcPr>
            <w:tcW w:w="1310"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进食照料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协助服务对象完成进膳、饮水、服药。</w:t>
            </w:r>
            <w:r/>
          </w:p>
        </w:tc>
      </w:tr>
      <w:tr>
        <w:trPr/>
        <w:tc>
          <w:tcPr>
            <w:tcW w:w="1310" w:type="dxa"/>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生活照料(助洁服务)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洗发、理发</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简单洗发、理发，修面、挖耳注意安全，做到残疾人容貌整洁。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清扫地面落发。</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修剪手脚指甲</w:t>
            </w:r>
            <w:r/>
          </w:p>
        </w:tc>
        <w:tc>
          <w:tcPr>
            <w:tcW w:w="711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泡脚，洗脚，剪指甲，保持指(趾)甲整洁、无异味。</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打扫居室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1.打扫居室卫生整洁；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2.保持居室整洁美观、目测无灰尘、空气清新无异味;</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3.保洁用品应及时清洗、消毒，保持清洁及卫生;</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4.由内而外清扫地面，处理垃圾不扬尘;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5.拖洗地面至清洁无污，并通风保持地面干燥，防止残疾人滑倒;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6.拖地时拖把横向 (左右) 摆动。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7.打扫过程中，如遇货币和贵重物品，则应提醒用户妥善保管。</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居室整理</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1.物品收纳整理;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2.按需晾晒 (棉被，厚毛毯等)、更换床上四件套；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3.按残疾人习惯整理床铺，保持床铺整洁。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1、清洗、更换衣物，无脏污；</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2、洗涤前需检查被洗衣物的性状及是否遗留贵重物品并告知残疾人;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3、洗涤应分类洗涤衣物并做到洗净、晾晒；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4、贵重衣物不在本洗涤服务范围之内。</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生活照料(助浴服务)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1、助浴前应进行安全提示;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2、助浴过程中应有两名以上服务人员在场，保障残疾人安全;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3、助浴时应根据四季气候状况和残疾人居住条件，注意防寒保暖和浴室内通风,并将环境温度调节到 25°C至30C之间;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4、助浴过程中应注意观察残疾人身体情况，如遇残疾人身体不适，应立即采取相应应急措施，并通知残疾人监护人。</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生活料理(助行服务)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陪同外出</w:t>
            </w:r>
            <w:r/>
          </w:p>
        </w:tc>
        <w:tc>
          <w:tcPr>
            <w:tcW w:w="7117" w:type="dxa"/>
            <w:textDirection w:val="lrTb"/>
            <w:noWrap/>
          </w:tcPr>
          <w:p>
            <w:pPr>
              <w:numPr>
                <w:ilvl w:val="0"/>
                <w:numId w:val="5"/>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徒步助行服务最远不超过 2km 范围;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2、助行服务途中应注意残疾人行走安全;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3、使用助行器具，应按助行器具使用说明进行规范操作。</w:t>
            </w:r>
            <w:r/>
          </w:p>
        </w:tc>
      </w:tr>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生活料理(助购服务)</w:t>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1、代办各种手续、代缴各种费用等日常生活事务，按照残疾人的要求及时办理;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2、代办前后当面清点钱物、证件、单据等并妥善保管好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3、代购日常生活用品，按照残疾人的要求及时办理: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4、代购药品的范围:诊断明确、病情稳定、治疗方案确定的常见病、慢性病;</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5、代购药品除残疾人特别要求外，选择残疾人居住所在地对应的社区医疗机构或正规药店。</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康复护理(助医服务)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起居服务</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1、协助穿脱衣服、如厕，衣物整理放置有序；</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2、洗漱(刷牙、洗脸、洗脚等) ；</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3、穿衣冷暖适度、保持整洁；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4、定时为卧床残疾人翻身，做到无褥疮；</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5、协助服务对象如厕或更换尿片，对呕吐服务对象进行护理。</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血糖、血压体温、检测</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1、进行常规血糖、血压、体温监测，记录各项指标</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1、陪同就诊的情形为:常见病、慢性病复诊；辅助性检查;门诊注射、换药;</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2、陪同就诊应注意残疾人途中安全；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3、就医后及时向残疾人家属或其他监护人反馈就诊情况。</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远程诊疗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2、应通过专业的设备及系统，能及时进行视频沟通，并根据老年人需求，安排相关医生接入交流；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3、应能够根据残疾人口述情况提出专业治疗意见；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4、应及时向残疾人家属或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监护人反馈就诊情况:应能记录和管理用户的健康及体征信息、视频沟通信息，可点选并播放医疗健康相关的视频讲座。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现场理疗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2、应符合残疾人的生理心理特点；</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3、理疗过程中应注意观察残疾人的身体适应情况，防止损伤；</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4、根据需要配备相应的合格理疗器具。</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医疗保健</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1、医疗协助服务:应遵照医嘱及时提醒和监督残疾人按时服药，协助开展医疗辅助性工作；</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2、健康咨询服务:通过电话、网络及讲座或老年学校等方式为残疾人提供预防保健、养生护理及老年期营养、心理健康等知识教育。</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精神慰藉服务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1、由专业、有资质的人员实施；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2、观察残疾人的情绪变化，掌握残疾人心理特点和基本沟通技巧，并通过心理干预手段调整残疾人心理状态。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健康讲座</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提供慢性病、老年病相关知识讲座。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老年大讲堂</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提供老年微信课堂、知识讲座。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文化娱乐活动</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组织残疾人开展各类娱乐活动。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谈心</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1、相谈服务应以舒缓心情、排遣孤独为原则。</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2、预先了解老年人兴趣爱好等情况。</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3、相谈过程中应与老年人保持良性互动。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精神支持</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读报，耐心倾听，能与残疾人进行谈心、交流。尊重并保护残疾人隐私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掌握老残疾心理特点和基本沟通技巧，能够观察残疾人的情绪变化，并通过心理干预手段调整残疾人心理状态。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法律援助</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由第三方机构根据残疾人需要，提供必要的法律咨询政策解读等免费、公益类服务。</w:t>
            </w:r>
            <w:r/>
          </w:p>
        </w:tc>
      </w:tr>
    </w:tbl>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3、社会适应能力辅导和运动功能训练</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生活自理能力训练: 为服务对象提供其能力范围内的衣食住行等日常生活基本能力训练服务。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 职业康复和劳动技能训练: 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 辅助性就业:针对部分有精神、智力和重度残疾人因劳动就业能力不足，通过集中组织残疾人参加适当生产劳动，帮助其提高劳动技能、改善身体生活状况，寄宿制托养机构可设劳动车间、农疗等庇护性劳动项目。</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(四)身体部位功能训练:为已接受过医疗康复服务的服务对象开展以运动功能和日常生活活动为主的运动康复训练，增强其生活自理能力和参与社会生活的能力，并为服务对象提供必要的医疗卫生保健服务。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 按照服务对象或监护人的要求，提供以下服务: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 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但仍需一定照料的服务对象，由托养服务中心的康复人员，提供辅助性身体康复服务和恢复性生活能力训练。指导并协助有需要的服务对象或其监护人正确使用配发的康复、保健仪器和辅助器械;</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(2）资讯服务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服务内容:协助有需要的服务对象通过网络、电视、广播、报刊杂志等多种方式了解新闻和知识;</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(3)心理辅导服务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服务内容:对生活基本能够自理或部分自理的特困残疾人，心理咨询师和社工定期进行心理咨询和个案辅导为主要服务形式。提供情绪支持或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心理辅导。经常与服务对象进行交流，了解其心理特点，有需要进行心理干预的及时向其本人或监护人提出建议;</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(4)劳动训练、辅助性就业辅导、文体活动</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 对有需求的服务对象提供简单的劳动训练和辅助性就业辅导:对服务对象提供适宜的手工操作辅导:协助陪同服务对象参与与其身体状况相适应的文体活动及有益身心的公益活动;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(5)医疗辅助服务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服务内容:在服务对象需要的时候提供陪同挂号、就诊等医务辅助服务</w:t>
      </w:r>
      <w:r>
        <w:rPr>
          <w:rFonts w:hint="eastAsia" w:ascii="仿宋" w:hAnsi="仿宋" w:eastAsia="仿宋" w:cs="仿宋"/>
          <w:color w:val="auto"/>
          <w:sz w:val="28"/>
          <w:szCs w:val="28"/>
          <w:highlight w:val="none"/>
          <w:lang w:eastAsia="zh-CN"/>
        </w:rPr>
        <w:t xml:space="preserve">同时</w:t>
      </w:r>
      <w:r>
        <w:rPr>
          <w:rFonts w:hint="eastAsia" w:ascii="仿宋" w:hAnsi="仿宋" w:eastAsia="仿宋" w:cs="仿宋"/>
          <w:color w:val="auto"/>
          <w:sz w:val="28"/>
          <w:szCs w:val="28"/>
          <w:highlight w:val="none"/>
        </w:rPr>
        <w:t xml:space="preserve">在陪同服务对象就医过程中，通过交流在一定程度上排解不良情绪</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联合卫生部门、医院及社康中心等单位，开展医疗义诊、医疗咨询、体格检查、健康讲座等服务。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(6)精神慰藉服务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服务内容:定期组织志愿服务者，对服务对象开展“</w:t>
      </w:r>
      <w:r>
        <w:rPr>
          <w:rFonts w:hint="eastAsia" w:ascii="仿宋" w:hAnsi="仿宋" w:eastAsia="仿宋" w:cs="仿宋"/>
          <w:color w:val="auto"/>
          <w:sz w:val="28"/>
          <w:szCs w:val="28"/>
          <w:highlight w:val="none"/>
          <w:lang w:eastAsia="zh-CN"/>
        </w:rPr>
        <w:t xml:space="preserve">心理慰藉</w:t>
      </w:r>
      <w:r>
        <w:rPr>
          <w:rFonts w:hint="eastAsia" w:ascii="仿宋" w:hAnsi="仿宋" w:eastAsia="仿宋" w:cs="仿宋"/>
          <w:color w:val="auto"/>
          <w:sz w:val="28"/>
          <w:szCs w:val="28"/>
          <w:highlight w:val="none"/>
        </w:rPr>
        <w:t xml:space="preserve">、亲情陪护”服务活动。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(7)临终关怀服务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服务内容:对因重病而进入临终阶段困难残疾人提供临终关怀服务，维护服务对象的个人尊严，提高生命质量。</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(8）肇事预防</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事前预防:服务对象出现异常情况，随时汇报，采取措施、规范治疗;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事后处理:发生异常情况时，及时告知片区民警医生及管理人员，进行强制性管制，需要治疗时，可送至专业医院进行康复治疗</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 不同类别的寄宿制托养机构可根据残疾人的实际情况选择性提供相应的服务。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组织机构、工作人员及服务对象等信息的登记应真实、完整并及时更新。</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建立服务对象个人档案，服务对象 1人1档，包括个人基本情况、托养服务协议书、健康情况、医疗记录、护理等级评估报告、康复训练情况等及时更新，动态管理。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及时掌握服务情况，通过询访等途径收集服务反馈意见。</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保持机构内干净、整洁、无异味。居室和公共区域每日清扫不少于1次，每周消毒不少于 1次。</w:t>
      </w:r>
      <w:r/>
    </w:p>
    <w:p>
      <w:pPr>
        <w:ind w:firstLine="42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保持各种护理用具和生活用品清洁、有序。定期清洗床上用品。有明显污渍时，应及时更换。</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成交单位所提供的服务点，消防设施必须通过年检。</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八、机构人员要求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1、根据实际需要，科学配备管理人员、专业技术人员和服务人员，并明确岗位要求和工作流程，实行岗位责任制，专业工作服务人员与服务对象的配置比例不低于1:6，对人员集中管理。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2、服务期间服务人员定期参加残疾人托养服务管理的相关培训。</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4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4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49"/>
        <w:rPr>
          <w:rFonts w:hint="eastAsia" w:ascii="黑体" w:hAnsi="黑体" w:eastAsia="黑体"/>
          <w:sz w:val="44"/>
          <w:szCs w:val="44"/>
          <w:highlight w:val="none"/>
        </w:rPr>
      </w:pPr>
      <w:r>
        <w:rPr>
          <w:rFonts w:hint="eastAsia" w:ascii="黑体" w:hAnsi="黑体" w:eastAsia="黑体"/>
          <w:sz w:val="44"/>
          <w:szCs w:val="44"/>
          <w:highlight w:val="none"/>
        </w:rPr>
      </w:r>
      <w:r/>
    </w:p>
    <w:p>
      <w:pPr>
        <w:pStyle w:val="849"/>
        <w:rPr>
          <w:rFonts w:hint="eastAsia" w:ascii="黑体" w:hAnsi="黑体" w:eastAsia="黑体"/>
          <w:sz w:val="32"/>
          <w:highlight w:val="none"/>
        </w:rPr>
      </w:pPr>
      <w:r>
        <w:rPr>
          <w:rFonts w:hint="eastAsia" w:ascii="黑体" w:hAnsi="黑体" w:eastAsia="黑体"/>
          <w:sz w:val="32"/>
          <w:highlight w:val="none"/>
        </w:rPr>
      </w:r>
      <w:r/>
    </w:p>
    <w:p>
      <w:pPr>
        <w:pStyle w:val="849"/>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49"/>
        <w:rPr>
          <w:rFonts w:hint="eastAsia" w:ascii="黑体" w:hAnsi="黑体" w:eastAsia="黑体"/>
          <w:sz w:val="32"/>
          <w:highlight w:val="none"/>
        </w:rPr>
      </w:pPr>
      <w:r>
        <w:rPr>
          <w:rFonts w:hint="eastAsia" w:ascii="黑体" w:hAnsi="黑体" w:eastAsia="黑体"/>
          <w:sz w:val="32"/>
          <w:highlight w:val="none"/>
        </w:rPr>
      </w:r>
      <w:r/>
    </w:p>
    <w:p>
      <w:pPr>
        <w:pStyle w:val="84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4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49"/>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678"/>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ind w:firstLine="2645"/>
        <w:keepLines w:val="0"/>
        <w:keepNext w:val="0"/>
        <w:pageBreakBefore w:val="0"/>
        <w:spacing w:line="500" w:lineRule="exact"/>
        <w:rPr>
          <w:rFonts w:hint="eastAsia" w:ascii="黑体" w:hAnsi="黑体" w:eastAsia="黑体" w:cs="Times New Roman"/>
          <w:b/>
          <w:sz w:val="36"/>
          <w:szCs w:val="24"/>
          <w:highlight w:val="none"/>
          <w:lang w:val="en-US" w:eastAsia="zh-CN" w:bidi="ar-SA"/>
        </w:r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w:t>
      </w:r>
      <w:r>
        <w:rPr>
          <w:rFonts w:hint="eastAsia" w:ascii="黑体" w:hAnsi="黑体" w:eastAsia="黑体" w:cs="Times New Roman"/>
          <w:b/>
          <w:sz w:val="36"/>
          <w:szCs w:val="24"/>
          <w:highlight w:val="none"/>
          <w:lang w:val="en-US" w:eastAsia="zh-CN" w:bidi="ar-SA"/>
        </w:rPr>
        <w:t xml:space="preserve">  年  月  日</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一、磋商函</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淮安市清江浦区残疾人联合会:</w:t>
      </w:r>
      <w:r/>
    </w:p>
    <w:p>
      <w:pPr>
        <w:pStyle w:val="850"/>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50"/>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50"/>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50"/>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49"/>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keepLines w:val="0"/>
        <w:keepNext w:val="0"/>
        <w:pageBreakBefore w:val="0"/>
        <w:spacing w:line="500" w:lineRule="exact"/>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92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keepLines w:val="0"/>
        <w:keepNext w:val="0"/>
        <w:pageBreakBefore w:val="0"/>
        <w:spacing w:before="19"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849"/>
        <w:numPr>
          <w:ilvl w:val="0"/>
          <w:numId w:val="0"/>
        </w:numPr>
        <w:jc w:val="both"/>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49"/>
        <w:numPr>
          <w:ilvl w:val="0"/>
          <w:numId w:val="0"/>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二、报价明细表</w:t>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4318"/>
        <w:gridCol w:w="4619"/>
      </w:tblGrid>
      <w:tr>
        <w:trPr>
          <w:trHeight w:val="641"/>
        </w:trPr>
        <w:tc>
          <w:tcPr>
            <w:tcW w:w="810" w:type="dxa"/>
            <w:vAlign w:val="center"/>
            <w:textDirection w:val="lrTb"/>
            <w:noWrap/>
          </w:tcPr>
          <w:p>
            <w:pPr>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4318"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半自理能力残疾人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有自理能力残疾人</w:t>
            </w:r>
            <w:r/>
          </w:p>
        </w:tc>
        <w:tc>
          <w:tcPr>
            <w:tcW w:w="4619"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元/人/年</w:t>
            </w:r>
            <w:r/>
          </w:p>
        </w:tc>
      </w:tr>
      <w:tr>
        <w:trPr>
          <w:trHeight w:val="641"/>
        </w:trPr>
        <w:tc>
          <w:tcPr>
            <w:gridSpan w:val="3"/>
            <w:tcW w:w="9747"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单价合计：     </w:t>
            </w:r>
            <w:r/>
          </w:p>
        </w:tc>
      </w:tr>
    </w:tbl>
    <w:p>
      <w:pPr>
        <w:pStyle w:val="673"/>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    </w:t>
      </w:r>
      <w:r/>
    </w:p>
    <w:p>
      <w:pPr>
        <w:pStyle w:val="678"/>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（电子签章或电子签字）</w:t>
      </w:r>
      <w:r/>
    </w:p>
    <w:p>
      <w:pPr>
        <w:pStyle w:val="67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ind w:firstLine="0"/>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注:</w:t>
      </w:r>
      <w:r>
        <w:rPr>
          <w:rFonts w:hint="eastAsia" w:ascii="仿宋" w:hAnsi="仿宋" w:eastAsia="仿宋" w:cs="仿宋"/>
          <w:b/>
          <w:bCs/>
          <w:color w:val="auto"/>
          <w:sz w:val="28"/>
          <w:szCs w:val="28"/>
          <w:highlight w:val="none"/>
          <w:lang w:val="en-US" w:eastAsia="zh-CN"/>
        </w:rPr>
        <w:t xml:space="preserve">1.最高限价:192.2万元(无自理能力 31000 元/年/人;半自理能力 28000元/年/人;有自理能力26500元/年/人)。总价、单价均不得超过最高限价，否则</w:t>
      </w:r>
      <w:r>
        <w:rPr>
          <w:rFonts w:hint="eastAsia" w:ascii="仿宋" w:hAnsi="仿宋" w:eastAsia="仿宋" w:cs="仿宋"/>
          <w:b/>
          <w:bCs/>
          <w:color w:val="auto"/>
          <w:sz w:val="28"/>
          <w:szCs w:val="28"/>
          <w:highlight w:val="none"/>
        </w:rPr>
        <w:t xml:space="preserve">将其作为无效响应文件处理</w:t>
      </w:r>
      <w:r/>
    </w:p>
    <w:p>
      <w:pPr>
        <w:pStyle w:val="678"/>
        <w:ind w:firstLine="562"/>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 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bookmarkStart w:id="32" w:name="_Toc148099621"/>
      <w:r>
        <w:rPr>
          <w:rFonts w:hint="eastAsia" w:ascii="仿宋" w:hAnsi="仿宋" w:eastAsia="仿宋" w:cs="仿宋"/>
          <w:b/>
          <w:bCs/>
          <w:color w:val="auto"/>
          <w:sz w:val="28"/>
          <w:szCs w:val="28"/>
          <w:highlight w:val="none"/>
        </w:rPr>
        <w:t xml:space="preserve">拟派项目负责人及主要人员基本情况表</w:t>
      </w:r>
      <w:bookmarkEnd w:id="32"/>
      <w:r/>
      <w:r/>
    </w:p>
    <w:tbl>
      <w:tblPr>
        <w:tblStyle w:val="671"/>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492"/>
        <w:gridCol w:w="1441"/>
        <w:gridCol w:w="1441"/>
        <w:gridCol w:w="1774"/>
        <w:gridCol w:w="1939"/>
      </w:tblGrid>
      <w:tr>
        <w:trPr>
          <w:jc w:val="center"/>
          <w:trHeight w:val="780"/>
        </w:trPr>
        <w:tc>
          <w:tcPr>
            <w:tcW w:w="123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447"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397" w:type="dxa"/>
            <w:vAlign w:val="center"/>
            <w:textDirection w:val="lrTb"/>
            <w:noWrap/>
          </w:tcPr>
          <w:p>
            <w:pPr>
              <w:ind w:firstLine="1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397" w:type="dxa"/>
            <w:vAlign w:val="center"/>
            <w:textDirection w:val="lrTb"/>
            <w:noWrap/>
          </w:tcPr>
          <w:p>
            <w:pPr>
              <w:ind w:firstLine="131"/>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w:t>
            </w:r>
            <w:r/>
          </w:p>
        </w:tc>
        <w:tc>
          <w:tcPr>
            <w:tcW w:w="172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88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15"/>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磋商供应商：</w:t>
      </w:r>
      <w:r>
        <w:rPr>
          <w:rFonts w:hint="eastAsia" w:ascii="仿宋" w:hAnsi="仿宋" w:eastAsia="仿宋" w:cs="仿宋"/>
          <w:color w:val="auto"/>
          <w:sz w:val="28"/>
          <w:szCs w:val="28"/>
          <w:highlight w:val="none"/>
          <w:u w:val="single"/>
        </w:rPr>
        <w:t xml:space="preserve">（加盖电子签章）</w:t>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w:t>
      </w:r>
      <w:r>
        <w:rPr>
          <w:rFonts w:hint="eastAsia" w:ascii="仿宋" w:hAnsi="仿宋" w:eastAsia="仿宋" w:cs="仿宋"/>
          <w:color w:val="auto"/>
          <w:sz w:val="28"/>
          <w:szCs w:val="28"/>
          <w:highlight w:val="none"/>
          <w:u w:val="single"/>
        </w:rPr>
        <w:t xml:space="preserve">（电子签章或电子签字）</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注：此表为表样，行数可自行添加，但表式不变。</w:t>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四、资质审查时供应商必须提交的资格证明文件</w:t>
      </w:r>
      <w:r/>
    </w:p>
    <w:p>
      <w:pPr>
        <w:pStyle w:val="849"/>
        <w:ind w:firstLine="560"/>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56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lang w:val="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、本项目的特定资格要求: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（1）供应商必须具有消防安全合格证或建设工程消防意见书(需提供主管部门颁发的证书或意见书扫描件上传至电子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w:t>
      </w:r>
      <w:r>
        <w:rPr>
          <w:rFonts w:hint="eastAsia" w:ascii="仿宋" w:hAnsi="仿宋" w:eastAsia="仿宋" w:cs="仿宋"/>
          <w:color w:val="auto"/>
          <w:sz w:val="28"/>
          <w:szCs w:val="28"/>
          <w:highlight w:val="none"/>
          <w:lang w:val="en-US" w:eastAsia="zh-CN"/>
        </w:rPr>
        <w:t xml:space="preserve">原件</w:t>
      </w:r>
      <w:r>
        <w:rPr>
          <w:rFonts w:hint="eastAsia" w:ascii="仿宋" w:hAnsi="仿宋" w:eastAsia="仿宋" w:cs="仿宋"/>
          <w:color w:val="auto"/>
          <w:sz w:val="28"/>
          <w:szCs w:val="28"/>
          <w:highlight w:val="none"/>
        </w:rPr>
        <w:t xml:space="preserve">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bCs/>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672"/>
        <w:ind w:firstLine="560"/>
        <w:jc w:val="both"/>
        <w:rPr>
          <w:rFonts w:hint="default" w:eastAsia="仿宋"/>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供应商应在经营服务场所按规定设置内设医疗机构，同时为全部服务对象残疾人统一购买养老服务机构责任保险，保障期限须覆盖整个服务周期。(提供承诺书扫描件上传至电子响应文件中，加盖电子签章，格式自拟 )</w:t>
      </w:r>
      <w:r/>
    </w:p>
    <w:p>
      <w:pPr>
        <w:pStyle w:val="672"/>
        <w:jc w:val="both"/>
        <w:rPr>
          <w:rFonts w:hint="eastAsia"/>
          <w:highlight w:val="none"/>
        </w:rPr>
      </w:pPr>
      <w:r>
        <w:rPr>
          <w:rFonts w:hint="eastAsia"/>
          <w:highlight w:val="none"/>
        </w:rPr>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t xml:space="preserve">五、综合评分时供应商需提供的证明文件</w:t>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（供应商根据第三章评标标准的要求提供相关材料）</w:t>
      </w:r>
      <w:r/>
    </w:p>
    <w:p>
      <w:pPr>
        <w:ind w:firstLine="560"/>
        <w:jc w:val="left"/>
        <w:keepLines w:val="0"/>
        <w:keepNext w:val="0"/>
        <w:pageBreakBefore w:val="0"/>
        <w:spacing w:line="500" w:lineRule="exact"/>
        <w:widowControl/>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bookmarkStart w:id="33" w:name="_Toc157775454"/>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示范格式一</w:t>
      </w:r>
      <w:bookmarkEnd w:id="33"/>
      <w:r/>
      <w:r/>
    </w:p>
    <w:p>
      <w:pPr>
        <w:ind w:firstLine="257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注:供应商法定代表人参加磋商的，必须附法定代表人身份证扫描件加盖供应商电子签章。</w:t>
      </w:r>
      <w:r>
        <w:rPr>
          <w:rFonts w:hint="eastAsia" w:ascii="仿宋" w:hAnsi="仿宋" w:eastAsia="仿宋" w:cs="仿宋"/>
          <w:color w:val="auto"/>
          <w:sz w:val="28"/>
          <w:szCs w:val="28"/>
          <w:highlight w:val="none"/>
        </w:rPr>
        <w:t xml:space="preserve">法定代表人授权其他人参加磋商的，仅需填写“授权委托书”。</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t xml:space="preserve">示范格式二</w:t>
      </w:r>
      <w:r/>
    </w:p>
    <w:p>
      <w:pPr>
        <w:ind w:left="-359" w:firstLine="357"/>
        <w:jc w:val="center"/>
        <w:spacing w:line="640" w:lineRule="exact"/>
        <w:rPr>
          <w:rFonts w:hint="eastAsia" w:ascii="仿宋" w:hAnsi="仿宋" w:eastAsia="仿宋"/>
          <w:b/>
          <w:sz w:val="32"/>
          <w:highlight w:val="none"/>
        </w:rPr>
      </w:pPr>
      <w:r>
        <w:rPr>
          <w:rFonts w:hint="eastAsia" w:ascii="仿宋" w:hAnsi="仿宋" w:eastAsia="仿宋"/>
          <w:b/>
          <w:sz w:val="32"/>
          <w:highlight w:val="none"/>
        </w:rPr>
        <w:t xml:space="preserve">授权委托书</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代表我公司参加淮安市清江浦区残疾人联合会组织的（项目编号: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ind w:firstLine="364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   年  月  日</w:t>
      </w:r>
      <w:r/>
    </w:p>
    <w:p>
      <w:pPr>
        <w:ind w:left="-359"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注:供应商委托受托人参加磋商的，必须附受托人身份证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件加盖供应商电子签章。</w:t>
      </w:r>
      <w:r>
        <w:rPr>
          <w:rFonts w:hint="eastAsia" w:ascii="仿宋" w:hAnsi="仿宋" w:eastAsia="仿宋" w:cs="仿宋"/>
          <w:color w:val="auto"/>
          <w:sz w:val="28"/>
          <w:szCs w:val="28"/>
          <w:highlight w:val="none"/>
        </w:rPr>
        <w:t xml:space="preserve">法定代表人直接参加磋商的，仅需填写“法定代表人资格证明”。</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72"/>
        <w:rPr>
          <w:rFonts w:hint="eastAsia"/>
          <w:highlight w:val="none"/>
        </w:rPr>
      </w:pPr>
      <w:r>
        <w:rPr>
          <w:rFonts w:hint="eastAsia"/>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51"/>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72"/>
        <w:rPr>
          <w:rFonts w:hint="eastAsia"/>
        </w:rPr>
      </w:pPr>
      <w:r>
        <w:rPr>
          <w:rFonts w:hint="eastAsia"/>
        </w:rPr>
      </w:r>
      <w:r/>
    </w:p>
    <w:p>
      <w:pPr>
        <w:pStyle w:val="673"/>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51"/>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5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5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51"/>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5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5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5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5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51"/>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51"/>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51"/>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w:t>
      </w:r>
      <w:r/>
    </w:p>
    <w:p>
      <w:pPr>
        <w:pStyle w:val="851"/>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51"/>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keepLines w:val="0"/>
        <w:keepNext w:val="0"/>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highlight w:val="none"/>
        </w:rPr>
      </w:pPr>
      <w:r>
        <w:rPr>
          <w:highlight w:val="none"/>
        </w:rPr>
      </w:r>
      <w:r/>
    </w:p>
    <w:sectPr>
      <w:footerReference w:type="even" r:id="rId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rPr>
        <w:rStyle w:val="695"/>
      </w:rPr>
      <w:framePr w:wrap="around" w:vAnchor="text" w:hAnchor="margin" w:xAlign="center" w:y="1"/>
    </w:pPr>
    <w:r>
      <w:fldChar w:fldCharType="begin"/>
    </w:r>
    <w:r>
      <w:rPr>
        <w:rStyle w:val="695"/>
      </w:rPr>
      <w:instrText xml:space="preserve">PAGE  </w:instrText>
    </w:r>
    <w:r>
      <w:fldChar w:fldCharType="end"/>
    </w:r>
    <w:r/>
  </w:p>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1">
    <w:name w:val="Heading 1"/>
    <w:basedOn w:val="660"/>
    <w:next w:val="660"/>
    <w:link w:val="698"/>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9"/>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1"/>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2"/>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3"/>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5"/>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6"/>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0"/>
    <w:semiHidden/>
    <w:qFormat/>
  </w:style>
  <w:style w:type="table" w:styleId="671" w:default="1">
    <w:name w:val="Normal Table"/>
    <w:uiPriority w:val="0"/>
    <w:semiHidden/>
    <w:qFormat/>
    <w:tblPr>
      <w:tblCellMar>
        <w:left w:w="108" w:type="dxa"/>
        <w:top w:w="0" w:type="dxa"/>
        <w:right w:w="108" w:type="dxa"/>
        <w:bottom w:w="0" w:type="dxa"/>
      </w:tblCellMar>
    </w:tblPr>
  </w:style>
  <w:style w:type="paragraph" w:styleId="672">
    <w:name w:val="Body Text First Indent"/>
    <w:basedOn w:val="673"/>
    <w:uiPriority w:val="0"/>
    <w:qFormat/>
    <w:pPr>
      <w:ind w:firstLine="200"/>
      <w:spacing w:line="360" w:lineRule="auto"/>
    </w:pPr>
    <w:rPr>
      <w:rFonts w:ascii="仿宋_GB2312" w:eastAsia="仿宋_GB2312"/>
      <w:sz w:val="30"/>
      <w:szCs w:val="30"/>
    </w:rPr>
  </w:style>
  <w:style w:type="paragraph" w:styleId="673">
    <w:name w:val="Body Text"/>
    <w:basedOn w:val="660"/>
    <w:uiPriority w:val="0"/>
    <w:qFormat/>
    <w:pPr>
      <w:jc w:val="center"/>
    </w:pPr>
    <w:rPr>
      <w:rFonts w:eastAsia="仿宋_GB2312"/>
      <w:sz w:val="28"/>
    </w:rPr>
  </w:style>
  <w:style w:type="paragraph" w:styleId="674">
    <w:name w:val="toc 7"/>
    <w:basedOn w:val="660"/>
    <w:next w:val="660"/>
    <w:uiPriority w:val="39"/>
    <w:unhideWhenUsed/>
    <w:qFormat/>
    <w:pPr>
      <w:ind w:left="1701" w:right="0" w:firstLine="0"/>
      <w:spacing w:after="57"/>
    </w:pPr>
  </w:style>
  <w:style w:type="paragraph" w:styleId="675">
    <w:name w:val="Caption"/>
    <w:basedOn w:val="660"/>
    <w:next w:val="660"/>
    <w:uiPriority w:val="35"/>
    <w:semiHidden/>
    <w:unhideWhenUsed/>
    <w:qFormat/>
    <w:pPr>
      <w:spacing w:line="276" w:lineRule="auto"/>
    </w:pPr>
    <w:rPr>
      <w:b/>
      <w:bCs/>
      <w:color w:val="4874cb" w:themeColor="accent1"/>
      <w:sz w:val="18"/>
      <w:szCs w:val="18"/>
    </w:rPr>
  </w:style>
  <w:style w:type="paragraph" w:styleId="676">
    <w:name w:val="toc 5"/>
    <w:basedOn w:val="660"/>
    <w:next w:val="660"/>
    <w:uiPriority w:val="39"/>
    <w:unhideWhenUsed/>
    <w:qFormat/>
    <w:pPr>
      <w:ind w:left="1134" w:right="0" w:firstLine="0"/>
      <w:spacing w:after="57"/>
    </w:pPr>
  </w:style>
  <w:style w:type="paragraph" w:styleId="677">
    <w:name w:val="toc 3"/>
    <w:basedOn w:val="660"/>
    <w:next w:val="660"/>
    <w:uiPriority w:val="39"/>
    <w:unhideWhenUsed/>
    <w:qFormat/>
    <w:pPr>
      <w:ind w:left="567" w:right="0" w:firstLine="0"/>
      <w:spacing w:after="57"/>
    </w:pPr>
  </w:style>
  <w:style w:type="paragraph" w:styleId="678">
    <w:name w:val="Plain Text"/>
    <w:basedOn w:val="660"/>
    <w:next w:val="660"/>
    <w:uiPriority w:val="99"/>
    <w:qFormat/>
    <w:rPr>
      <w:rFonts w:ascii="宋体" w:hAnsi="Courier New"/>
      <w:szCs w:val="20"/>
    </w:rPr>
  </w:style>
  <w:style w:type="paragraph" w:styleId="679">
    <w:name w:val="toc 8"/>
    <w:basedOn w:val="660"/>
    <w:next w:val="660"/>
    <w:uiPriority w:val="39"/>
    <w:unhideWhenUsed/>
    <w:qFormat/>
    <w:pPr>
      <w:ind w:left="1984" w:right="0" w:firstLine="0"/>
      <w:spacing w:after="57"/>
    </w:pPr>
  </w:style>
  <w:style w:type="paragraph" w:styleId="680">
    <w:name w:val="endnote text"/>
    <w:basedOn w:val="660"/>
    <w:link w:val="844"/>
    <w:uiPriority w:val="99"/>
    <w:semiHidden/>
    <w:unhideWhenUsed/>
    <w:qFormat/>
    <w:pPr>
      <w:spacing w:after="0" w:line="240" w:lineRule="auto"/>
    </w:pPr>
    <w:rPr>
      <w:sz w:val="20"/>
    </w:rPr>
  </w:style>
  <w:style w:type="paragraph" w:styleId="681">
    <w:name w:val="Footer"/>
    <w:basedOn w:val="660"/>
    <w:uiPriority w:val="0"/>
    <w:qFormat/>
    <w:pPr>
      <w:jc w:val="left"/>
      <w:tabs>
        <w:tab w:val="center" w:pos="4153" w:leader="none"/>
        <w:tab w:val="right" w:pos="8306" w:leader="none"/>
      </w:tabs>
    </w:pPr>
    <w:rPr>
      <w:sz w:val="18"/>
      <w:szCs w:val="18"/>
    </w:rPr>
  </w:style>
  <w:style w:type="paragraph" w:styleId="682">
    <w:name w:val="Header"/>
    <w:basedOn w:val="660"/>
    <w:link w:val="715"/>
    <w:uiPriority w:val="99"/>
    <w:unhideWhenUsed/>
    <w:qFormat/>
    <w:pPr>
      <w:spacing w:after="0" w:line="240" w:lineRule="auto"/>
      <w:tabs>
        <w:tab w:val="center" w:pos="7143" w:leader="none"/>
        <w:tab w:val="right" w:pos="14287" w:leader="none"/>
      </w:tabs>
    </w:pPr>
  </w:style>
  <w:style w:type="paragraph" w:styleId="683">
    <w:name w:val="toc 1"/>
    <w:basedOn w:val="660"/>
    <w:next w:val="660"/>
    <w:uiPriority w:val="39"/>
    <w:unhideWhenUsed/>
    <w:qFormat/>
    <w:pPr>
      <w:ind w:left="0" w:right="0" w:firstLine="0"/>
      <w:spacing w:after="57"/>
    </w:pPr>
  </w:style>
  <w:style w:type="paragraph" w:styleId="684">
    <w:name w:val="toc 4"/>
    <w:basedOn w:val="660"/>
    <w:next w:val="660"/>
    <w:uiPriority w:val="39"/>
    <w:unhideWhenUsed/>
    <w:qFormat/>
    <w:pPr>
      <w:ind w:left="850" w:right="0" w:firstLine="0"/>
      <w:spacing w:after="57"/>
    </w:pPr>
  </w:style>
  <w:style w:type="paragraph" w:styleId="685">
    <w:name w:val="Subtitle"/>
    <w:basedOn w:val="660"/>
    <w:next w:val="660"/>
    <w:link w:val="710"/>
    <w:uiPriority w:val="11"/>
    <w:qFormat/>
    <w:pPr>
      <w:spacing w:before="200" w:after="200"/>
    </w:pPr>
    <w:rPr>
      <w:sz w:val="24"/>
      <w:szCs w:val="24"/>
    </w:rPr>
  </w:style>
  <w:style w:type="paragraph" w:styleId="686">
    <w:name w:val="footnote text"/>
    <w:basedOn w:val="660"/>
    <w:link w:val="843"/>
    <w:uiPriority w:val="99"/>
    <w:semiHidden/>
    <w:unhideWhenUsed/>
    <w:qFormat/>
    <w:pPr>
      <w:spacing w:after="40" w:line="240" w:lineRule="auto"/>
    </w:pPr>
    <w:rPr>
      <w:sz w:val="18"/>
    </w:rPr>
  </w:style>
  <w:style w:type="paragraph" w:styleId="687">
    <w:name w:val="toc 6"/>
    <w:basedOn w:val="660"/>
    <w:next w:val="660"/>
    <w:uiPriority w:val="39"/>
    <w:unhideWhenUsed/>
    <w:qFormat/>
    <w:pPr>
      <w:ind w:left="1417" w:right="0" w:firstLine="0"/>
      <w:spacing w:after="57"/>
    </w:pPr>
  </w:style>
  <w:style w:type="paragraph" w:styleId="688">
    <w:name w:val="table of figures"/>
    <w:basedOn w:val="660"/>
    <w:next w:val="660"/>
    <w:uiPriority w:val="99"/>
    <w:unhideWhenUsed/>
    <w:qFormat/>
    <w:pPr>
      <w:spacing w:after="0" w:afterAutospacing="0"/>
    </w:pPr>
  </w:style>
  <w:style w:type="paragraph" w:styleId="689">
    <w:name w:val="toc 2"/>
    <w:basedOn w:val="660"/>
    <w:next w:val="660"/>
    <w:uiPriority w:val="39"/>
    <w:unhideWhenUsed/>
    <w:qFormat/>
    <w:pPr>
      <w:ind w:left="283" w:right="0" w:firstLine="0"/>
      <w:spacing w:after="57"/>
    </w:pPr>
  </w:style>
  <w:style w:type="paragraph" w:styleId="690">
    <w:name w:val="toc 9"/>
    <w:basedOn w:val="660"/>
    <w:next w:val="660"/>
    <w:uiPriority w:val="39"/>
    <w:unhideWhenUsed/>
    <w:qFormat/>
    <w:pPr>
      <w:ind w:left="2268" w:right="0" w:firstLine="0"/>
      <w:spacing w:after="57"/>
    </w:pPr>
  </w:style>
  <w:style w:type="paragraph" w:styleId="691">
    <w:name w:val="Body Text 2"/>
    <w:basedOn w:val="660"/>
    <w:uiPriority w:val="0"/>
    <w:qFormat/>
    <w:rPr>
      <w:rFonts w:ascii="仿宋_GB2312" w:eastAsia="仿宋_GB2312"/>
      <w:sz w:val="28"/>
    </w:rPr>
  </w:style>
  <w:style w:type="paragraph" w:styleId="692">
    <w:name w:val="Title"/>
    <w:basedOn w:val="660"/>
    <w:next w:val="660"/>
    <w:link w:val="709"/>
    <w:uiPriority w:val="10"/>
    <w:qFormat/>
    <w:pPr>
      <w:contextualSpacing/>
      <w:spacing w:before="300" w:after="200"/>
    </w:pPr>
    <w:rPr>
      <w:sz w:val="48"/>
      <w:szCs w:val="48"/>
    </w:rPr>
  </w:style>
  <w:style w:type="table" w:styleId="693">
    <w:name w:val="Table Grid"/>
    <w:basedOn w:val="671"/>
    <w:uiPriority w:val="0"/>
    <w:qFormat/>
    <w:rPr>
      <w:rFonts w:ascii="Calibri" w:hAnsi="Calibri" w:cs="Calibri"/>
      <w:sz w:val="21"/>
      <w:szCs w:val="22"/>
    </w:rPr>
    <w:tblPr>
      <w:tblCellMar>
        <w:left w:w="108" w:type="dxa"/>
        <w:top w:w="0" w:type="dxa"/>
        <w:right w:w="108" w:type="dxa"/>
        <w:bottom w:w="0" w:type="dxa"/>
      </w:tblCellMar>
    </w:tblPr>
  </w:style>
  <w:style w:type="character" w:styleId="694">
    <w:name w:val="endnote reference"/>
    <w:basedOn w:val="670"/>
    <w:uiPriority w:val="99"/>
    <w:semiHidden/>
    <w:unhideWhenUsed/>
    <w:qFormat/>
    <w:rPr>
      <w:vertAlign w:val="superscript"/>
    </w:rPr>
  </w:style>
  <w:style w:type="character" w:styleId="695">
    <w:name w:val="page number"/>
    <w:uiPriority w:val="0"/>
    <w:qFormat/>
  </w:style>
  <w:style w:type="character" w:styleId="696">
    <w:name w:val="Hyperlink"/>
    <w:uiPriority w:val="99"/>
    <w:unhideWhenUsed/>
    <w:qFormat/>
    <w:rPr>
      <w:color w:val="0026e5" w:themeColor="hyperlink"/>
      <w:u w:val="single"/>
    </w:rPr>
  </w:style>
  <w:style w:type="character" w:styleId="697">
    <w:name w:val="footnote reference"/>
    <w:basedOn w:val="670"/>
    <w:uiPriority w:val="99"/>
    <w:unhideWhenUsed/>
    <w:qFormat/>
    <w:rPr>
      <w:vertAlign w:val="superscript"/>
    </w:rPr>
  </w:style>
  <w:style w:type="character" w:styleId="698" w:customStyle="1">
    <w:name w:val="Heading 1 Char"/>
    <w:basedOn w:val="670"/>
    <w:link w:val="661"/>
    <w:uiPriority w:val="9"/>
    <w:qFormat/>
    <w:rPr>
      <w:rFonts w:ascii="Arial" w:hAnsi="Arial" w:eastAsia="Arial" w:cs="Arial"/>
      <w:sz w:val="40"/>
      <w:szCs w:val="40"/>
    </w:rPr>
  </w:style>
  <w:style w:type="character" w:styleId="699" w:customStyle="1">
    <w:name w:val="Heading 2 Char"/>
    <w:basedOn w:val="670"/>
    <w:link w:val="662"/>
    <w:uiPriority w:val="9"/>
    <w:qFormat/>
    <w:rPr>
      <w:rFonts w:ascii="Arial" w:hAnsi="Arial" w:eastAsia="Arial" w:cs="Arial"/>
      <w:sz w:val="34"/>
    </w:rPr>
  </w:style>
  <w:style w:type="character" w:styleId="700" w:customStyle="1">
    <w:name w:val="Heading 3 Char"/>
    <w:basedOn w:val="670"/>
    <w:link w:val="663"/>
    <w:uiPriority w:val="9"/>
    <w:qFormat/>
    <w:rPr>
      <w:rFonts w:ascii="Arial" w:hAnsi="Arial" w:eastAsia="Arial" w:cs="Arial"/>
      <w:sz w:val="30"/>
      <w:szCs w:val="30"/>
    </w:rPr>
  </w:style>
  <w:style w:type="character" w:styleId="701" w:customStyle="1">
    <w:name w:val="Heading 4 Char"/>
    <w:basedOn w:val="670"/>
    <w:link w:val="664"/>
    <w:uiPriority w:val="9"/>
    <w:qFormat/>
    <w:rPr>
      <w:rFonts w:ascii="Arial" w:hAnsi="Arial" w:eastAsia="Arial" w:cs="Arial"/>
      <w:b/>
      <w:bCs/>
      <w:sz w:val="26"/>
      <w:szCs w:val="26"/>
    </w:rPr>
  </w:style>
  <w:style w:type="character" w:styleId="702" w:customStyle="1">
    <w:name w:val="Heading 5 Char"/>
    <w:basedOn w:val="670"/>
    <w:link w:val="665"/>
    <w:uiPriority w:val="9"/>
    <w:qFormat/>
    <w:rPr>
      <w:rFonts w:ascii="Arial" w:hAnsi="Arial" w:eastAsia="Arial" w:cs="Arial"/>
      <w:b/>
      <w:bCs/>
      <w:sz w:val="24"/>
      <w:szCs w:val="24"/>
    </w:rPr>
  </w:style>
  <w:style w:type="character" w:styleId="703" w:customStyle="1">
    <w:name w:val="Heading 6 Char"/>
    <w:basedOn w:val="670"/>
    <w:link w:val="666"/>
    <w:uiPriority w:val="9"/>
    <w:qFormat/>
    <w:rPr>
      <w:rFonts w:ascii="Arial" w:hAnsi="Arial" w:eastAsia="Arial" w:cs="Arial"/>
      <w:b/>
      <w:bCs/>
      <w:sz w:val="22"/>
      <w:szCs w:val="22"/>
    </w:rPr>
  </w:style>
  <w:style w:type="character" w:styleId="704" w:customStyle="1">
    <w:name w:val="Heading 7 Char"/>
    <w:basedOn w:val="670"/>
    <w:link w:val="667"/>
    <w:uiPriority w:val="9"/>
    <w:qFormat/>
    <w:rPr>
      <w:rFonts w:ascii="Arial" w:hAnsi="Arial" w:eastAsia="Arial" w:cs="Arial"/>
      <w:b/>
      <w:bCs/>
      <w:i/>
      <w:iCs/>
      <w:sz w:val="22"/>
      <w:szCs w:val="22"/>
    </w:rPr>
  </w:style>
  <w:style w:type="character" w:styleId="705" w:customStyle="1">
    <w:name w:val="Heading 8 Char"/>
    <w:basedOn w:val="670"/>
    <w:link w:val="668"/>
    <w:uiPriority w:val="9"/>
    <w:qFormat/>
    <w:rPr>
      <w:rFonts w:ascii="Arial" w:hAnsi="Arial" w:eastAsia="Arial" w:cs="Arial"/>
      <w:i/>
      <w:iCs/>
      <w:sz w:val="22"/>
      <w:szCs w:val="22"/>
    </w:rPr>
  </w:style>
  <w:style w:type="character" w:styleId="706" w:customStyle="1">
    <w:name w:val="Heading 9 Char"/>
    <w:basedOn w:val="670"/>
    <w:link w:val="669"/>
    <w:uiPriority w:val="9"/>
    <w:qFormat/>
    <w:rPr>
      <w:rFonts w:ascii="Arial" w:hAnsi="Arial" w:eastAsia="Arial" w:cs="Arial"/>
      <w:i/>
      <w:iCs/>
      <w:sz w:val="21"/>
      <w:szCs w:val="21"/>
    </w:rPr>
  </w:style>
  <w:style w:type="paragraph" w:styleId="707">
    <w:name w:val="List Paragraph"/>
    <w:basedOn w:val="660"/>
    <w:uiPriority w:val="34"/>
    <w:qFormat/>
    <w:pPr>
      <w:contextualSpacing/>
      <w:ind w:left="720"/>
    </w:pPr>
  </w:style>
  <w:style w:type="paragraph" w:styleId="708">
    <w:name w:val="No Spacing"/>
    <w:uiPriority w:val="1"/>
    <w:qFormat/>
    <w:pPr>
      <w:spacing w:before="0" w:after="0" w:line="240" w:lineRule="auto"/>
    </w:pPr>
    <w:rPr>
      <w:rFonts w:hint="default" w:asciiTheme="minorHAnsi" w:hAnsiTheme="minorHAnsi" w:eastAsiaTheme="minorEastAsia" w:cstheme="minorBidi"/>
    </w:rPr>
  </w:style>
  <w:style w:type="character" w:styleId="709" w:customStyle="1">
    <w:name w:val="Title Char"/>
    <w:basedOn w:val="670"/>
    <w:link w:val="692"/>
    <w:uiPriority w:val="10"/>
    <w:qFormat/>
    <w:rPr>
      <w:sz w:val="48"/>
      <w:szCs w:val="48"/>
    </w:rPr>
  </w:style>
  <w:style w:type="character" w:styleId="710" w:customStyle="1">
    <w:name w:val="Subtitle Char"/>
    <w:basedOn w:val="670"/>
    <w:link w:val="685"/>
    <w:uiPriority w:val="11"/>
    <w:qFormat/>
    <w:rPr>
      <w:sz w:val="24"/>
      <w:szCs w:val="24"/>
    </w:rPr>
  </w:style>
  <w:style w:type="paragraph" w:styleId="711">
    <w:name w:val="Quote"/>
    <w:basedOn w:val="660"/>
    <w:next w:val="660"/>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60"/>
    <w:next w:val="660"/>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basedOn w:val="670"/>
    <w:link w:val="682"/>
    <w:uiPriority w:val="99"/>
    <w:qFormat/>
  </w:style>
  <w:style w:type="character" w:styleId="716" w:customStyle="1">
    <w:name w:val="Footer Char"/>
    <w:basedOn w:val="670"/>
    <w:uiPriority w:val="99"/>
    <w:qFormat/>
  </w:style>
  <w:style w:type="character" w:styleId="717" w:customStyle="1">
    <w:name w:val="Caption Char"/>
    <w:uiPriority w:val="99"/>
    <w:qFormat/>
  </w:style>
  <w:style w:type="table" w:styleId="718"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8"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7" w:customStyle="1">
    <w:name w:val="Grid Table 4 - Accent 2"/>
    <w:basedOn w:val="6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8" w:customStyle="1">
    <w:name w:val="Grid Table 4 - Accent 3"/>
    <w:basedOn w:val="6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9" w:customStyle="1">
    <w:name w:val="Grid Table 4 - Accent 4"/>
    <w:basedOn w:val="6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0" w:customStyle="1">
    <w:name w:val="Grid Table 4 - Accent 5"/>
    <w:basedOn w:val="6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1" w:customStyle="1">
    <w:name w:val="Grid Table 4 - Accent 6"/>
    <w:basedOn w:val="6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2"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4"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5"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6"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7"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8"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9"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0" w:customStyle="1">
    <w:name w:val="Grid Table 6 Colorful - Accent 1"/>
    <w:basedOn w:val="6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761" w:customStyle="1">
    <w:name w:val="Grid Table 6 Colorful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762" w:customStyle="1">
    <w:name w:val="Grid Table 6 Colorful - Accent 3"/>
    <w:basedOn w:val="6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1b901" w:themeColor="accent3" w:themeTint="FF"/>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1b901" w:themeColor="accent3" w:themeTint="FF"/>
        <w:sz w:val="22"/>
      </w:rPr>
    </w:tblStylePr>
    <w:tblStylePr w:type="firstCol">
      <w:rPr>
        <w:b/>
        <w:color w:val="f1b901" w:themeColor="accent3" w:themeTint="FF"/>
      </w:rPr>
    </w:tblStylePr>
    <w:tblStylePr w:type="firstRow">
      <w:rPr>
        <w:b/>
        <w:color w:val="f1b901" w:themeColor="accent3" w:themeTint="FF"/>
      </w:rPr>
      <w:tcPr>
        <w:tcBorders>
          <w:bottom w:val="single" w:color="F3BA02" w:themeColor="accent3" w:themeTint="FE" w:sz="12" w:space="0"/>
        </w:tcBorders>
      </w:tcPr>
    </w:tblStylePr>
    <w:tblStylePr w:type="lastCol">
      <w:rPr>
        <w:b/>
        <w:color w:val="f1b901" w:themeColor="accent3" w:themeTint="FF"/>
      </w:rPr>
    </w:tblStylePr>
    <w:tblStylePr w:type="lastRow">
      <w:rPr>
        <w:b/>
        <w:color w:val="f1b901" w:themeColor="accent3" w:themeTint="FF"/>
      </w:rPr>
    </w:tblStylePr>
  </w:style>
  <w:style w:type="table" w:styleId="763" w:customStyle="1">
    <w:name w:val="Grid Table 6 Colorful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764" w:customStyle="1">
    <w:name w:val="Grid Table 6 Colorful - Accent 5"/>
    <w:basedOn w:val="6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765" w:customStyle="1">
    <w:name w:val="Grid Table 6 Colorful - Accent 6"/>
    <w:basedOn w:val="6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766"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1b901" w:themeColor="accent3" w:themeTint="FF"/>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1b901" w:themeColor="accent3" w:themeTint="FF"/>
        <w:sz w:val="22"/>
      </w:rPr>
    </w:tblStylePr>
    <w:tblStylePr w:type="firstCol">
      <w:rPr>
        <w:rFonts w:ascii="Arial" w:hAnsi="Arial"/>
        <w:i/>
        <w:color w:val="f1b901" w:themeColor="accent3" w:themeTint="FF"/>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1b901" w:themeColor="accent3" w:themeTint="FF"/>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1b901" w:themeColor="accent3" w:themeTint="FF"/>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1b901" w:themeColor="accent3" w:themeTint="FF"/>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0"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2" w:customStyle="1">
    <w:name w:val="List Table 2 - Accent 2"/>
    <w:basedOn w:val="6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3" w:customStyle="1">
    <w:name w:val="List Table 2 - Accent 3"/>
    <w:basedOn w:val="6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4" w:customStyle="1">
    <w:name w:val="List Table 2 - Accent 4"/>
    <w:basedOn w:val="6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5" w:customStyle="1">
    <w:name w:val="List Table 2 - Accent 5"/>
    <w:basedOn w:val="6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6" w:customStyle="1">
    <w:name w:val="List Table 2 - Accent 6"/>
    <w:basedOn w:val="6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7"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9" w:customStyle="1">
    <w:name w:val="List Table 3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4"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6" w:customStyle="1">
    <w:name w:val="List Table 4 - Accent 2"/>
    <w:basedOn w:val="6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7" w:customStyle="1">
    <w:name w:val="List Table 4 - Accent 3"/>
    <w:basedOn w:val="6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8" w:customStyle="1">
    <w:name w:val="List Table 4 - Accent 4"/>
    <w:basedOn w:val="6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9" w:customStyle="1">
    <w:name w:val="List Table 4 - Accent 5"/>
    <w:basedOn w:val="6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0" w:customStyle="1">
    <w:name w:val="List Table 4 - Accent 6"/>
    <w:basedOn w:val="6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1"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2" w:customStyle="1">
    <w:name w:val="List Table 5 Dark - Accent 1"/>
    <w:basedOn w:val="6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03" w:customStyle="1">
    <w:name w:val="List Table 5 Dark - Accent 2"/>
    <w:basedOn w:val="6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804" w:customStyle="1">
    <w:name w:val="List Table 5 Dark - Accent 3"/>
    <w:basedOn w:val="6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805" w:customStyle="1">
    <w:name w:val="List Table 5 Dark - Accent 4"/>
    <w:basedOn w:val="6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06" w:customStyle="1">
    <w:name w:val="List Table 5 Dark - Accent 5"/>
    <w:basedOn w:val="6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807" w:customStyle="1">
    <w:name w:val="List Table 5 Dark - Accent 6"/>
    <w:basedOn w:val="6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808"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9" w:customStyle="1">
    <w:name w:val="List Table 6 Colorful - Accent 1"/>
    <w:basedOn w:val="6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0" w:customStyle="1">
    <w:name w:val="List Table 6 Colorful - Accent 2"/>
    <w:basedOn w:val="67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811" w:customStyle="1">
    <w:name w:val="List Table 6 Colorful - Accent 3"/>
    <w:basedOn w:val="6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812" w:customStyle="1">
    <w:name w:val="List Table 6 Colorful - Accent 4"/>
    <w:basedOn w:val="6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813" w:customStyle="1">
    <w:name w:val="List Table 6 Colorful - Accent 5"/>
    <w:basedOn w:val="6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814" w:customStyle="1">
    <w:name w:val="List Table 6 Colorful - Accent 6"/>
    <w:basedOn w:val="6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815"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71"/>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71"/>
    <w:uiPriority w:val="99"/>
    <w:qFormat/>
    <w:pPr>
      <w:spacing w:after="0" w:line="240" w:lineRule="auto"/>
    </w:pPr>
    <w:tblPr>
      <w:tblBorders>
        <w:right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71"/>
    <w:uiPriority w:val="99"/>
    <w:qFormat/>
    <w:pPr>
      <w:spacing w:after="0" w:line="240" w:lineRule="auto"/>
    </w:pPr>
    <w:tblPr>
      <w:tblBorders>
        <w:right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71"/>
    <w:uiPriority w:val="99"/>
    <w:pPr>
      <w:spacing w:after="0" w:line="240" w:lineRule="auto"/>
    </w:pPr>
    <w:tblPr>
      <w:tblBorders>
        <w:right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71"/>
    <w:uiPriority w:val="99"/>
    <w:qFormat/>
    <w:pPr>
      <w:spacing w:after="0" w:line="240" w:lineRule="auto"/>
    </w:pPr>
    <w:tblPr>
      <w:tblBorders>
        <w:right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71"/>
    <w:uiPriority w:val="99"/>
    <w:qFormat/>
    <w:pPr>
      <w:spacing w:after="0" w:line="240" w:lineRule="auto"/>
    </w:pPr>
    <w:tblPr>
      <w:tblBorders>
        <w:right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4"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5" w:customStyle="1">
    <w:name w:val="Lined - Accent 3"/>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6" w:customStyle="1">
    <w:name w:val="Lined - Accent 4"/>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7"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8"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9"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1" w:customStyle="1">
    <w:name w:val="Bordered &amp; Lined - Accent 2"/>
    <w:basedOn w:val="671"/>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2" w:customStyle="1">
    <w:name w:val="Bordered &amp; Lined - Accent 3"/>
    <w:basedOn w:val="671"/>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3" w:customStyle="1">
    <w:name w:val="Bordered &amp; Lined - Accent 4"/>
    <w:basedOn w:val="671"/>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4" w:customStyle="1">
    <w:name w:val="Bordered &amp; Lined - Accent 5"/>
    <w:basedOn w:val="6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5" w:customStyle="1">
    <w:name w:val="Bordered &amp; Lined - Accent 6"/>
    <w:basedOn w:val="671"/>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6" w:customStyle="1">
    <w:name w:val="Bordered"/>
    <w:basedOn w:val="67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8" w:customStyle="1">
    <w:name w:val="Bordered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9" w:customStyle="1">
    <w:name w:val="Bordered - Accent 3"/>
    <w:basedOn w:val="67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0" w:customStyle="1">
    <w:name w:val="Bordered - Accent 4"/>
    <w:basedOn w:val="671"/>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1" w:customStyle="1">
    <w:name w:val="Bordered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2" w:customStyle="1">
    <w:name w:val="Bordered - Accent 6"/>
    <w:basedOn w:val="671"/>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3" w:customStyle="1">
    <w:name w:val="Footnote Text Char"/>
    <w:link w:val="686"/>
    <w:uiPriority w:val="99"/>
    <w:rPr>
      <w:sz w:val="18"/>
    </w:rPr>
  </w:style>
  <w:style w:type="character" w:styleId="844" w:customStyle="1">
    <w:name w:val="Endnote Text Char"/>
    <w:link w:val="680"/>
    <w:uiPriority w:val="99"/>
    <w:rPr>
      <w:sz w:val="20"/>
    </w:rPr>
  </w:style>
  <w:style w:type="paragraph" w:styleId="845" w:customStyle="1">
    <w:name w:val="TOC Heading"/>
    <w:uiPriority w:val="39"/>
    <w:unhideWhenUsed/>
    <w:rPr>
      <w:rFonts w:hint="default" w:asciiTheme="minorHAnsi" w:hAnsiTheme="minorHAnsi" w:eastAsiaTheme="minorEastAsia" w:cstheme="minorBidi"/>
    </w:rPr>
  </w:style>
  <w:style w:type="paragraph" w:styleId="846" w:customStyle="1">
    <w:name w:val="正文首行缩进 211"/>
    <w:basedOn w:val="847"/>
    <w:uiPriority w:val="0"/>
    <w:qFormat/>
    <w:pPr>
      <w:ind w:firstLine="420"/>
    </w:pPr>
  </w:style>
  <w:style w:type="paragraph" w:styleId="847" w:customStyle="1">
    <w:name w:val="正文文本缩进11"/>
    <w:basedOn w:val="660"/>
    <w:uiPriority w:val="0"/>
    <w:qFormat/>
    <w:pPr>
      <w:ind w:left="420"/>
      <w:spacing w:after="120"/>
    </w:pPr>
  </w:style>
  <w:style w:type="paragraph" w:styleId="848" w:customStyle="1">
    <w:name w:val="Char Char Char Char Char Char Char Char Char Char Char Char Char"/>
    <w:basedOn w:val="660"/>
    <w:next w:val="660"/>
    <w:uiPriority w:val="0"/>
    <w:qFormat/>
    <w:pPr>
      <w:jc w:val="left"/>
      <w:spacing w:after="160" w:line="240" w:lineRule="exact"/>
      <w:widowControl/>
    </w:pPr>
    <w:rPr>
      <w:rFonts w:ascii="Verdana" w:hAnsi="Verdana"/>
      <w:sz w:val="20"/>
      <w:szCs w:val="20"/>
      <w:lang w:eastAsia="en-US"/>
    </w:rPr>
  </w:style>
  <w:style w:type="paragraph" w:styleId="849" w:customStyle="1">
    <w:name w:val="纯文本1"/>
    <w:basedOn w:val="660"/>
    <w:uiPriority w:val="0"/>
    <w:qFormat/>
    <w:rPr>
      <w:rFonts w:ascii="宋体" w:hAnsi="Courier New"/>
      <w:szCs w:val="20"/>
    </w:rPr>
  </w:style>
  <w:style w:type="paragraph" w:styleId="850" w:customStyle="1">
    <w:name w:val="普通正文"/>
    <w:basedOn w:val="660"/>
    <w:uiPriority w:val="0"/>
    <w:qFormat/>
    <w:pPr>
      <w:ind w:firstLine="480"/>
      <w:jc w:val="left"/>
      <w:spacing w:before="120" w:after="120" w:line="360" w:lineRule="auto"/>
    </w:pPr>
    <w:rPr>
      <w:rFonts w:ascii="Arial" w:hAnsi="Arial"/>
      <w:sz w:val="24"/>
    </w:rPr>
  </w:style>
  <w:style w:type="paragraph" w:styleId="851" w:customStyle="1">
    <w:name w:val="正文缩进1"/>
    <w:basedOn w:val="660"/>
    <w:uiPriority w:val="0"/>
    <w:qFormat/>
    <w:pPr>
      <w:ind w:firstLine="420"/>
    </w:pPr>
  </w:style>
  <w:style w:type="numbering" w:styleId="8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江苏永实工程项目管理有限公司</cp:lastModifiedBy>
  <cp:revision>8</cp:revision>
  <dcterms:created xsi:type="dcterms:W3CDTF">2026-05-29T03:39:00Z</dcterms:created>
  <dcterms:modified xsi:type="dcterms:W3CDTF">2026-07-02T03:22:37Z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1242AAE363B8404DA7D5BDEC8451F000_13</vt:lpwstr>
  </property>
  <property fmtid="{D5CDD505-2E9C-101B-9397-08002B2CF9AE}" pid="4" name="KSOTemplateDocerSaveRecord">
    <vt:lpwstr>eyJoZGlkIjoiYWM2ZjBiYjAxODczMTE3OGIyNjAxYjE3MjhhMzRhMzQiLCJ1c2VySWQiOiIxNzI3MDkzODkyIn0=</vt:lpwstr>
  </property>
</Properties>
</file>