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ind w:firstLine="0"/>
        <w:jc w:val="center"/>
        <w:rPr>
          <w:rFonts w:hint="eastAsia"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r>
      <w:r/>
    </w:p>
    <w:p>
      <w:pPr>
        <w:pStyle w:val="703"/>
        <w:ind w:firstLine="0"/>
        <w:jc w:val="center"/>
        <w:rPr>
          <w:rFonts w:hint="eastAsia"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r>
      <w:r/>
    </w:p>
    <w:p>
      <w:pPr>
        <w:pStyle w:val="703"/>
        <w:ind w:firstLine="0"/>
        <w:jc w:val="center"/>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 xml:space="preserve">如皋市政府采购竞争性谈判文件</w:t>
      </w:r>
      <w:r/>
    </w:p>
    <w:p>
      <w:pPr>
        <w:pStyle w:val="703"/>
        <w:ind w:firstLine="0"/>
        <w:jc w:val="center"/>
        <w:rPr>
          <w:rFonts w:ascii="方正小标宋简体" w:eastAsia="方正小标宋简体"/>
          <w:bCs/>
          <w:color w:val="auto"/>
          <w:sz w:val="44"/>
          <w:szCs w:val="44"/>
          <w:highlight w:val="none"/>
        </w:rPr>
      </w:pPr>
      <w:r>
        <w:rPr>
          <w:rFonts w:ascii="方正小标宋简体" w:eastAsia="方正小标宋简体"/>
          <w:bCs/>
          <w:color w:val="auto"/>
          <w:sz w:val="44"/>
          <w:szCs w:val="44"/>
          <w:highlight w:val="none"/>
        </w:rPr>
      </w:r>
      <w:r/>
    </w:p>
    <w:p>
      <w:pPr>
        <w:pStyle w:val="703"/>
        <w:jc w:val="center"/>
        <w:rPr>
          <w:b/>
          <w:bCs/>
          <w:color w:val="auto"/>
          <w:sz w:val="32"/>
          <w:highlight w:val="none"/>
        </w:rPr>
      </w:pPr>
      <w:r>
        <w:rPr>
          <w:b/>
          <w:bCs/>
          <w:color w:val="auto"/>
          <w:sz w:val="32"/>
          <w:highlight w:val="none"/>
        </w:rPr>
      </w:r>
      <w:r/>
    </w:p>
    <w:p>
      <w:pPr>
        <w:pStyle w:val="703"/>
        <w:jc w:val="center"/>
        <w:rPr>
          <w:rFonts w:hint="eastAsia" w:eastAsia="宋体"/>
          <w:b/>
          <w:bCs/>
          <w:color w:val="auto"/>
          <w:sz w:val="32"/>
          <w:highlight w:val="none"/>
          <w:u w:val="single"/>
          <w:lang w:val="en-US" w:eastAsia="zh-CN"/>
        </w:rPr>
      </w:pPr>
      <w:r>
        <w:rPr>
          <w:b/>
          <w:bCs/>
          <w:color w:val="auto"/>
          <w:sz w:val="32"/>
          <w:highlight w:val="none"/>
        </w:rPr>
        <w:t xml:space="preserve">项目名称：</w:t>
      </w:r>
      <w:r>
        <w:rPr>
          <w:rFonts w:hint="eastAsia"/>
          <w:b/>
          <w:bCs/>
          <w:color w:val="auto"/>
          <w:sz w:val="32"/>
          <w:highlight w:val="none"/>
          <w:u w:val="single"/>
          <w:lang w:val="en-US" w:eastAsia="zh-CN"/>
        </w:rPr>
        <w:t xml:space="preserve">东陈镇2026年度农村生态河道提升项目</w:t>
      </w:r>
      <w:r/>
    </w:p>
    <w:p>
      <w:pPr>
        <w:pStyle w:val="703"/>
        <w:jc w:val="center"/>
        <w:rPr>
          <w:rFonts w:hint="eastAsia" w:eastAsia="宋体"/>
          <w:b/>
          <w:bCs/>
          <w:color w:val="auto"/>
          <w:sz w:val="32"/>
          <w:highlight w:val="none"/>
          <w:u w:val="single"/>
          <w:lang w:val="en-US" w:eastAsia="zh-CN"/>
        </w:rPr>
      </w:pPr>
      <w:r>
        <w:rPr>
          <w:rFonts w:hint="eastAsia"/>
          <w:b/>
          <w:bCs/>
          <w:color w:val="auto"/>
          <w:sz w:val="32"/>
          <w:highlight w:val="none"/>
        </w:rPr>
        <w:t xml:space="preserve">项目编号：</w:t>
      </w:r>
      <w:r>
        <w:rPr>
          <w:rFonts w:hint="eastAsia"/>
          <w:b/>
          <w:bCs/>
          <w:color w:val="auto"/>
          <w:sz w:val="32"/>
          <w:highlight w:val="none"/>
          <w:u w:val="single"/>
          <w:lang w:val="en-US" w:eastAsia="zh-CN"/>
        </w:rPr>
        <w:t xml:space="preserve">JSZC-320682-NTZJ-T2026-0015</w:t>
      </w:r>
      <w:r/>
    </w:p>
    <w:p>
      <w:pPr>
        <w:pStyle w:val="703"/>
        <w:ind w:firstLine="0"/>
        <w:jc w:val="center"/>
        <w:rPr>
          <w:b/>
          <w:bCs/>
          <w:color w:val="auto"/>
          <w:sz w:val="32"/>
          <w:highlight w:val="none"/>
        </w:rPr>
      </w:pPr>
      <w:r>
        <w:rPr>
          <w:b/>
          <w:bCs/>
          <w:color w:val="auto"/>
          <w:sz w:val="32"/>
          <w:highlight w:val="none"/>
        </w:rPr>
      </w:r>
      <w:r/>
    </w:p>
    <w:p>
      <w:pPr>
        <w:pStyle w:val="703"/>
        <w:ind w:firstLine="0"/>
        <w:jc w:val="center"/>
        <w:rPr>
          <w:b/>
          <w:bCs/>
          <w:color w:val="auto"/>
          <w:sz w:val="32"/>
          <w:highlight w:val="none"/>
        </w:rPr>
      </w:pPr>
      <w:r>
        <w:rPr>
          <w:b/>
          <w:bCs/>
          <w:color w:val="auto"/>
          <w:sz w:val="32"/>
          <w:highlight w:val="none"/>
        </w:rPr>
      </w:r>
      <w:r/>
    </w:p>
    <w:p>
      <w:pPr>
        <w:pStyle w:val="703"/>
        <w:ind w:firstLine="0"/>
        <w:jc w:val="center"/>
        <w:rPr>
          <w:b/>
          <w:bCs/>
          <w:color w:val="auto"/>
          <w:sz w:val="32"/>
          <w:highlight w:val="none"/>
        </w:rPr>
      </w:pPr>
      <w:r>
        <w:rPr>
          <w:b/>
          <w:bCs/>
          <w:color w:val="auto"/>
          <w:sz w:val="32"/>
          <w:highlight w:val="none"/>
        </w:rPr>
      </w:r>
      <w:r/>
    </w:p>
    <w:p>
      <w:pPr>
        <w:pStyle w:val="703"/>
        <w:ind w:firstLine="0"/>
        <w:jc w:val="center"/>
        <w:rPr>
          <w:b/>
          <w:bCs/>
          <w:color w:val="auto"/>
          <w:sz w:val="32"/>
          <w:highlight w:val="none"/>
        </w:rPr>
      </w:pPr>
      <w:r>
        <w:rPr>
          <w:b/>
          <w:bCs/>
          <w:color w:val="auto"/>
          <w:sz w:val="32"/>
          <w:highlight w:val="none"/>
        </w:rPr>
      </w:r>
      <w:r/>
    </w:p>
    <w:p>
      <w:pPr>
        <w:pStyle w:val="703"/>
        <w:ind w:firstLine="0"/>
        <w:jc w:val="center"/>
        <w:rPr>
          <w:b/>
          <w:bCs/>
          <w:color w:val="auto"/>
          <w:sz w:val="32"/>
          <w:highlight w:val="none"/>
        </w:rPr>
      </w:pPr>
      <w:r>
        <w:rPr>
          <w:b/>
          <w:bCs/>
          <w:color w:val="auto"/>
          <w:sz w:val="32"/>
          <w:highlight w:val="none"/>
        </w:rPr>
      </w:r>
      <w:r/>
    </w:p>
    <w:p>
      <w:pPr>
        <w:pStyle w:val="703"/>
        <w:ind w:left="0" w:firstLine="964"/>
        <w:jc w:val="both"/>
        <w:rPr>
          <w:rFonts w:hint="default" w:eastAsia="宋体"/>
          <w:b/>
          <w:bCs/>
          <w:color w:val="auto"/>
          <w:sz w:val="32"/>
          <w:highlight w:val="none"/>
          <w:u w:val="single"/>
          <w:lang w:val="en-US" w:eastAsia="zh-CN"/>
        </w:rPr>
      </w:pPr>
      <w:r>
        <w:rPr>
          <w:rFonts w:hint="eastAsia"/>
          <w:b/>
          <w:bCs/>
          <w:color w:val="auto"/>
          <w:sz w:val="32"/>
          <w:highlight w:val="none"/>
        </w:rPr>
        <w:t xml:space="preserve">采购人名称：</w:t>
      </w:r>
      <w:r>
        <w:rPr>
          <w:rFonts w:hint="eastAsia"/>
          <w:b/>
          <w:bCs/>
          <w:color w:val="auto"/>
          <w:sz w:val="32"/>
          <w:highlight w:val="none"/>
          <w:u w:val="single"/>
          <w:lang w:val="en-US" w:eastAsia="zh-CN"/>
        </w:rPr>
        <w:t xml:space="preserve">如皋市东陈镇人民政府 </w:t>
      </w:r>
      <w:r/>
    </w:p>
    <w:p>
      <w:pPr>
        <w:pStyle w:val="703"/>
        <w:ind w:left="0" w:firstLine="0"/>
        <w:jc w:val="center"/>
        <w:rPr>
          <w:rFonts w:hint="default" w:eastAsia="宋体"/>
          <w:b/>
          <w:bCs/>
          <w:color w:val="auto"/>
          <w:sz w:val="32"/>
          <w:highlight w:val="none"/>
          <w:u w:val="single"/>
          <w:lang w:val="en-US" w:eastAsia="zh-CN"/>
        </w:rPr>
      </w:pPr>
      <w:r>
        <w:rPr>
          <w:rFonts w:hint="eastAsia"/>
          <w:b/>
          <w:bCs/>
          <w:color w:val="auto"/>
          <w:sz w:val="32"/>
          <w:highlight w:val="none"/>
        </w:rPr>
        <w:t xml:space="preserve">采购代理机构名称：</w:t>
      </w:r>
      <w:r>
        <w:rPr>
          <w:rFonts w:hint="eastAsia"/>
          <w:b/>
          <w:bCs/>
          <w:color w:val="auto"/>
          <w:sz w:val="32"/>
          <w:highlight w:val="none"/>
          <w:u w:val="single"/>
          <w:lang w:val="en-US" w:eastAsia="zh-CN"/>
        </w:rPr>
        <w:t xml:space="preserve">南通中江工程项目管理有限公司 </w:t>
      </w:r>
      <w:r/>
    </w:p>
    <w:p>
      <w:pPr>
        <w:pStyle w:val="703"/>
        <w:ind w:firstLine="0"/>
        <w:jc w:val="center"/>
        <w:rPr>
          <w:rFonts w:hint="eastAsia"/>
          <w:b/>
          <w:bCs/>
          <w:color w:val="auto"/>
          <w:sz w:val="32"/>
          <w:highlight w:val="none"/>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06</w:t>
      </w:r>
      <w:r>
        <w:rPr>
          <w:rFonts w:hint="eastAsia"/>
          <w:b/>
          <w:bCs/>
          <w:color w:val="auto"/>
          <w:sz w:val="32"/>
          <w:highlight w:val="none"/>
        </w:rPr>
        <w:t xml:space="preserve">月</w:t>
      </w:r>
      <w:r>
        <w:rPr>
          <w:rFonts w:hint="eastAsia"/>
          <w:b/>
          <w:bCs/>
          <w:color w:val="auto"/>
          <w:sz w:val="32"/>
          <w:highlight w:val="none"/>
          <w:lang w:val="en-US" w:eastAsia="zh-CN"/>
        </w:rPr>
        <w:t xml:space="preserve">26</w:t>
      </w:r>
      <w:r>
        <w:rPr>
          <w:rFonts w:hint="eastAsia"/>
          <w:b/>
          <w:bCs/>
          <w:color w:val="auto"/>
          <w:sz w:val="32"/>
          <w:highlight w:val="none"/>
        </w:rPr>
        <w:t xml:space="preserve">日</w:t>
      </w:r>
      <w:r/>
    </w:p>
    <w:p>
      <w:pPr>
        <w:rPr>
          <w:rFonts w:hint="eastAsia"/>
          <w:b/>
          <w:bCs/>
          <w:color w:val="auto"/>
          <w:sz w:val="32"/>
          <w:highlight w:val="none"/>
        </w:rPr>
      </w:pPr>
      <w:r>
        <w:rPr>
          <w:rFonts w:hint="eastAsia"/>
          <w:b/>
          <w:bCs/>
          <w:color w:val="auto"/>
          <w:sz w:val="32"/>
          <w:highlight w:val="none"/>
        </w:rPr>
        <w:br w:type="page" w:clear="all"/>
      </w:r>
      <w:r/>
    </w:p>
    <w:sdt>
      <w:sdtPr>
        <w15:appearance w15:val="boundingBox"/>
        <w15:color w:val="dbdbdb"/>
        <w:id w:val="147459263"/>
        <w:docPartObj>
          <w:docPartGallery w:val="Table of Contents"/>
          <w:docPartUnique w:val="true"/>
        </w:docPartObj>
        <w:rPr>
          <w:rFonts w:ascii="宋体" w:hAnsi="宋体" w:eastAsia="宋体" w:cs="Times New Roman"/>
          <w:color w:val="auto"/>
          <w:sz w:val="24"/>
          <w:szCs w:val="32"/>
          <w:highlight w:val="none"/>
          <w:lang w:val="en-US" w:eastAsia="zh-CN" w:bidi="ar-SA"/>
        </w:rPr>
      </w:sdtPr>
      <w:sdtContent>
        <w:p>
          <w:pPr>
            <w:ind w:left="0" w:right="0" w:firstLine="0"/>
            <w:jc w:val="center"/>
            <w:keepLines w:val="0"/>
            <w:keepNext w:val="0"/>
            <w:pageBreakBefore w:val="0"/>
            <w:spacing w:before="0" w:after="0" w:line="360" w:lineRule="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目录</w:t>
          </w:r>
          <w:r/>
        </w:p>
        <w:p>
          <w:pPr>
            <w:pStyle w:val="681"/>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rPr>
              <w:rFonts w:hint="eastAsia" w:ascii="黑体" w:hAnsi="黑体" w:eastAsia="黑体" w:cs="黑体"/>
              <w:color w:val="auto"/>
              <w:sz w:val="24"/>
              <w:szCs w:val="24"/>
              <w:highlight w:val="none"/>
            </w:rPr>
            <w:instrText xml:space="preserve">TOC \o "1-2" \h \u </w:instrText>
          </w:r>
          <w:r>
            <w:rPr>
              <w:rFonts w:hint="eastAsia" w:ascii="黑体" w:hAnsi="黑体" w:eastAsia="黑体" w:cs="黑体"/>
              <w:color w:val="auto"/>
              <w:sz w:val="24"/>
              <w:szCs w:val="24"/>
              <w:highlight w:val="none"/>
            </w:rPr>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_Toc9648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第1章 竞争性谈判公告</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_Toc9648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_Toc21876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一、项目基本情况</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_Toc21876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_Toc18518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二、响应人的资格要求：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_Toc18518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_Toc7827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三、获取竞争性谈判文件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_Toc7827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_Toc11998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四、竞争性谈判响应文件提交和开启</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_Toc11998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_Toc9699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五、公告期限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_Toc9699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_Toc26195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六、其他补充事宜</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_Toc26195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_Toc7414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七、凡对本次采购提出询问，请按以下方式联系。</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_Toc7414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1"/>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_Toc6119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第2章 谈判须知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_Toc6119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_Toc30326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 参加谈判费用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_Toc30326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_Toc10454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 谈判文件的约束力</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_Toc10454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_Toc13056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3.响应文件编制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_Toc13056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_Toc20048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4.响应文件提交、撤回和修改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_Toc20048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_Toc13801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 谈判</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_Toc13801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_Toc23986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6.成交和合同</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_Toc23986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9</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_Toc26890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7.政府采购政策功能落实</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_Toc26890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10</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_Toc9116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8.无效响应和谈判活动终止</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_Toc9116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18</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_Toc28675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9. 询问、质疑和投诉</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_Toc28675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19</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_Toc8360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10. 政府采购合同信用融资扶持政策</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_Toc8360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1"/>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_Toc28318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第3章 采购需求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_Toc28318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_Toc16578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一、项目简介</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_Toc16578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_Toc17201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二、采购内容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_Toc17201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_Toc2687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三、技术要求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_Toc2687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_Toc23862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四、质量标准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_Toc23862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_Toc28126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五、</w:t>
          </w:r>
          <w:r>
            <w:rPr>
              <w:rFonts w:hint="eastAsia" w:ascii="黑体" w:hAnsi="黑体" w:eastAsia="黑体" w:cs="黑体"/>
              <w:color w:val="auto"/>
              <w:sz w:val="24"/>
              <w:szCs w:val="24"/>
              <w:highlight w:val="none"/>
              <w:lang w:val="en-US" w:eastAsia="zh-CN"/>
            </w:rPr>
            <w:t xml:space="preserve">工期</w:t>
          </w:r>
          <w:r>
            <w:rPr>
              <w:rFonts w:hint="eastAsia" w:ascii="黑体" w:hAnsi="黑体" w:eastAsia="黑体" w:cs="黑体"/>
              <w:color w:val="auto"/>
              <w:sz w:val="24"/>
              <w:szCs w:val="24"/>
              <w:highlight w:val="none"/>
            </w:rPr>
            <w:t xml:space="preserve">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_Toc28126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_Toc22894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六、验收方案</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_Toc22894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_Toc22102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七、</w:t>
          </w:r>
          <w:r>
            <w:rPr>
              <w:rFonts w:hint="eastAsia" w:ascii="黑体" w:hAnsi="黑体" w:eastAsia="黑体" w:cs="黑体"/>
              <w:color w:val="auto"/>
              <w:sz w:val="24"/>
              <w:szCs w:val="24"/>
              <w:highlight w:val="none"/>
              <w:lang w:val="en-US" w:eastAsia="zh-CN"/>
            </w:rPr>
            <w:t xml:space="preserve">缺陷责任期</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_Toc22102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28</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_Toc6214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八、 </w:t>
          </w:r>
          <w:r>
            <w:rPr>
              <w:rFonts w:hint="eastAsia" w:ascii="黑体" w:hAnsi="黑体" w:eastAsia="黑体" w:cs="黑体"/>
              <w:color w:val="auto"/>
              <w:sz w:val="24"/>
              <w:szCs w:val="24"/>
              <w:highlight w:val="none"/>
            </w:rPr>
            <w:t xml:space="preserve">付款方式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_Toc6214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28</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_Toc551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lang w:val="en-US" w:eastAsia="zh-CN"/>
            </w:rPr>
            <w:t xml:space="preserve">九</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eastAsia="zh-CN"/>
            </w:rPr>
            <w:t xml:space="preserve">谈判</w:t>
          </w:r>
          <w:r>
            <w:rPr>
              <w:rFonts w:hint="eastAsia" w:ascii="黑体" w:hAnsi="黑体" w:eastAsia="黑体" w:cs="黑体"/>
              <w:color w:val="auto"/>
              <w:sz w:val="24"/>
              <w:szCs w:val="24"/>
              <w:highlight w:val="none"/>
            </w:rPr>
            <w:t xml:space="preserve">过程中可能会实质性变动的内容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_Toc551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28</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_Toc26725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lang w:val="en-US" w:eastAsia="zh-CN"/>
            </w:rPr>
            <w:t xml:space="preserve">十</w:t>
          </w:r>
          <w:r>
            <w:rPr>
              <w:rFonts w:hint="eastAsia" w:ascii="黑体" w:hAnsi="黑体" w:eastAsia="黑体" w:cs="黑体"/>
              <w:color w:val="auto"/>
              <w:sz w:val="24"/>
              <w:szCs w:val="24"/>
              <w:highlight w:val="none"/>
            </w:rPr>
            <w:t xml:space="preserve">、安全文明施工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_Toc26725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28</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_Toc28986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lang w:val="en-US" w:eastAsia="zh-CN"/>
            </w:rPr>
            <w:t xml:space="preserve">十一</w:t>
          </w:r>
          <w:r>
            <w:rPr>
              <w:rFonts w:hint="eastAsia" w:ascii="黑体" w:hAnsi="黑体" w:eastAsia="黑体" w:cs="黑体"/>
              <w:color w:val="auto"/>
              <w:sz w:val="24"/>
              <w:szCs w:val="24"/>
              <w:highlight w:val="none"/>
            </w:rPr>
            <w:t xml:space="preserve">、结算方式及报价要求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_Toc28986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30</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_Toc28285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lang w:val="en-US" w:eastAsia="zh-CN"/>
            </w:rPr>
            <w:t xml:space="preserve">十二</w:t>
          </w:r>
          <w:r>
            <w:rPr>
              <w:rFonts w:hint="eastAsia" w:ascii="黑体" w:hAnsi="黑体" w:eastAsia="黑体" w:cs="黑体"/>
              <w:color w:val="auto"/>
              <w:sz w:val="24"/>
              <w:szCs w:val="24"/>
              <w:highlight w:val="none"/>
            </w:rPr>
            <w:t xml:space="preserve">、其他要求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_Toc28285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1"/>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_Toc4129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第4章 合同文本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_Toc4129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1"/>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_Toc31962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第5章 竞争性谈判响应文件组成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_Toc31962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39</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_Toc10228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一、资格证明文件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_Toc10228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40</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_Toc24648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二、商务技术</w:t>
          </w:r>
          <w:r>
            <w:rPr>
              <w:rFonts w:hint="eastAsia" w:ascii="黑体" w:hAnsi="黑体" w:eastAsia="黑体" w:cs="黑体"/>
              <w:bCs/>
              <w:color w:val="auto"/>
              <w:sz w:val="24"/>
              <w:szCs w:val="24"/>
              <w:highlight w:val="none"/>
            </w:rPr>
            <w:t xml:space="preserve">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_Toc24648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49</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684"/>
            <w:keepLines w:val="0"/>
            <w:keepNext w:val="0"/>
            <w:pageBreakBefore w:val="0"/>
            <w:spacing w:line="500" w:lineRule="exact"/>
            <w:widowControl w:val="off"/>
            <w:tabs>
              <w:tab w:val="right" w:pos="9354" w:leader="dot"/>
            </w:tabs>
            <w:rPr>
              <w:color w:val="auto"/>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_Toc5446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三、</w:t>
          </w:r>
          <w:r>
            <w:rPr>
              <w:rFonts w:hint="eastAsia" w:ascii="黑体" w:hAnsi="黑体" w:eastAsia="黑体" w:cs="黑体"/>
              <w:bCs/>
              <w:color w:val="auto"/>
              <w:sz w:val="24"/>
              <w:szCs w:val="24"/>
              <w:highlight w:val="none"/>
            </w:rPr>
            <w:t xml:space="preserve">报价文件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_Toc5446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r>
            <w:rPr>
              <w:rFonts w:hint="eastAsia" w:ascii="黑体" w:hAnsi="黑体" w:eastAsia="黑体" w:cs="黑体"/>
              <w:color w:val="auto"/>
              <w:szCs w:val="24"/>
              <w:highlight w:val="none"/>
            </w:rPr>
            <w:fldChar w:fldCharType="end"/>
          </w:r>
          <w:r/>
          <w:r>
            <w:rPr>
              <w:color w:val="auto"/>
              <w:highlight w:val="none"/>
            </w:rPr>
          </w:r>
        </w:p>
      </w:sdtContent>
    </w:sdt>
    <w:p>
      <w:pPr>
        <w:rPr>
          <w:color w:val="auto"/>
          <w:highlight w:val="none"/>
        </w:rPr>
      </w:pPr>
      <w:r>
        <w:rPr>
          <w:color w:val="auto"/>
          <w:highlight w:val="none"/>
        </w:rPr>
      </w:r>
      <w:r/>
    </w:p>
    <w:p>
      <w:pPr>
        <w:pStyle w:val="703"/>
        <w:ind w:firstLine="0"/>
        <w:jc w:val="center"/>
        <w:rPr>
          <w:rFonts w:hint="eastAsia" w:ascii="方正小标宋简体" w:eastAsia="方正小标宋简体"/>
          <w:bCs/>
          <w:color w:val="auto"/>
          <w:sz w:val="32"/>
          <w:szCs w:val="32"/>
          <w:highlight w:val="none"/>
        </w:rPr>
        <w:sectPr>
          <w:head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pPr>
      <w:r>
        <w:rPr>
          <w:rFonts w:hint="eastAsia" w:ascii="方正小标宋简体" w:eastAsia="方正小标宋简体"/>
          <w:bCs/>
          <w:color w:val="auto"/>
          <w:sz w:val="32"/>
          <w:szCs w:val="32"/>
          <w:highlight w:val="none"/>
        </w:rPr>
      </w:r>
      <w:r/>
    </w:p>
    <w:p>
      <w:pPr>
        <w:pStyle w:val="703"/>
        <w:ind w:firstLine="0"/>
        <w:jc w:val="center"/>
        <w:rPr>
          <w:rFonts w:ascii="方正小标宋简体" w:eastAsia="方正小标宋简体"/>
          <w:bCs/>
          <w:color w:val="auto"/>
          <w:sz w:val="32"/>
          <w:szCs w:val="32"/>
          <w:highlight w:val="none"/>
        </w:rPr>
        <w:outlineLvl w:val="0"/>
      </w:pPr>
      <w:r/>
      <w:bookmarkStart w:id="0" w:name="_Toc9648"/>
      <w:r>
        <w:rPr>
          <w:rFonts w:hint="eastAsia" w:ascii="方正小标宋简体" w:eastAsia="方正小标宋简体"/>
          <w:bCs/>
          <w:color w:val="auto"/>
          <w:sz w:val="32"/>
          <w:szCs w:val="32"/>
          <w:highlight w:val="none"/>
        </w:rPr>
        <w:t xml:space="preserve">第1章 竞争性谈判公告</w:t>
      </w:r>
      <w:bookmarkEnd w:id="0"/>
      <w:r/>
      <w:r/>
    </w:p>
    <w:p>
      <w:pPr>
        <w:pStyle w:val="677"/>
        <w:ind w:firstLine="560"/>
        <w:spacing w:after="0" w:line="500" w:lineRule="exact"/>
        <w:rPr>
          <w:rFonts w:ascii="黑体" w:hAnsi="黑体" w:eastAsia="黑体"/>
          <w:color w:val="auto"/>
          <w:sz w:val="28"/>
          <w:szCs w:val="28"/>
          <w:highlight w:val="none"/>
        </w:rPr>
        <w:outlineLvl w:val="1"/>
      </w:pPr>
      <w:r/>
      <w:bookmarkStart w:id="1" w:name="_Toc28359089"/>
      <w:r/>
      <w:bookmarkStart w:id="2" w:name="_Toc21876"/>
      <w:r/>
      <w:bookmarkStart w:id="3" w:name="_Toc35393798"/>
      <w:r/>
      <w:bookmarkStart w:id="4" w:name="_Toc35393629"/>
      <w:r/>
      <w:bookmarkStart w:id="5" w:name="_Toc28359012"/>
      <w:r/>
      <w:bookmarkStart w:id="6" w:name="OLE_LINK2"/>
      <w:r>
        <w:rPr>
          <w:rFonts w:hint="eastAsia" w:ascii="黑体" w:hAnsi="黑体" w:eastAsia="黑体"/>
          <w:color w:val="auto"/>
          <w:sz w:val="28"/>
          <w:szCs w:val="28"/>
          <w:highlight w:val="none"/>
        </w:rPr>
        <w:t xml:space="preserve">一、项目基本情况</w:t>
      </w:r>
      <w:bookmarkEnd w:id="1"/>
      <w:r/>
      <w:bookmarkEnd w:id="2"/>
      <w:r/>
      <w:bookmarkEnd w:id="3"/>
      <w:r/>
      <w:bookmarkEnd w:id="4"/>
      <w:r/>
      <w:bookmarkEnd w:id="5"/>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1.项目名称：</w:t>
      </w:r>
      <w:r>
        <w:rPr>
          <w:rFonts w:hint="eastAsia" w:ascii="仿宋" w:hAnsi="仿宋" w:eastAsia="仿宋"/>
          <w:color w:val="auto"/>
          <w:sz w:val="28"/>
          <w:szCs w:val="28"/>
          <w:highlight w:val="none"/>
          <w:lang w:val="en-US" w:eastAsia="zh-CN"/>
        </w:rPr>
        <w:t xml:space="preserve">东陈镇2026年度农村生态河道提升项目</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2.计划编号：</w:t>
      </w:r>
      <w:r>
        <w:rPr>
          <w:rFonts w:hint="eastAsia" w:ascii="仿宋" w:hAnsi="仿宋" w:eastAsia="仿宋"/>
          <w:color w:val="auto"/>
          <w:sz w:val="28"/>
          <w:szCs w:val="28"/>
          <w:highlight w:val="none"/>
          <w:lang w:val="en-US" w:eastAsia="zh-CN"/>
        </w:rPr>
        <w:t xml:space="preserve">JSZC-320682-NTZJ-T2026-0015</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3.预算金额：</w:t>
      </w:r>
      <w:r>
        <w:rPr>
          <w:rFonts w:hint="eastAsia" w:ascii="仿宋" w:hAnsi="仿宋" w:eastAsia="仿宋"/>
          <w:color w:val="auto"/>
          <w:sz w:val="28"/>
          <w:szCs w:val="28"/>
          <w:highlight w:val="none"/>
          <w:lang w:val="en-US" w:eastAsia="zh-CN"/>
        </w:rPr>
        <w:t xml:space="preserve">人民币112.76万元</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4.最高限价：</w:t>
      </w:r>
      <w:r>
        <w:rPr>
          <w:rFonts w:hint="eastAsia" w:ascii="仿宋" w:hAnsi="仿宋" w:eastAsia="仿宋"/>
          <w:color w:val="auto"/>
          <w:sz w:val="28"/>
          <w:szCs w:val="28"/>
          <w:highlight w:val="none"/>
          <w:lang w:val="en-US" w:eastAsia="zh-CN"/>
        </w:rPr>
        <w:t xml:space="preserve">人民币95.85万元，报价超过最高限价视为无效响应。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w:t>
      </w:r>
      <w:r>
        <w:rPr>
          <w:rFonts w:hint="eastAsia" w:ascii="仿宋" w:hAnsi="仿宋" w:eastAsia="仿宋"/>
          <w:color w:val="auto"/>
          <w:sz w:val="28"/>
          <w:szCs w:val="28"/>
          <w:highlight w:val="none"/>
          <w:lang w:val="en-US" w:eastAsia="zh-CN"/>
        </w:rPr>
        <w:t xml:space="preserve">本项目为东陈镇2026年度农村生态河道提升项目项目，</w:t>
      </w:r>
      <w:r>
        <w:rPr>
          <w:rFonts w:hint="eastAsia" w:ascii="仿宋" w:hAnsi="仿宋" w:eastAsia="仿宋"/>
          <w:color w:val="auto"/>
          <w:sz w:val="28"/>
          <w:szCs w:val="28"/>
          <w:highlight w:val="none"/>
        </w:rPr>
        <w:t xml:space="preserve">详见第</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章。</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6.合同履行期限：</w:t>
      </w:r>
      <w:r>
        <w:rPr>
          <w:rFonts w:hint="eastAsia" w:ascii="仿宋" w:hAnsi="仿宋" w:eastAsia="仿宋"/>
          <w:color w:val="auto"/>
          <w:sz w:val="28"/>
          <w:szCs w:val="24"/>
          <w:highlight w:val="none"/>
          <w:lang w:val="en-US" w:eastAsia="zh-CN"/>
        </w:rPr>
        <w:t xml:space="preserve">自合同签订之日起一个月内完工，具体时间以采购人通知为准。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7.本项目是否接受联合体：</w:t>
      </w:r>
      <w:r>
        <w:rPr>
          <w:rFonts w:hint="eastAsia" w:ascii="仿宋" w:hAnsi="仿宋" w:eastAsia="仿宋"/>
          <w:color w:val="auto"/>
          <w:sz w:val="28"/>
          <w:szCs w:val="28"/>
          <w:highlight w:val="none"/>
          <w:lang w:val="en-US" w:eastAsia="zh-CN"/>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.本项目是否专门面向中小企业采购：是。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.项目类型：工程。</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.项目所属行业：</w:t>
      </w:r>
      <w:r>
        <w:rPr>
          <w:rFonts w:ascii="仿宋" w:hAnsi="仿宋" w:eastAsia="仿宋"/>
          <w:color w:val="auto"/>
          <w:sz w:val="28"/>
          <w:szCs w:val="28"/>
          <w:highlight w:val="none"/>
        </w:rPr>
        <w:t xml:space="preserve">建筑业。</w:t>
      </w:r>
      <w:r/>
    </w:p>
    <w:p>
      <w:pPr>
        <w:pStyle w:val="677"/>
        <w:ind w:firstLine="560"/>
        <w:spacing w:after="0" w:line="500" w:lineRule="exact"/>
        <w:rPr>
          <w:rFonts w:ascii="黑体" w:hAnsi="黑体" w:eastAsia="黑体"/>
          <w:color w:val="auto"/>
          <w:sz w:val="28"/>
          <w:szCs w:val="28"/>
          <w:highlight w:val="none"/>
        </w:rPr>
        <w:outlineLvl w:val="1"/>
      </w:pPr>
      <w:r/>
      <w:bookmarkStart w:id="7" w:name="_Toc18518"/>
      <w:r/>
      <w:bookmarkStart w:id="8" w:name="_Toc28359090"/>
      <w:r/>
      <w:bookmarkStart w:id="9" w:name="_Toc35393630"/>
      <w:r/>
      <w:bookmarkStart w:id="10" w:name="_Toc35393799"/>
      <w:r/>
      <w:bookmarkStart w:id="11" w:name="_Toc28359013"/>
      <w:r>
        <w:rPr>
          <w:rFonts w:hint="eastAsia" w:ascii="黑体" w:hAnsi="黑体" w:eastAsia="黑体"/>
          <w:color w:val="auto"/>
          <w:sz w:val="28"/>
          <w:szCs w:val="28"/>
          <w:highlight w:val="none"/>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685"/>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12" w:name="_Toc28359014"/>
      <w:r/>
      <w:bookmarkStart w:id="13" w:name="_Toc28359091"/>
      <w:r>
        <w:rPr>
          <w:rFonts w:hint="eastAsia" w:ascii="仿宋" w:hAnsi="仿宋" w:eastAsia="仿宋" w:cs="Times New Roman"/>
          <w:color w:val="auto"/>
          <w:sz w:val="28"/>
          <w:szCs w:val="28"/>
          <w:highlight w:val="none"/>
        </w:rPr>
        <w:t xml:space="preserve">（1）具有独立承担民事责任的能力;</w:t>
      </w:r>
      <w:r/>
    </w:p>
    <w:p>
      <w:pPr>
        <w:pStyle w:val="685"/>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685"/>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685"/>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685"/>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685"/>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685"/>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685"/>
        <w:ind w:firstLine="482"/>
        <w:spacing w:before="0" w:beforeAutospacing="0" w:after="0" w:afterAutospacing="0" w:line="500" w:lineRule="exact"/>
        <w:shd w:val="clear" w:color="auto" w:fill="ffffff"/>
        <w:rPr>
          <w:rFonts w:ascii="仿宋" w:hAnsi="仿宋" w:eastAsia="仿宋"/>
          <w:iCs/>
          <w:color w:val="auto"/>
          <w:sz w:val="28"/>
          <w:szCs w:val="28"/>
          <w:highlight w:val="none"/>
        </w:rPr>
      </w:pPr>
      <w:r>
        <w:rPr>
          <w:rFonts w:hint="eastAsia" w:ascii="仿宋" w:hAnsi="仿宋" w:eastAsia="仿宋" w:cs="Times New Roman"/>
          <w:color w:val="auto"/>
          <w:sz w:val="28"/>
          <w:szCs w:val="28"/>
          <w:highlight w:val="none"/>
        </w:rPr>
        <w:t xml:space="preserve">（2）</w:t>
      </w:r>
      <w:r>
        <w:rPr>
          <w:rFonts w:hint="eastAsia" w:ascii="仿宋" w:hAnsi="仿宋" w:eastAsia="仿宋"/>
          <w:iCs/>
          <w:color w:val="auto"/>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color w:val="auto"/>
          <w:sz w:val="28"/>
          <w:szCs w:val="28"/>
          <w:highlight w:val="none"/>
        </w:rPr>
        <w:t xml:space="preserve">。</w:t>
      </w:r>
      <w:r/>
    </w:p>
    <w:p>
      <w:pPr>
        <w:pStyle w:val="685"/>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（3）</w:t>
      </w:r>
      <w:r>
        <w:rPr>
          <w:rFonts w:hint="eastAsia" w:ascii="仿宋" w:hAnsi="仿宋" w:eastAsia="仿宋" w:cs="Times New Roman"/>
          <w:iCs/>
          <w:color w:val="auto"/>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685"/>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响应供应商须提供承诺函，格式自拟，不提供视为无效响应。</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ind w:firstLine="560"/>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（1）响应</w:t>
      </w:r>
      <w:r>
        <w:rPr>
          <w:rFonts w:ascii="仿宋" w:hAnsi="仿宋" w:eastAsia="仿宋"/>
          <w:b/>
          <w:bCs/>
          <w:color w:val="auto"/>
          <w:sz w:val="28"/>
          <w:szCs w:val="28"/>
          <w:highlight w:val="none"/>
        </w:rPr>
        <w:t xml:space="preserve">供应商</w:t>
      </w:r>
      <w:r>
        <w:rPr>
          <w:rFonts w:hint="eastAsia" w:ascii="仿宋" w:hAnsi="仿宋" w:eastAsia="仿宋"/>
          <w:b/>
          <w:bCs/>
          <w:color w:val="auto"/>
          <w:sz w:val="28"/>
          <w:szCs w:val="28"/>
          <w:highlight w:val="none"/>
        </w:rPr>
        <w:t xml:space="preserve">须具备水利水电工程施工总承包叁级及以上资质，并具备有效的安全生产许可证。</w:t>
      </w:r>
      <w:r>
        <w:rPr>
          <w:rFonts w:hint="eastAsia" w:ascii="仿宋" w:hAnsi="仿宋" w:eastAsia="仿宋"/>
          <w:b/>
          <w:bCs/>
          <w:iCs/>
          <w:color w:val="auto"/>
          <w:sz w:val="28"/>
          <w:szCs w:val="28"/>
          <w:highlight w:val="none"/>
        </w:rPr>
        <w:t xml:space="preserve">须提供相关资质原件</w:t>
      </w:r>
      <w:r>
        <w:rPr>
          <w:rFonts w:hint="eastAsia" w:ascii="仿宋" w:hAnsi="仿宋" w:eastAsia="仿宋"/>
          <w:b/>
          <w:bCs/>
          <w:iCs/>
          <w:color w:val="auto"/>
          <w:sz w:val="28"/>
          <w:szCs w:val="28"/>
          <w:highlight w:val="none"/>
          <w:lang w:val="en-US" w:eastAsia="zh-CN"/>
        </w:rPr>
        <w:t xml:space="preserve">复印</w:t>
      </w:r>
      <w:r>
        <w:rPr>
          <w:rFonts w:hint="eastAsia" w:ascii="仿宋" w:hAnsi="仿宋" w:eastAsia="仿宋"/>
          <w:b/>
          <w:bCs/>
          <w:iCs/>
          <w:color w:val="auto"/>
          <w:sz w:val="28"/>
          <w:szCs w:val="28"/>
          <w:highlight w:val="none"/>
        </w:rPr>
        <w:t xml:space="preserve">件加盖公章。</w:t>
      </w:r>
      <w:r/>
    </w:p>
    <w:p>
      <w:pPr>
        <w:pStyle w:val="685"/>
        <w:ind w:firstLine="567"/>
        <w:spacing w:before="0" w:beforeAutospacing="0" w:after="0" w:afterAutospacing="0" w:line="500" w:lineRule="exact"/>
        <w:shd w:val="clear" w:color="auto" w:fill="ffffff"/>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（2）响应</w:t>
      </w:r>
      <w:r>
        <w:rPr>
          <w:rFonts w:ascii="仿宋" w:hAnsi="仿宋" w:eastAsia="仿宋"/>
          <w:b/>
          <w:bCs/>
          <w:color w:val="auto"/>
          <w:sz w:val="28"/>
          <w:szCs w:val="28"/>
          <w:highlight w:val="none"/>
        </w:rPr>
        <w:t xml:space="preserve">供应商</w:t>
      </w:r>
      <w:r>
        <w:rPr>
          <w:rFonts w:hint="eastAsia" w:ascii="仿宋" w:hAnsi="仿宋" w:eastAsia="仿宋"/>
          <w:b/>
          <w:bCs/>
          <w:color w:val="auto"/>
          <w:sz w:val="28"/>
          <w:szCs w:val="28"/>
          <w:highlight w:val="none"/>
        </w:rPr>
        <w:t xml:space="preserve">拟派项目负责人须具备水利水电工程专业注册建造师贰级及以上执业资格，并具备有效的安全生产考核合格证书。</w:t>
      </w:r>
      <w:r>
        <w:rPr>
          <w:rFonts w:hint="eastAsia" w:ascii="仿宋" w:hAnsi="仿宋" w:eastAsia="仿宋"/>
          <w:b/>
          <w:bCs/>
          <w:iCs/>
          <w:color w:val="auto"/>
          <w:sz w:val="28"/>
          <w:szCs w:val="28"/>
          <w:highlight w:val="none"/>
        </w:rPr>
        <w:t xml:space="preserve">须提供相关</w:t>
      </w:r>
      <w:r>
        <w:rPr>
          <w:rFonts w:hint="eastAsia" w:ascii="仿宋" w:hAnsi="仿宋" w:eastAsia="仿宋"/>
          <w:b/>
          <w:bCs/>
          <w:iCs/>
          <w:color w:val="auto"/>
          <w:sz w:val="28"/>
          <w:szCs w:val="28"/>
          <w:highlight w:val="none"/>
          <w:lang w:val="en-US" w:eastAsia="zh-CN"/>
        </w:rPr>
        <w:t xml:space="preserve">证书</w:t>
      </w:r>
      <w:r>
        <w:rPr>
          <w:rFonts w:hint="eastAsia" w:ascii="仿宋" w:hAnsi="仿宋" w:eastAsia="仿宋"/>
          <w:b/>
          <w:bCs/>
          <w:iCs/>
          <w:color w:val="auto"/>
          <w:sz w:val="28"/>
          <w:szCs w:val="28"/>
          <w:highlight w:val="none"/>
        </w:rPr>
        <w:t xml:space="preserve">原件</w:t>
      </w:r>
      <w:r>
        <w:rPr>
          <w:rFonts w:hint="eastAsia" w:ascii="仿宋" w:hAnsi="仿宋" w:eastAsia="仿宋"/>
          <w:b/>
          <w:bCs/>
          <w:iCs/>
          <w:color w:val="auto"/>
          <w:sz w:val="28"/>
          <w:szCs w:val="28"/>
          <w:highlight w:val="none"/>
          <w:lang w:val="en-US" w:eastAsia="zh-CN"/>
        </w:rPr>
        <w:t xml:space="preserve">复印</w:t>
      </w:r>
      <w:r>
        <w:rPr>
          <w:rFonts w:hint="eastAsia" w:ascii="仿宋" w:hAnsi="仿宋" w:eastAsia="仿宋"/>
          <w:b/>
          <w:bCs/>
          <w:iCs/>
          <w:color w:val="auto"/>
          <w:sz w:val="28"/>
          <w:szCs w:val="28"/>
          <w:highlight w:val="none"/>
        </w:rPr>
        <w:t xml:space="preserve">件加盖公章</w:t>
      </w:r>
      <w:r>
        <w:rPr>
          <w:rFonts w:hint="eastAsia" w:ascii="仿宋" w:hAnsi="仿宋" w:eastAsia="仿宋"/>
          <w:b/>
          <w:bCs/>
          <w:iCs/>
          <w:color w:val="auto"/>
          <w:sz w:val="28"/>
          <w:szCs w:val="28"/>
          <w:highlight w:val="none"/>
          <w:lang w:eastAsia="zh-CN"/>
        </w:rPr>
        <w:t xml:space="preserve">、</w:t>
      </w:r>
      <w:r>
        <w:rPr>
          <w:rFonts w:hint="eastAsia" w:ascii="仿宋" w:hAnsi="仿宋" w:eastAsia="仿宋"/>
          <w:b/>
          <w:bCs/>
          <w:iCs/>
          <w:color w:val="auto"/>
          <w:sz w:val="28"/>
          <w:szCs w:val="28"/>
          <w:highlight w:val="none"/>
          <w:lang w:val="en-US" w:eastAsia="zh-CN"/>
        </w:rPr>
        <w:t xml:space="preserve">及</w:t>
      </w:r>
      <w:r>
        <w:rPr>
          <w:rFonts w:hint="eastAsia" w:ascii="仿宋" w:hAnsi="仿宋" w:eastAsia="仿宋"/>
          <w:b/>
          <w:bCs/>
          <w:iCs/>
          <w:color w:val="auto"/>
          <w:sz w:val="28"/>
          <w:szCs w:val="28"/>
          <w:highlight w:val="none"/>
        </w:rPr>
        <w:t xml:space="preserve">响应文件提交截止日前最近1个月响应供应商为其缴纳社保的证明；新成立企业距响应文件提交截止日期不足30日的，可不提供缴纳社保的证明（以新办企业营业执照发放日期为准）。</w:t>
      </w:r>
      <w:r/>
    </w:p>
    <w:p>
      <w:pPr>
        <w:ind w:firstLine="562"/>
        <w:keepLines w:val="0"/>
        <w:keepNext w:val="0"/>
        <w:pageBreakBefore w:val="0"/>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注：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r/>
    </w:p>
    <w:p>
      <w:pPr>
        <w:ind w:firstLine="562"/>
        <w:spacing w:line="500" w:lineRule="exact"/>
        <w:rPr>
          <w:rFonts w:ascii="仿宋" w:hAnsi="仿宋" w:eastAsia="仿宋"/>
          <w:iCs/>
          <w:color w:val="auto"/>
          <w:sz w:val="28"/>
          <w:szCs w:val="28"/>
          <w:highlight w:val="none"/>
        </w:rPr>
      </w:pPr>
      <w:r>
        <w:rPr>
          <w:rFonts w:hint="eastAsia" w:ascii="仿宋" w:hAnsi="仿宋" w:eastAsia="仿宋"/>
          <w:b/>
          <w:bCs/>
          <w:color w:val="auto"/>
          <w:sz w:val="28"/>
          <w:szCs w:val="28"/>
          <w:highlight w:val="none"/>
        </w:rPr>
        <w:t xml:space="preserve">根据江苏省住房和城乡建设厅发布的《省住房和城乡建设厅关于我省二级建造师、二级造价工程师、二级注册建筑师、二级注册结构工程师注册证书电子证照换发的公告》〔2023〕第26号的规定，二级建造师统一使用新版电子证照，否则资格审查不予通过。</w:t>
      </w:r>
      <w:r/>
    </w:p>
    <w:p>
      <w:pPr>
        <w:pStyle w:val="685"/>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供应商的法定代表人参加竞争性谈判活动的，须在响应文件中提供法定代表人身份证明和身份证复印件；委托代理人参加竞争性谈判活动的，还须在响应文件中提供法定代表人的</w:t>
      </w:r>
      <w:r>
        <w:rPr>
          <w:rFonts w:hint="eastAsia" w:ascii="仿宋" w:hAnsi="仿宋" w:eastAsia="仿宋"/>
          <w:iCs/>
          <w:color w:val="auto"/>
          <w:sz w:val="28"/>
          <w:szCs w:val="28"/>
          <w:highlight w:val="none"/>
        </w:rPr>
        <w:t xml:space="preserve">授权委托书。</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bookmarkStart w:id="146" w:name="_GoBack"/>
      <w:r/>
      <w:bookmarkEnd w:id="146"/>
      <w:r/>
      <w:r/>
    </w:p>
    <w:p>
      <w:pPr>
        <w:pStyle w:val="677"/>
        <w:ind w:firstLine="560"/>
        <w:spacing w:after="0" w:line="500" w:lineRule="exact"/>
        <w:rPr>
          <w:rFonts w:ascii="黑体" w:hAnsi="黑体" w:eastAsia="黑体"/>
          <w:color w:val="auto"/>
          <w:sz w:val="28"/>
          <w:szCs w:val="28"/>
          <w:highlight w:val="none"/>
        </w:rPr>
        <w:outlineLvl w:val="1"/>
      </w:pPr>
      <w:r/>
      <w:bookmarkStart w:id="14" w:name="_Toc35393631"/>
      <w:r/>
      <w:bookmarkStart w:id="15" w:name="_Toc7827"/>
      <w:r/>
      <w:bookmarkStart w:id="16" w:name="_Toc35393800"/>
      <w:r>
        <w:rPr>
          <w:rFonts w:hint="eastAsia" w:ascii="黑体" w:hAnsi="黑体" w:eastAsia="黑体"/>
          <w:color w:val="auto"/>
          <w:sz w:val="28"/>
          <w:szCs w:val="28"/>
          <w:highlight w:val="none"/>
        </w:rPr>
        <w:t xml:space="preserve">三、获取竞争性谈判文件</w:t>
      </w:r>
      <w:bookmarkEnd w:id="12"/>
      <w:r/>
      <w:bookmarkEnd w:id="13"/>
      <w:r/>
      <w:bookmarkEnd w:id="14"/>
      <w:r/>
      <w:bookmarkEnd w:id="15"/>
      <w:r/>
      <w:bookmarkEnd w:id="16"/>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w:t>
      </w:r>
      <w:r>
        <w:rPr>
          <w:rFonts w:hint="eastAsia" w:ascii="仿宋" w:hAnsi="仿宋" w:eastAsia="仿宋" w:cs="仿宋"/>
          <w:color w:val="auto"/>
          <w:sz w:val="28"/>
          <w:szCs w:val="28"/>
          <w:highlight w:val="none"/>
        </w:rPr>
        <w:t xml:space="preserve">自公告发布之日起</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个工作日内。</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方式：</w:t>
      </w:r>
      <w:r>
        <w:rPr>
          <w:rFonts w:hint="eastAsia" w:ascii="仿宋" w:hAnsi="仿宋" w:eastAsia="仿宋"/>
          <w:color w:val="auto"/>
          <w:sz w:val="28"/>
          <w:szCs w:val="28"/>
          <w:highlight w:val="none"/>
        </w:rPr>
        <w:t xml:space="preserve">通过“苏采云”系统网上注册登记后获取，具体详见《江苏省政府采购管理交易系统（苏采云）投标人操作手册》。</w:t>
      </w:r>
      <w:r/>
    </w:p>
    <w:p>
      <w:pPr>
        <w:pStyle w:val="677"/>
        <w:ind w:firstLine="560"/>
        <w:spacing w:after="0" w:line="500" w:lineRule="exact"/>
        <w:rPr>
          <w:rFonts w:ascii="黑体" w:hAnsi="黑体" w:eastAsia="黑体"/>
          <w:color w:val="auto"/>
          <w:sz w:val="28"/>
          <w:szCs w:val="28"/>
          <w:highlight w:val="none"/>
        </w:rPr>
        <w:outlineLvl w:val="1"/>
      </w:pPr>
      <w:r/>
      <w:bookmarkStart w:id="17" w:name="_Toc28359092"/>
      <w:r/>
      <w:bookmarkStart w:id="18" w:name="_Toc35393801"/>
      <w:r/>
      <w:bookmarkStart w:id="19" w:name="_Toc28359015"/>
      <w:r/>
      <w:bookmarkStart w:id="20" w:name="_Toc35393632"/>
      <w:r/>
      <w:bookmarkStart w:id="21" w:name="_Toc11998"/>
      <w:r>
        <w:rPr>
          <w:rFonts w:hint="eastAsia" w:ascii="黑体" w:hAnsi="黑体" w:eastAsia="黑体"/>
          <w:color w:val="auto"/>
          <w:sz w:val="28"/>
          <w:szCs w:val="28"/>
          <w:highlight w:val="none"/>
        </w:rPr>
        <w:t xml:space="preserve">四、</w:t>
      </w:r>
      <w:bookmarkEnd w:id="17"/>
      <w:r/>
      <w:bookmarkEnd w:id="18"/>
      <w:r/>
      <w:bookmarkEnd w:id="19"/>
      <w:r/>
      <w:bookmarkEnd w:id="20"/>
      <w:r>
        <w:rPr>
          <w:rFonts w:hint="eastAsia" w:ascii="黑体" w:hAnsi="黑体" w:eastAsia="黑体"/>
          <w:color w:val="auto"/>
          <w:sz w:val="28"/>
          <w:szCs w:val="28"/>
          <w:highlight w:val="none"/>
        </w:rPr>
        <w:t xml:space="preserve">竞争性谈判响应文件提交和开启</w:t>
      </w:r>
      <w:bookmarkEnd w:id="21"/>
      <w:r/>
      <w:r/>
    </w:p>
    <w:p>
      <w:pPr>
        <w:ind w:firstLine="560"/>
        <w:spacing w:line="500" w:lineRule="exact"/>
        <w:rPr>
          <w:rFonts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截止时间：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07</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03</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07</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03</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pStyle w:val="677"/>
        <w:ind w:firstLine="560"/>
        <w:spacing w:after="0"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677"/>
        <w:ind w:firstLine="560"/>
        <w:spacing w:after="0" w:line="500" w:lineRule="exact"/>
        <w:rPr>
          <w:rFonts w:ascii="黑体" w:hAnsi="黑体" w:eastAsia="黑体"/>
          <w:color w:val="auto"/>
          <w:sz w:val="28"/>
          <w:szCs w:val="28"/>
          <w:highlight w:val="none"/>
        </w:rPr>
        <w:outlineLvl w:val="1"/>
      </w:pPr>
      <w:r/>
      <w:bookmarkStart w:id="22" w:name="_Toc28359094"/>
      <w:r/>
      <w:bookmarkStart w:id="23" w:name="_Toc35393634"/>
      <w:r/>
      <w:bookmarkStart w:id="24" w:name="_Toc28359017"/>
      <w:r/>
      <w:bookmarkStart w:id="25" w:name="_Toc9699"/>
      <w:r/>
      <w:bookmarkStart w:id="26" w:name="_Toc35393803"/>
      <w:r>
        <w:rPr>
          <w:rFonts w:hint="eastAsia" w:ascii="黑体" w:hAnsi="黑体" w:eastAsia="黑体"/>
          <w:color w:val="auto"/>
          <w:sz w:val="28"/>
          <w:szCs w:val="28"/>
          <w:highlight w:val="none"/>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677"/>
        <w:ind w:firstLine="560"/>
        <w:spacing w:after="0" w:line="500" w:lineRule="exact"/>
        <w:rPr>
          <w:rFonts w:ascii="黑体" w:hAnsi="黑体" w:eastAsia="黑体"/>
          <w:color w:val="auto"/>
          <w:sz w:val="28"/>
          <w:szCs w:val="28"/>
          <w:highlight w:val="none"/>
        </w:rPr>
        <w:outlineLvl w:val="1"/>
      </w:pPr>
      <w:r/>
      <w:bookmarkStart w:id="27" w:name="_Toc26195"/>
      <w:r/>
      <w:bookmarkStart w:id="28" w:name="_Toc35393804"/>
      <w:r/>
      <w:bookmarkStart w:id="29" w:name="_Toc35393635"/>
      <w:r>
        <w:rPr>
          <w:rFonts w:hint="eastAsia" w:ascii="黑体" w:hAnsi="黑体" w:eastAsia="黑体"/>
          <w:color w:val="auto"/>
          <w:sz w:val="28"/>
          <w:szCs w:val="28"/>
          <w:highlight w:val="none"/>
        </w:rPr>
        <w:t xml:space="preserve">六、其他补充事宜</w:t>
      </w:r>
      <w:bookmarkEnd w:id="27"/>
      <w:r/>
      <w:bookmarkEnd w:id="28"/>
      <w:r/>
      <w:bookmarkEnd w:id="29"/>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690"/>
          <w:rFonts w:ascii="仿宋" w:hAnsi="仿宋" w:eastAsia="仿宋" w:cs="宋体"/>
          <w:bCs/>
          <w:color w:val="auto"/>
          <w:sz w:val="28"/>
          <w:szCs w:val="28"/>
          <w:highlight w:val="none"/>
        </w:rPr>
        <w:t xml:space="preserve">http://jsxcmm.com/help/gys.html</w:t>
      </w:r>
      <w:r>
        <w:rPr>
          <w:rStyle w:val="690"/>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b/>
          <w:color w:val="auto"/>
          <w:sz w:val="28"/>
          <w:szCs w:val="28"/>
          <w:highlight w:val="none"/>
        </w:rPr>
      </w:pPr>
      <w:r>
        <w:rPr>
          <w:rFonts w:hint="eastAsia" w:ascii="仿宋" w:hAnsi="仿宋" w:eastAsia="仿宋" w:cs="宋体"/>
          <w:color w:val="auto"/>
          <w:sz w:val="28"/>
          <w:szCs w:val="28"/>
          <w:highlight w:val="none"/>
        </w:rPr>
        <w:t xml:space="preserve">2. 谈判</w:t>
      </w:r>
      <w:r>
        <w:rPr>
          <w:rFonts w:ascii="仿宋" w:hAnsi="仿宋" w:eastAsia="仿宋" w:cs="宋体"/>
          <w:color w:val="auto"/>
          <w:sz w:val="28"/>
          <w:szCs w:val="28"/>
          <w:highlight w:val="none"/>
        </w:rPr>
        <w:t xml:space="preserve">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p>
    <w:p>
      <w:pPr>
        <w:ind w:firstLine="565"/>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w:t>
      </w:r>
      <w:r>
        <w:rPr>
          <w:rFonts w:hint="eastAsia" w:ascii="仿宋" w:hAnsi="仿宋" w:eastAsia="仿宋" w:cs="宋体"/>
          <w:color w:val="auto"/>
          <w:sz w:val="28"/>
          <w:szCs w:val="28"/>
          <w:highlight w:val="none"/>
        </w:rPr>
        <w:t xml:space="preserve">本项目</w:t>
      </w:r>
      <w:r>
        <w:rPr>
          <w:rFonts w:hint="eastAsia" w:ascii="仿宋" w:hAnsi="仿宋" w:eastAsia="仿宋"/>
          <w:color w:val="auto"/>
          <w:sz w:val="28"/>
          <w:szCs w:val="28"/>
          <w:highlight w:val="none"/>
        </w:rPr>
        <w:t xml:space="preserve">为了保证响应供应商能全面了解本项目实际情况，避免</w:t>
      </w:r>
      <w:r>
        <w:rPr>
          <w:rFonts w:hint="eastAsia" w:ascii="仿宋" w:hAnsi="仿宋" w:eastAsia="仿宋"/>
          <w:color w:val="auto"/>
          <w:sz w:val="28"/>
          <w:szCs w:val="28"/>
          <w:highlight w:val="none"/>
          <w:lang w:val="en-US" w:eastAsia="zh-CN"/>
        </w:rPr>
        <w:t xml:space="preserve">盲目</w:t>
      </w:r>
      <w:r>
        <w:rPr>
          <w:rFonts w:hint="eastAsia" w:ascii="仿宋" w:hAnsi="仿宋" w:eastAsia="仿宋"/>
          <w:color w:val="auto"/>
          <w:sz w:val="28"/>
          <w:szCs w:val="28"/>
          <w:highlight w:val="none"/>
        </w:rPr>
        <w:t xml:space="preserve">投标，特别提醒所有响应供应商需自行组织人员踏勘现场，踏勘前与采购人联系预约，自行负责现场踏勘安全。如响应供应商选择不踏勘现场，造成项目需求理解偏差、</w:t>
      </w:r>
      <w:r>
        <w:rPr>
          <w:rFonts w:ascii="仿宋" w:hAnsi="仿宋" w:eastAsia="仿宋"/>
          <w:color w:val="auto"/>
          <w:sz w:val="28"/>
          <w:szCs w:val="28"/>
          <w:highlight w:val="none"/>
        </w:rPr>
        <w:t xml:space="preserve">方案编制失误</w:t>
      </w:r>
      <w:r>
        <w:rPr>
          <w:rFonts w:hint="eastAsia" w:ascii="仿宋" w:hAnsi="仿宋" w:eastAsia="仿宋"/>
          <w:color w:val="auto"/>
          <w:sz w:val="28"/>
          <w:szCs w:val="28"/>
          <w:highlight w:val="none"/>
        </w:rPr>
        <w:t xml:space="preserve">或响应报价失误均由响应供应商自行承担；</w:t>
      </w:r>
      <w:r>
        <w:rPr>
          <w:rFonts w:ascii="仿宋" w:hAnsi="仿宋" w:eastAsia="仿宋"/>
          <w:color w:val="auto"/>
          <w:sz w:val="28"/>
          <w:szCs w:val="28"/>
          <w:highlight w:val="none"/>
        </w:rPr>
        <w:t xml:space="preserve">因</w:t>
      </w:r>
      <w:r>
        <w:rPr>
          <w:rFonts w:hint="eastAsia" w:ascii="仿宋" w:hAnsi="仿宋" w:eastAsia="仿宋"/>
          <w:color w:val="auto"/>
          <w:sz w:val="28"/>
          <w:szCs w:val="28"/>
          <w:highlight w:val="none"/>
        </w:rPr>
        <w:t xml:space="preserve">响应供应商</w:t>
      </w:r>
      <w:r>
        <w:rPr>
          <w:rFonts w:ascii="仿宋" w:hAnsi="仿宋" w:eastAsia="仿宋"/>
          <w:color w:val="auto"/>
          <w:sz w:val="28"/>
          <w:szCs w:val="28"/>
          <w:highlight w:val="none"/>
        </w:rPr>
        <w:t xml:space="preserve">自身不能参加现场勘察或现场踏勘不全面的，不得因此提出修改报价或履约过程中提出索赔等要求。</w:t>
      </w:r>
      <w:r/>
    </w:p>
    <w:p>
      <w:pPr>
        <w:pStyle w:val="677"/>
        <w:ind w:firstLine="560"/>
        <w:spacing w:after="0" w:line="500" w:lineRule="exact"/>
        <w:rPr>
          <w:rFonts w:ascii="黑体" w:hAnsi="黑体" w:eastAsia="黑体"/>
          <w:color w:val="auto"/>
          <w:sz w:val="28"/>
          <w:szCs w:val="28"/>
          <w:highlight w:val="none"/>
        </w:rPr>
        <w:outlineLvl w:val="1"/>
      </w:pPr>
      <w:r/>
      <w:bookmarkStart w:id="30" w:name="_Toc28359018"/>
      <w:r/>
      <w:bookmarkStart w:id="31" w:name="_Toc35393805"/>
      <w:r/>
      <w:bookmarkStart w:id="32" w:name="_Toc35393636"/>
      <w:r/>
      <w:bookmarkStart w:id="33" w:name="_Toc28359095"/>
      <w:r/>
      <w:bookmarkStart w:id="34" w:name="_Toc7414"/>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0"/>
      <w:r/>
      <w:bookmarkEnd w:id="31"/>
      <w:r/>
      <w:bookmarkEnd w:id="32"/>
      <w:r/>
      <w:bookmarkEnd w:id="33"/>
      <w:r/>
      <w:bookmarkEnd w:id="34"/>
      <w:r/>
      <w:r/>
    </w:p>
    <w:p>
      <w:pPr>
        <w:ind w:firstLine="540"/>
        <w:spacing w:line="500" w:lineRule="exact"/>
        <w:rPr>
          <w:rFonts w:ascii="仿宋" w:hAnsi="仿宋" w:eastAsia="仿宋" w:cs="宋体"/>
          <w:color w:val="auto"/>
          <w:sz w:val="28"/>
          <w:szCs w:val="28"/>
          <w:highlight w:val="none"/>
        </w:rPr>
        <w:outlineLvl w:val="9"/>
      </w:pPr>
      <w:r/>
      <w:bookmarkStart w:id="35" w:name="_Toc35393637"/>
      <w:r/>
      <w:bookmarkStart w:id="36" w:name="_Toc28359096"/>
      <w:r/>
      <w:bookmarkStart w:id="37" w:name="_Toc35393806"/>
      <w:r/>
      <w:bookmarkStart w:id="38" w:name="_Toc28359019"/>
      <w:r/>
      <w:bookmarkStart w:id="39" w:name="_Toc28359020"/>
      <w:r/>
      <w:bookmarkStart w:id="40" w:name="_Toc35393807"/>
      <w:r/>
      <w:bookmarkStart w:id="41" w:name="_Toc35393638"/>
      <w:r/>
      <w:bookmarkStart w:id="42" w:name="_Toc28359097"/>
      <w:r>
        <w:rPr>
          <w:rFonts w:hint="eastAsia" w:ascii="仿宋" w:hAnsi="仿宋" w:eastAsia="仿宋" w:cs="宋体"/>
          <w:color w:val="auto"/>
          <w:sz w:val="28"/>
          <w:szCs w:val="28"/>
          <w:highlight w:val="none"/>
        </w:rPr>
        <w:t xml:space="preserve">1. 采购人信息</w:t>
      </w:r>
      <w:bookmarkEnd w:id="35"/>
      <w:r/>
      <w:bookmarkEnd w:id="36"/>
      <w:r/>
      <w:bookmarkEnd w:id="37"/>
      <w:r/>
      <w:bookmarkEnd w:id="38"/>
      <w:r/>
      <w:r/>
    </w:p>
    <w:p>
      <w:pPr>
        <w:ind w:left="1129" w:hanging="350"/>
        <w:jc w:val="left"/>
        <w:spacing w:line="500" w:lineRule="exact"/>
        <w:rPr>
          <w:rFonts w:hint="default" w:ascii="仿宋" w:hAnsi="仿宋" w:eastAsia="仿宋"/>
          <w:color w:val="auto"/>
          <w:sz w:val="28"/>
          <w:szCs w:val="28"/>
          <w:highlight w:val="none"/>
          <w:u w:val="none"/>
          <w:lang w:val="en-US" w:eastAsia="zh-CN"/>
        </w:rPr>
        <w:outlineLvl w:val="9"/>
      </w:pPr>
      <w:r>
        <w:rPr>
          <w:rFonts w:hint="eastAsia" w:ascii="仿宋" w:hAnsi="仿宋" w:eastAsia="仿宋"/>
          <w:color w:val="auto"/>
          <w:sz w:val="28"/>
          <w:szCs w:val="28"/>
          <w:highlight w:val="none"/>
        </w:rPr>
        <w:t xml:space="preserve">名    </w:t>
      </w:r>
      <w:r>
        <w:rPr>
          <w:rFonts w:hint="eastAsia" w:ascii="仿宋" w:hAnsi="仿宋" w:eastAsia="仿宋"/>
          <w:color w:val="auto"/>
          <w:sz w:val="28"/>
          <w:szCs w:val="28"/>
          <w:highlight w:val="none"/>
          <w:u w:val="none"/>
        </w:rPr>
        <w:t xml:space="preserve">称：</w:t>
      </w:r>
      <w:r>
        <w:rPr>
          <w:rFonts w:hint="eastAsia" w:ascii="仿宋" w:hAnsi="仿宋" w:eastAsia="仿宋"/>
          <w:color w:val="auto"/>
          <w:sz w:val="28"/>
          <w:szCs w:val="28"/>
          <w:highlight w:val="none"/>
          <w:u w:val="none"/>
          <w:lang w:val="en-US" w:eastAsia="zh-CN"/>
        </w:rPr>
        <w:t xml:space="preserve">如皋市东陈镇人民政府</w:t>
      </w:r>
      <w:r/>
    </w:p>
    <w:p>
      <w:pPr>
        <w:ind w:left="1129" w:hanging="350"/>
        <w:jc w:val="left"/>
        <w:spacing w:line="500" w:lineRule="exact"/>
        <w:rPr>
          <w:rFonts w:ascii="仿宋" w:hAnsi="仿宋" w:eastAsia="仿宋"/>
          <w:color w:val="auto"/>
          <w:sz w:val="28"/>
          <w:szCs w:val="28"/>
          <w:highlight w:val="none"/>
          <w:u w:val="none"/>
        </w:rPr>
        <w:outlineLvl w:val="9"/>
      </w:pPr>
      <w:r>
        <w:rPr>
          <w:rFonts w:hint="eastAsia" w:ascii="仿宋" w:hAnsi="仿宋" w:eastAsia="仿宋"/>
          <w:color w:val="auto"/>
          <w:sz w:val="28"/>
          <w:szCs w:val="28"/>
          <w:highlight w:val="none"/>
          <w:u w:val="none"/>
        </w:rPr>
        <w:t xml:space="preserve">地    址：江苏省南通如皋市东陈镇府前街88号</w:t>
      </w:r>
      <w:r/>
    </w:p>
    <w:p>
      <w:pPr>
        <w:ind w:left="1129" w:hanging="35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项目经办人姓名：赵然</w:t>
      </w:r>
      <w:r/>
    </w:p>
    <w:p>
      <w:pPr>
        <w:ind w:left="1129" w:hanging="350"/>
        <w:jc w:val="left"/>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lang w:val="en-US" w:eastAsia="zh-CN"/>
        </w:rPr>
        <w:t xml:space="preserve">0513-68775873</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采购代理机构信息（如有）</w:t>
      </w:r>
      <w:bookmarkEnd w:id="39"/>
      <w:r/>
      <w:bookmarkEnd w:id="40"/>
      <w:r/>
      <w:bookmarkEnd w:id="41"/>
      <w:r/>
      <w:bookmarkEnd w:id="42"/>
      <w:r/>
      <w:r/>
    </w:p>
    <w:p>
      <w:pPr>
        <w:ind w:firstLine="84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南通中江工程项目管理有限公司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址：如皋市如城街道惠政路269号纪庄大楼9层</w:t>
      </w:r>
      <w:r/>
    </w:p>
    <w:p>
      <w:pPr>
        <w:ind w:firstLine="84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lang w:val="en-US" w:eastAsia="zh-CN"/>
        </w:rPr>
        <w:t xml:space="preserve">魏书丽 </w:t>
      </w:r>
      <w:r/>
    </w:p>
    <w:p>
      <w:pPr>
        <w:ind w:firstLine="840"/>
        <w:spacing w:line="50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lang w:val="en-US" w:eastAsia="zh-CN"/>
        </w:rPr>
        <w:t xml:space="preserve">15051237698</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1.南通市政府采购线上合同信用融资政策告知函</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2.谈</w:t>
      </w:r>
      <w:r>
        <w:rPr>
          <w:rFonts w:ascii="仿宋" w:hAnsi="仿宋" w:eastAsia="仿宋"/>
          <w:b/>
          <w:color w:val="auto"/>
          <w:sz w:val="28"/>
          <w:szCs w:val="28"/>
          <w:highlight w:val="none"/>
        </w:rPr>
        <w:t xml:space="preserve">判文件</w:t>
      </w:r>
      <w:r/>
    </w:p>
    <w:p>
      <w:pPr>
        <w:pStyle w:val="703"/>
        <w:ind w:firstLine="0"/>
        <w:spacing w:before="0" w:after="0"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pStyle w:val="703"/>
        <w:ind w:firstLine="0"/>
        <w:jc w:val="center"/>
        <w:rPr>
          <w:rFonts w:ascii="方正小标宋简体" w:eastAsia="方正小标宋简体"/>
          <w:bCs/>
          <w:color w:val="auto"/>
          <w:sz w:val="32"/>
          <w:szCs w:val="32"/>
          <w:highlight w:val="none"/>
        </w:rPr>
        <w:outlineLvl w:val="0"/>
      </w:pPr>
      <w:r>
        <w:rPr>
          <w:rFonts w:ascii="宋体" w:hAnsi="宋体"/>
          <w:color w:val="auto"/>
          <w:highlight w:val="none"/>
        </w:rPr>
        <w:br w:type="page" w:clear="all"/>
      </w:r>
      <w:bookmarkStart w:id="43" w:name="_Toc6119"/>
      <w:r>
        <w:rPr>
          <w:rFonts w:hint="eastAsia" w:ascii="方正小标宋简体" w:eastAsia="方正小标宋简体"/>
          <w:bCs/>
          <w:color w:val="auto"/>
          <w:sz w:val="32"/>
          <w:szCs w:val="32"/>
          <w:highlight w:val="none"/>
        </w:rPr>
        <w:t xml:space="preserve">第2章 谈判须知</w:t>
      </w:r>
      <w:bookmarkEnd w:id="43"/>
      <w:r/>
      <w:r/>
    </w:p>
    <w:p>
      <w:pPr>
        <w:ind w:firstLine="548"/>
        <w:spacing w:line="500" w:lineRule="exact"/>
        <w:rPr>
          <w:rFonts w:ascii="黑体" w:hAnsi="黑体" w:eastAsia="黑体"/>
          <w:color w:val="auto"/>
          <w:sz w:val="28"/>
          <w:szCs w:val="28"/>
          <w:highlight w:val="none"/>
        </w:rPr>
        <w:outlineLvl w:val="1"/>
      </w:pPr>
      <w:r/>
      <w:bookmarkStart w:id="44" w:name="_Toc30326"/>
      <w:r>
        <w:rPr>
          <w:rFonts w:hint="eastAsia" w:ascii="黑体" w:hAnsi="黑体" w:eastAsia="黑体"/>
          <w:color w:val="auto"/>
          <w:sz w:val="28"/>
          <w:szCs w:val="28"/>
          <w:highlight w:val="none"/>
        </w:rPr>
        <w:t xml:space="preserve">1. 参加谈判费用</w:t>
      </w:r>
      <w:bookmarkEnd w:id="44"/>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参加竞争性谈判活动的供应商，应自行承担所有与准备和参加竞争性谈判活动有关的费用，无论谈判过程中做法和结果如何，采购人或者代理机构在任何情况下均无义务和责任承担这些费用。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color w:val="auto"/>
          <w:sz w:val="28"/>
          <w:szCs w:val="28"/>
          <w:highlight w:val="none"/>
        </w:rPr>
        <w:outlineLvl w:val="1"/>
      </w:pPr>
      <w:r/>
      <w:bookmarkStart w:id="45" w:name="_Toc10454"/>
      <w:r>
        <w:rPr>
          <w:rFonts w:hint="eastAsia" w:ascii="黑体" w:hAnsi="黑体" w:eastAsia="黑体"/>
          <w:color w:val="auto"/>
          <w:sz w:val="28"/>
          <w:szCs w:val="28"/>
          <w:highlight w:val="none"/>
        </w:rPr>
        <w:t xml:space="preserve">2. 谈判文件的约束力</w:t>
      </w:r>
      <w:bookmarkEnd w:id="45"/>
      <w:r/>
      <w:r/>
    </w:p>
    <w:p>
      <w:pPr>
        <w:ind w:left="120" w:firstLine="55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2.1供应商一旦参加本项目谈判活动，即被认为接受了本谈判文件的规定和约束。本谈判文件由谈判公告、谈判须知、采购需求、合同文本、响应文件组成、以及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r/>
    </w:p>
    <w:p>
      <w:pPr>
        <w:ind w:firstLine="560"/>
        <w:spacing w:line="500" w:lineRule="exact"/>
        <w:rPr>
          <w:rFonts w:ascii="黑体" w:hAnsi="黑体" w:eastAsia="黑体"/>
          <w:color w:val="auto"/>
          <w:sz w:val="28"/>
          <w:szCs w:val="28"/>
          <w:highlight w:val="none"/>
        </w:rPr>
        <w:outlineLvl w:val="1"/>
      </w:pPr>
      <w:r/>
      <w:bookmarkStart w:id="46" w:name="_Toc13056"/>
      <w:r>
        <w:rPr>
          <w:rFonts w:hint="eastAsia" w:ascii="黑体" w:hAnsi="黑体" w:eastAsia="黑体"/>
          <w:color w:val="auto"/>
          <w:sz w:val="28"/>
          <w:szCs w:val="28"/>
          <w:highlight w:val="none"/>
        </w:rPr>
        <w:t xml:space="preserve">3.响应文件编制</w:t>
      </w:r>
      <w:bookmarkEnd w:id="46"/>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 第5章响应文件组成”要求编写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47" w:name="_Hlt26954832"/>
      <w:r/>
      <w:bookmarkEnd w:id="47"/>
      <w:r/>
      <w:bookmarkStart w:id="48" w:name="_Hlt26670348"/>
      <w:r/>
      <w:bookmarkEnd w:id="48"/>
      <w:r/>
      <w:bookmarkStart w:id="49" w:name="_Hlt26670354"/>
      <w:r/>
      <w:bookmarkEnd w:id="49"/>
      <w:r/>
      <w:bookmarkStart w:id="50" w:name="_Hlt26954830"/>
      <w:r/>
      <w:bookmarkEnd w:id="50"/>
      <w:r/>
      <w:bookmarkStart w:id="51" w:name="_Hlt26668969"/>
      <w:r/>
      <w:bookmarkEnd w:id="51"/>
      <w:r/>
      <w:bookmarkStart w:id="52" w:name="_Hlt26670345"/>
      <w:r/>
      <w:bookmarkEnd w:id="52"/>
      <w:r/>
      <w:bookmarkStart w:id="53" w:name="_Hlt26954828"/>
      <w:r/>
      <w:bookmarkEnd w:id="53"/>
      <w:r/>
      <w:bookmarkStart w:id="54" w:name="_Toc20048"/>
      <w:r>
        <w:rPr>
          <w:rFonts w:hint="eastAsia" w:ascii="黑体" w:hAnsi="黑体" w:eastAsia="黑体"/>
          <w:color w:val="auto"/>
          <w:sz w:val="28"/>
          <w:szCs w:val="28"/>
          <w:highlight w:val="none"/>
        </w:rPr>
        <w:t xml:space="preserve">4.响应文件提交、撤回和修改</w:t>
      </w:r>
      <w:bookmarkEnd w:id="54"/>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江苏省政府采购（供应商）国信CA数字证书及电子签章办理指南》。供应商撤回电子响应文件的，则认为其不再参与本项目谈判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采购代理机构可以通过修改谈判文件，酌情延长响应文件提交截止时间。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响应文件的有效期：从提交响应文件截止日起90天。</w:t>
      </w:r>
      <w:r/>
    </w:p>
    <w:p>
      <w:pPr>
        <w:ind w:firstLine="560"/>
        <w:spacing w:line="500" w:lineRule="exact"/>
        <w:rPr>
          <w:rFonts w:ascii="黑体" w:hAnsi="黑体" w:eastAsia="黑体"/>
          <w:color w:val="auto"/>
          <w:sz w:val="28"/>
          <w:szCs w:val="28"/>
          <w:highlight w:val="none"/>
        </w:rPr>
        <w:outlineLvl w:val="1"/>
      </w:pPr>
      <w:r/>
      <w:bookmarkStart w:id="55" w:name="_Hlt26954864"/>
      <w:r/>
      <w:bookmarkEnd w:id="55"/>
      <w:r/>
      <w:bookmarkStart w:id="56" w:name="_Hlt26670523"/>
      <w:r/>
      <w:bookmarkEnd w:id="56"/>
      <w:r/>
      <w:bookmarkStart w:id="57" w:name="_Toc13801"/>
      <w:r>
        <w:rPr>
          <w:rFonts w:hint="eastAsia" w:ascii="黑体" w:hAnsi="黑体" w:eastAsia="黑体"/>
          <w:color w:val="auto"/>
          <w:sz w:val="28"/>
          <w:szCs w:val="28"/>
          <w:highlight w:val="none"/>
        </w:rPr>
        <w:t xml:space="preserve">5. 谈判</w:t>
      </w:r>
      <w:bookmarkEnd w:id="57"/>
      <w:r/>
      <w:r/>
    </w:p>
    <w:p>
      <w:pPr>
        <w:ind w:firstLine="560"/>
        <w:spacing w:line="500" w:lineRule="exact"/>
        <w:rPr>
          <w:rFonts w:ascii="仿宋" w:hAnsi="仿宋" w:eastAsia="仿宋"/>
          <w:color w:val="auto"/>
          <w:sz w:val="28"/>
          <w:szCs w:val="28"/>
          <w:highlight w:val="none"/>
        </w:rPr>
      </w:pPr>
      <w:r/>
      <w:bookmarkStart w:id="58" w:name="_Toc513029231"/>
      <w:r/>
      <w:bookmarkStart w:id="59" w:name="_Toc20823303"/>
      <w:r/>
      <w:bookmarkStart w:id="60" w:name="_Toc16938547"/>
      <w:r>
        <w:rPr>
          <w:rFonts w:hint="eastAsia" w:ascii="仿宋" w:hAnsi="仿宋" w:eastAsia="仿宋"/>
          <w:color w:val="auto"/>
          <w:sz w:val="28"/>
          <w:szCs w:val="28"/>
          <w:highlight w:val="none"/>
        </w:rPr>
        <w:t xml:space="preserve">5.1 采购人或者代理机构将在竞争性谈判公告中规定的时间和地点组织竞争性谈判活动。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5.2竞争性谈判开始前，供应商使用CA数字证书登录“苏采云”系统，并根据开标会议区发出响应文件解密的指令，在30分钟之内使用CA数字证书解密各自响应文件。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谈判小组由政府采购评审专家、采购人代表组成。评审专家不得以评审专家身份参加本部门或本单位采购项目的评审。达到公开招标限额标准的项目，谈判小组应当由5人以上单数组成。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谈判小组对响应文件的有效性、完整性和响应程度进行审查。谈判小组在审查分为资格审查和符合性审查。响应供应商未通过审查的，告知其具体原因。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谈判小组审查时，可以通过视频会议，要求供应商对响应文件中含义不明确、同类问题表述不一致或者有明显文字和计算错误的内容等作出必要的澄清、说明或者更正。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接到澄清要求的供应商，应在谈判小组规定的时间内做出澄清，澄清的内容作为响应文件的补充部分，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供应商在评审全过程中应保持通讯畅通，并安排专人与采购人或采购代理机构及</w:t>
      </w:r>
      <w:r>
        <w:rPr>
          <w:rFonts w:hint="eastAsia" w:ascii="仿宋" w:hAnsi="仿宋" w:eastAsia="仿宋"/>
          <w:bCs/>
          <w:color w:val="auto"/>
          <w:sz w:val="28"/>
          <w:szCs w:val="28"/>
          <w:highlight w:val="none"/>
          <w:lang w:eastAsia="zh-CN"/>
        </w:rPr>
        <w:t xml:space="preserve">谈判</w:t>
      </w:r>
      <w:r>
        <w:rPr>
          <w:rFonts w:hint="eastAsia" w:ascii="仿宋" w:hAnsi="仿宋" w:eastAsia="仿宋"/>
          <w:bCs/>
          <w:color w:val="auto"/>
          <w:sz w:val="28"/>
          <w:szCs w:val="28"/>
          <w:highlight w:val="none"/>
        </w:rPr>
        <w:t xml:space="preserve">小组联系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5.12需经谈判由供应商提供最终设计方案或解决方案的，谈判结束后，谈判小组按照少数服从多数的原则投票推荐3家以上供应商的设计方案或者解决方案，并要求其在规定时间内提交最后报价。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5.13 在通过资格审查、符合性审查的供应商中，有多家供应商提供相同品牌的产品或者核心产品的，按一家响应供应商计算，评审后最后报价最低的供应商获得成交人推荐资格。</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5.14 当最后报价中具有最低报价的供应商多于1名时，组织报价最低的供应商进行现场竞价，直至报价出现差别时为止。</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 有下列情形之一的，视为供应商串通，其响应无效：</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5.15.1不同供应商的响应文件由同一单位或者个人编制；</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5.15.2不同供应商的电子响应文件由同一台电子设备编制、打包、加密或者上传；</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5.15.3 不同供应商的响应文件由同一供应商的电子设备打印、复印；</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5.15.4不同供应商的响应报价用同一个预算编制软件密码锁制作或者出自同一供应商的电子文档；</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5.15.5不同供应商从同一个单位或者同一个自然人的互联网协议地址下载竞争性谈判文件、上传响应文件；</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5.15.6 不同供应商的响应文件异常一致或者响应报价呈规律性差异；</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5.15.7 不同供应商委托同一单位或者个人办理谈判事宜；</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5.15.8不同供应商的响应文件载明的项目管理成员或者联系人员为同一人；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5.15.9不同供应商的谈判保证金虽然经由供应商自己的基本账户转出，但所需资金来自同一单位或者个人的账户。</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5.16出现下列情形之一的，</w:t>
      </w:r>
      <w:r>
        <w:rPr>
          <w:rFonts w:hint="eastAsia" w:ascii="仿宋" w:hAnsi="仿宋" w:eastAsia="仿宋"/>
          <w:b/>
          <w:bCs/>
          <w:color w:val="auto"/>
          <w:sz w:val="28"/>
          <w:szCs w:val="28"/>
          <w:highlight w:val="none"/>
          <w:lang w:eastAsia="zh-CN"/>
        </w:rPr>
        <w:t xml:space="preserve">评审小组</w:t>
      </w:r>
      <w:r>
        <w:rPr>
          <w:rFonts w:hint="eastAsia" w:ascii="仿宋" w:hAnsi="仿宋" w:eastAsia="仿宋"/>
          <w:b/>
          <w:bCs/>
          <w:color w:val="auto"/>
          <w:sz w:val="28"/>
          <w:szCs w:val="28"/>
          <w:highlight w:val="none"/>
        </w:rPr>
        <w:t xml:space="preserve">应当启动异常低价响应审查程序： </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5.16</w:t>
      </w:r>
      <w:r>
        <w:rPr>
          <w:rFonts w:hint="eastAsia" w:ascii="仿宋" w:hAnsi="仿宋" w:eastAsia="仿宋"/>
          <w:b/>
          <w:bCs/>
          <w:color w:val="auto"/>
          <w:sz w:val="28"/>
          <w:szCs w:val="28"/>
          <w:highlight w:val="none"/>
        </w:rPr>
        <w:t xml:space="preserve">.1.响应报价低于全部通过符合性审查供应商响应报价平均值50%的，即响应报价&lt;全部通过符合性审查供应商响应报价平均值×50%；</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5.16</w:t>
      </w:r>
      <w:r>
        <w:rPr>
          <w:rFonts w:hint="eastAsia" w:ascii="仿宋" w:hAnsi="仿宋" w:eastAsia="仿宋"/>
          <w:b/>
          <w:bCs/>
          <w:color w:val="auto"/>
          <w:sz w:val="28"/>
          <w:szCs w:val="28"/>
          <w:highlight w:val="none"/>
        </w:rPr>
        <w:t xml:space="preserve">.2响应报价低于通过符合性审查的次低报价供应商响应报价50%的，即响应报价&lt;通过符合性审查的次低报价供应商响应报价×50%；</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5.16</w:t>
      </w:r>
      <w:r>
        <w:rPr>
          <w:rFonts w:hint="eastAsia" w:ascii="仿宋" w:hAnsi="仿宋" w:eastAsia="仿宋"/>
          <w:b/>
          <w:bCs/>
          <w:color w:val="auto"/>
          <w:sz w:val="28"/>
          <w:szCs w:val="28"/>
          <w:highlight w:val="none"/>
        </w:rPr>
        <w:t xml:space="preserve">.3响应报价低于采购项目最高限价45%的，即响应报价&lt;采购项目最高限价×45%；</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5.16</w:t>
      </w:r>
      <w:r>
        <w:rPr>
          <w:rFonts w:hint="eastAsia" w:ascii="仿宋" w:hAnsi="仿宋" w:eastAsia="仿宋"/>
          <w:b/>
          <w:bCs/>
          <w:color w:val="auto"/>
          <w:sz w:val="28"/>
          <w:szCs w:val="28"/>
          <w:highlight w:val="none"/>
        </w:rPr>
        <w:t xml:space="preserve">.4谈判小组基于专业判断，认为供应商报价过低，有可能影响产品质量或者不能诚信履约的其他情形。</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 xml:space="preserve">评审小组</w:t>
      </w:r>
      <w:r>
        <w:rPr>
          <w:rFonts w:hint="eastAsia" w:ascii="仿宋" w:hAnsi="仿宋" w:eastAsia="仿宋"/>
          <w:b/>
          <w:bCs/>
          <w:color w:val="auto"/>
          <w:sz w:val="28"/>
          <w:szCs w:val="28"/>
          <w:highlight w:val="none"/>
        </w:rPr>
        <w:t xml:space="preserve">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 xml:space="preserve">评审小组</w:t>
      </w:r>
      <w:r>
        <w:rPr>
          <w:rFonts w:hint="eastAsia" w:ascii="仿宋" w:hAnsi="仿宋" w:eastAsia="仿宋"/>
          <w:b/>
          <w:bCs/>
          <w:color w:val="auto"/>
          <w:sz w:val="28"/>
          <w:szCs w:val="28"/>
          <w:highlight w:val="none"/>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黑体" w:hAnsi="黑体" w:eastAsia="黑体"/>
          <w:bCs/>
          <w:color w:val="auto"/>
          <w:sz w:val="28"/>
          <w:szCs w:val="28"/>
          <w:highlight w:val="none"/>
        </w:rPr>
        <w:outlineLvl w:val="1"/>
      </w:pPr>
      <w:r/>
      <w:bookmarkStart w:id="61" w:name="_Toc23986"/>
      <w:r>
        <w:rPr>
          <w:rFonts w:hint="eastAsia" w:ascii="黑体" w:hAnsi="黑体" w:eastAsia="黑体"/>
          <w:bCs/>
          <w:color w:val="auto"/>
          <w:sz w:val="28"/>
          <w:szCs w:val="28"/>
          <w:highlight w:val="none"/>
        </w:rPr>
        <w:t xml:space="preserve">6.成交和合同</w:t>
      </w:r>
      <w:bookmarkEnd w:id="61"/>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谈判小组从质量和服务均能满足采购文件实质性响应要求的供应商中，按照最后报价由低到高的顺序提出3名以上成交候选人。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除资格性审查认定错误和价格计算错误外，采购人或者采购代理机构不得以任何理由组织重新评审。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bookmarkEnd w:id="58"/>
      <w:bookmarkEnd w:id="59"/>
      <w:bookmarkEnd w:id="60"/>
      <w:r/>
    </w:p>
    <w:p>
      <w:pPr>
        <w:ind w:firstLine="560"/>
        <w:spacing w:line="500" w:lineRule="exact"/>
        <w:rPr>
          <w:rFonts w:ascii="黑体" w:hAnsi="黑体" w:eastAsia="黑体"/>
          <w:bCs/>
          <w:color w:val="auto"/>
          <w:sz w:val="28"/>
          <w:szCs w:val="28"/>
          <w:highlight w:val="none"/>
        </w:rPr>
        <w:outlineLvl w:val="1"/>
      </w:pPr>
      <w:r/>
      <w:bookmarkStart w:id="62" w:name="_Toc26890"/>
      <w:r/>
      <w:bookmarkStart w:id="63" w:name="_Toc513029235"/>
      <w:r/>
      <w:bookmarkStart w:id="64" w:name="_Toc20823307"/>
      <w:r/>
      <w:bookmarkStart w:id="65" w:name="_Toc16938551"/>
      <w:r>
        <w:rPr>
          <w:rFonts w:hint="eastAsia" w:ascii="黑体" w:hAnsi="黑体" w:eastAsia="黑体"/>
          <w:bCs/>
          <w:color w:val="auto"/>
          <w:sz w:val="28"/>
          <w:szCs w:val="28"/>
          <w:highlight w:val="none"/>
        </w:rPr>
        <w:t xml:space="preserve">7.政府采购政策功能落实</w:t>
      </w:r>
      <w:bookmarkEnd w:id="62"/>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 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 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 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 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 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67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2000≤Y&lt;40000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6000≤Y&lt;80000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300≤Y&lt;6000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5≤X&lt;20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5000≤Y&lt;50000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10≤X&lt;50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200≤Y&lt;3000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1000≤Y&lt;200000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8000≤Z &lt;120000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100≤Z &lt;8000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7.7</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根据《江苏省政府采购供应商监督管理暂行办法》的规定，诚信记录分每减10分，给予本项目总分值2%的扣分，扣分最多不超过本项目总分值6%。</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7.8.商品包装环保要求：应当按《关于印发〈商品包装政府采购需求标准（试行）〉、〈快递包装政府采购需求标准（试行）〉的通知》（财办库〔2020〕123号）文件执行。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7.8.1商品包装层数不得超过</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3 层，空隙率不大于 40%；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7.8.2商品包装尽可能使用单一材质的包装材料，如因功能需求必须使用不同材质，不同材质间应便于分离；</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7.8.3商品包装中铅、汞、镉、六价铬的总含量应不大于100mg/kg；</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7.8.4商品包装印刷使用的油墨中挥发性有机化合物（VOCs）含量应不大于 5%（以重量计）；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7.8.5塑料材质商品包装上呈现的印刷颜色不得超过</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6 色；</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7.8.6纸质商品包装应使用</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75%以上的可再生纤维原料生产；</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7.8.7木质商品包装的原料应来源于可持续性森林。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（投标时供应商提供承诺函，承诺函需对以上要求逐一作出响应。采购人在必要时可要求中标供应商在履约验收环节出具检测报告。）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7.9快递包装环保要求：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7.9.1快递包装中重金属（铅、汞、镉、六价铬）总量应不大于</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100mg/kg；</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7.9.2快递包装印刷使用的油墨中不应添加邻苯二甲酸酯，其挥发性有机化合物（VOCs）含量应不大于5%（以重量计）；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7.9.3快递包装中使用纸基材的包装材料，纸基材中的有机氯的含量应不大于</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150 mg/kg；</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7.9.5快递中使用的塑料包装袋不得使用聚氯乙烯作为原料，且原料应为单一材质制成，生物分解率大于60%；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7.9.6快递中使用的充气类填充物不得使用聚氯乙烯作为原料，且原料为单一材质制成，生物分解率大于60%；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7.9.7快递中使用的集装袋应为单一材质制成，其重复使用次数应不小于</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80 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7.9.8快递中应使用幅宽不大于45mm 的生物降解胶带；</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7.9.9快递包装中不得使用溶剂型胶粘剂；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7.9.10快递应使用电子面单；</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7.9.11直接使用商品包装作为快递包装的商品，其商品包装满足《商品包装政府采购需求标准（试行）》即可；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7.9.12快递包装产品质量和封装方式应符合相关国家或行业标准技术指标要求。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（投标时供应商提供承诺函，承诺函需对以上要求逐一作出响应。采购人在必要时可要求中标供应商在履约验收环节出具检测报告。）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7.10绿色数据中心（如有）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7.10.1采购数据中心相关设备、运维服务，应当有利于节约能源、环境保护和资源循环利用。</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7.10.2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7.10.3成交供应商未按合同约定提供设备或服务的，采购人依法追究其违约责任。对供应商提供虚假材料谋取中标、成交的，依法由相关部门予以处理。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7.11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7.12绿色低碳管理目标和服务要求：在物业、合同能源管理等服务类采购项目中，要强化绿色低碳管理目标和服务要求，促进绿色产品和服务推广应用。</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7.13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firstLine="560"/>
        <w:spacing w:line="500" w:lineRule="exact"/>
        <w:rPr>
          <w:rFonts w:ascii="黑体" w:hAnsi="黑体" w:eastAsia="黑体"/>
          <w:bCs/>
          <w:color w:val="auto"/>
          <w:sz w:val="28"/>
          <w:szCs w:val="28"/>
          <w:highlight w:val="none"/>
        </w:rPr>
        <w:outlineLvl w:val="1"/>
      </w:pPr>
      <w:r/>
      <w:bookmarkStart w:id="66" w:name="_Toc9116"/>
      <w:r>
        <w:rPr>
          <w:rFonts w:hint="eastAsia" w:ascii="黑体" w:hAnsi="黑体" w:eastAsia="黑体"/>
          <w:bCs/>
          <w:color w:val="auto"/>
          <w:sz w:val="28"/>
          <w:szCs w:val="28"/>
          <w:highlight w:val="none"/>
        </w:rPr>
        <w:t xml:space="preserve">8.无效响应和谈判活动终止</w:t>
      </w:r>
      <w:bookmarkEnd w:id="66"/>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不具备竞争性谈判文件中规定的资格要求的。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最后报价超过了采购预算或最高限价的。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不符合法律、法规和竞争性谈判文件中规定的其他实质性要求的。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响应文件含有采购人不能接受的附加条件的。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响应文件未按照谈判文件要求加盖电子签章。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供应商在系统规定的时间内未成功解密电子响应文件的。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未完整上传响应文件电子文档的,或上传的文件打不开的。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8.1.12其他法律、法规及本谈判文件规定的属无效响应的情形。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出现下列情形之一的，本次竞争性谈判采购活动将被终止：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因情况变化，不再符合规定的竞争性谈判采购方式适用情形的；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w:t>
      </w:r>
      <w:r>
        <w:rPr>
          <w:rFonts w:ascii="仿宋" w:hAnsi="仿宋" w:eastAsia="仿宋"/>
          <w:color w:val="auto"/>
          <w:sz w:val="28"/>
          <w:szCs w:val="28"/>
          <w:highlight w:val="none"/>
        </w:rPr>
        <w:t xml:space="preserve">在采购过程中符合竞争要求的供应商或者报价未超过采购预算的供应商不足3家的。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8.2.4 因重大变故，采购任务取消的。</w:t>
      </w:r>
      <w:r/>
    </w:p>
    <w:p>
      <w:pPr>
        <w:ind w:firstLine="560"/>
        <w:spacing w:line="500" w:lineRule="exact"/>
        <w:rPr>
          <w:rFonts w:ascii="黑体" w:hAnsi="黑体" w:eastAsia="黑体"/>
          <w:color w:val="auto"/>
          <w:sz w:val="28"/>
          <w:szCs w:val="28"/>
          <w:highlight w:val="none"/>
        </w:rPr>
        <w:outlineLvl w:val="1"/>
      </w:pPr>
      <w:r/>
      <w:bookmarkStart w:id="67" w:name="_Toc28675"/>
      <w:r>
        <w:rPr>
          <w:rFonts w:hint="eastAsia" w:ascii="黑体" w:hAnsi="黑体" w:eastAsia="黑体"/>
          <w:color w:val="auto"/>
          <w:sz w:val="28"/>
          <w:szCs w:val="28"/>
          <w:highlight w:val="none"/>
        </w:rPr>
        <w:t xml:space="preserve">9. 询问、质疑和投诉</w:t>
      </w:r>
      <w:bookmarkEnd w:id="67"/>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文件提出质疑的，为收到</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文件之日或者</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，见谈判文件第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未参加谈判活动的供应商或在谈判活动中自身权益未受到损害的供应商所提出的质疑。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供应商组成联合体参加谈判活动，联合体中任何一方或多方未按要求签字、盖章、加盖公章的质疑。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A座710室，联系电话0513-87623860）。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投诉书</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投诉人：</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地     址：邮编：</w:t>
      </w:r>
      <w:r/>
    </w:p>
    <w:p>
      <w:pPr>
        <w:jc w:val="left"/>
        <w:tabs>
          <w:tab w:val="left" w:pos="651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法定代表人/主要负责人：联系电话：</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地     址：邮编：</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被投诉人1：</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地     址：邮编：</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联系人：联系电话：</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被投诉人2</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相关供应商：</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地     址：邮编：</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联系人：联系电话：</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采购项目名称：</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采购项目编号：包号：</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采购人名称：</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代理机构名称：</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采购文件公告:是/否 公告期限：</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采购结果公告:是/否 公告期限：</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投诉人于年月日,向提出质疑，质疑事项为：</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采购人/代理机构</w:t>
      </w:r>
      <w:r>
        <w:rPr>
          <w:rFonts w:hint="eastAsia" w:ascii="仿宋" w:hAnsi="仿宋" w:eastAsia="仿宋" w:cs="仿宋"/>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投诉事项 1：</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事实依据：</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投诉事项2</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请求：</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日期： </w:t>
      </w:r>
      <w:r>
        <w:rPr>
          <w:rFonts w:hint="eastAsia" w:ascii="仿宋_GB2312" w:eastAsia="仿宋_GB2312"/>
          <w:color w:val="auto"/>
          <w:sz w:val="28"/>
          <w:szCs w:val="28"/>
          <w:highlight w:val="none"/>
        </w:rPr>
        <w:t xml:space="preserve">   </w:t>
      </w:r>
      <w:bookmarkEnd w:id="6"/>
      <w:bookmarkEnd w:id="63"/>
      <w:bookmarkEnd w:id="64"/>
      <w:bookmarkEnd w:id="65"/>
      <w:r/>
    </w:p>
    <w:p>
      <w:pPr>
        <w:ind w:firstLine="560"/>
        <w:jc w:val="left"/>
        <w:spacing w:line="500" w:lineRule="exact"/>
        <w:rPr>
          <w:rFonts w:ascii="仿宋" w:hAnsi="仿宋" w:eastAsia="仿宋"/>
          <w:color w:val="auto"/>
          <w:sz w:val="28"/>
          <w:szCs w:val="28"/>
          <w:highlight w:val="none"/>
        </w:rPr>
        <w:outlineLvl w:val="1"/>
      </w:pPr>
      <w:r/>
      <w:bookmarkStart w:id="68" w:name="_Toc8360"/>
      <w:r>
        <w:rPr>
          <w:rFonts w:hint="eastAsia" w:ascii="黑体" w:hAnsi="黑体" w:eastAsia="黑体"/>
          <w:color w:val="auto"/>
          <w:sz w:val="28"/>
          <w:szCs w:val="28"/>
          <w:highlight w:val="none"/>
        </w:rPr>
        <w:t xml:space="preserve">10. 政府采购合同信用融资扶持政策</w:t>
      </w:r>
      <w:bookmarkEnd w:id="68"/>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11. 采购代理服务费</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olor w:val="auto"/>
          <w:sz w:val="28"/>
          <w:szCs w:val="28"/>
          <w:highlight w:val="none"/>
        </w:rPr>
        <w:t xml:space="preserve">11.1</w:t>
      </w:r>
      <w:r>
        <w:rPr>
          <w:rFonts w:hint="eastAsia" w:ascii="仿宋" w:hAnsi="仿宋" w:eastAsia="仿宋" w:cs="仿宋"/>
          <w:color w:val="auto"/>
          <w:sz w:val="28"/>
          <w:szCs w:val="28"/>
          <w:highlight w:val="none"/>
          <w:lang w:val="en-US" w:eastAsia="zh-CN" w:bidi="ar"/>
        </w:rPr>
        <w:t xml:space="preserve">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cs="仿宋"/>
          <w:color w:val="auto"/>
          <w:sz w:val="28"/>
          <w:szCs w:val="28"/>
          <w:highlight w:val="none"/>
          <w:lang w:val="en-US" w:eastAsia="zh-CN" w:bidi="ar"/>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11.3.1收款单位名称为：</w:t>
      </w:r>
      <w:r>
        <w:rPr>
          <w:rFonts w:hint="eastAsia" w:ascii="仿宋" w:hAnsi="仿宋" w:eastAsia="仿宋" w:cs="宋体"/>
          <w:color w:val="auto"/>
          <w:sz w:val="28"/>
          <w:szCs w:val="28"/>
          <w:highlight w:val="none"/>
        </w:rPr>
        <w:t xml:space="preserve">南通中江工程项目管理有限公司江海分公司</w:t>
      </w:r>
      <w:r>
        <w:rPr>
          <w:rFonts w:hint="eastAsia" w:ascii="仿宋" w:hAnsi="仿宋" w:eastAsia="仿宋"/>
          <w:color w:val="auto"/>
          <w:sz w:val="28"/>
          <w:szCs w:val="28"/>
          <w:highlight w:val="none"/>
        </w:rPr>
        <w:t xml:space="preserve">；</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11.3.2账户号码：</w:t>
      </w:r>
      <w:r>
        <w:rPr>
          <w:rFonts w:hint="eastAsia" w:ascii="仿宋" w:hAnsi="仿宋" w:eastAsia="仿宋" w:cs="宋体"/>
          <w:color w:val="auto"/>
          <w:sz w:val="28"/>
          <w:szCs w:val="28"/>
          <w:highlight w:val="none"/>
        </w:rPr>
        <w:t xml:space="preserve">32050164726000001501</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11.3.3开户行：</w:t>
      </w:r>
      <w:r>
        <w:rPr>
          <w:rFonts w:hint="eastAsia" w:ascii="仿宋" w:hAnsi="仿宋" w:eastAsia="仿宋" w:cs="宋体"/>
          <w:color w:val="auto"/>
          <w:sz w:val="28"/>
          <w:szCs w:val="28"/>
          <w:highlight w:val="none"/>
        </w:rPr>
        <w:t xml:space="preserve">中国建设银行股份有限公司如皋北门支行，行号：105306200032</w:t>
      </w:r>
      <w:r>
        <w:rPr>
          <w:rFonts w:hint="eastAsia" w:ascii="仿宋" w:hAnsi="仿宋" w:eastAsia="仿宋" w:cs="宋体"/>
          <w:color w:val="auto"/>
          <w:sz w:val="28"/>
          <w:szCs w:val="28"/>
          <w:highlight w:val="none"/>
          <w:lang w:eastAsia="zh-CN"/>
        </w:rPr>
        <w:t xml:space="preserve">。</w:t>
      </w:r>
      <w:r/>
    </w:p>
    <w:p>
      <w:pPr>
        <w:pStyle w:val="703"/>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69" w:name="_Toc28318"/>
      <w:r>
        <w:rPr>
          <w:rFonts w:hint="eastAsia" w:ascii="方正小标宋简体" w:eastAsia="方正小标宋简体"/>
          <w:bCs/>
          <w:color w:val="auto"/>
          <w:sz w:val="32"/>
          <w:szCs w:val="32"/>
          <w:highlight w:val="none"/>
        </w:rPr>
        <w:t xml:space="preserve">第3章 采购需求</w:t>
      </w:r>
      <w:bookmarkEnd w:id="69"/>
      <w:r/>
      <w:r/>
    </w:p>
    <w:p>
      <w:pPr>
        <w:ind w:firstLine="562"/>
        <w:jc w:val="left"/>
        <w:spacing w:line="500" w:lineRule="exact"/>
        <w:rPr>
          <w:rFonts w:ascii="仿宋" w:hAnsi="仿宋" w:eastAsia="仿宋" w:cs="Times New Roman"/>
          <w:b/>
          <w:bCs/>
          <w:color w:val="auto"/>
          <w:sz w:val="28"/>
          <w:szCs w:val="28"/>
          <w:highlight w:val="none"/>
        </w:rPr>
      </w:pPr>
      <w:r>
        <w:rPr>
          <w:rFonts w:ascii="仿宋" w:hAnsi="仿宋" w:eastAsia="仿宋" w:cs="Times New Roman"/>
          <w:b/>
          <w:bCs/>
          <w:color w:val="auto"/>
          <w:sz w:val="28"/>
          <w:szCs w:val="28"/>
          <w:highlight w:val="none"/>
        </w:rPr>
        <w:t xml:space="preserve">供应商在制作</w:t>
      </w:r>
      <w:r>
        <w:rPr>
          <w:rFonts w:hint="eastAsia" w:ascii="仿宋" w:hAnsi="仿宋" w:eastAsia="仿宋" w:cs="Times New Roman"/>
          <w:b/>
          <w:bCs/>
          <w:color w:val="auto"/>
          <w:sz w:val="28"/>
          <w:szCs w:val="28"/>
          <w:highlight w:val="none"/>
        </w:rPr>
        <w:t xml:space="preserve">响应</w:t>
      </w:r>
      <w:r>
        <w:rPr>
          <w:rFonts w:ascii="仿宋" w:hAnsi="仿宋" w:eastAsia="仿宋" w:cs="Times New Roman"/>
          <w:b/>
          <w:bCs/>
          <w:color w:val="auto"/>
          <w:sz w:val="28"/>
          <w:szCs w:val="28"/>
          <w:highlight w:val="none"/>
        </w:rPr>
        <w:t xml:space="preserve">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供</w:t>
      </w:r>
      <w:r>
        <w:rPr>
          <w:rFonts w:ascii="仿宋" w:hAnsi="仿宋" w:eastAsia="仿宋" w:cs="Times New Roman"/>
          <w:b/>
          <w:bCs/>
          <w:color w:val="auto"/>
          <w:sz w:val="28"/>
          <w:szCs w:val="28"/>
          <w:highlight w:val="none"/>
        </w:rPr>
        <w:t xml:space="preserve">应商不能简单照搬照抄</w:t>
      </w:r>
      <w:r>
        <w:rPr>
          <w:rFonts w:hint="eastAsia" w:ascii="仿宋" w:hAnsi="仿宋" w:eastAsia="仿宋" w:cs="Times New Roman"/>
          <w:b/>
          <w:bCs/>
          <w:color w:val="auto"/>
          <w:sz w:val="28"/>
          <w:szCs w:val="28"/>
          <w:highlight w:val="none"/>
          <w:lang w:eastAsia="zh-CN"/>
        </w:rPr>
        <w:t xml:space="preserve">谈判</w:t>
      </w:r>
      <w:r>
        <w:rPr>
          <w:rFonts w:ascii="仿宋" w:hAnsi="仿宋" w:eastAsia="仿宋" w:cs="Times New Roman"/>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cs="Times New Roman"/>
          <w:b/>
          <w:bCs/>
          <w:color w:val="auto"/>
          <w:sz w:val="28"/>
          <w:szCs w:val="28"/>
          <w:highlight w:val="none"/>
        </w:rPr>
        <w:t xml:space="preserve">采购人</w:t>
      </w:r>
      <w:r>
        <w:rPr>
          <w:rFonts w:ascii="仿宋" w:hAnsi="仿宋" w:eastAsia="仿宋" w:cs="Times New Roman"/>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cs="Times New Roman"/>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70" w:name="_Toc16578"/>
      <w:r>
        <w:rPr>
          <w:rFonts w:hint="eastAsia" w:ascii="黑体" w:hAnsi="黑体" w:eastAsia="黑体"/>
          <w:color w:val="auto"/>
          <w:sz w:val="28"/>
          <w:szCs w:val="28"/>
          <w:highlight w:val="none"/>
        </w:rPr>
        <w:t xml:space="preserve">一、项目简介</w:t>
      </w:r>
      <w:bookmarkEnd w:id="70"/>
      <w:r/>
      <w:r/>
    </w:p>
    <w:p>
      <w:pPr>
        <w:ind w:firstLine="560"/>
        <w:spacing w:line="500" w:lineRule="exact"/>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rPr>
        <w:t xml:space="preserve">东陈镇2026年度农村生态河道提升项目</w:t>
      </w:r>
      <w:r>
        <w:rPr>
          <w:rFonts w:hint="eastAsia" w:ascii="仿宋" w:hAnsi="仿宋" w:eastAsia="仿宋" w:cs="Times New Roman"/>
          <w:color w:val="auto"/>
          <w:sz w:val="28"/>
          <w:szCs w:val="28"/>
          <w:highlight w:val="none"/>
          <w:lang w:eastAsia="zh-CN"/>
        </w:rPr>
        <w:t xml:space="preserve">。</w:t>
      </w:r>
      <w:r/>
    </w:p>
    <w:p>
      <w:pPr>
        <w:ind w:firstLine="560"/>
        <w:spacing w:line="500" w:lineRule="exact"/>
        <w:rPr>
          <w:rFonts w:ascii="黑体" w:hAnsi="黑体" w:eastAsia="黑体"/>
          <w:color w:val="auto"/>
          <w:sz w:val="28"/>
          <w:szCs w:val="28"/>
          <w:highlight w:val="none"/>
        </w:rPr>
        <w:outlineLvl w:val="1"/>
      </w:pPr>
      <w:r/>
      <w:bookmarkStart w:id="71" w:name="_Toc17201"/>
      <w:r>
        <w:rPr>
          <w:rFonts w:hint="eastAsia" w:ascii="黑体" w:hAnsi="黑体" w:eastAsia="黑体"/>
          <w:color w:val="auto"/>
          <w:sz w:val="28"/>
          <w:szCs w:val="28"/>
          <w:highlight w:val="none"/>
        </w:rPr>
        <w:t xml:space="preserve">二、采购内容</w:t>
      </w:r>
      <w:bookmarkEnd w:id="71"/>
      <w:r/>
      <w:r/>
    </w:p>
    <w:p>
      <w:pPr>
        <w:ind w:firstLine="560"/>
        <w:spacing w:line="500" w:lineRule="exact"/>
        <w:rPr>
          <w:rFonts w:ascii="仿宋" w:hAnsi="仿宋" w:eastAsia="仿宋"/>
          <w:color w:val="auto"/>
          <w:sz w:val="28"/>
          <w:szCs w:val="28"/>
          <w:highlight w:val="none"/>
        </w:rPr>
      </w:pPr>
      <w:r>
        <w:rPr>
          <w:rFonts w:hint="eastAsia" w:ascii="仿宋" w:hAnsi="仿宋" w:eastAsia="仿宋" w:cs="Times New Roman"/>
          <w:color w:val="auto"/>
          <w:sz w:val="28"/>
          <w:szCs w:val="28"/>
          <w:highlight w:val="none"/>
        </w:rPr>
        <w:t xml:space="preserve">东陈镇2026年度农村生态河道提升项目</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具体建设规模、工程特征、自然地理条件、环境保护要求、现场实际情况、交通运输情况等</w:t>
      </w:r>
      <w:r>
        <w:rPr>
          <w:rFonts w:hint="eastAsia" w:ascii="仿宋" w:hAnsi="仿宋" w:eastAsia="仿宋"/>
          <w:color w:val="auto"/>
          <w:sz w:val="28"/>
          <w:szCs w:val="28"/>
          <w:highlight w:val="none"/>
          <w:lang w:val="en-US" w:eastAsia="zh-CN"/>
        </w:rPr>
        <w:t xml:space="preserve">自行踏勘现场及参</w:t>
      </w:r>
      <w:r>
        <w:rPr>
          <w:rFonts w:hint="eastAsia" w:ascii="仿宋" w:hAnsi="仿宋" w:eastAsia="仿宋"/>
          <w:color w:val="auto"/>
          <w:sz w:val="28"/>
          <w:szCs w:val="28"/>
          <w:highlight w:val="none"/>
        </w:rPr>
        <w:t xml:space="preserve">见：附件1</w:t>
      </w:r>
      <w:r>
        <w:rPr>
          <w:rFonts w:hint="eastAsia" w:ascii="仿宋" w:hAnsi="仿宋" w:eastAsia="仿宋"/>
          <w:color w:val="auto"/>
          <w:sz w:val="28"/>
          <w:szCs w:val="28"/>
          <w:highlight w:val="none"/>
          <w:lang w:val="en-US" w:eastAsia="zh-CN"/>
        </w:rPr>
        <w:t xml:space="preserve">清单编制说明；附件2</w:t>
      </w:r>
      <w:r>
        <w:rPr>
          <w:rFonts w:hint="eastAsia" w:ascii="仿宋" w:hAnsi="仿宋" w:eastAsia="仿宋"/>
          <w:color w:val="auto"/>
          <w:sz w:val="28"/>
          <w:szCs w:val="28"/>
          <w:highlight w:val="none"/>
        </w:rPr>
        <w:t xml:space="preserve">图纸</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工程量清单。</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rPr>
        <w:t xml:space="preserve">响应供应商在</w:t>
      </w:r>
      <w:r>
        <w:rPr>
          <w:rFonts w:hint="eastAsia" w:ascii="仿宋" w:hAnsi="仿宋" w:eastAsia="仿宋"/>
          <w:color w:val="auto"/>
          <w:sz w:val="28"/>
          <w:szCs w:val="28"/>
          <w:highlight w:val="none"/>
          <w:lang w:val="en-US" w:eastAsia="zh-CN"/>
        </w:rPr>
        <w:t xml:space="preserve">谈判</w:t>
      </w:r>
      <w:r>
        <w:rPr>
          <w:rFonts w:hint="eastAsia" w:ascii="仿宋" w:hAnsi="仿宋" w:eastAsia="仿宋"/>
          <w:color w:val="auto"/>
          <w:sz w:val="28"/>
          <w:szCs w:val="28"/>
          <w:highlight w:val="none"/>
        </w:rPr>
        <w:t xml:space="preserve">截止时间前自行踏勘现场，清单中如有描述不到的参考现场实际情况，</w:t>
      </w:r>
      <w:r>
        <w:rPr>
          <w:rFonts w:hint="eastAsia" w:ascii="仿宋" w:hAnsi="仿宋" w:eastAsia="仿宋"/>
          <w:color w:val="auto"/>
          <w:sz w:val="28"/>
          <w:szCs w:val="28"/>
          <w:highlight w:val="none"/>
          <w:lang w:val="en-US" w:eastAsia="zh-CN"/>
        </w:rPr>
        <w:t xml:space="preserve">须</w:t>
      </w:r>
      <w:r>
        <w:rPr>
          <w:rFonts w:hint="eastAsia" w:ascii="仿宋" w:hAnsi="仿宋" w:eastAsia="仿宋"/>
          <w:color w:val="auto"/>
          <w:sz w:val="28"/>
          <w:szCs w:val="28"/>
          <w:highlight w:val="none"/>
        </w:rPr>
        <w:t xml:space="preserve">包含在综合单价</w:t>
      </w:r>
      <w:r>
        <w:rPr>
          <w:rFonts w:hint="eastAsia" w:ascii="仿宋" w:hAnsi="仿宋" w:eastAsia="仿宋"/>
          <w:color w:val="auto"/>
          <w:sz w:val="28"/>
          <w:szCs w:val="28"/>
          <w:highlight w:val="none"/>
          <w:lang w:val="en-US" w:eastAsia="zh-CN"/>
        </w:rPr>
        <w:t xml:space="preserve">报价</w:t>
      </w:r>
      <w:r>
        <w:rPr>
          <w:rFonts w:hint="eastAsia" w:ascii="仿宋" w:hAnsi="仿宋" w:eastAsia="仿宋"/>
          <w:color w:val="auto"/>
          <w:sz w:val="28"/>
          <w:szCs w:val="28"/>
          <w:highlight w:val="none"/>
        </w:rPr>
        <w:t xml:space="preserve">中。成交供应商进场后不得以不了解现场为由提出增加费用的要求。</w:t>
      </w:r>
      <w:r/>
    </w:p>
    <w:p>
      <w:pPr>
        <w:ind w:firstLine="560"/>
        <w:spacing w:line="500" w:lineRule="exact"/>
        <w:rPr>
          <w:rFonts w:ascii="仿宋" w:hAnsi="仿宋" w:eastAsia="仿宋"/>
          <w:color w:val="auto"/>
          <w:sz w:val="28"/>
          <w:szCs w:val="28"/>
          <w:highlight w:val="none"/>
        </w:rPr>
        <w:outlineLvl w:val="1"/>
      </w:pPr>
      <w:r/>
      <w:bookmarkStart w:id="72" w:name="_Toc2687"/>
      <w:r>
        <w:rPr>
          <w:rFonts w:hint="eastAsia" w:ascii="黑体" w:hAnsi="黑体" w:eastAsia="黑体"/>
          <w:color w:val="auto"/>
          <w:sz w:val="28"/>
          <w:szCs w:val="28"/>
          <w:highlight w:val="none"/>
        </w:rPr>
        <w:t xml:space="preserve">三、技术要求</w:t>
      </w:r>
      <w:bookmarkEnd w:id="72"/>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Times New Roman"/>
          <w:color w:val="auto"/>
          <w:sz w:val="28"/>
          <w:szCs w:val="28"/>
          <w:highlight w:val="none"/>
          <w:lang w:val="en-US" w:eastAsia="zh-CN"/>
        </w:rPr>
        <w:t xml:space="preserve">成交供应商应严格按照规范及采购文件、工程量清单、图纸等相关要求组织施工。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（二）施工期间做好清洁和保护工作，确保出入人员及车辆安全。</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（三）成交供应商在项目施工中必须严格遵守相关的法规、规范和现场采购人的规定，</w:t>
      </w:r>
      <w:r>
        <w:rPr>
          <w:rFonts w:hint="eastAsia" w:ascii="仿宋" w:hAnsi="仿宋" w:eastAsia="仿宋"/>
          <w:bCs/>
          <w:color w:val="auto"/>
          <w:sz w:val="28"/>
          <w:szCs w:val="28"/>
          <w:highlight w:val="none"/>
        </w:rPr>
        <w:t xml:space="preserve">督促现场施工人员规范操作，采取严格有力的安全防护措施，做好安全防护工作（包括施工现场防护等），确保施工安装的人身安全，相关专业技术岗位必须持证上岗，一切安全责任均由成交人自负。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（四）成交供应商必须按不低于采购文件要求的材料质量及技术要求等标准供货、施工、安装等。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（五）施工期间的水、电费用由成交供应商负责。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（六）成交供应商施工中必须按时清理施工场地，垃圾必须清理离场。竣工时对施工场所全面打扫。</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（七）成交供应商在施工中做到项目负责人全程现场管理。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（八）采购人有权对成交人提供的材料和设备进行复检，成交人应予以积极配合，对不符合设计要求及验收规范的材料和设备，有权终止使用，发生的一切损失和费用由成交人承担。</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（九）成交供应商必须遵守政府有关主管部门对施工噪音、环境保护和安全生产等的管理规定，如因成交供应商的原因，导致扰民投诉及相关部门罚款的，均由成交供应商负责处理，费用自理。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（十）成交供应商不得拒绝完成采购人在施工地点范围内变更或要求增加的工程内容。</w:t>
      </w:r>
      <w:r/>
    </w:p>
    <w:p>
      <w:pPr>
        <w:pStyle w:val="711"/>
        <w:ind w:firstLine="560"/>
        <w:spacing w:line="520" w:lineRule="exact"/>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十一</w:t>
      </w:r>
      <w:r>
        <w:rPr>
          <w:rFonts w:hint="eastAsia" w:ascii="仿宋" w:hAnsi="仿宋" w:eastAsia="仿宋" w:cs="仿宋"/>
          <w:bCs/>
          <w:color w:val="auto"/>
          <w:sz w:val="28"/>
          <w:szCs w:val="28"/>
          <w:highlight w:val="none"/>
        </w:rPr>
        <w:t xml:space="preserve">）供应商对工程质量缺陷不予更正，采购单位有权另请其他单位更正，所发生的费用由成交供应商承担。</w:t>
      </w:r>
      <w:r/>
    </w:p>
    <w:p>
      <w:pPr>
        <w:ind w:firstLine="560"/>
        <w:spacing w:line="500" w:lineRule="exact"/>
        <w:rPr>
          <w:rFonts w:ascii="仿宋" w:hAnsi="仿宋" w:eastAsia="仿宋"/>
          <w:color w:val="auto"/>
          <w:sz w:val="28"/>
          <w:szCs w:val="28"/>
          <w:highlight w:val="none"/>
        </w:rPr>
        <w:outlineLvl w:val="1"/>
      </w:pPr>
      <w:r/>
      <w:bookmarkStart w:id="73" w:name="_Toc23862"/>
      <w:r>
        <w:rPr>
          <w:rFonts w:hint="eastAsia" w:ascii="黑体" w:hAnsi="黑体" w:eastAsia="黑体"/>
          <w:color w:val="auto"/>
          <w:sz w:val="28"/>
          <w:szCs w:val="28"/>
          <w:highlight w:val="none"/>
        </w:rPr>
        <w:t xml:space="preserve">四、质量标准</w:t>
      </w:r>
      <w:bookmarkEnd w:id="73"/>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（一）响应供应商不能简单照搬</w:t>
      </w:r>
      <w:r>
        <w:rPr>
          <w:rFonts w:hint="eastAsia" w:ascii="仿宋" w:hAnsi="仿宋" w:eastAsia="仿宋"/>
          <w:bCs/>
          <w:color w:val="auto"/>
          <w:sz w:val="28"/>
          <w:szCs w:val="28"/>
          <w:highlight w:val="none"/>
          <w:lang w:val="en-US" w:eastAsia="zh-CN"/>
        </w:rPr>
        <w:t xml:space="preserve">采购</w:t>
      </w:r>
      <w:r>
        <w:rPr>
          <w:rFonts w:hint="eastAsia" w:ascii="仿宋" w:hAnsi="仿宋" w:eastAsia="仿宋"/>
          <w:bCs/>
          <w:color w:val="auto"/>
          <w:sz w:val="28"/>
          <w:szCs w:val="28"/>
          <w:highlight w:val="none"/>
        </w:rPr>
        <w:t xml:space="preserve">文件提供的需求，必须按</w:t>
      </w:r>
      <w:r>
        <w:rPr>
          <w:rFonts w:hint="eastAsia" w:ascii="仿宋" w:hAnsi="仿宋" w:eastAsia="仿宋"/>
          <w:bCs/>
          <w:color w:val="auto"/>
          <w:sz w:val="28"/>
          <w:szCs w:val="28"/>
          <w:highlight w:val="none"/>
          <w:lang w:val="en-US" w:eastAsia="zh-CN"/>
        </w:rPr>
        <w:t xml:space="preserve">采购</w:t>
      </w:r>
      <w:r>
        <w:rPr>
          <w:rFonts w:hint="eastAsia" w:ascii="仿宋" w:hAnsi="仿宋" w:eastAsia="仿宋"/>
          <w:bCs/>
          <w:color w:val="auto"/>
          <w:sz w:val="28"/>
          <w:szCs w:val="28"/>
          <w:highlight w:val="none"/>
        </w:rPr>
        <w:t xml:space="preserve">文件技术规格逐项作出实质性应答，如照搬照抄项目需求中的技术的，成交后成交人在同采购人签订合同和履约环节中不得提出异议，一切后果和损失由成交人承担。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质量要求：合格；施工前需提供合格样品，需保证合同项目下所用材料是全新的、未使用过的，需与提供的样品一致且经检验是合格的。需按图纸设计要求做到安全文明施工，工完料尽，满足相关施工验收标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成交人应保证货物是全新、未使用过的原装合格正品，并完全符合采购文件及本合同规定的质量、规格和性能的要求。验收过程中发现产品不符合上述要求的，将视作不合格产品，采购人有权终止合同，造成的一切损失由成交人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（四）成交人应保证提供的产品不得侵犯第三方专利权、商标权和设计权、版权等。否则，成交人应负全部责任，并承担由此引起的一切后果。</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（五）成交人应保证其货物在正确安装、正常使用下，在其使用寿命期内应具有满意的性能。</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（六）成交人应采取必要的安全措施保证货物的运输及安装的安全，并承担货物的运输及安装过程中产生的风险。</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（七）成交人必须保证所提供的产品符合国家相应质量要求，供货时必须随产品提供出厂材料，包括但不限于检验报告（复印件）、产品合格证（原件）。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（八）成交人所供货物最终验收后，成交人应对由于设计、工艺或材料的缺陷而发生的任何不足或故障负责，并承担由此引起的一切后果。</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九）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color w:val="auto"/>
          <w:highlight w:val="none"/>
        </w:rPr>
      </w:pPr>
      <w:r>
        <w:rPr>
          <w:rFonts w:hint="eastAsia" w:ascii="仿宋" w:hAnsi="仿宋" w:eastAsia="仿宋"/>
          <w:bCs/>
          <w:color w:val="auto"/>
          <w:sz w:val="28"/>
          <w:szCs w:val="28"/>
          <w:highlight w:val="none"/>
        </w:rPr>
        <w:t xml:space="preserve">（十）在项目采购或实施过程中，如国家标准修改，应按照新国家标准实施；如本</w:t>
      </w:r>
      <w:r>
        <w:rPr>
          <w:rFonts w:hint="eastAsia" w:ascii="仿宋" w:hAnsi="仿宋" w:eastAsia="仿宋"/>
          <w:bCs/>
          <w:color w:val="auto"/>
          <w:sz w:val="28"/>
          <w:szCs w:val="28"/>
          <w:highlight w:val="none"/>
          <w:lang w:val="en-US" w:eastAsia="zh-CN"/>
        </w:rPr>
        <w:t xml:space="preserve">采购</w:t>
      </w:r>
      <w:r>
        <w:rPr>
          <w:rFonts w:hint="eastAsia" w:ascii="仿宋" w:hAnsi="仿宋" w:eastAsia="仿宋"/>
          <w:bCs/>
          <w:color w:val="auto"/>
          <w:sz w:val="28"/>
          <w:szCs w:val="28"/>
          <w:highlight w:val="none"/>
        </w:rPr>
        <w:t xml:space="preserve">文件规定高于国家标准，无论新旧标准，均按本</w:t>
      </w:r>
      <w:r>
        <w:rPr>
          <w:rFonts w:hint="eastAsia" w:ascii="仿宋" w:hAnsi="仿宋" w:eastAsia="仿宋"/>
          <w:bCs/>
          <w:color w:val="auto"/>
          <w:sz w:val="28"/>
          <w:szCs w:val="28"/>
          <w:highlight w:val="none"/>
          <w:lang w:val="en-US" w:eastAsia="zh-CN"/>
        </w:rPr>
        <w:t xml:space="preserve">采购</w:t>
      </w:r>
      <w:r>
        <w:rPr>
          <w:rFonts w:hint="eastAsia" w:ascii="仿宋" w:hAnsi="仿宋" w:eastAsia="仿宋"/>
          <w:bCs/>
          <w:color w:val="auto"/>
          <w:sz w:val="28"/>
          <w:szCs w:val="28"/>
          <w:highlight w:val="none"/>
        </w:rPr>
        <w:t xml:space="preserve">文件规定实施；如本</w:t>
      </w:r>
      <w:r>
        <w:rPr>
          <w:rFonts w:hint="eastAsia" w:ascii="仿宋" w:hAnsi="仿宋" w:eastAsia="仿宋"/>
          <w:bCs/>
          <w:color w:val="auto"/>
          <w:sz w:val="28"/>
          <w:szCs w:val="28"/>
          <w:highlight w:val="none"/>
          <w:lang w:val="en-US" w:eastAsia="zh-CN"/>
        </w:rPr>
        <w:t xml:space="preserve">采购</w:t>
      </w:r>
      <w:r>
        <w:rPr>
          <w:rFonts w:hint="eastAsia" w:ascii="仿宋" w:hAnsi="仿宋" w:eastAsia="仿宋"/>
          <w:bCs/>
          <w:color w:val="auto"/>
          <w:sz w:val="28"/>
          <w:szCs w:val="28"/>
          <w:highlight w:val="none"/>
        </w:rPr>
        <w:t xml:space="preserve">文件规定低于国家标准，无论新旧标准，均按国家标准规定实施。如本</w:t>
      </w:r>
      <w:r>
        <w:rPr>
          <w:rFonts w:hint="eastAsia" w:ascii="仿宋" w:hAnsi="仿宋" w:eastAsia="仿宋"/>
          <w:bCs/>
          <w:color w:val="auto"/>
          <w:sz w:val="28"/>
          <w:szCs w:val="28"/>
          <w:highlight w:val="none"/>
          <w:lang w:val="en-US" w:eastAsia="zh-CN"/>
        </w:rPr>
        <w:t xml:space="preserve">采购</w:t>
      </w:r>
      <w:r>
        <w:rPr>
          <w:rFonts w:hint="eastAsia" w:ascii="仿宋" w:hAnsi="仿宋" w:eastAsia="仿宋"/>
          <w:bCs/>
          <w:color w:val="auto"/>
          <w:sz w:val="28"/>
          <w:szCs w:val="28"/>
          <w:highlight w:val="none"/>
        </w:rPr>
        <w:t xml:space="preserve">文件内有内容相互矛盾，以高标准高要求的为准。以上有关风险等由供应商自行考虑并承担。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outlineLvl w:val="1"/>
      </w:pPr>
      <w:r/>
      <w:bookmarkStart w:id="74" w:name="_Toc28126"/>
      <w:r>
        <w:rPr>
          <w:rFonts w:hint="eastAsia" w:ascii="黑体" w:hAnsi="黑体" w:eastAsia="黑体"/>
          <w:color w:val="auto"/>
          <w:sz w:val="28"/>
          <w:szCs w:val="28"/>
          <w:highlight w:val="none"/>
        </w:rPr>
        <w:t xml:space="preserve">五、</w:t>
      </w:r>
      <w:r>
        <w:rPr>
          <w:rFonts w:hint="eastAsia" w:ascii="黑体" w:hAnsi="黑体" w:eastAsia="黑体"/>
          <w:color w:val="auto"/>
          <w:sz w:val="28"/>
          <w:szCs w:val="28"/>
          <w:highlight w:val="none"/>
          <w:lang w:val="en-US" w:eastAsia="zh-CN"/>
        </w:rPr>
        <w:t xml:space="preserve">工期</w:t>
      </w:r>
      <w:r>
        <w:rPr>
          <w:rFonts w:hint="eastAsia" w:ascii="黑体" w:hAnsi="黑体" w:eastAsia="黑体"/>
          <w:color w:val="auto"/>
          <w:sz w:val="28"/>
          <w:szCs w:val="28"/>
          <w:highlight w:val="none"/>
        </w:rPr>
        <w:t xml:space="preserve">和地点</w:t>
      </w:r>
      <w:bookmarkEnd w:id="74"/>
      <w:r/>
      <w:r/>
    </w:p>
    <w:p>
      <w:pPr>
        <w:ind w:firstLine="560"/>
        <w:spacing w:line="500" w:lineRule="exact"/>
        <w:rPr>
          <w:rFonts w:hint="default" w:ascii="仿宋" w:hAnsi="仿宋" w:eastAsia="仿宋"/>
          <w:color w:val="auto"/>
          <w:sz w:val="28"/>
          <w:szCs w:val="24"/>
          <w:highlight w:val="none"/>
          <w:lang w:val="en-US" w:eastAsia="zh-CN"/>
        </w:rPr>
      </w:pPr>
      <w:r>
        <w:rPr>
          <w:rFonts w:hint="eastAsia" w:ascii="仿宋" w:hAnsi="仿宋" w:eastAsia="仿宋"/>
          <w:color w:val="auto"/>
          <w:sz w:val="28"/>
          <w:szCs w:val="28"/>
          <w:highlight w:val="none"/>
          <w:lang w:val="en-US" w:eastAsia="zh-CN"/>
        </w:rPr>
        <w:t xml:space="preserve">工期</w:t>
      </w:r>
      <w:r>
        <w:rPr>
          <w:rFonts w:hint="eastAsia" w:ascii="仿宋" w:hAnsi="仿宋" w:eastAsia="仿宋"/>
          <w:color w:val="auto"/>
          <w:sz w:val="28"/>
          <w:szCs w:val="28"/>
          <w:highlight w:val="none"/>
        </w:rPr>
        <w:t xml:space="preserve">：</w:t>
      </w:r>
      <w:r>
        <w:rPr>
          <w:rFonts w:hint="eastAsia" w:ascii="仿宋" w:hAnsi="仿宋" w:eastAsia="仿宋"/>
          <w:color w:val="auto"/>
          <w:sz w:val="28"/>
          <w:szCs w:val="24"/>
          <w:highlight w:val="none"/>
          <w:lang w:val="en-US" w:eastAsia="zh-CN"/>
        </w:rPr>
        <w:t xml:space="preserve">自合同签订之日起一个月内完工，具体时间以采购人通知为准。</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地点：</w:t>
      </w:r>
      <w:r>
        <w:rPr>
          <w:rFonts w:hint="eastAsia" w:ascii="仿宋" w:hAnsi="仿宋" w:eastAsia="仿宋"/>
          <w:color w:val="auto"/>
          <w:sz w:val="28"/>
          <w:szCs w:val="28"/>
          <w:highlight w:val="none"/>
          <w:lang w:val="en-US" w:eastAsia="zh-CN"/>
        </w:rPr>
        <w:t xml:space="preserve">采购人指定地点</w:t>
      </w:r>
      <w:r/>
    </w:p>
    <w:p>
      <w:pPr>
        <w:ind w:firstLine="560"/>
        <w:spacing w:line="500" w:lineRule="exact"/>
        <w:rPr>
          <w:rFonts w:ascii="黑体" w:hAnsi="黑体" w:eastAsia="黑体"/>
          <w:color w:val="auto"/>
          <w:sz w:val="28"/>
          <w:szCs w:val="28"/>
          <w:highlight w:val="none"/>
        </w:rPr>
        <w:outlineLvl w:val="1"/>
      </w:pPr>
      <w:r/>
      <w:bookmarkStart w:id="75" w:name="_Toc22979"/>
      <w:r/>
      <w:bookmarkStart w:id="76" w:name="_Toc22894"/>
      <w:r>
        <w:rPr>
          <w:rFonts w:hint="eastAsia" w:ascii="黑体" w:hAnsi="黑体" w:eastAsia="黑体"/>
          <w:color w:val="auto"/>
          <w:sz w:val="28"/>
          <w:szCs w:val="28"/>
          <w:highlight w:val="none"/>
        </w:rPr>
        <w:t xml:space="preserve">六、</w:t>
      </w:r>
      <w:bookmarkEnd w:id="75"/>
      <w:r/>
      <w:bookmarkStart w:id="77" w:name="_Toc10550"/>
      <w:r/>
      <w:bookmarkStart w:id="78" w:name="_Toc26741"/>
      <w:r>
        <w:rPr>
          <w:rFonts w:hint="eastAsia" w:ascii="黑体" w:hAnsi="黑体" w:eastAsia="黑体"/>
          <w:color w:val="auto"/>
          <w:sz w:val="28"/>
          <w:szCs w:val="28"/>
          <w:highlight w:val="none"/>
        </w:rPr>
        <w:t xml:space="preserve">验收方案</w:t>
      </w:r>
      <w:bookmarkEnd w:id="76"/>
      <w:r/>
      <w:bookmarkEnd w:id="77"/>
      <w:r/>
      <w:r/>
    </w:p>
    <w:p>
      <w:pPr>
        <w:ind w:firstLine="560"/>
        <w:spacing w:line="520" w:lineRule="exact"/>
        <w:rPr>
          <w:rFonts w:hint="eastAsia" w:ascii="仿宋" w:hAnsi="仿宋" w:eastAsia="仿宋" w:cs="仿宋"/>
          <w:color w:val="auto"/>
          <w:sz w:val="28"/>
          <w:szCs w:val="28"/>
          <w:highlight w:val="none"/>
        </w:rPr>
        <w:outlineLvl w:val="9"/>
      </w:pPr>
      <w:r/>
      <w:bookmarkStart w:id="79" w:name="_Toc18790"/>
      <w:r/>
      <w:bookmarkStart w:id="80" w:name="_Toc10292"/>
      <w:r/>
      <w:bookmarkStart w:id="81" w:name="_Toc19307"/>
      <w:r/>
      <w:bookmarkStart w:id="82" w:name="_Toc18484"/>
      <w:r/>
      <w:bookmarkStart w:id="83" w:name="_Toc5264"/>
      <w:r/>
      <w:bookmarkStart w:id="84" w:name="_Toc9959"/>
      <w:r>
        <w:rPr>
          <w:rFonts w:hint="eastAsia" w:ascii="仿宋" w:hAnsi="仿宋" w:eastAsia="仿宋" w:cs="仿宋"/>
          <w:color w:val="auto"/>
          <w:sz w:val="28"/>
          <w:szCs w:val="28"/>
          <w:highlight w:val="none"/>
        </w:rPr>
        <w:t xml:space="preserve">以采购单位现场验收考核、工程竣工验收证明书为准。</w:t>
      </w:r>
      <w:bookmarkEnd w:id="79"/>
      <w:r/>
      <w:bookmarkEnd w:id="80"/>
      <w:r/>
      <w:bookmarkEnd w:id="81"/>
      <w:r/>
      <w:bookmarkEnd w:id="82"/>
      <w:r/>
      <w:bookmarkEnd w:id="83"/>
      <w:r/>
      <w:bookmarkEnd w:id="84"/>
      <w:r/>
      <w:r/>
    </w:p>
    <w:p>
      <w:pPr>
        <w:ind w:firstLine="560"/>
        <w:spacing w:line="500" w:lineRule="exact"/>
        <w:tabs>
          <w:tab w:val="left" w:pos="8056" w:leader="none"/>
        </w:tabs>
        <w:rPr>
          <w:rFonts w:hint="eastAsia" w:ascii="仿宋" w:hAnsi="仿宋" w:eastAsia="仿宋" w:cs="仿宋"/>
          <w:color w:val="auto"/>
          <w:sz w:val="28"/>
          <w:szCs w:val="28"/>
          <w:highlight w:val="none"/>
        </w:rPr>
        <w:outlineLvl w:val="9"/>
      </w:pPr>
      <w:r/>
      <w:bookmarkStart w:id="85" w:name="_Toc10179"/>
      <w:r/>
      <w:bookmarkStart w:id="86" w:name="_Toc28732"/>
      <w:r/>
      <w:bookmarkStart w:id="87" w:name="_Toc7633"/>
      <w:r/>
      <w:bookmarkStart w:id="88" w:name="_Toc21059"/>
      <w:r/>
      <w:bookmarkStart w:id="89" w:name="_Toc16340"/>
      <w:r/>
      <w:bookmarkStart w:id="90" w:name="_Toc10090"/>
      <w:r/>
      <w:bookmarkStart w:id="91" w:name="_Toc2273"/>
      <w:r/>
      <w:bookmarkStart w:id="92" w:name="_Toc17903"/>
      <w:r/>
      <w:bookmarkStart w:id="93" w:name="_Toc13486"/>
      <w:r>
        <w:rPr>
          <w:rFonts w:hint="eastAsia" w:ascii="仿宋" w:hAnsi="仿宋" w:eastAsia="仿宋" w:cs="仿宋"/>
          <w:color w:val="auto"/>
          <w:sz w:val="28"/>
          <w:szCs w:val="28"/>
          <w:highlight w:val="none"/>
        </w:rPr>
        <w:t xml:space="preserve">在接到施工单位以书面形式提出验收申请后，在</w:t>
      </w:r>
      <w:r>
        <w:rPr>
          <w:rFonts w:hint="eastAsia" w:ascii="仿宋" w:hAnsi="仿宋" w:eastAsia="仿宋" w:cs="仿宋"/>
          <w:color w:val="auto"/>
          <w:sz w:val="28"/>
          <w:szCs w:val="28"/>
          <w:highlight w:val="none"/>
          <w:u w:val="single"/>
        </w:rPr>
        <w:t xml:space="preserve">10</w:t>
      </w:r>
      <w:r>
        <w:rPr>
          <w:rFonts w:hint="eastAsia" w:ascii="仿宋" w:hAnsi="仿宋" w:eastAsia="仿宋" w:cs="仿宋"/>
          <w:color w:val="auto"/>
          <w:sz w:val="28"/>
          <w:szCs w:val="28"/>
          <w:highlight w:val="none"/>
        </w:rPr>
        <w:t xml:space="preserve">个工作日内及时组织相关专业技术人员</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相关部门共同参与验收，并出具验收报告。</w:t>
      </w:r>
      <w:bookmarkEnd w:id="85"/>
      <w:r/>
      <w:bookmarkEnd w:id="86"/>
      <w:r/>
      <w:bookmarkEnd w:id="87"/>
      <w:r/>
      <w:bookmarkEnd w:id="88"/>
      <w:r/>
      <w:bookmarkEnd w:id="89"/>
      <w:r/>
      <w:bookmarkEnd w:id="90"/>
      <w:r/>
      <w:bookmarkEnd w:id="91"/>
      <w:r/>
      <w:bookmarkEnd w:id="92"/>
      <w:r/>
      <w:bookmarkEnd w:id="93"/>
      <w:r/>
      <w:bookmarkEnd w:id="78"/>
      <w:r>
        <w:tab/>
      </w:r>
      <w:r/>
    </w:p>
    <w:p>
      <w:pPr>
        <w:ind w:firstLine="560"/>
        <w:spacing w:line="500" w:lineRule="exact"/>
        <w:rPr>
          <w:rFonts w:ascii="黑体" w:hAnsi="黑体" w:eastAsia="黑体"/>
          <w:color w:val="auto"/>
          <w:sz w:val="28"/>
          <w:szCs w:val="28"/>
          <w:highlight w:val="none"/>
        </w:rPr>
        <w:outlineLvl w:val="1"/>
      </w:pPr>
      <w:r/>
      <w:bookmarkStart w:id="94" w:name="_Toc7684"/>
      <w:r/>
      <w:bookmarkStart w:id="95" w:name="_Toc22102"/>
      <w:r>
        <w:rPr>
          <w:rFonts w:hint="eastAsia" w:ascii="黑体" w:hAnsi="黑体" w:eastAsia="黑体"/>
          <w:color w:val="auto"/>
          <w:sz w:val="28"/>
          <w:szCs w:val="28"/>
          <w:highlight w:val="none"/>
        </w:rPr>
        <w:t xml:space="preserve">七、</w:t>
      </w:r>
      <w:r>
        <w:rPr>
          <w:rFonts w:hint="eastAsia" w:ascii="黑体" w:hAnsi="黑体" w:eastAsia="黑体"/>
          <w:color w:val="auto"/>
          <w:sz w:val="28"/>
          <w:szCs w:val="28"/>
          <w:highlight w:val="none"/>
          <w:lang w:val="en-US" w:eastAsia="zh-CN"/>
        </w:rPr>
        <w:t xml:space="preserve">缺陷责任期</w:t>
      </w:r>
      <w:bookmarkEnd w:id="94"/>
      <w:r/>
      <w:bookmarkEnd w:id="95"/>
      <w:r/>
      <w:r/>
    </w:p>
    <w:p>
      <w:pPr>
        <w:ind w:firstLine="560"/>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自</w:t>
      </w:r>
      <w:r>
        <w:rPr>
          <w:rFonts w:hint="eastAsia" w:ascii="仿宋" w:hAnsi="仿宋" w:eastAsia="仿宋" w:cs="仿宋"/>
          <w:color w:val="auto"/>
          <w:sz w:val="28"/>
          <w:szCs w:val="28"/>
          <w:highlight w:val="none"/>
          <w:lang w:val="en-US" w:eastAsia="zh-CN"/>
        </w:rPr>
        <w:t xml:space="preserve">工程竣工</w:t>
      </w:r>
      <w:r>
        <w:rPr>
          <w:rFonts w:hint="eastAsia" w:ascii="仿宋" w:hAnsi="仿宋" w:eastAsia="仿宋" w:cs="仿宋"/>
          <w:color w:val="auto"/>
          <w:sz w:val="28"/>
          <w:szCs w:val="28"/>
          <w:highlight w:val="none"/>
        </w:rPr>
        <w:t xml:space="preserve">并验收合格之日起计</w:t>
      </w:r>
      <w:r>
        <w:rPr>
          <w:rFonts w:hint="eastAsia" w:ascii="仿宋" w:hAnsi="仿宋" w:eastAsia="仿宋" w:cs="仿宋"/>
          <w:color w:val="auto"/>
          <w:sz w:val="28"/>
          <w:szCs w:val="28"/>
          <w:highlight w:val="none"/>
          <w:u w:val="single"/>
          <w:lang w:val="en-US" w:eastAsia="zh-CN"/>
        </w:rPr>
        <w:t xml:space="preserve">贰</w:t>
      </w:r>
      <w:r>
        <w:rPr>
          <w:rFonts w:hint="eastAsia" w:ascii="仿宋" w:hAnsi="仿宋" w:eastAsia="仿宋" w:cs="仿宋"/>
          <w:color w:val="auto"/>
          <w:sz w:val="28"/>
          <w:szCs w:val="28"/>
          <w:highlight w:val="none"/>
        </w:rPr>
        <w:t xml:space="preserve">年。</w:t>
      </w:r>
      <w:r/>
    </w:p>
    <w:p>
      <w:pPr>
        <w:numPr>
          <w:ilvl w:val="0"/>
          <w:numId w:val="1"/>
        </w:numPr>
        <w:ind w:firstLine="560"/>
        <w:spacing w:line="500" w:lineRule="exact"/>
        <w:rPr>
          <w:rFonts w:hint="eastAsia" w:ascii="黑体" w:hAnsi="黑体" w:eastAsia="黑体"/>
          <w:color w:val="auto"/>
          <w:sz w:val="28"/>
          <w:szCs w:val="28"/>
          <w:highlight w:val="none"/>
        </w:rPr>
        <w:outlineLvl w:val="1"/>
      </w:pPr>
      <w:r/>
      <w:bookmarkStart w:id="96" w:name="_Toc22046"/>
      <w:r/>
      <w:bookmarkStart w:id="97" w:name="_Toc6214"/>
      <w:r>
        <w:rPr>
          <w:rFonts w:hint="eastAsia" w:ascii="黑体" w:hAnsi="黑体" w:eastAsia="黑体"/>
          <w:color w:val="auto"/>
          <w:sz w:val="28"/>
          <w:szCs w:val="28"/>
          <w:highlight w:val="none"/>
        </w:rPr>
        <w:t xml:space="preserve">付款方式</w:t>
      </w:r>
      <w:bookmarkEnd w:id="96"/>
      <w:r/>
      <w:bookmarkEnd w:id="97"/>
      <w:r/>
      <w:r/>
    </w:p>
    <w:p>
      <w:pPr>
        <w:ind w:firstLine="560"/>
        <w:keepLines w:val="0"/>
        <w:keepNext w:val="0"/>
        <w:pageBreakBefore w:val="0"/>
        <w:spacing w:line="50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自工程竣工验收合格后当年农历年底付至合同价的40%，验收合格满一年农历年底付至审计价的70%，余款于验收合格满两年且无质量问题后</w:t>
      </w:r>
      <w:r>
        <w:rPr>
          <w:rFonts w:hint="eastAsia" w:ascii="仿宋" w:hAnsi="仿宋" w:eastAsia="仿宋" w:cs="仿宋"/>
          <w:color w:val="auto"/>
          <w:sz w:val="28"/>
          <w:szCs w:val="28"/>
          <w:highlight w:val="none"/>
          <w:lang w:eastAsia="zh-CN"/>
        </w:rPr>
        <w:t xml:space="preserve">按</w:t>
      </w:r>
      <w:r>
        <w:rPr>
          <w:rFonts w:hint="eastAsia" w:ascii="仿宋" w:hAnsi="仿宋" w:eastAsia="仿宋" w:cs="仿宋"/>
          <w:color w:val="auto"/>
          <w:sz w:val="28"/>
          <w:szCs w:val="28"/>
          <w:highlight w:val="none"/>
          <w:lang w:val="en-US" w:eastAsia="zh-CN"/>
        </w:rPr>
        <w:t xml:space="preserve">审计价</w:t>
      </w:r>
      <w:r>
        <w:rPr>
          <w:rFonts w:hint="eastAsia" w:ascii="仿宋" w:hAnsi="仿宋" w:eastAsia="仿宋" w:cs="仿宋"/>
          <w:color w:val="auto"/>
          <w:sz w:val="28"/>
          <w:szCs w:val="28"/>
          <w:highlight w:val="none"/>
          <w:lang w:eastAsia="zh-CN"/>
        </w:rPr>
        <w:t xml:space="preserve">扣除已付款项一次性付清</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每次支付前，成交人均应出具在税务部门开具的正式税票。</w:t>
      </w:r>
      <w:r/>
    </w:p>
    <w:p>
      <w:pPr>
        <w:ind w:firstLine="560"/>
        <w:spacing w:line="500" w:lineRule="exact"/>
        <w:rPr>
          <w:rFonts w:ascii="仿宋" w:hAnsi="仿宋" w:eastAsia="仿宋"/>
          <w:color w:val="auto"/>
          <w:sz w:val="28"/>
          <w:szCs w:val="28"/>
          <w:highlight w:val="none"/>
        </w:rPr>
        <w:outlineLvl w:val="1"/>
      </w:pPr>
      <w:r/>
      <w:bookmarkStart w:id="98" w:name="_Toc551"/>
      <w:r/>
      <w:bookmarkStart w:id="99" w:name="_Toc7221"/>
      <w:r>
        <w:rPr>
          <w:rFonts w:hint="eastAsia" w:ascii="黑体" w:hAnsi="黑体" w:eastAsia="黑体"/>
          <w:color w:val="auto"/>
          <w:sz w:val="28"/>
          <w:szCs w:val="28"/>
          <w:highlight w:val="none"/>
          <w:lang w:val="en-US" w:eastAsia="zh-CN"/>
        </w:rPr>
        <w:t xml:space="preserve">九</w:t>
      </w: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eastAsia="zh-CN"/>
        </w:rPr>
        <w:t xml:space="preserve">谈判</w:t>
      </w:r>
      <w:r>
        <w:rPr>
          <w:rFonts w:hint="eastAsia" w:ascii="黑体" w:hAnsi="黑体" w:eastAsia="黑体"/>
          <w:color w:val="auto"/>
          <w:sz w:val="28"/>
          <w:szCs w:val="28"/>
          <w:highlight w:val="none"/>
        </w:rPr>
        <w:t xml:space="preserve">过程中可能会实质性变动的内容</w:t>
      </w:r>
      <w:bookmarkEnd w:id="98"/>
      <w:r/>
      <w:bookmarkEnd w:id="99"/>
      <w:r/>
      <w:r/>
    </w:p>
    <w:p>
      <w:pPr>
        <w:ind w:firstLine="560"/>
        <w:spacing w:line="50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采购需求中的技术、服务要求以及合同草案条款</w:t>
      </w:r>
      <w:r>
        <w:rPr>
          <w:rFonts w:hint="eastAsia" w:ascii="仿宋" w:hAnsi="仿宋" w:eastAsia="仿宋"/>
          <w:color w:val="auto"/>
          <w:sz w:val="28"/>
          <w:szCs w:val="28"/>
          <w:highlight w:val="none"/>
          <w:lang w:eastAsia="zh-CN"/>
        </w:rPr>
        <w:t xml:space="preserve">。</w:t>
      </w:r>
      <w:r/>
    </w:p>
    <w:p>
      <w:pPr>
        <w:pStyle w:val="685"/>
        <w:ind w:firstLine="560"/>
        <w:spacing w:before="0" w:beforeAutospacing="0" w:after="0" w:afterAutospacing="0" w:line="500" w:lineRule="exact"/>
        <w:rPr>
          <w:rFonts w:ascii="黑体" w:eastAsia="黑体" w:cs="Times New Roman"/>
          <w:color w:val="auto"/>
          <w:sz w:val="28"/>
          <w:szCs w:val="28"/>
          <w:highlight w:val="none"/>
        </w:rPr>
        <w:outlineLvl w:val="1"/>
      </w:pPr>
      <w:r/>
      <w:bookmarkStart w:id="100" w:name="_Toc11143"/>
      <w:r/>
      <w:bookmarkStart w:id="101" w:name="_Toc26725"/>
      <w:r/>
      <w:bookmarkStart w:id="102" w:name="_Toc10481"/>
      <w:r>
        <w:rPr>
          <w:rFonts w:hint="eastAsia" w:ascii="黑体" w:eastAsia="黑体" w:cs="黑体"/>
          <w:color w:val="auto"/>
          <w:sz w:val="28"/>
          <w:szCs w:val="28"/>
          <w:highlight w:val="none"/>
          <w:lang w:val="en-US" w:eastAsia="zh-CN"/>
        </w:rPr>
        <w:t xml:space="preserve">十</w:t>
      </w:r>
      <w:r>
        <w:rPr>
          <w:rFonts w:hint="eastAsia" w:ascii="黑体" w:eastAsia="黑体" w:cs="黑体"/>
          <w:color w:val="auto"/>
          <w:sz w:val="28"/>
          <w:szCs w:val="28"/>
          <w:highlight w:val="none"/>
        </w:rPr>
        <w:t xml:space="preserve">、安全文明施工</w:t>
      </w:r>
      <w:bookmarkEnd w:id="100"/>
      <w:r/>
      <w:bookmarkEnd w:id="101"/>
      <w:r/>
      <w:bookmarkEnd w:id="102"/>
      <w:r/>
      <w:r/>
    </w:p>
    <w:p>
      <w:pPr>
        <w:pStyle w:val="68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1.项目安全生产的达标目标及相应事项的约定：满足江苏省、南通市等安监部门安全文明生产的要求，做好安全技术教育及交底，落实所有安全技术措施和人身防护用品。</w:t>
      </w:r>
      <w:r/>
    </w:p>
    <w:p>
      <w:pPr>
        <w:pStyle w:val="68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2.建立安全制度、安全检查制度、安全教育制度、工地班前活动制度、文明施工检查制度。</w:t>
      </w:r>
      <w:r/>
    </w:p>
    <w:p>
      <w:pPr>
        <w:pStyle w:val="68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3.成交人应严格按《建设工程安全生产管理条例》等法律、法规采取安全措施、组织施工，如发生事故，责任概由成交人承担。</w:t>
      </w:r>
      <w:r/>
    </w:p>
    <w:p>
      <w:pPr>
        <w:pStyle w:val="68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4.成交人对施工现场的安全生产负责。成交人在工地现场必须配备专职安全员；安全员必须持证上岗。</w:t>
      </w:r>
      <w:r/>
    </w:p>
    <w:p>
      <w:pPr>
        <w:pStyle w:val="68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5.工程施工前和施工中，成交人项目经理或技术负责人应当对有关安全施工技术进行交底；成交人必须编制安全施工措施和施工现场临时用电、施工现场周边及主要通道的安全防护措施及其它有关法规要求的专项施工方案，专项施工方案必须经本单位技术负责人批准后，报采购人代表批准后实施。</w:t>
      </w:r>
      <w:r/>
    </w:p>
    <w:p>
      <w:pPr>
        <w:pStyle w:val="68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6.工程施工前，成交人应根据法律、法规、规范、标准等要求，制定安全施工标准及要求，负责向施工作业班组、作业人员作出详细的说明，并由双方签字确认。</w:t>
      </w:r>
      <w:r/>
    </w:p>
    <w:p>
      <w:pPr>
        <w:pStyle w:val="68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工程施工前，成交人使用的安全防护用具、机械设备（特别是垂直运输机械）、施工机具及配件，应当具有生产（制造）许可证、产品合格证，并在进入施工现场前进行查验，进场安装经有权部门检测合格签字确认后方可使用。</w:t>
      </w:r>
      <w:r/>
    </w:p>
    <w:p>
      <w:pPr>
        <w:pStyle w:val="68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8.特种作业人员，必须按照国家有关规定经过专门的安全作业培训，并取得特种作业操作资格证书后，方可上岗作业。</w:t>
      </w:r>
      <w:r/>
    </w:p>
    <w:p>
      <w:pPr>
        <w:pStyle w:val="68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r/>
    </w:p>
    <w:p>
      <w:pPr>
        <w:pStyle w:val="68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pStyle w:val="68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11.成交人负责施工期间施工区域内的安全保卫工作，包括在施工区域内提供和维护有利于工程和公众安全和方便的灯光、护板、格栅等警告警示信号和警卫。</w:t>
      </w:r>
      <w:r/>
    </w:p>
    <w:p>
      <w:pPr>
        <w:pStyle w:val="68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12.成交人应对现场作业、施工方法及所施工工程的完备性、稳定性和安全性承担全部责任，并负责承担对工程的稳定、完整、安全、可靠及有效运行所必需的全部工作及相关费用。</w:t>
      </w:r>
      <w:r/>
    </w:p>
    <w:p>
      <w:pPr>
        <w:pStyle w:val="68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13.在施工期间，由于非采购人原因造成的事故，成交人需承担全部责任及由此引起的一切费用，采购人不承担任何责任，造成事故严重或多次造成事故的，采购人有权单方解除合同并拒付工程款。</w:t>
      </w:r>
      <w:r/>
    </w:p>
    <w:p>
      <w:pPr>
        <w:pStyle w:val="68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14.环境保护：成交人应在施工组织设计中列明环境保护的具体措施。在合同履行期间，承包人应根据《南通市城乡建设局关于把环境保护纳入合同管</w:t>
      </w:r>
      <w:r>
        <w:rPr>
          <w:rFonts w:hint="eastAsia" w:ascii="仿宋" w:hAnsi="仿宋" w:eastAsia="仿宋" w:cs="仿宋"/>
          <w:color w:val="auto"/>
          <w:sz w:val="28"/>
          <w:szCs w:val="28"/>
          <w:highlight w:val="none"/>
        </w:rPr>
        <w:t xml:space="preserve">理的通知》（通建工〔2018〕97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r/>
    </w:p>
    <w:p>
      <w:pPr>
        <w:pStyle w:val="685"/>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15.在施工过程中，须加强绿色建造与环境管理，做好扬尘防治工作，减少噪音污染。各潜在响应供应商自行踏勘现场，充分考虑城市交通、文明创建等客观因素对工期造成的影响；成交人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r/>
    </w:p>
    <w:p>
      <w:pPr>
        <w:pStyle w:val="685"/>
        <w:ind w:firstLine="560"/>
        <w:spacing w:before="0" w:beforeAutospacing="0" w:after="0" w:afterAutospacing="0" w:line="500" w:lineRule="exact"/>
        <w:rPr>
          <w:rFonts w:ascii="黑体" w:eastAsia="黑体" w:cs="Times New Roman"/>
          <w:color w:val="auto"/>
          <w:sz w:val="28"/>
          <w:szCs w:val="28"/>
          <w:highlight w:val="none"/>
        </w:rPr>
        <w:outlineLvl w:val="1"/>
      </w:pPr>
      <w:r/>
      <w:bookmarkStart w:id="103" w:name="_Toc10024"/>
      <w:r/>
      <w:bookmarkStart w:id="104" w:name="_Toc28986"/>
      <w:r/>
      <w:bookmarkStart w:id="105" w:name="_Toc25011"/>
      <w:r>
        <w:rPr>
          <w:rFonts w:hint="eastAsia" w:ascii="黑体" w:eastAsia="黑体" w:cs="黑体"/>
          <w:color w:val="auto"/>
          <w:sz w:val="28"/>
          <w:szCs w:val="28"/>
          <w:highlight w:val="none"/>
          <w:lang w:val="en-US" w:eastAsia="zh-CN"/>
        </w:rPr>
        <w:t xml:space="preserve">十一</w:t>
      </w:r>
      <w:r>
        <w:rPr>
          <w:rFonts w:hint="eastAsia" w:ascii="黑体" w:eastAsia="黑体" w:cs="黑体"/>
          <w:color w:val="auto"/>
          <w:sz w:val="28"/>
          <w:szCs w:val="28"/>
          <w:highlight w:val="none"/>
        </w:rPr>
        <w:t xml:space="preserve">、结算方式及报价要求</w:t>
      </w:r>
      <w:bookmarkEnd w:id="103"/>
      <w:r/>
      <w:bookmarkEnd w:id="104"/>
      <w:r/>
      <w:bookmarkEnd w:id="105"/>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（一）报价要求</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1.本采购文件规定的工程范围、工程规模、工期要求、技术要求、工程量清单等是响应供应商报价的基础，响应供应商在报价中所报的单价和合价，以及报价汇总表中的价格均包括现场所有</w:t>
      </w:r>
      <w:r>
        <w:rPr>
          <w:rFonts w:hint="eastAsia" w:ascii="仿宋" w:hAnsi="仿宋" w:eastAsia="仿宋"/>
          <w:color w:val="auto"/>
          <w:sz w:val="28"/>
          <w:szCs w:val="28"/>
          <w:highlight w:val="none"/>
          <w:lang w:val="en-US" w:eastAsia="zh-CN"/>
        </w:rPr>
        <w:t xml:space="preserve">施工</w:t>
      </w:r>
      <w:r>
        <w:rPr>
          <w:rFonts w:hint="eastAsia" w:ascii="仿宋" w:hAnsi="仿宋" w:eastAsia="仿宋"/>
          <w:color w:val="auto"/>
          <w:sz w:val="28"/>
          <w:szCs w:val="28"/>
          <w:highlight w:val="none"/>
        </w:rPr>
        <w:t xml:space="preserve">相关费用；材料、运输、施工、安全、垃圾清运、税费、技术措施费、机械进出场费、风险费、政策性文件规定费用、设计费等一切与之相关费用；工程类的直接费、间接费、措施费、规费、税费等一切费用等。</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响应供应商应按采购人提供的工程量清单列出的工程项目和工程量填报单价（合价）。每一项目只允许有一个报价。任何有选择的报价将不予接受。响应供应商未填报单价或合价的工程项目，在实施后，采购人将不予支付，并视为该项费用已包括在其他有价款的单价或合价内。</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b/>
          <w:bCs/>
          <w:color w:val="auto"/>
          <w:sz w:val="28"/>
          <w:szCs w:val="28"/>
          <w:highlight w:val="none"/>
        </w:rPr>
        <w:t xml:space="preserve">报价方式：本工程项目采用固定单价报价</w:t>
      </w:r>
      <w:r>
        <w:rPr>
          <w:rFonts w:hint="eastAsia" w:ascii="仿宋" w:hAnsi="仿宋" w:eastAsia="仿宋" w:cs="Times New Roman"/>
          <w:b/>
          <w:bCs/>
          <w:color w:val="auto"/>
          <w:sz w:val="28"/>
          <w:szCs w:val="28"/>
          <w:highlight w:val="none"/>
        </w:rPr>
        <w:t xml:space="preserve">（现场二次报价时按总价填报）。</w:t>
      </w:r>
      <w:r>
        <w:rPr>
          <w:rFonts w:hint="eastAsia" w:ascii="仿宋" w:hAnsi="仿宋" w:eastAsia="仿宋"/>
          <w:color w:val="auto"/>
          <w:sz w:val="28"/>
          <w:szCs w:val="28"/>
          <w:highlight w:val="none"/>
        </w:rPr>
        <w:t xml:space="preserve">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报价含交付使用前一切费用。不接受选择性报价。</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（二）本项目成交后不允许转包或分包。</w:t>
      </w:r>
      <w:r/>
    </w:p>
    <w:p>
      <w:pPr>
        <w:ind w:firstLine="560"/>
        <w:spacing w:line="500" w:lineRule="exact"/>
        <w:rPr>
          <w:rFonts w:ascii="黑体" w:hAnsi="宋体" w:eastAsia="黑体"/>
          <w:color w:val="auto"/>
          <w:sz w:val="28"/>
          <w:szCs w:val="28"/>
          <w:highlight w:val="none"/>
        </w:rPr>
        <w:outlineLvl w:val="1"/>
      </w:pPr>
      <w:r/>
      <w:bookmarkStart w:id="106" w:name="_Toc28285"/>
      <w:r/>
      <w:bookmarkStart w:id="107" w:name="_Toc15088"/>
      <w:r/>
      <w:bookmarkStart w:id="108" w:name="_Toc26500"/>
      <w:r>
        <w:rPr>
          <w:rFonts w:hint="eastAsia" w:ascii="黑体" w:hAnsi="宋体" w:eastAsia="黑体" w:cs="黑体"/>
          <w:color w:val="auto"/>
          <w:sz w:val="28"/>
          <w:szCs w:val="28"/>
          <w:highlight w:val="none"/>
          <w:lang w:val="en-US" w:eastAsia="zh-CN"/>
        </w:rPr>
        <w:t xml:space="preserve">十二</w:t>
      </w:r>
      <w:r>
        <w:rPr>
          <w:rFonts w:hint="eastAsia" w:ascii="黑体" w:hAnsi="宋体" w:eastAsia="黑体" w:cs="黑体"/>
          <w:color w:val="auto"/>
          <w:sz w:val="28"/>
          <w:szCs w:val="28"/>
          <w:highlight w:val="none"/>
        </w:rPr>
        <w:t xml:space="preserve">、其他要求</w:t>
      </w:r>
      <w:bookmarkEnd w:id="106"/>
      <w:r/>
      <w:bookmarkEnd w:id="107"/>
      <w:r/>
      <w:bookmarkEnd w:id="108"/>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s="仿宋"/>
          <w:color w:val="auto"/>
          <w:sz w:val="28"/>
          <w:szCs w:val="28"/>
          <w:highlight w:val="none"/>
        </w:rPr>
        <w:t xml:space="preserve">1.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r/>
    </w:p>
    <w:p>
      <w:pPr>
        <w:ind w:firstLine="560"/>
        <w:spacing w:line="500" w:lineRule="exact"/>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2.在施工过程中，须加强绿色建造与环境管理，做好扬尘防治工作，减少噪音污染等工作。</w:t>
      </w:r>
      <w:r/>
    </w:p>
    <w:p>
      <w:pPr>
        <w:ind w:firstLine="560"/>
        <w:spacing w:line="500" w:lineRule="exact"/>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p>
      <w:pPr>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br w:type="page" w:clear="all"/>
      </w:r>
      <w:r/>
    </w:p>
    <w:p>
      <w:pPr>
        <w:pStyle w:val="703"/>
        <w:ind w:firstLine="0"/>
        <w:jc w:val="center"/>
        <w:rPr>
          <w:rFonts w:ascii="方正小标宋简体" w:eastAsia="方正小标宋简体"/>
          <w:bCs/>
          <w:color w:val="auto"/>
          <w:sz w:val="32"/>
          <w:szCs w:val="32"/>
          <w:highlight w:val="none"/>
        </w:rPr>
        <w:outlineLvl w:val="0"/>
      </w:pPr>
      <w:r/>
      <w:bookmarkStart w:id="109" w:name="_Toc4129"/>
      <w:r>
        <w:rPr>
          <w:rFonts w:hint="eastAsia" w:ascii="方正小标宋简体" w:eastAsia="方正小标宋简体"/>
          <w:bCs/>
          <w:color w:val="auto"/>
          <w:sz w:val="32"/>
          <w:szCs w:val="32"/>
          <w:highlight w:val="none"/>
        </w:rPr>
        <w:t xml:space="preserve">第4章 合同文本</w:t>
      </w:r>
      <w:bookmarkEnd w:id="109"/>
      <w:r/>
      <w:r/>
    </w:p>
    <w:p>
      <w:pPr>
        <w:jc w:val="center"/>
        <w:spacing w:before="19"/>
        <w:widowControl/>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如皋市政府采购合同</w:t>
      </w:r>
      <w:r/>
    </w:p>
    <w:p>
      <w:pPr>
        <w:ind w:firstLine="640"/>
        <w:rPr>
          <w:rFonts w:hint="eastAsia"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 xml:space="preserve">项目名称：</w:t>
      </w:r>
      <w:r>
        <w:rPr>
          <w:rFonts w:hint="eastAsia" w:ascii="仿宋" w:hAnsi="仿宋" w:eastAsia="仿宋"/>
          <w:color w:val="auto"/>
          <w:sz w:val="32"/>
          <w:szCs w:val="32"/>
          <w:highlight w:val="none"/>
          <w:lang w:val="en-US" w:eastAsia="zh-CN"/>
        </w:rPr>
        <w:t xml:space="preserve">东陈镇2026年度农村生态河道提升项目</w:t>
      </w:r>
      <w:r/>
    </w:p>
    <w:p>
      <w:pPr>
        <w:ind w:firstLine="640"/>
        <w:rPr>
          <w:rFonts w:hint="eastAsia" w:ascii="仿宋" w:hAnsi="仿宋" w:eastAsia="仿宋"/>
          <w:color w:val="auto"/>
          <w:sz w:val="32"/>
          <w:szCs w:val="32"/>
          <w:highlight w:val="none"/>
          <w:u w:val="single"/>
          <w:lang w:val="en-US" w:eastAsia="zh-CN"/>
        </w:rPr>
      </w:pPr>
      <w:r>
        <w:rPr>
          <w:rFonts w:hint="eastAsia" w:ascii="仿宋" w:hAnsi="仿宋" w:eastAsia="仿宋"/>
          <w:color w:val="auto"/>
          <w:sz w:val="32"/>
          <w:szCs w:val="32"/>
          <w:highlight w:val="none"/>
        </w:rPr>
        <w:t xml:space="preserve">计划编号：</w:t>
      </w:r>
      <w:r>
        <w:rPr>
          <w:rFonts w:hint="eastAsia" w:ascii="仿宋" w:hAnsi="仿宋" w:eastAsia="仿宋"/>
          <w:color w:val="auto"/>
          <w:sz w:val="32"/>
          <w:szCs w:val="32"/>
          <w:highlight w:val="none"/>
          <w:lang w:val="en-US" w:eastAsia="zh-CN"/>
        </w:rPr>
        <w:t xml:space="preserve">JSZC-320682-NTZJ-T2026-0015</w:t>
      </w:r>
      <w:r/>
    </w:p>
    <w:p>
      <w:pPr>
        <w:ind w:firstLine="640"/>
        <w:rPr>
          <w:rFonts w:hint="eastAsia" w:ascii="仿宋" w:hAnsi="仿宋" w:eastAsia="仿宋"/>
          <w:color w:val="auto"/>
          <w:sz w:val="32"/>
          <w:szCs w:val="32"/>
          <w:highlight w:val="none"/>
          <w:u w:val="single"/>
          <w:lang w:val="en-US" w:eastAsia="zh-CN"/>
        </w:rPr>
      </w:pPr>
      <w:r>
        <w:rPr>
          <w:rFonts w:hint="eastAsia" w:ascii="仿宋" w:hAnsi="仿宋" w:eastAsia="仿宋"/>
          <w:color w:val="auto"/>
          <w:sz w:val="32"/>
          <w:szCs w:val="32"/>
          <w:highlight w:val="none"/>
        </w:rPr>
        <w:t xml:space="preserve">发包方（甲方）：</w:t>
      </w:r>
      <w:r>
        <w:rPr>
          <w:rFonts w:hint="eastAsia" w:ascii="仿宋" w:hAnsi="仿宋" w:eastAsia="仿宋"/>
          <w:color w:val="auto"/>
          <w:sz w:val="32"/>
          <w:szCs w:val="32"/>
          <w:highlight w:val="none"/>
          <w:lang w:val="en-US" w:eastAsia="zh-CN"/>
        </w:rPr>
        <w:t xml:space="preserve">如皋市东陈镇人民政府</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承包方（乙方）：</w:t>
      </w:r>
      <w:r/>
    </w:p>
    <w:p>
      <w:pPr>
        <w:rPr>
          <w:rFonts w:ascii="仿宋" w:hAnsi="仿宋" w:eastAsia="仿宋"/>
          <w:color w:val="auto"/>
          <w:sz w:val="32"/>
          <w:szCs w:val="32"/>
          <w:highlight w:val="none"/>
        </w:rPr>
      </w:pPr>
      <w:r>
        <w:rPr>
          <w:rFonts w:ascii="仿宋" w:hAnsi="仿宋" w:eastAsia="仿宋"/>
          <w:color w:val="auto"/>
          <w:sz w:val="32"/>
          <w:szCs w:val="32"/>
          <w:highlight w:val="none"/>
        </w:rPr>
      </w:r>
      <w:r/>
    </w:p>
    <w:p>
      <w:pPr>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签订时间：      年    月    日</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依照《中华人民共和国民法典》、《中华人民共和国政府采购法》、《中华人民共和国建筑法》、及其他有关法律、行政法规，遵循平等、自愿、公平和诚实信用的原则，双方就</w:t>
      </w:r>
      <w:r>
        <w:rPr>
          <w:rFonts w:hint="eastAsia" w:ascii="仿宋" w:hAnsi="仿宋" w:eastAsia="仿宋"/>
          <w:bCs/>
          <w:color w:val="auto"/>
          <w:sz w:val="24"/>
          <w:highlight w:val="none"/>
        </w:rPr>
        <w:t xml:space="preserve">相关</w:t>
      </w:r>
      <w:r>
        <w:rPr>
          <w:rFonts w:hint="eastAsia" w:ascii="仿宋" w:hAnsi="仿宋" w:eastAsia="仿宋"/>
          <w:color w:val="auto"/>
          <w:sz w:val="24"/>
          <w:highlight w:val="none"/>
        </w:rPr>
        <w:t xml:space="preserve">事项协商一致，订立以下合同条款：</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一、工程概况</w:t>
      </w:r>
      <w:r/>
    </w:p>
    <w:p>
      <w:pPr>
        <w:pStyle w:val="683"/>
        <w:ind w:right="105" w:firstLine="480"/>
        <w:spacing w:line="400" w:lineRule="exact"/>
        <w:rPr>
          <w:rFonts w:hint="eastAsia" w:ascii="仿宋" w:hAnsi="仿宋" w:eastAsia="仿宋"/>
          <w:bCs/>
          <w:color w:val="auto"/>
          <w:sz w:val="24"/>
          <w:szCs w:val="24"/>
          <w:highlight w:val="none"/>
          <w:lang w:val="en-US" w:eastAsia="zh-CN"/>
        </w:rPr>
      </w:pPr>
      <w:r>
        <w:rPr>
          <w:rFonts w:hint="eastAsia" w:ascii="仿宋" w:hAnsi="仿宋" w:eastAsia="仿宋"/>
          <w:bCs/>
          <w:color w:val="auto"/>
          <w:sz w:val="24"/>
          <w:szCs w:val="24"/>
          <w:highlight w:val="none"/>
        </w:rPr>
        <w:t xml:space="preserve">工程名称：</w:t>
      </w:r>
      <w:r>
        <w:rPr>
          <w:rFonts w:hint="eastAsia" w:ascii="仿宋" w:hAnsi="仿宋" w:eastAsia="仿宋"/>
          <w:bCs/>
          <w:color w:val="auto"/>
          <w:sz w:val="24"/>
          <w:szCs w:val="24"/>
          <w:highlight w:val="none"/>
          <w:lang w:val="en-US" w:eastAsia="zh-CN"/>
        </w:rPr>
        <w:t xml:space="preserve">东陈镇2026年度农村生态河道提升项目</w:t>
      </w:r>
      <w:r/>
    </w:p>
    <w:p>
      <w:pPr>
        <w:pStyle w:val="683"/>
        <w:ind w:right="105"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工程地点： </w:t>
      </w:r>
      <w:r/>
    </w:p>
    <w:p>
      <w:pPr>
        <w:pStyle w:val="683"/>
        <w:ind w:right="105"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工程内容： </w:t>
      </w:r>
      <w:r/>
    </w:p>
    <w:p>
      <w:pPr>
        <w:ind w:right="105"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工程立项批准文号：</w:t>
      </w:r>
      <w:r>
        <w:rPr>
          <w:rFonts w:hint="eastAsia" w:ascii="仿宋" w:hAnsi="仿宋" w:eastAsia="仿宋"/>
          <w:color w:val="auto"/>
          <w:sz w:val="24"/>
          <w:highlight w:val="none"/>
          <w:lang w:val="en-US" w:eastAsia="zh-CN"/>
        </w:rPr>
        <w:t xml:space="preserve">JSZC-320682-NTZJ-T2026-0015</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承包范围：</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二、合同工期</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开工日期：20 年  月  日（具体开工日期以发包人发出开工通知书为准）</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竣工日期：20 年  月  日</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合同工期总日历天数天</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三、质量标准</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合格。</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四、合同价款</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金额（大写）：元(人民币)</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 ：</w:t>
      </w:r>
      <w:r/>
    </w:p>
    <w:p>
      <w:pPr>
        <w:ind w:right="105" w:firstLine="482"/>
        <w:spacing w:line="400" w:lineRule="exact"/>
        <w:rPr>
          <w:rFonts w:ascii="仿宋" w:hAnsi="仿宋" w:eastAsia="仿宋"/>
          <w:color w:val="auto"/>
          <w:sz w:val="24"/>
          <w:highlight w:val="none"/>
        </w:rPr>
      </w:pPr>
      <w:r>
        <w:rPr>
          <w:rFonts w:hint="eastAsia" w:ascii="仿宋" w:hAnsi="仿宋" w:eastAsia="仿宋"/>
          <w:b/>
          <w:color w:val="auto"/>
          <w:sz w:val="24"/>
          <w:highlight w:val="none"/>
        </w:rPr>
        <w:t xml:space="preserve">五、组成合同的文件</w:t>
      </w:r>
      <w:r/>
    </w:p>
    <w:p>
      <w:pPr>
        <w:ind w:right="105" w:firstLine="480"/>
        <w:spacing w:line="400" w:lineRule="exact"/>
        <w:rPr>
          <w:rFonts w:ascii="仿宋" w:hAnsi="仿宋" w:eastAsia="仿宋"/>
          <w:b/>
          <w:color w:val="auto"/>
          <w:sz w:val="24"/>
          <w:highlight w:val="none"/>
        </w:rPr>
      </w:pPr>
      <w:r>
        <w:rPr>
          <w:rFonts w:hint="eastAsia" w:ascii="仿宋" w:hAnsi="仿宋" w:eastAsia="仿宋"/>
          <w:color w:val="auto"/>
          <w:sz w:val="24"/>
          <w:highlight w:val="none"/>
        </w:rPr>
        <w:t xml:space="preserve"> 本合同的组成文件和解释顺序如下：</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（一）本合同协议书；</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（二）洽商、变更等明确双方权利、义务的纪要、协议；</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（三）竞争性谈判文件、成交通知书和竞标文件；</w:t>
      </w:r>
      <w:r/>
    </w:p>
    <w:p>
      <w:pPr>
        <w:ind w:right="105" w:firstLine="480"/>
        <w:spacing w:line="40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（四）工程量清单或确定工程造价的工程预算书和图纸；</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（五）标准、规范及有关技术文件、技术要求；</w:t>
      </w:r>
      <w:r/>
    </w:p>
    <w:p>
      <w:pPr>
        <w:ind w:right="105" w:firstLine="480"/>
        <w:spacing w:line="40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（六）经双方确认的信函、传真、电子邮件等，将作为本合同的组成部分，具有合同的效力。</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六、本协议书中有关词语含义与本合同第二部分《通用条款》中赋予它们的定义相同。</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七、承包人向发包人承诺按照合同约定进行施工、竣工并在质量保修期内承担工程质量保修责任。</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八、发包人向承包人承诺按照合同约定的期限和方式支付合同价款及其他应当支付的款项。</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九、合同生效</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合同订立时间： 年月日；</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合同订立地点： ；   </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本合同双方约定 后生效。</w:t>
      </w:r>
      <w:r/>
    </w:p>
    <w:p>
      <w:pPr>
        <w:ind w:right="105"/>
        <w:jc w:val="center"/>
        <w:spacing w:line="400" w:lineRule="exact"/>
        <w:rPr>
          <w:rFonts w:ascii="仿宋" w:hAnsi="仿宋" w:eastAsia="仿宋"/>
          <w:b/>
          <w:color w:val="auto"/>
          <w:sz w:val="24"/>
          <w:highlight w:val="none"/>
        </w:rPr>
      </w:pPr>
      <w:r>
        <w:rPr>
          <w:rFonts w:ascii="仿宋" w:hAnsi="仿宋" w:eastAsia="仿宋"/>
          <w:b/>
          <w:color w:val="auto"/>
          <w:sz w:val="24"/>
          <w:highlight w:val="none"/>
        </w:rPr>
      </w:r>
      <w:r/>
    </w:p>
    <w:p>
      <w:pPr>
        <w:ind w:right="105"/>
        <w:jc w:val="center"/>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专用条款</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十、双方一般权利和义务</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（一）甲方权利和义务</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甲方应按约定的时间和要求完成以下工作：</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1、施工现场具备施工条件的要求及完成时间：提供施工所需的红线内场地，并在计算工期前将施工现场各种障碍物清除；其他料场、办公等用地由承包人自行解决。</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2、将所需的水、电、电讯线路接至施工现场的时间、地点和供应要求： 。</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3、施工场地与公共道路的通道开通时间和要求：计算工期前负责公共道路的畅通。</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4、工程地质和地下管网线资料的提供时间：计算工期前提供工程地质和地下管网线路等资料。</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5、由发包人办理的施工所需证件、批件的名称和完成时间：计算工期前办妥相关开工手续。</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6、水准点与坐标控制点交验要求：开工前提供水准点与坐标控制点，按施工图由发包人、承包人、监理现场书面交验，交验后，承包人应妥善保护场内水准点与控制点，任意破坏或遗失应由承包人负责恢复的费用。</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7、图纸会审和设计交底时间：现场另行确定。</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8、协调处理施工场地周围地下管线和邻近建筑物、构筑物（含文物保护建筑）、古树名木的保护工作：督促承包人做好保护工作。</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9、双方约定发包人应做的其他工作：协商处理。</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（二）乙方权利和义务</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乙方应按约定的时间和要求完成以下工作：</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1、需由设计资质等级和业务范围允许的承包人完成的设计文件提交时间：无约定。</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2、应提供计划、报表的名称及完成时间：进场后一周内提供材料计划，每月15日、30日前分别向发包人和监理方提供详细的施工进度计划、已完工程量报表（含工程变更及签证预算）、甲供材料清单、乙购材料清单、材料进场计划、劳动力及用款计划等资料，分项的施工组织设计开工前向发包人提供。</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3、承担施工安全保卫工作及非夜间施工照明的责任和要求：由承包人负责。</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4、向发包人提供的办公和生活房屋及设施的要求：向发包方和监理方分别提供不少于    平方米的办公及生活用房。</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5、需承包人办理的有关施工场地交通、环卫和施工噪音管理等手续：按有关规定办理上述手续，费用由负责。施工中建筑垃圾需运出施工现场外时，承包人需到城管部门办理相关手续并按城管部门指定地点放置。</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6、已完工程成品保护的特殊要求及费用承担：已竣工工程未交付甲方验收之前的成品保护由承包人负责，费用由承包人负责；甲方在竣工验收前使用，发生损坏的修理费用由甲方承担。</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7、施工场地周围地下管线和邻近建筑物、构筑物（含文物保护建筑）、古树名木的保护要求及费用承担：做好邻近建筑物的保护和观测工作，因承包人的责任造成的财产和人身损失，由承包人承担相关费用。</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8、施工现场清洁卫生的要求：承包人所有人员进入工地后必须遵守相关管理规定，做到文明施工、规范施工。</w:t>
      </w:r>
      <w:r/>
    </w:p>
    <w:p>
      <w:pPr>
        <w:ind w:firstLine="480"/>
        <w:spacing w:line="400" w:lineRule="exact"/>
        <w:rPr>
          <w:rFonts w:ascii="仿宋" w:hAnsi="仿宋" w:eastAsia="仿宋"/>
          <w:color w:val="auto"/>
          <w:sz w:val="24"/>
          <w:highlight w:val="none"/>
          <w:u w:val="single"/>
        </w:rPr>
      </w:pPr>
      <w:r>
        <w:rPr>
          <w:rFonts w:hint="eastAsia" w:ascii="仿宋" w:hAnsi="仿宋" w:eastAsia="仿宋"/>
          <w:color w:val="auto"/>
          <w:sz w:val="24"/>
          <w:highlight w:val="none"/>
        </w:rPr>
        <w:t xml:space="preserve">9、双方约定承包人应做的其他工作：</w:t>
      </w:r>
      <w:r>
        <w:rPr>
          <w:rFonts w:hint="eastAsia" w:ascii="仿宋" w:hAnsi="仿宋" w:eastAsia="仿宋"/>
          <w:color w:val="auto"/>
          <w:sz w:val="24"/>
          <w:highlight w:val="none"/>
          <w:u w:val="single"/>
        </w:rPr>
        <w:t xml:space="preserve">另订协议。</w:t>
      </w:r>
      <w:r/>
    </w:p>
    <w:p>
      <w:pPr>
        <w:ind w:left="482"/>
        <w:spacing w:line="400" w:lineRule="exact"/>
        <w:rPr>
          <w:rFonts w:ascii="仿宋" w:hAnsi="仿宋" w:eastAsia="仿宋"/>
          <w:b/>
          <w:color w:val="auto"/>
          <w:sz w:val="24"/>
          <w:highlight w:val="none"/>
        </w:rPr>
      </w:pPr>
      <w:r>
        <w:rPr>
          <w:rFonts w:hint="eastAsia" w:ascii="仿宋" w:hAnsi="仿宋" w:eastAsia="仿宋"/>
          <w:b/>
          <w:color w:val="auto"/>
          <w:sz w:val="24"/>
          <w:highlight w:val="none"/>
          <w:lang w:eastAsia="zh-CN"/>
        </w:rPr>
        <w:t xml:space="preserve">（</w:t>
      </w:r>
      <w:r>
        <w:rPr>
          <w:rFonts w:hint="eastAsia" w:ascii="仿宋" w:hAnsi="仿宋" w:eastAsia="仿宋"/>
          <w:b/>
          <w:color w:val="auto"/>
          <w:sz w:val="24"/>
          <w:highlight w:val="none"/>
          <w:lang w:val="en-US" w:eastAsia="zh-CN"/>
        </w:rPr>
        <w:t xml:space="preserve">三</w:t>
      </w:r>
      <w:r>
        <w:rPr>
          <w:rFonts w:hint="eastAsia" w:ascii="仿宋" w:hAnsi="仿宋" w:eastAsia="仿宋"/>
          <w:b/>
          <w:color w:val="auto"/>
          <w:sz w:val="24"/>
          <w:highlight w:val="none"/>
          <w:lang w:eastAsia="zh-CN"/>
        </w:rPr>
        <w:t xml:space="preserve">）</w:t>
      </w:r>
      <w:r>
        <w:rPr>
          <w:rFonts w:hint="eastAsia" w:ascii="仿宋" w:hAnsi="仿宋" w:eastAsia="仿宋"/>
          <w:b/>
          <w:color w:val="auto"/>
          <w:sz w:val="24"/>
          <w:highlight w:val="none"/>
        </w:rPr>
        <w:t xml:space="preserve"> 项目管理服务</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甲</w:t>
      </w:r>
      <w:r>
        <w:rPr>
          <w:rFonts w:hint="eastAsia" w:ascii="仿宋" w:hAnsi="仿宋" w:eastAsia="仿宋"/>
          <w:color w:val="auto"/>
          <w:sz w:val="24"/>
          <w:highlight w:val="none"/>
        </w:rPr>
        <w:t xml:space="preserve">乙方要指定不少于一人全权全程负责本项目服务的落实，包括服务的咨询、执行和后续工作。</w:t>
      </w:r>
      <w:r/>
    </w:p>
    <w:p>
      <w:pPr>
        <w:ind w:firstLine="481"/>
        <w:spacing w:line="400" w:lineRule="exact"/>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甲方</w:t>
      </w: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 联系电话：</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w:t>
      </w:r>
      <w:r/>
    </w:p>
    <w:p>
      <w:pPr>
        <w:ind w:firstLine="481"/>
        <w:spacing w:line="400" w:lineRule="exact"/>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乙方</w:t>
      </w: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 联系电话：</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十一、工程验收</w:t>
      </w:r>
      <w:r/>
    </w:p>
    <w:p>
      <w:pPr>
        <w:ind w:right="105" w:firstLine="480"/>
        <w:spacing w:line="400" w:lineRule="exact"/>
        <w:rPr>
          <w:rFonts w:ascii="仿宋" w:hAnsi="仿宋" w:eastAsia="仿宋"/>
          <w:b/>
          <w:color w:val="auto"/>
          <w:sz w:val="24"/>
          <w:highlight w:val="none"/>
        </w:rPr>
      </w:pPr>
      <w:r>
        <w:rPr>
          <w:rFonts w:hint="eastAsia" w:ascii="仿宋" w:hAnsi="仿宋" w:eastAsia="仿宋"/>
          <w:color w:val="auto"/>
          <w:sz w:val="24"/>
          <w:highlight w:val="none"/>
        </w:rPr>
        <w:t xml:space="preserve">（一）甲方在收到乙方送交的竣工报告十日内，组织有关部门进行全面验收，</w:t>
      </w:r>
      <w:r>
        <w:rPr>
          <w:rFonts w:hint="eastAsia" w:ascii="仿宋" w:hAnsi="仿宋" w:eastAsia="仿宋"/>
          <w:bCs/>
          <w:color w:val="auto"/>
          <w:sz w:val="24"/>
          <w:highlight w:val="none"/>
        </w:rPr>
        <w:t xml:space="preserve">并出具验收报告</w:t>
      </w:r>
      <w:r>
        <w:rPr>
          <w:rFonts w:hint="eastAsia" w:ascii="仿宋" w:hAnsi="仿宋" w:eastAsia="仿宋"/>
          <w:color w:val="auto"/>
          <w:sz w:val="24"/>
          <w:highlight w:val="none"/>
        </w:rPr>
        <w:t xml:space="preserve">。</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（二）</w:t>
      </w:r>
      <w:r>
        <w:rPr>
          <w:rFonts w:hint="eastAsia" w:ascii="仿宋" w:hAnsi="仿宋" w:eastAsia="仿宋"/>
          <w:color w:val="auto"/>
          <w:sz w:val="24"/>
          <w:highlight w:val="none"/>
        </w:rPr>
        <w:t xml:space="preserve">甲方在验收中，如发现有与合同规定不符的，应在3天内向乙方提出书面意见，不签发验收单，并同时将该书面意见提交至市采购中心。乙方在接到甲方书面意见后，应在天内予以处理，并将处理结果以书面形式告知采购中心。</w:t>
      </w:r>
      <w:r/>
    </w:p>
    <w:p>
      <w:pPr>
        <w:pStyle w:val="677"/>
        <w:ind w:right="105" w:firstLine="482"/>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十二、合同价款及付款方式</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一）采用固定价格合同，施工期间的各类建材市场的风险和政策性调整等风险及图纸深化设计已包括在竞标报价中，合同结算时不作调整；若工程量或施工方案调整，工程结算按原投标综合单价计算，工程量按实际发生计取；竞标文件规定的独立费、暂定价不下浮，工程结算时以实际发生额计入。</w:t>
      </w:r>
      <w:r/>
    </w:p>
    <w:p>
      <w:pPr>
        <w:ind w:firstLine="480"/>
        <w:spacing w:line="400" w:lineRule="exact"/>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（二）</w:t>
      </w:r>
      <w:r>
        <w:rPr>
          <w:rFonts w:hint="eastAsia" w:ascii="仿宋" w:hAnsi="仿宋" w:eastAsia="仿宋"/>
          <w:color w:val="auto"/>
          <w:sz w:val="24"/>
          <w:highlight w:val="none"/>
          <w:lang w:val="en-US" w:eastAsia="zh-CN"/>
        </w:rPr>
        <w:t xml:space="preserve">自工程竣工验收合格后当年农历年底付至合同价的40%，验收合格满一年农历年底付至审计价的70%，余款于验收合格满两年且无质量问题后</w:t>
      </w:r>
      <w:r>
        <w:rPr>
          <w:rFonts w:hint="eastAsia" w:ascii="仿宋" w:hAnsi="仿宋" w:eastAsia="仿宋"/>
          <w:color w:val="auto"/>
          <w:sz w:val="24"/>
          <w:highlight w:val="none"/>
          <w:lang w:eastAsia="zh-CN"/>
        </w:rPr>
        <w:t xml:space="preserve">按</w:t>
      </w:r>
      <w:r>
        <w:rPr>
          <w:rFonts w:hint="eastAsia" w:ascii="仿宋" w:hAnsi="仿宋" w:eastAsia="仿宋"/>
          <w:color w:val="auto"/>
          <w:sz w:val="24"/>
          <w:highlight w:val="none"/>
          <w:lang w:val="en-US" w:eastAsia="zh-CN"/>
        </w:rPr>
        <w:t xml:space="preserve">审计价</w:t>
      </w:r>
      <w:r>
        <w:rPr>
          <w:rFonts w:hint="eastAsia" w:ascii="仿宋" w:hAnsi="仿宋" w:eastAsia="仿宋"/>
          <w:color w:val="auto"/>
          <w:sz w:val="24"/>
          <w:highlight w:val="none"/>
          <w:lang w:eastAsia="zh-CN"/>
        </w:rPr>
        <w:t xml:space="preserve">扣除已付款项一次性付清</w:t>
      </w:r>
      <w:r>
        <w:rPr>
          <w:rFonts w:hint="eastAsia" w:ascii="仿宋" w:hAnsi="仿宋" w:eastAsia="仿宋"/>
          <w:color w:val="auto"/>
          <w:sz w:val="24"/>
          <w:highlight w:val="none"/>
          <w:lang w:val="en-US" w:eastAsia="zh-CN"/>
        </w:rPr>
        <w:t xml:space="preserve">。</w:t>
      </w:r>
      <w:r>
        <w:rPr>
          <w:rFonts w:hint="eastAsia" w:ascii="仿宋" w:hAnsi="仿宋" w:eastAsia="仿宋"/>
          <w:color w:val="auto"/>
          <w:sz w:val="24"/>
          <w:highlight w:val="none"/>
          <w:lang w:eastAsia="zh-CN"/>
        </w:rPr>
        <w:t xml:space="preserve">每次支付前，成交人均应出具在税务部门开具的正式税票。</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十三、工程保修期</w:t>
      </w:r>
      <w:r/>
    </w:p>
    <w:p>
      <w:pPr>
        <w:ind w:right="105" w:firstLine="360"/>
        <w:spacing w:line="400" w:lineRule="exact"/>
        <w:rPr>
          <w:rFonts w:ascii="仿宋" w:hAnsi="仿宋" w:eastAsia="仿宋" w:cs="Arial"/>
          <w:color w:val="auto"/>
          <w:sz w:val="24"/>
          <w:highlight w:val="none"/>
        </w:rPr>
      </w:pPr>
      <w:r>
        <w:rPr>
          <w:rFonts w:hint="eastAsia" w:ascii="仿宋" w:hAnsi="仿宋" w:eastAsia="仿宋" w:cs="Arial"/>
          <w:color w:val="auto"/>
          <w:sz w:val="24"/>
          <w:highlight w:val="none"/>
        </w:rPr>
        <w:t xml:space="preserve">　本工程保修期为年。</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十四、违约责任</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1、乙方不按期完成合同约定的内容，应向甲方支付违约金，除不可抗力因素或甲方造成原因外，每延迟交付一天按合同总价款的</w:t>
      </w:r>
      <w:r>
        <w:rPr>
          <w:rFonts w:hint="eastAsia" w:ascii="仿宋" w:hAnsi="仿宋" w:eastAsia="仿宋"/>
          <w:color w:val="auto"/>
          <w:sz w:val="24"/>
          <w:highlight w:val="none"/>
          <w:u w:val="single"/>
        </w:rPr>
        <w:t xml:space="preserve">1-3‰</w:t>
      </w:r>
      <w:r>
        <w:rPr>
          <w:rFonts w:hint="eastAsia" w:ascii="仿宋" w:hAnsi="仿宋" w:eastAsia="仿宋"/>
          <w:color w:val="auto"/>
          <w:sz w:val="24"/>
          <w:highlight w:val="none"/>
        </w:rPr>
        <w:t xml:space="preserve">支付违约金; 延期超过日，甲方有权强制解除合同。 </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2、乙方的施工质量不符合设计规范要求的，应按甲方要求的时间进行返工，并承担返工费用，工期不予顺延。</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3、非甲方原因，乙方不履行本合同规定的义务，致使工作延误，甲方有权要求其强制履行或解除合同，并要求乙方等额赔偿由此造成的一切损失。</w:t>
      </w:r>
      <w:r/>
    </w:p>
    <w:p>
      <w:pPr>
        <w:ind w:right="105" w:firstLine="480"/>
        <w:spacing w:line="40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4、甲方不及时给出必要指令、确认、批准，不按合同约定履行各项义务、支付款项及发生其它使合同无法履行的行为，应承担违约责任（包括支付因其违约导致乙方增加的经济支出和从应支付之日起计算的应支付款项的利息、赔偿因其违约给乙方造成的窝工等损失等），并相应顺延工期。</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5、本项目不得转让分包，如有发生，甲方有权要求乙方无条件清理退场，所造成的一切损失由乙方负责。</w:t>
      </w:r>
      <w:r/>
    </w:p>
    <w:p>
      <w:pPr>
        <w:ind w:right="105" w:firstLine="482"/>
        <w:spacing w:line="400" w:lineRule="exact"/>
        <w:rPr>
          <w:rFonts w:ascii="仿宋" w:hAnsi="仿宋" w:eastAsia="仿宋"/>
          <w:color w:val="auto"/>
          <w:sz w:val="24"/>
          <w:highlight w:val="none"/>
        </w:rPr>
      </w:pPr>
      <w:r>
        <w:rPr>
          <w:rFonts w:hint="eastAsia" w:ascii="仿宋" w:hAnsi="仿宋" w:eastAsia="仿宋"/>
          <w:b/>
          <w:color w:val="auto"/>
          <w:sz w:val="24"/>
          <w:highlight w:val="none"/>
        </w:rPr>
        <w:t xml:space="preserve">十五、</w:t>
      </w:r>
      <w:r>
        <w:rPr>
          <w:rFonts w:hint="eastAsia" w:ascii="仿宋" w:hAnsi="仿宋" w:eastAsia="仿宋"/>
          <w:color w:val="auto"/>
          <w:sz w:val="24"/>
          <w:highlight w:val="none"/>
        </w:rPr>
        <w:t xml:space="preserve">本合同一切未尽事宜，按《民法典》有关规定执行;无相关规定的，由甲乙双方协商解决。</w:t>
      </w:r>
      <w:r/>
    </w:p>
    <w:p>
      <w:pPr>
        <w:ind w:right="105" w:firstLine="482"/>
        <w:spacing w:line="400" w:lineRule="exact"/>
        <w:rPr>
          <w:rFonts w:ascii="仿宋" w:hAnsi="仿宋" w:eastAsia="仿宋"/>
          <w:color w:val="auto"/>
          <w:sz w:val="24"/>
          <w:highlight w:val="none"/>
        </w:rPr>
      </w:pPr>
      <w:r>
        <w:rPr>
          <w:rFonts w:hint="eastAsia" w:ascii="仿宋" w:hAnsi="仿宋" w:eastAsia="仿宋"/>
          <w:b/>
          <w:color w:val="auto"/>
          <w:sz w:val="24"/>
          <w:highlight w:val="none"/>
        </w:rPr>
        <w:t xml:space="preserve">十六、合同生效与终止</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（一）本合同经甲乙双方签字盖章后生效，采购中心审核后实施，双方签订的合同内容不能超出谈判文件和竞标文件的实质性内容。</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（二）在竣工结算、甲方支付完毕，乙方将工程交付甲方后，除有关保修条款仍然生效外，其它条款即告终止，保修期满后，有关保修条款终止。</w:t>
      </w:r>
      <w:r/>
    </w:p>
    <w:p>
      <w:pPr>
        <w:ind w:right="105" w:firstLine="482"/>
        <w:spacing w:line="400" w:lineRule="exact"/>
        <w:rPr>
          <w:rFonts w:ascii="仿宋" w:hAnsi="仿宋" w:eastAsia="仿宋"/>
          <w:color w:val="auto"/>
          <w:sz w:val="24"/>
          <w:highlight w:val="none"/>
        </w:rPr>
      </w:pPr>
      <w:r>
        <w:rPr>
          <w:rFonts w:hint="eastAsia" w:ascii="仿宋" w:hAnsi="仿宋" w:eastAsia="仿宋"/>
          <w:b/>
          <w:color w:val="auto"/>
          <w:sz w:val="24"/>
          <w:highlight w:val="none"/>
        </w:rPr>
        <w:t xml:space="preserve">十七、</w:t>
      </w:r>
      <w:r>
        <w:rPr>
          <w:rFonts w:hint="eastAsia" w:ascii="仿宋" w:hAnsi="仿宋" w:eastAsia="仿宋"/>
          <w:color w:val="auto"/>
          <w:sz w:val="24"/>
          <w:highlight w:val="none"/>
        </w:rPr>
        <w:t xml:space="preserve">本合同一式四份，以中文书写，甲方、乙方各执一份，市政府采购中心、市财政局政府采购管理处各一份。</w:t>
      </w:r>
      <w:r/>
    </w:p>
    <w:p>
      <w:pPr>
        <w:ind w:right="105" w:firstLine="482"/>
        <w:jc w:val="center"/>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  通用条款</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十八、词语涵义</w:t>
      </w:r>
      <w:r/>
    </w:p>
    <w:p>
      <w:pPr>
        <w:ind w:right="105" w:firstLine="480"/>
        <w:spacing w:line="400" w:lineRule="exact"/>
        <w:rPr>
          <w:rFonts w:ascii="仿宋" w:hAnsi="仿宋" w:eastAsia="仿宋" w:cs="宋体"/>
          <w:color w:val="auto"/>
          <w:sz w:val="24"/>
          <w:highlight w:val="none"/>
        </w:rPr>
      </w:pPr>
      <w:r>
        <w:rPr>
          <w:rFonts w:hint="eastAsia" w:ascii="仿宋" w:hAnsi="仿宋" w:eastAsia="仿宋"/>
          <w:color w:val="auto"/>
          <w:sz w:val="24"/>
          <w:highlight w:val="none"/>
        </w:rPr>
        <w:t xml:space="preserve">（一）</w:t>
      </w:r>
      <w:r>
        <w:rPr>
          <w:rFonts w:hint="eastAsia" w:ascii="仿宋" w:hAnsi="仿宋" w:eastAsia="仿宋" w:cs="宋体"/>
          <w:color w:val="auto"/>
          <w:sz w:val="24"/>
          <w:highlight w:val="none"/>
        </w:rPr>
        <w:t xml:space="preserve">发包方（简称甲方）：协议条款约定的，具有发包主体资格和支付工程价款能力的当事人。</w:t>
      </w:r>
      <w:r/>
    </w:p>
    <w:p>
      <w:pPr>
        <w:ind w:right="105" w:firstLine="480"/>
        <w:spacing w:line="400" w:lineRule="exact"/>
        <w:rPr>
          <w:rFonts w:ascii="仿宋" w:hAnsi="仿宋" w:eastAsia="仿宋" w:cs="宋体"/>
          <w:color w:val="auto"/>
          <w:sz w:val="24"/>
          <w:highlight w:val="none"/>
        </w:rPr>
      </w:pPr>
      <w:r>
        <w:rPr>
          <w:rFonts w:hint="eastAsia" w:ascii="仿宋" w:hAnsi="仿宋" w:eastAsia="仿宋"/>
          <w:color w:val="auto"/>
          <w:sz w:val="24"/>
          <w:highlight w:val="none"/>
        </w:rPr>
        <w:t xml:space="preserve">（二）</w:t>
      </w:r>
      <w:r>
        <w:rPr>
          <w:rFonts w:hint="eastAsia" w:ascii="仿宋" w:hAnsi="仿宋" w:eastAsia="仿宋" w:cs="宋体"/>
          <w:color w:val="auto"/>
          <w:sz w:val="24"/>
          <w:highlight w:val="none"/>
        </w:rPr>
        <w:t xml:space="preserve">承包方（简称乙方）：协议条款约定的，具有承包主体资格并被发包方接受的当事人。</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（三）合同价款：按有关规定或协议条款约定的各种取费标准计算的，用以支付乙方按照合同要求完成工程内容的价款总额。</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（四）经济支出：在施工中已经发生，经甲方确认后以增加预算形式支付的合同价款。</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（五）费用：甲方在合同价款之外，需要直接支付的开支和乙方应负担的开支。</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（六）工期：协议条款约定的合同工期。</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（七）开工日期：协议条款约定的工程开工日期。</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（八）竣工日期：协议条款约定的工程竣工日期。</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（九）图纸：由甲方提供或乙方提供经甲方代表批准，乙方用以施工的所有图纸（包括配套说明和有关资料）。</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（十）施工场地（或称工地）：经甲方提供的用于本合同工程施工的场所以及在合同中指定作为施工场地组成部分的其他场所。</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（十一）书面形式：根据合同发生的手写、打印、印刷的各种通知、任命、委托、证书、签证、备忘录、会议纪要、函件及经过确认的电报、电传等。</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（十二）</w:t>
      </w:r>
      <w:r>
        <w:rPr>
          <w:rFonts w:hint="eastAsia" w:ascii="仿宋" w:hAnsi="仿宋" w:eastAsia="仿宋"/>
          <w:color w:val="auto"/>
          <w:sz w:val="24"/>
          <w:highlight w:val="none"/>
        </w:rPr>
        <w:t xml:space="preserve">不可抗力：指</w:t>
      </w:r>
      <w:r>
        <w:rPr>
          <w:rFonts w:ascii="仿宋" w:hAnsi="仿宋" w:eastAsia="仿宋" w:cs="Arial"/>
          <w:color w:val="auto"/>
          <w:spacing w:val="8"/>
          <w:sz w:val="24"/>
          <w:highlight w:val="none"/>
        </w:rPr>
        <w:t xml:space="preserve">不能预见、不能避免和不能克服的客观情况</w:t>
      </w:r>
      <w:r>
        <w:rPr>
          <w:rFonts w:hint="eastAsia" w:ascii="仿宋" w:hAnsi="仿宋" w:eastAsia="仿宋" w:cs="Arial"/>
          <w:color w:val="auto"/>
          <w:spacing w:val="8"/>
          <w:sz w:val="24"/>
          <w:highlight w:val="none"/>
        </w:rPr>
        <w:t xml:space="preserve">，</w:t>
      </w:r>
      <w:r>
        <w:rPr>
          <w:rFonts w:hint="eastAsia" w:ascii="仿宋" w:hAnsi="仿宋" w:eastAsia="仿宋" w:cs="宋体"/>
          <w:color w:val="auto"/>
          <w:sz w:val="24"/>
          <w:highlight w:val="none"/>
        </w:rPr>
        <w:t xml:space="preserve">如战争、动乱、空中飞行物体坠落或其它非甲乙方责任造成的爆炸、火灾，以及协议条款约定等级以上的风、雨、雪、地震等。</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（十三）协议条款：结合具体工程，甲、乙协商后签订的书面协议。</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十九、质量标准</w:t>
      </w:r>
      <w:r/>
    </w:p>
    <w:p>
      <w:pPr>
        <w:ind w:right="105" w:firstLine="480"/>
        <w:spacing w:line="400" w:lineRule="exact"/>
        <w:tabs>
          <w:tab w:val="left" w:pos="-100" w:leader="none"/>
          <w:tab w:val="left" w:pos="0" w:leader="none"/>
          <w:tab w:val="left" w:pos="1134" w:leader="none"/>
        </w:tabs>
        <w:rPr>
          <w:rFonts w:ascii="仿宋" w:hAnsi="仿宋" w:eastAsia="仿宋"/>
          <w:color w:val="auto"/>
          <w:sz w:val="24"/>
          <w:highlight w:val="none"/>
        </w:rPr>
      </w:pPr>
      <w:r>
        <w:rPr>
          <w:rFonts w:hint="eastAsia" w:ascii="仿宋" w:hAnsi="仿宋" w:eastAsia="仿宋"/>
          <w:color w:val="auto"/>
          <w:sz w:val="24"/>
          <w:highlight w:val="none"/>
        </w:rPr>
        <w:t xml:space="preserve">《建筑工程施工质量验收统一标准》（</w:t>
      </w:r>
      <w:r>
        <w:rPr>
          <w:rFonts w:ascii="仿宋" w:hAnsi="仿宋" w:eastAsia="仿宋"/>
          <w:color w:val="auto"/>
          <w:sz w:val="24"/>
          <w:highlight w:val="none"/>
        </w:rPr>
        <w:t xml:space="preserve">GB </w:t>
      </w:r>
      <w:r>
        <w:rPr>
          <w:rFonts w:hint="eastAsia" w:ascii="仿宋" w:hAnsi="仿宋" w:eastAsia="仿宋"/>
          <w:color w:val="auto"/>
          <w:sz w:val="24"/>
          <w:highlight w:val="none"/>
        </w:rPr>
        <w:t xml:space="preserve">50300-2001）</w:t>
      </w:r>
      <w:r>
        <w:rPr>
          <w:rFonts w:hint="eastAsia" w:ascii="仿宋" w:hAnsi="仿宋" w:eastAsia="仿宋"/>
          <w:color w:val="auto"/>
          <w:sz w:val="24"/>
          <w:highlight w:val="none"/>
        </w:rPr>
        <w:t xml:space="preserve">，《</w:t>
      </w:r>
      <w:r>
        <w:rPr>
          <w:rFonts w:hint="eastAsia" w:ascii="仿宋" w:hAnsi="仿宋" w:eastAsia="仿宋"/>
          <w:color w:val="auto"/>
          <w:sz w:val="24"/>
          <w:highlight w:val="none"/>
        </w:rPr>
        <w:t xml:space="preserve">建筑装饰工程质量验收规范》（</w:t>
      </w:r>
      <w:r>
        <w:rPr>
          <w:rFonts w:ascii="仿宋" w:hAnsi="仿宋" w:eastAsia="仿宋"/>
          <w:color w:val="auto"/>
          <w:sz w:val="24"/>
          <w:highlight w:val="none"/>
        </w:rPr>
        <w:t xml:space="preserve">GB</w:t>
      </w:r>
      <w:r>
        <w:rPr>
          <w:rFonts w:hint="eastAsia" w:ascii="仿宋" w:hAnsi="仿宋" w:eastAsia="仿宋"/>
          <w:color w:val="auto"/>
          <w:sz w:val="24"/>
          <w:highlight w:val="none"/>
        </w:rPr>
        <w:t xml:space="preserve">50210-2001）和中华人民共和国建设部颁发的其它现行标准、规范及省、市有关规定。</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二十、安全施工</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（一）进入施工现场的各类安全防护由乙方统一协调管理，安全责任由乙方承担，费用包含在竞标报价中。 </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（二）乙方负责进入现场施工人员及财物安全，</w:t>
      </w:r>
      <w:r>
        <w:rPr>
          <w:rFonts w:hint="eastAsia" w:ascii="仿宋" w:hAnsi="仿宋" w:eastAsia="仿宋" w:cs="宋体"/>
          <w:color w:val="auto"/>
          <w:sz w:val="24"/>
          <w:highlight w:val="none"/>
        </w:rPr>
        <w:t xml:space="preserve">非乙方责任造成的伤亡事故，由责任方承担责任和有关费用。</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（三）</w:t>
      </w:r>
      <w:r>
        <w:rPr>
          <w:rFonts w:hint="eastAsia" w:ascii="仿宋" w:hAnsi="仿宋" w:eastAsia="仿宋"/>
          <w:color w:val="auto"/>
          <w:sz w:val="24"/>
          <w:highlight w:val="none"/>
        </w:rPr>
        <w:t xml:space="preserve">乙方应合理安全使用水、电设施，否则引起的一切责任由乙方承担。</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（四）在有毒有害环境中施工，甲方应按有关规定提供相应的防护措施，并承担有关的经济支出。</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二十一、检查和返工</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一）乙方应认真按照标准、规范和设计的要求以及甲方依据合同发出的指令施工，随时接受甲方代表及其委派人员的检查检验、为检查检验提供便利条件，并按甲方代表及委派人员的要求返工、修改，承担由自身原因导致返工、修改的费用。因甲方不正确纠正或其它非乙方原因引起的经济支出，由甲方承担。</w:t>
      </w:r>
      <w:r/>
    </w:p>
    <w:p>
      <w:pPr>
        <w:ind w:right="105" w:firstLine="480"/>
        <w:spacing w:line="40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（二）以上检查检验不应影响施工正常进行，如影响施工正常进行，检查检验不合格，影响正常施工的费用由乙方承担。除此之外影响正常施工的经济支出由甲方承担，相应顺延工期。</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二十二、竣工验收</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一）工程竣工验收按照乙方自评、甲方验收的流程进行。工程完工后，乙方通过自检认为达到竣工验收条件时，应按国家和省市关于工程竣工有关规定，向甲方代表提供完整的竣工档案资料、竣工验收报告等满足竣工验收的资料。甲方收到上述资料后在约定时间七日内组织有关部门进行全面的验收，如乙方提供的验收资料不全或不符合规定的要求，或由于乙方的原因造成竣工条件不具备，则验收期顺延，责任由乙方承担。</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（二）甲方组织验收后三日内，给予批准或提出修改意见，如果初次验收未通过，乙方应按甲方所提修改意见并承担整改费用，完成后再次申报。</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（三）甲方在收到乙方送交的竣工报告十日内，无正当理由不组织验收，或验收后七天内不予批准，也不提出修改意见，可视为竣工报告已被批准，即可办理工程结算手续。</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二十三、付款</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根据协议条款约定的时间、方式和甲方代表确认的工程量，按构成合同价款相应项目的单价和取费标准计算、支付工程价款。甲方在其代表计量签字后10天内不予支付，乙方可向甲方发出要求付款的通知，甲方在收到乙方通知后仍不能按要求支付，乙方可在发出通知5天后停止施工，甲方承担违约责任。</w:t>
      </w:r>
      <w:r/>
    </w:p>
    <w:p>
      <w:pPr>
        <w:ind w:right="105" w:firstLine="482"/>
        <w:spacing w:line="40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二十四、不可抗力</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不可抗力发生后，乙方应迅速采取措施，尽力减少损失，并在24小时内向甲方代表通报受害情况，按协议条款约定的时间向甲方报告损失情况和清理、修复的费用，甲方应对灾害处理提供必要条件。灾害继续发生，乙方应每隔10天向甲方报告一次灾害情况，直到灾害结束。</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因灾害发生的费用由双方分别承担：</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（一）工程本身的损害由甲方承担；　　</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（二）人员伤亡由其所属单位负责，并承担相应费用；</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（三）造成乙方设备、机械的损坏及停工等损失，由乙方承担；</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（四）所需清理修复工作的责任与费用的承担，双方另签补充协议约定。</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二十五、专利权</w:t>
      </w:r>
      <w:r/>
    </w:p>
    <w:p>
      <w:pPr>
        <w:ind w:right="105" w:firstLine="480"/>
        <w:spacing w:line="400" w:lineRule="exact"/>
        <w:rPr>
          <w:rFonts w:ascii="仿宋" w:hAnsi="仿宋" w:eastAsia="仿宋"/>
          <w:b/>
          <w:color w:val="auto"/>
          <w:sz w:val="24"/>
          <w:highlight w:val="none"/>
        </w:rPr>
      </w:pPr>
      <w:r>
        <w:rPr>
          <w:rFonts w:hint="eastAsia" w:ascii="仿宋" w:hAnsi="仿宋" w:eastAsia="仿宋"/>
          <w:color w:val="auto"/>
          <w:sz w:val="24"/>
          <w:highlight w:val="none"/>
        </w:rPr>
        <w:t xml:space="preserve">承包人方应保障发包人免于受到由于工程上使用的或有关的或准备采用的承包人设备、材料或工程设备等侵犯专利权、设计商标或名称或其它受保护的权利而引起的索赔和诉讼，并保证发包人免于承担与此有关的赔偿费、诉讼费和其它开支，但由于执行工程师提供的设计或技术规范而侵犯上述权利的情况除外。</w:t>
      </w:r>
      <w:r/>
    </w:p>
    <w:p>
      <w:pPr>
        <w:ind w:right="105" w:firstLine="482"/>
        <w:spacing w:line="40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二十六、工程保修</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乙方按国家有关规定和协议条款约定的保修项目、内容、范围、期限，进行保修。保修期从甲方代表在最终验收记录上签字之日算起。分单验收的工程，按单项工程分别计算保修期。</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保修期间，乙方应在接到修理通知之日后10天内派人修理，否则，甲方可委托其它单位或人员修理。因乙方原因造成返修的费用，甲方在保修金内扣除，不足部分，由乙方交付。因乙方之外原因造成返修的经济支出，由甲方承担。</w:t>
      </w:r>
      <w:r/>
    </w:p>
    <w:p>
      <w:pPr>
        <w:ind w:right="105" w:firstLine="482"/>
        <w:spacing w:line="40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二十七、索赔</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甲方未能按合同约定支付各种费用、顺延工期、赔偿损失，乙方可按以下方式向甲方索赔：</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（一）有正当索赔理由，且有索赔事件发生时的有关证据；</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（二）索赔事件发生后20天内，向甲方发出要求索赔的通知；</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（三）甲方在接到索赔通知后10天内给予批准，或要求乙方进一步补充索赔理由和证据，在10天内未予答复，应视为该项索赔已经批准。</w:t>
      </w:r>
      <w:r/>
    </w:p>
    <w:p>
      <w:pPr>
        <w:ind w:right="105" w:firstLine="482"/>
        <w:spacing w:line="40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二十八、合同争议</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甲乙双方应通过友好协商，解决在执行本合同中所发生的或与本合同有关的一切争端。如果协商仍得不到解决，任何一方均可按《中华人民共和国民法典》规定提交调解和仲裁。</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二十九、适用法律</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本合同应按照中华人民共和国的现行法律进行解释。</w:t>
      </w:r>
      <w:r/>
    </w:p>
    <w:tbl>
      <w:tblPr>
        <w:tblStyle w:val="67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甲方（公章）：</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spacing w:line="400" w:lineRule="exact"/>
              <w:rPr>
                <w:rFonts w:ascii="仿宋" w:hAnsi="仿宋" w:eastAsia="仿宋"/>
                <w:color w:val="auto"/>
                <w:sz w:val="24"/>
                <w:highlight w:val="none"/>
              </w:rPr>
            </w:pPr>
            <w:r>
              <w:rPr>
                <w:rFonts w:ascii="仿宋" w:hAnsi="仿宋" w:eastAsia="仿宋"/>
                <w:color w:val="auto"/>
                <w:sz w:val="24"/>
                <w:highlight w:val="none"/>
              </w:rPr>
            </w:r>
            <w:r/>
          </w:p>
          <w:p>
            <w:pPr>
              <w:spacing w:line="400" w:lineRule="exact"/>
              <w:rPr>
                <w:rFonts w:ascii="仿宋" w:hAnsi="仿宋" w:eastAsia="仿宋"/>
                <w:color w:val="auto"/>
                <w:sz w:val="24"/>
                <w:highlight w:val="none"/>
              </w:rPr>
            </w:pPr>
            <w:r>
              <w:rPr>
                <w:rFonts w:ascii="仿宋" w:hAnsi="仿宋" w:eastAsia="仿宋"/>
                <w:color w:val="auto"/>
                <w:sz w:val="24"/>
                <w:highlight w:val="none"/>
              </w:rPr>
            </w:r>
            <w:r/>
          </w:p>
          <w:p>
            <w:pPr>
              <w:jc w:val="right"/>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年  月  日</w:t>
            </w:r>
            <w:r/>
          </w:p>
        </w:tc>
        <w:tc>
          <w:tcPr>
            <w:tcW w:w="4261" w:type="dxa"/>
            <w:textDirection w:val="lrTb"/>
            <w:noWrap w:val="false"/>
          </w:tcPr>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乙方（公章）：</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开户行：</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银行账号：</w:t>
            </w:r>
            <w:r/>
          </w:p>
          <w:p>
            <w:pPr>
              <w:jc w:val="right"/>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年  月  日</w:t>
            </w:r>
            <w:r/>
          </w:p>
        </w:tc>
      </w:tr>
    </w:tbl>
    <w:p>
      <w:pPr>
        <w:ind w:firstLine="480"/>
        <w:spacing w:line="400" w:lineRule="exact"/>
        <w:rPr>
          <w:rFonts w:ascii="仿宋" w:hAnsi="仿宋" w:eastAsia="仿宋"/>
          <w:color w:val="auto"/>
          <w:sz w:val="24"/>
          <w:highlight w:val="none"/>
        </w:rPr>
        <w:outlineLvl w:val="9"/>
      </w:pPr>
      <w:r>
        <w:rPr>
          <w:rFonts w:ascii="仿宋" w:hAnsi="仿宋" w:eastAsia="仿宋"/>
          <w:color w:val="auto"/>
          <w:sz w:val="24"/>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03"/>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110" w:name="_Toc31962"/>
      <w:r>
        <w:rPr>
          <w:rFonts w:hint="eastAsia" w:ascii="方正小标宋简体" w:eastAsia="方正小标宋简体"/>
          <w:bCs/>
          <w:color w:val="auto"/>
          <w:sz w:val="32"/>
          <w:szCs w:val="32"/>
          <w:highlight w:val="none"/>
        </w:rPr>
        <w:t xml:space="preserve">第5章 竞争性谈判响应文件组成</w:t>
      </w:r>
      <w:bookmarkEnd w:id="110"/>
      <w:r/>
      <w:r/>
    </w:p>
    <w:p>
      <w:pPr>
        <w:pStyle w:val="703"/>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spacing w:line="500" w:lineRule="exact"/>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 xml:space="preserve">如皋市政府采购竞争性谈判响应文件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val="en-US" w:eastAsia="zh-CN"/>
        </w:rPr>
        <w:t xml:space="preserve">东陈镇2026年度农村生态河道提升项目</w:t>
      </w:r>
      <w:r/>
    </w:p>
    <w:p>
      <w:pPr>
        <w:jc w:val="center"/>
        <w:rPr>
          <w:rFonts w:hint="eastAsia" w:ascii="宋体" w:hAnsi="宋体" w:eastAsia="宋体"/>
          <w:b/>
          <w:color w:val="auto"/>
          <w:sz w:val="32"/>
          <w:szCs w:val="32"/>
          <w:highlight w:val="none"/>
          <w:u w:val="single"/>
          <w:lang w:val="en-US" w:eastAsia="zh-CN"/>
        </w:rPr>
      </w:pPr>
      <w:r>
        <w:rPr>
          <w:rFonts w:hint="eastAsia" w:ascii="宋体" w:hAnsi="宋体"/>
          <w:b/>
          <w:color w:val="auto"/>
          <w:sz w:val="32"/>
          <w:szCs w:val="32"/>
          <w:highlight w:val="none"/>
        </w:rPr>
        <w:t xml:space="preserve">计划编号：</w:t>
      </w:r>
      <w:r>
        <w:rPr>
          <w:rFonts w:hint="eastAsia" w:ascii="宋体" w:hAnsi="宋体"/>
          <w:b/>
          <w:color w:val="auto"/>
          <w:sz w:val="32"/>
          <w:szCs w:val="32"/>
          <w:highlight w:val="none"/>
          <w:lang w:val="en-US" w:eastAsia="zh-CN"/>
        </w:rPr>
        <w:t xml:space="preserve">JSZC-320682-NTZJ-T2026-0015</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677"/>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677"/>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spacing w:line="500" w:lineRule="atLeast"/>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宋体" w:hAnsi="宋体"/>
          <w:b/>
          <w:color w:val="auto"/>
          <w:sz w:val="24"/>
          <w:highlight w:val="none"/>
        </w:rPr>
      </w:pPr>
      <w:r>
        <w:rPr>
          <w:rFonts w:ascii="宋体" w:hAnsi="宋体"/>
          <w:b/>
          <w:color w:val="auto"/>
          <w:sz w:val="24"/>
          <w:highlight w:val="none"/>
        </w:rPr>
      </w:r>
      <w:r/>
    </w:p>
    <w:p>
      <w:pPr>
        <w:ind w:firstLine="560"/>
        <w:spacing w:line="500" w:lineRule="exact"/>
        <w:rPr>
          <w:rFonts w:ascii="仿宋" w:hAnsi="仿宋" w:eastAsia="仿宋"/>
          <w:color w:val="auto"/>
          <w:sz w:val="28"/>
          <w:szCs w:val="28"/>
          <w:highlight w:val="none"/>
        </w:rPr>
        <w:outlineLvl w:val="1"/>
      </w:pPr>
      <w:r/>
      <w:bookmarkStart w:id="111" w:name="_Toc10228"/>
      <w:r>
        <w:rPr>
          <w:rFonts w:hint="eastAsia" w:ascii="黑体" w:hAnsi="黑体" w:eastAsia="黑体"/>
          <w:color w:val="auto"/>
          <w:sz w:val="28"/>
          <w:szCs w:val="28"/>
          <w:highlight w:val="none"/>
        </w:rPr>
        <w:t xml:space="preserve">一、资格证明文件</w:t>
      </w:r>
      <w:bookmarkEnd w:id="111"/>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（六）项目实施所必须的许可资质证明材料</w:t>
      </w:r>
      <w:r/>
    </w:p>
    <w:p>
      <w:pPr>
        <w:ind w:firstLine="560"/>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（1）响应</w:t>
      </w:r>
      <w:r>
        <w:rPr>
          <w:rFonts w:ascii="仿宋" w:hAnsi="仿宋" w:eastAsia="仿宋"/>
          <w:b/>
          <w:bCs/>
          <w:color w:val="auto"/>
          <w:sz w:val="28"/>
          <w:szCs w:val="28"/>
          <w:highlight w:val="none"/>
        </w:rPr>
        <w:t xml:space="preserve">供应商</w:t>
      </w:r>
      <w:r>
        <w:rPr>
          <w:rFonts w:hint="eastAsia" w:ascii="仿宋" w:hAnsi="仿宋" w:eastAsia="仿宋"/>
          <w:b/>
          <w:bCs/>
          <w:color w:val="auto"/>
          <w:sz w:val="28"/>
          <w:szCs w:val="28"/>
          <w:highlight w:val="none"/>
        </w:rPr>
        <w:t xml:space="preserve">须具备水利水电工程施工总承包叁级及以上资质，并具备有效的安全生产许可证。</w:t>
      </w:r>
      <w:r>
        <w:rPr>
          <w:rFonts w:hint="eastAsia" w:ascii="仿宋" w:hAnsi="仿宋" w:eastAsia="仿宋"/>
          <w:b/>
          <w:bCs/>
          <w:iCs/>
          <w:color w:val="auto"/>
          <w:sz w:val="28"/>
          <w:szCs w:val="28"/>
          <w:highlight w:val="none"/>
        </w:rPr>
        <w:t xml:space="preserve">须提供相关资质原件</w:t>
      </w:r>
      <w:r>
        <w:rPr>
          <w:rFonts w:hint="eastAsia" w:ascii="仿宋" w:hAnsi="仿宋" w:eastAsia="仿宋"/>
          <w:b/>
          <w:bCs/>
          <w:iCs/>
          <w:color w:val="auto"/>
          <w:sz w:val="28"/>
          <w:szCs w:val="28"/>
          <w:highlight w:val="none"/>
          <w:lang w:val="en-US" w:eastAsia="zh-CN"/>
        </w:rPr>
        <w:t xml:space="preserve">复印</w:t>
      </w:r>
      <w:r>
        <w:rPr>
          <w:rFonts w:hint="eastAsia" w:ascii="仿宋" w:hAnsi="仿宋" w:eastAsia="仿宋"/>
          <w:b/>
          <w:bCs/>
          <w:iCs/>
          <w:color w:val="auto"/>
          <w:sz w:val="28"/>
          <w:szCs w:val="28"/>
          <w:highlight w:val="none"/>
        </w:rPr>
        <w:t xml:space="preserve">件加盖公章。</w:t>
      </w:r>
      <w:r/>
    </w:p>
    <w:p>
      <w:pPr>
        <w:pStyle w:val="685"/>
        <w:ind w:firstLine="567"/>
        <w:spacing w:before="0" w:beforeAutospacing="0" w:after="0" w:afterAutospacing="0" w:line="500" w:lineRule="exact"/>
        <w:shd w:val="clear" w:color="auto" w:fill="ffffff"/>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（2）响应</w:t>
      </w:r>
      <w:r>
        <w:rPr>
          <w:rFonts w:ascii="仿宋" w:hAnsi="仿宋" w:eastAsia="仿宋"/>
          <w:b/>
          <w:bCs/>
          <w:color w:val="auto"/>
          <w:sz w:val="28"/>
          <w:szCs w:val="28"/>
          <w:highlight w:val="none"/>
        </w:rPr>
        <w:t xml:space="preserve">供应商</w:t>
      </w:r>
      <w:r>
        <w:rPr>
          <w:rFonts w:hint="eastAsia" w:ascii="仿宋" w:hAnsi="仿宋" w:eastAsia="仿宋"/>
          <w:b/>
          <w:bCs/>
          <w:color w:val="auto"/>
          <w:sz w:val="28"/>
          <w:szCs w:val="28"/>
          <w:highlight w:val="none"/>
        </w:rPr>
        <w:t xml:space="preserve">拟派项目负责人须具备水利水电工程专业注册建造师贰级及以上执业资格，并具备有效的安全生产考核合格证书。</w:t>
      </w:r>
      <w:r>
        <w:rPr>
          <w:rFonts w:hint="eastAsia" w:ascii="仿宋" w:hAnsi="仿宋" w:eastAsia="仿宋"/>
          <w:b/>
          <w:bCs/>
          <w:iCs/>
          <w:color w:val="auto"/>
          <w:sz w:val="28"/>
          <w:szCs w:val="28"/>
          <w:highlight w:val="none"/>
        </w:rPr>
        <w:t xml:space="preserve">须提供相关</w:t>
      </w:r>
      <w:r>
        <w:rPr>
          <w:rFonts w:hint="eastAsia" w:ascii="仿宋" w:hAnsi="仿宋" w:eastAsia="仿宋"/>
          <w:b/>
          <w:bCs/>
          <w:iCs/>
          <w:color w:val="auto"/>
          <w:sz w:val="28"/>
          <w:szCs w:val="28"/>
          <w:highlight w:val="none"/>
          <w:lang w:val="en-US" w:eastAsia="zh-CN"/>
        </w:rPr>
        <w:t xml:space="preserve">证书</w:t>
      </w:r>
      <w:r>
        <w:rPr>
          <w:rFonts w:hint="eastAsia" w:ascii="仿宋" w:hAnsi="仿宋" w:eastAsia="仿宋"/>
          <w:b/>
          <w:bCs/>
          <w:iCs/>
          <w:color w:val="auto"/>
          <w:sz w:val="28"/>
          <w:szCs w:val="28"/>
          <w:highlight w:val="none"/>
        </w:rPr>
        <w:t xml:space="preserve">原件</w:t>
      </w:r>
      <w:r>
        <w:rPr>
          <w:rFonts w:hint="eastAsia" w:ascii="仿宋" w:hAnsi="仿宋" w:eastAsia="仿宋"/>
          <w:b/>
          <w:bCs/>
          <w:iCs/>
          <w:color w:val="auto"/>
          <w:sz w:val="28"/>
          <w:szCs w:val="28"/>
          <w:highlight w:val="none"/>
          <w:lang w:val="en-US" w:eastAsia="zh-CN"/>
        </w:rPr>
        <w:t xml:space="preserve">复印</w:t>
      </w:r>
      <w:r>
        <w:rPr>
          <w:rFonts w:hint="eastAsia" w:ascii="仿宋" w:hAnsi="仿宋" w:eastAsia="仿宋"/>
          <w:b/>
          <w:bCs/>
          <w:iCs/>
          <w:color w:val="auto"/>
          <w:sz w:val="28"/>
          <w:szCs w:val="28"/>
          <w:highlight w:val="none"/>
        </w:rPr>
        <w:t xml:space="preserve">件加盖公章</w:t>
      </w:r>
      <w:r>
        <w:rPr>
          <w:rFonts w:hint="eastAsia" w:ascii="仿宋" w:hAnsi="仿宋" w:eastAsia="仿宋"/>
          <w:b/>
          <w:bCs/>
          <w:iCs/>
          <w:color w:val="auto"/>
          <w:sz w:val="28"/>
          <w:szCs w:val="28"/>
          <w:highlight w:val="none"/>
          <w:lang w:eastAsia="zh-CN"/>
        </w:rPr>
        <w:t xml:space="preserve">、</w:t>
      </w:r>
      <w:r>
        <w:rPr>
          <w:rFonts w:hint="eastAsia" w:ascii="仿宋" w:hAnsi="仿宋" w:eastAsia="仿宋"/>
          <w:b/>
          <w:bCs/>
          <w:iCs/>
          <w:color w:val="auto"/>
          <w:sz w:val="28"/>
          <w:szCs w:val="28"/>
          <w:highlight w:val="none"/>
          <w:lang w:val="en-US" w:eastAsia="zh-CN"/>
        </w:rPr>
        <w:t xml:space="preserve">及</w:t>
      </w:r>
      <w:r>
        <w:rPr>
          <w:rFonts w:hint="eastAsia" w:ascii="仿宋" w:hAnsi="仿宋" w:eastAsia="仿宋"/>
          <w:b/>
          <w:bCs/>
          <w:iCs/>
          <w:color w:val="auto"/>
          <w:sz w:val="28"/>
          <w:szCs w:val="28"/>
          <w:highlight w:val="none"/>
        </w:rPr>
        <w:t xml:space="preserve">响应文件提交截止日前最近1个月响应供应商为其缴纳社保的证明；新成立企业距响应文件提交截止日期不足30日的，可不提供缴纳社保的证明（以新办企业营业执照发放日期为准）。</w:t>
      </w:r>
      <w:r/>
    </w:p>
    <w:p>
      <w:pPr>
        <w:ind w:firstLine="562"/>
        <w:keepLines w:val="0"/>
        <w:keepNext w:val="0"/>
        <w:pageBreakBefore w:val="0"/>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注：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r/>
    </w:p>
    <w:p>
      <w:pPr>
        <w:ind w:firstLine="562"/>
        <w:spacing w:line="500" w:lineRule="exact"/>
        <w:rPr>
          <w:rFonts w:ascii="仿宋" w:hAnsi="仿宋" w:eastAsia="仿宋"/>
          <w:iCs/>
          <w:color w:val="auto"/>
          <w:sz w:val="28"/>
          <w:szCs w:val="28"/>
          <w:highlight w:val="none"/>
        </w:rPr>
      </w:pPr>
      <w:r>
        <w:rPr>
          <w:rFonts w:hint="eastAsia" w:ascii="仿宋" w:hAnsi="仿宋" w:eastAsia="仿宋"/>
          <w:b/>
          <w:bCs/>
          <w:color w:val="auto"/>
          <w:sz w:val="28"/>
          <w:szCs w:val="28"/>
          <w:highlight w:val="none"/>
        </w:rPr>
        <w:t xml:space="preserve">根据江苏省住房和城乡建设厅发布的《省住房和城乡建设厅关于我省二级建造师、二级造价工程师、二级注册建筑师、二级注册结构工程师注册证书电子证照换发的公告》〔2023〕第26号的规定，二级建造师统一使用新版电子证照，否则资格审查不予通过。</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（七）法定代表人身份证明及身份证复印件</w:t>
      </w:r>
      <w:r/>
    </w:p>
    <w:p>
      <w:pPr>
        <w:ind w:firstLine="562"/>
        <w:jc w:val="center"/>
        <w:spacing w:before="50"/>
        <w:rPr>
          <w:rFonts w:hint="eastAsia" w:ascii="仿宋" w:hAnsi="仿宋" w:eastAsia="仿宋"/>
          <w:color w:val="auto"/>
          <w:sz w:val="28"/>
          <w:szCs w:val="28"/>
          <w:highlight w:val="none"/>
        </w:rPr>
      </w:pPr>
      <w:r>
        <w:rPr>
          <w:rFonts w:hint="eastAsia" w:ascii="仿宋" w:hAnsi="仿宋" w:eastAsia="仿宋" w:cs="仿宋"/>
          <w:b/>
          <w:color w:val="auto"/>
          <w:sz w:val="28"/>
          <w:szCs w:val="28"/>
          <w:highlight w:val="none"/>
          <w:lang w:bidi="ar"/>
        </w:rPr>
        <w:t xml:space="preserve">法定代表人身份证明</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供应商名称：</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单位性质：</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地址：</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成立时间：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月</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日</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经营期限：</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姓名：</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性别：</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default" w:ascii="仿宋" w:hAnsi="仿宋" w:eastAsia="仿宋"/>
          <w:color w:val="auto"/>
          <w:sz w:val="28"/>
          <w:szCs w:val="28"/>
          <w:highlight w:val="none"/>
          <w:lang w:val="en-US" w:eastAsia="zh-CN"/>
        </w:rPr>
      </w:pPr>
      <w:r>
        <w:rPr>
          <w:rFonts w:hint="eastAsia" w:ascii="仿宋" w:hAnsi="仿宋" w:eastAsia="仿宋" w:cs="仿宋"/>
          <w:color w:val="auto"/>
          <w:sz w:val="28"/>
          <w:szCs w:val="28"/>
          <w:highlight w:val="none"/>
          <w:lang w:bidi="ar"/>
        </w:rPr>
        <w:t xml:space="preserve">年龄：</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职务：</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lang w:val="en-US" w:eastAsia="zh-CN" w:bidi="ar"/>
        </w:rPr>
        <w:t xml:space="preserve">联系电话：</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系</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（供应商名称）的法定代表人。</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特此证明。</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法定代表人身份证</w:t>
      </w:r>
      <w:r/>
    </w:p>
    <w:p>
      <w:pPr>
        <w:ind w:firstLine="560"/>
        <w:jc w:val="righ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供应商名称（公章）：</w:t>
      </w:r>
      <w:r>
        <w:rPr>
          <w:rFonts w:hint="eastAsia" w:ascii="仿宋" w:hAnsi="仿宋" w:eastAsia="仿宋"/>
          <w:color w:val="auto"/>
          <w:sz w:val="28"/>
          <w:szCs w:val="28"/>
          <w:highlight w:val="none"/>
          <w:lang w:bidi="ar"/>
        </w:rPr>
        <w:t xml:space="preserve">              </w:t>
      </w:r>
      <w:r/>
    </w:p>
    <w:p>
      <w:pPr>
        <w:jc w:val="righ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日期：</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年</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月</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日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。（法定代表人参加谈判采购活动的，无需提供）</w:t>
      </w:r>
      <w:r/>
    </w:p>
    <w:p>
      <w:pPr>
        <w:jc w:val="center"/>
        <w:spacing w:before="50"/>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702"/>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（供应商名称）授权</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（代理人的姓名）为我方就项目名称：</w:t>
      </w:r>
      <w:r>
        <w:rPr>
          <w:rFonts w:hint="eastAsia" w:ascii="仿宋" w:hAnsi="仿宋" w:eastAsia="仿宋"/>
          <w:color w:val="auto"/>
          <w:sz w:val="28"/>
          <w:szCs w:val="28"/>
          <w:highlight w:val="none"/>
          <w:u w:val="single"/>
          <w:lang w:val="en-US" w:eastAsia="zh-CN"/>
        </w:rPr>
        <w:t xml:space="preserve">东陈镇2026年度农村生态河道提升项目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JSZC-320682-NTZJ-T2026-0015</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702"/>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702"/>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02"/>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702"/>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702"/>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702"/>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02"/>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702"/>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702"/>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702"/>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02"/>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702"/>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702"/>
        <w:ind w:firstLine="480"/>
        <w:spacing w:line="500" w:lineRule="exact"/>
        <w:rPr>
          <w:rFonts w:ascii="仿宋" w:hAnsi="仿宋" w:eastAsia="仿宋"/>
          <w:color w:val="auto"/>
          <w:sz w:val="28"/>
          <w:szCs w:val="28"/>
          <w:highlight w:val="none"/>
        </w:rPr>
      </w:pPr>
      <w:r/>
      <w:bookmarkStart w:id="112" w:name="_Hlt26671380"/>
      <w:r/>
      <w:bookmarkEnd w:id="112"/>
      <w:r/>
      <w:bookmarkStart w:id="113" w:name="_Hlt26955070"/>
      <w:r/>
      <w:bookmarkEnd w:id="113"/>
      <w:r/>
      <w:bookmarkStart w:id="114" w:name="_格式3__银行出具的资信证明"/>
      <w:r/>
      <w:bookmarkEnd w:id="114"/>
      <w:r/>
      <w:r/>
    </w:p>
    <w:p>
      <w:pPr>
        <w:pStyle w:val="67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ind w:firstLine="480"/>
        <w:jc w:val="left"/>
        <w:spacing w:before="50"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九</w:t>
      </w:r>
      <w:r>
        <w:rPr>
          <w:rFonts w:hint="eastAsia" w:ascii="仿宋" w:hAnsi="仿宋" w:eastAsia="仿宋"/>
          <w:bCs/>
          <w:color w:val="auto"/>
          <w:sz w:val="28"/>
          <w:szCs w:val="28"/>
          <w:highlight w:val="none"/>
        </w:rPr>
        <w:t xml:space="preserve">）竞争性</w:t>
      </w:r>
      <w:r>
        <w:rPr>
          <w:rFonts w:hint="eastAsia" w:ascii="仿宋" w:hAnsi="仿宋" w:eastAsia="仿宋" w:cs="Arial"/>
          <w:color w:val="auto"/>
          <w:sz w:val="28"/>
          <w:szCs w:val="28"/>
          <w:highlight w:val="none"/>
        </w:rPr>
        <w:t xml:space="preserve">谈判响应函。</w:t>
      </w:r>
      <w:r/>
    </w:p>
    <w:p>
      <w:pPr>
        <w:jc w:val="center"/>
        <w:spacing w:before="50" w:line="500" w:lineRule="exact"/>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竞争性谈判响应函</w:t>
      </w:r>
      <w:r/>
    </w:p>
    <w:p>
      <w:pPr>
        <w:pStyle w:val="702"/>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u w:val="single"/>
          <w:lang w:val="en-US" w:eastAsia="zh-CN"/>
        </w:rPr>
        <w:t xml:space="preserve">如皋市东陈镇人民政府</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东陈镇2026年度农村生态河道提升项目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JSZC-320682-NTZJ-T2026-0015</w:t>
      </w:r>
      <w:r>
        <w:rPr>
          <w:rFonts w:hint="eastAsia" w:ascii="仿宋" w:hAnsi="仿宋" w:eastAsia="仿宋"/>
          <w:color w:val="auto"/>
          <w:sz w:val="28"/>
          <w:szCs w:val="28"/>
          <w:highlight w:val="none"/>
        </w:rPr>
        <w:t xml:space="preserve">）竞争性谈判文件，正式授权下述签字人_________ (姓名和职务)代表我方______________（供应商的名称），全权处理本次项目谈判采购的有关事宜。</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1.按谈判文件规定的各项要求，向买方提供所需货物、服务。</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2.我们已详细审核全部谈判文件及其有效补充文件，我们知道必须放弃提出含糊不清或误解问题的权利。</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3.我们同意从规定的响应文件接收截止时间起遵循本响应文件，并在规定的谈判有效期期满之前均具有约束力。</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4.同意向贵方提供贵方可能另外要求的与竞争性谈判活动有关的任何证据或资料，并保证我方已提供和将要提供的文件是真实的、准确的。</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6.我方将根据竞争性谈判文件的规定，严格履行合同的责任和义务，并保证在谈判文件规定的时间完成项目。</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7.遵守竞争性谈判文件中要求的收费项目和标准。</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8.与本次竞争性谈判活动有关的正式通讯地址为：</w:t>
      </w:r>
      <w:r/>
    </w:p>
    <w:p>
      <w:pPr>
        <w:pStyle w:val="70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70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70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70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70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numPr>
          <w:ilvl w:val="0"/>
          <w:numId w:val="2"/>
        </w:numPr>
        <w:jc w:val="left"/>
        <w:rPr>
          <w:rFonts w:hint="eastAsia"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中小企业声明函</w:t>
      </w:r>
      <w:r/>
    </w:p>
    <w:p>
      <w:pPr>
        <w:numPr>
          <w:ilvl w:val="0"/>
          <w:numId w:val="0"/>
        </w:numPr>
        <w:jc w:val="center"/>
        <w:rPr>
          <w:rFonts w:ascii="方正小标宋简体" w:eastAsia="方正小标宋简体"/>
          <w:color w:val="auto"/>
          <w:sz w:val="36"/>
          <w:szCs w:val="36"/>
          <w:highlight w:val="none"/>
        </w:rPr>
        <w:outlineLvl w:val="9"/>
      </w:pPr>
      <w:r>
        <w:rPr>
          <w:rFonts w:hint="eastAsia" w:ascii="方正小标宋简体" w:eastAsia="方正小标宋简体"/>
          <w:color w:val="auto"/>
          <w:sz w:val="36"/>
          <w:szCs w:val="36"/>
          <w:highlight w:val="none"/>
        </w:rPr>
        <w:t xml:space="preserve">中小企业声明函（工程、服务）</w:t>
      </w:r>
      <w:r/>
    </w:p>
    <w:p>
      <w:pPr>
        <w:ind w:firstLine="560"/>
        <w:spacing w:line="500" w:lineRule="exact"/>
        <w:rPr>
          <w:rFonts w:ascii="仿宋" w:hAnsi="仿宋" w:eastAsia="仿宋"/>
          <w:i w:val="0"/>
          <w:iCs/>
          <w:color w:val="auto"/>
          <w:sz w:val="28"/>
          <w:szCs w:val="28"/>
          <w:highlight w:val="none"/>
        </w:rPr>
        <w:outlineLvl w:val="9"/>
      </w:pPr>
      <w:r>
        <w:rPr>
          <w:rFonts w:hint="eastAsia" w:ascii="仿宋" w:hAnsi="仿宋" w:eastAsia="仿宋"/>
          <w:color w:val="auto"/>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i w:val="0"/>
          <w:iCs/>
          <w:color w:val="auto"/>
          <w:sz w:val="28"/>
          <w:szCs w:val="28"/>
          <w:highlight w:val="none"/>
          <w:u w:val="single"/>
          <w:lang w:val="en-US" w:eastAsia="zh-CN"/>
        </w:rPr>
        <w:t xml:space="preserve">如皋市东陈镇人民政府</w:t>
      </w:r>
      <w:r>
        <w:rPr>
          <w:rFonts w:hint="eastAsia" w:ascii="仿宋" w:hAnsi="仿宋" w:eastAsia="仿宋"/>
          <w:i w:val="0"/>
          <w:iCs/>
          <w:color w:val="auto"/>
          <w:sz w:val="28"/>
          <w:szCs w:val="28"/>
          <w:highlight w:val="none"/>
        </w:rPr>
        <w:t xml:space="preserve">的</w:t>
      </w:r>
      <w:r>
        <w:rPr>
          <w:rFonts w:hint="eastAsia" w:ascii="仿宋" w:hAnsi="仿宋" w:eastAsia="仿宋"/>
          <w:i w:val="0"/>
          <w:iCs/>
          <w:color w:val="auto"/>
          <w:sz w:val="28"/>
          <w:szCs w:val="28"/>
          <w:highlight w:val="none"/>
          <w:u w:val="single"/>
          <w:lang w:val="en-US" w:eastAsia="zh-CN"/>
        </w:rPr>
        <w:t xml:space="preserve">东陈镇2026年度农村生态河道提升项目</w:t>
      </w:r>
      <w:r>
        <w:rPr>
          <w:rFonts w:hint="eastAsia" w:ascii="仿宋" w:hAnsi="仿宋" w:eastAsia="仿宋"/>
          <w:i w:val="0"/>
          <w:iCs/>
          <w:color w:val="auto"/>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60"/>
        <w:spacing w:line="500" w:lineRule="exact"/>
        <w:rPr>
          <w:rFonts w:ascii="仿宋" w:hAnsi="仿宋" w:eastAsia="仿宋"/>
          <w:i w:val="0"/>
          <w:iCs/>
          <w:color w:val="auto"/>
          <w:sz w:val="28"/>
          <w:szCs w:val="28"/>
          <w:highlight w:val="none"/>
        </w:rPr>
        <w:outlineLvl w:val="9"/>
      </w:pPr>
      <w:r>
        <w:rPr>
          <w:rFonts w:hint="eastAsia" w:ascii="仿宋" w:hAnsi="仿宋" w:eastAsia="仿宋"/>
          <w:i w:val="0"/>
          <w:iCs/>
          <w:color w:val="auto"/>
          <w:sz w:val="28"/>
          <w:szCs w:val="28"/>
          <w:highlight w:val="none"/>
        </w:rPr>
        <w:t xml:space="preserve">1.</w:t>
      </w:r>
      <w:r>
        <w:rPr>
          <w:rFonts w:hint="eastAsia" w:ascii="仿宋" w:hAnsi="仿宋" w:eastAsia="仿宋"/>
          <w:i w:val="0"/>
          <w:iCs/>
          <w:color w:val="auto"/>
          <w:sz w:val="28"/>
          <w:szCs w:val="28"/>
          <w:highlight w:val="none"/>
          <w:u w:val="single"/>
          <w:lang w:val="en-US" w:eastAsia="zh-CN"/>
        </w:rPr>
        <w:t xml:space="preserve">东陈镇2026年度农村生态河道提升项目</w:t>
      </w:r>
      <w:r>
        <w:rPr>
          <w:rFonts w:hint="eastAsia" w:ascii="仿宋" w:hAnsi="仿宋" w:eastAsia="仿宋"/>
          <w:i w:val="0"/>
          <w:iCs/>
          <w:color w:val="auto"/>
          <w:sz w:val="28"/>
          <w:szCs w:val="28"/>
          <w:highlight w:val="none"/>
        </w:rPr>
        <w:t xml:space="preserve">，属于</w:t>
      </w:r>
      <w:r>
        <w:rPr>
          <w:rFonts w:hint="eastAsia" w:ascii="仿宋" w:hAnsi="仿宋" w:eastAsia="仿宋"/>
          <w:i w:val="0"/>
          <w:iCs/>
          <w:color w:val="auto"/>
          <w:sz w:val="28"/>
          <w:szCs w:val="28"/>
          <w:highlight w:val="none"/>
          <w:u w:val="single"/>
        </w:rPr>
        <w:t xml:space="preserve">（</w:t>
      </w:r>
      <w:r>
        <w:rPr>
          <w:rFonts w:hint="eastAsia" w:ascii="仿宋" w:hAnsi="仿宋" w:eastAsia="仿宋"/>
          <w:i w:val="0"/>
          <w:iCs/>
          <w:color w:val="auto"/>
          <w:sz w:val="28"/>
          <w:szCs w:val="28"/>
          <w:highlight w:val="none"/>
          <w:u w:val="single"/>
          <w:lang w:val="en-US" w:eastAsia="zh-CN"/>
        </w:rPr>
        <w:t xml:space="preserve">建筑业</w:t>
      </w:r>
      <w:r>
        <w:rPr>
          <w:rFonts w:hint="eastAsia" w:ascii="仿宋" w:hAnsi="仿宋" w:eastAsia="仿宋"/>
          <w:i w:val="0"/>
          <w:iCs/>
          <w:color w:val="auto"/>
          <w:sz w:val="28"/>
          <w:szCs w:val="28"/>
          <w:highlight w:val="none"/>
          <w:u w:val="single"/>
        </w:rPr>
        <w:t xml:space="preserve">）</w:t>
      </w:r>
      <w:r>
        <w:rPr>
          <w:rFonts w:hint="eastAsia" w:ascii="仿宋" w:hAnsi="仿宋" w:eastAsia="仿宋"/>
          <w:i w:val="0"/>
          <w:iCs/>
          <w:color w:val="auto"/>
          <w:sz w:val="28"/>
          <w:szCs w:val="28"/>
          <w:highlight w:val="none"/>
        </w:rPr>
        <w:t xml:space="preserve"> ；承建（承接）企业为 </w:t>
      </w:r>
      <w:r>
        <w:rPr>
          <w:rFonts w:hint="eastAsia" w:ascii="仿宋" w:hAnsi="仿宋" w:eastAsia="仿宋"/>
          <w:i w:val="0"/>
          <w:iCs/>
          <w:color w:val="auto"/>
          <w:sz w:val="28"/>
          <w:szCs w:val="28"/>
          <w:highlight w:val="none"/>
          <w:u w:val="single"/>
        </w:rPr>
        <w:t xml:space="preserve">（企业名称）</w:t>
      </w:r>
      <w:r>
        <w:rPr>
          <w:rFonts w:hint="eastAsia" w:ascii="仿宋" w:hAnsi="仿宋" w:eastAsia="仿宋"/>
          <w:i w:val="0"/>
          <w:iCs/>
          <w:color w:val="auto"/>
          <w:sz w:val="28"/>
          <w:szCs w:val="28"/>
          <w:highlight w:val="none"/>
        </w:rPr>
        <w:t xml:space="preserve"> ，从业人员人，营业收入为万元，资产总额为万元</w:t>
      </w:r>
      <w:r>
        <w:rPr>
          <w:rFonts w:hint="eastAsia" w:ascii="仿宋" w:hAnsi="仿宋" w:eastAsia="仿宋"/>
          <w:i w:val="0"/>
          <w:iCs/>
          <w:color w:val="auto"/>
          <w:sz w:val="28"/>
          <w:szCs w:val="28"/>
          <w:highlight w:val="none"/>
          <w:vertAlign w:val="superscript"/>
        </w:rPr>
        <w:t xml:space="preserve">1</w:t>
      </w:r>
      <w:r>
        <w:rPr>
          <w:rFonts w:hint="eastAsia" w:ascii="仿宋" w:hAnsi="仿宋" w:eastAsia="仿宋"/>
          <w:i w:val="0"/>
          <w:iCs/>
          <w:color w:val="auto"/>
          <w:sz w:val="28"/>
          <w:szCs w:val="28"/>
          <w:highlight w:val="none"/>
        </w:rPr>
        <w:t xml:space="preserve"> ，属于</w:t>
      </w:r>
      <w:r>
        <w:rPr>
          <w:rFonts w:hint="eastAsia" w:ascii="仿宋" w:hAnsi="仿宋" w:eastAsia="仿宋"/>
          <w:i w:val="0"/>
          <w:iCs/>
          <w:color w:val="auto"/>
          <w:sz w:val="28"/>
          <w:szCs w:val="28"/>
          <w:highlight w:val="none"/>
          <w:u w:val="single"/>
        </w:rPr>
        <w:t xml:space="preserve"> （中型企业、小型企业、微型企业） </w:t>
      </w:r>
      <w:r>
        <w:rPr>
          <w:rFonts w:hint="eastAsia" w:ascii="仿宋" w:hAnsi="仿宋" w:eastAsia="仿宋"/>
          <w:i w:val="0"/>
          <w:i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本企业对上述声明内容的真实性负责。如有虚假，将依法承担相应责任。</w:t>
      </w:r>
      <w:r/>
    </w:p>
    <w:p>
      <w:pPr>
        <w:ind w:firstLine="560"/>
        <w:jc w:val="righ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企业名称（盖章）：          </w:t>
      </w:r>
      <w:r/>
    </w:p>
    <w:p>
      <w:pPr>
        <w:ind w:firstLine="560"/>
        <w:jc w:val="righ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日 期：             </w:t>
      </w:r>
      <w:r/>
    </w:p>
    <w:p>
      <w:pPr>
        <w:ind w:right="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：从业人员、营业收入、资产总额填报上一年度数据，无上一年度数据的新成立企业可不填报。</w:t>
      </w:r>
      <w:r/>
    </w:p>
    <w:p>
      <w:pPr>
        <w:ind w:firstLine="480"/>
        <w:jc w:val="left"/>
        <w:spacing w:before="50"/>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480"/>
        <w:jc w:val="left"/>
        <w:spacing w:before="50"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480"/>
        <w:jc w:val="left"/>
        <w:spacing w:before="50" w:line="500" w:lineRule="exact"/>
        <w:rPr>
          <w:rFonts w:ascii="仿宋" w:hAnsi="仿宋" w:eastAsia="仿宋"/>
          <w:b/>
          <w:bCs/>
          <w:color w:val="auto"/>
          <w:sz w:val="28"/>
          <w:szCs w:val="28"/>
          <w:highlight w:val="none"/>
        </w:rPr>
      </w:pPr>
      <w:r>
        <w:rPr>
          <w:rFonts w:hint="eastAsia" w:ascii="仿宋" w:hAnsi="仿宋" w:eastAsia="仿宋"/>
          <w:bCs/>
          <w:color w:val="auto"/>
          <w:sz w:val="28"/>
          <w:szCs w:val="28"/>
          <w:highlight w:val="none"/>
        </w:rPr>
        <w:t xml:space="preserve">（十</w:t>
      </w:r>
      <w:r>
        <w:rPr>
          <w:rFonts w:hint="eastAsia" w:ascii="仿宋" w:hAnsi="仿宋" w:eastAsia="仿宋"/>
          <w:bCs/>
          <w:color w:val="auto"/>
          <w:sz w:val="28"/>
          <w:szCs w:val="28"/>
          <w:highlight w:val="none"/>
          <w:lang w:val="en-US" w:eastAsia="zh-CN"/>
        </w:rPr>
        <w:t xml:space="preserve">一</w:t>
      </w:r>
      <w:r>
        <w:rPr>
          <w:rFonts w:hint="eastAsia" w:ascii="仿宋" w:hAnsi="仿宋" w:eastAsia="仿宋"/>
          <w:bCs/>
          <w:color w:val="auto"/>
          <w:sz w:val="28"/>
          <w:szCs w:val="28"/>
          <w:highlight w:val="none"/>
        </w:rPr>
        <w:t xml:space="preserve">）</w:t>
      </w:r>
      <w:r>
        <w:rPr>
          <w:rFonts w:hint="eastAsia" w:ascii="仿宋" w:hAnsi="仿宋" w:eastAsia="仿宋"/>
          <w:color w:val="auto"/>
          <w:sz w:val="28"/>
          <w:szCs w:val="28"/>
          <w:highlight w:val="none"/>
        </w:rPr>
        <w:t xml:space="preserve">其他资格证明材料</w:t>
      </w:r>
      <w:r/>
    </w:p>
    <w:p>
      <w:pPr>
        <w:pStyle w:val="685"/>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响应供应商须提供承诺函，格式自拟，不提供视为无效响应。</w:t>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注意：以上资格证明文件中要求加盖公章的，必须加盖公章；如供应商组成联合体参加谈判，则联合体各方均须加盖公章，否则视为无效谈判响应文件。</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115" w:name="_Toc24648"/>
      <w:r>
        <w:rPr>
          <w:rFonts w:hint="eastAsia" w:ascii="黑体" w:hAnsi="黑体" w:eastAsia="黑体"/>
          <w:color w:val="auto"/>
          <w:sz w:val="28"/>
          <w:szCs w:val="28"/>
          <w:highlight w:val="none"/>
        </w:rPr>
        <w:t xml:space="preserve">二、商务技术</w:t>
      </w:r>
      <w:r>
        <w:rPr>
          <w:rFonts w:hint="eastAsia" w:ascii="黑体" w:hAnsi="黑体" w:eastAsia="黑体"/>
          <w:bCs/>
          <w:color w:val="auto"/>
          <w:sz w:val="28"/>
          <w:szCs w:val="28"/>
          <w:highlight w:val="none"/>
        </w:rPr>
        <w:t xml:space="preserve">文件</w:t>
      </w:r>
      <w:bookmarkEnd w:id="115"/>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（一）符合技术要求或者服务要求的相关证明材料</w:t>
      </w:r>
      <w:r/>
    </w:p>
    <w:p>
      <w:pPr>
        <w:ind w:firstLine="1400"/>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t xml:space="preserve">无。</w:t>
      </w:r>
      <w:r/>
    </w:p>
    <w:p>
      <w:pPr>
        <w:ind w:firstLine="560"/>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（二）商务部分正负偏离表</w:t>
      </w:r>
      <w:r/>
    </w:p>
    <w:p>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商务部分正负偏离表</w:t>
      </w:r>
      <w:r/>
    </w:p>
    <w:p>
      <w:pPr>
        <w:rPr>
          <w:rFonts w:ascii="仿宋" w:hAnsi="仿宋" w:eastAsia="仿宋"/>
          <w:color w:val="auto"/>
          <w:sz w:val="24"/>
          <w:highlight w:val="none"/>
        </w:rPr>
      </w:pPr>
      <w:r>
        <w:rPr>
          <w:rFonts w:hint="eastAsia" w:ascii="仿宋" w:hAnsi="仿宋" w:eastAsia="仿宋"/>
          <w:color w:val="auto"/>
          <w:sz w:val="24"/>
          <w:highlight w:val="none"/>
        </w:rPr>
        <w:t xml:space="preserve">供应商全称（加盖公章）：        </w:t>
      </w:r>
      <w:r/>
    </w:p>
    <w:tbl>
      <w:tblPr>
        <w:tblStyle w:val="671"/>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362"/>
        <w:gridCol w:w="3323"/>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323"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工期</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480"/>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自合同签订之日起一个月内完工，具体时间以采购人通知为准。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48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验收方案</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48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以采购单位现场验收考核、工程竣工验收证明书为准。</w:t>
            </w:r>
            <w:r/>
          </w:p>
          <w:p>
            <w:pPr>
              <w:ind w:firstLine="48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在接到施工单位以书面形式提出验收申请后，在</w:t>
            </w:r>
            <w:r>
              <w:rPr>
                <w:rFonts w:hint="eastAsia" w:ascii="仿宋" w:hAnsi="仿宋" w:eastAsia="仿宋" w:cs="仿宋"/>
                <w:color w:val="auto"/>
                <w:sz w:val="24"/>
                <w:szCs w:val="24"/>
                <w:highlight w:val="none"/>
                <w:u w:val="single"/>
              </w:rPr>
              <w:t xml:space="preserve"> 10</w:t>
            </w:r>
            <w:r>
              <w:rPr>
                <w:rFonts w:hint="eastAsia" w:ascii="仿宋" w:hAnsi="仿宋" w:eastAsia="仿宋" w:cs="仿宋"/>
                <w:color w:val="auto"/>
                <w:sz w:val="24"/>
                <w:szCs w:val="24"/>
                <w:highlight w:val="none"/>
              </w:rPr>
              <w:t xml:space="preserve">个工作日内及时组织相关专业技术人员</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相关部门共同参与验收，并出具验收报告。</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缺陷责任期</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w:t>
            </w:r>
            <w:r>
              <w:rPr>
                <w:rFonts w:hint="eastAsia" w:ascii="仿宋" w:hAnsi="仿宋" w:eastAsia="仿宋" w:cs="仿宋"/>
                <w:color w:val="auto"/>
                <w:sz w:val="24"/>
                <w:szCs w:val="24"/>
                <w:highlight w:val="none"/>
                <w:lang w:val="en-US" w:eastAsia="zh-CN"/>
              </w:rPr>
              <w:t xml:space="preserve">工程竣工</w:t>
            </w:r>
            <w:r>
              <w:rPr>
                <w:rFonts w:hint="eastAsia" w:ascii="仿宋" w:hAnsi="仿宋" w:eastAsia="仿宋" w:cs="仿宋"/>
                <w:color w:val="auto"/>
                <w:sz w:val="24"/>
                <w:szCs w:val="24"/>
                <w:highlight w:val="none"/>
              </w:rPr>
              <w:t xml:space="preserve">并验收合格之日起计</w:t>
            </w:r>
            <w:r>
              <w:rPr>
                <w:rFonts w:hint="eastAsia" w:ascii="仿宋" w:hAnsi="仿宋" w:eastAsia="仿宋" w:cs="仿宋"/>
                <w:color w:val="auto"/>
                <w:sz w:val="24"/>
                <w:szCs w:val="24"/>
                <w:highlight w:val="none"/>
                <w:u w:val="single"/>
                <w:lang w:val="en-US" w:eastAsia="zh-CN"/>
              </w:rPr>
              <w:t xml:space="preserve">贰</w:t>
            </w:r>
            <w:r>
              <w:rPr>
                <w:rFonts w:hint="eastAsia" w:ascii="仿宋" w:hAnsi="仿宋" w:eastAsia="仿宋" w:cs="仿宋"/>
                <w:color w:val="auto"/>
                <w:sz w:val="24"/>
                <w:szCs w:val="24"/>
                <w:highlight w:val="none"/>
              </w:rPr>
              <w:t xml:space="preserve">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numPr>
                <w:ilvl w:val="0"/>
                <w:numId w:val="0"/>
              </w:numPr>
              <w:jc w:val="center"/>
              <w:keepLines w:val="0"/>
              <w:keepNext w:val="0"/>
              <w:pageBreakBefore w:val="0"/>
              <w:spacing w:line="300" w:lineRule="exact"/>
              <w:rPr>
                <w:rFonts w:hint="eastAsia" w:ascii="仿宋" w:hAnsi="仿宋" w:eastAsia="仿宋" w:cs="仿宋"/>
                <w:color w:val="auto"/>
                <w:sz w:val="24"/>
                <w:szCs w:val="24"/>
                <w:highlight w:val="none"/>
              </w:rPr>
              <w:outlineLvl w:val="1"/>
            </w:pPr>
            <w:r/>
            <w:bookmarkStart w:id="116" w:name="_Toc8724"/>
            <w:r/>
            <w:bookmarkStart w:id="117" w:name="_Toc10587"/>
            <w:r>
              <w:rPr>
                <w:rFonts w:hint="eastAsia" w:ascii="仿宋" w:hAnsi="仿宋" w:eastAsia="仿宋" w:cs="仿宋"/>
                <w:color w:val="auto"/>
                <w:sz w:val="24"/>
                <w:szCs w:val="24"/>
                <w:highlight w:val="none"/>
              </w:rPr>
              <w:t xml:space="preserve">付款方式</w:t>
            </w:r>
            <w:bookmarkEnd w:id="116"/>
            <w:r/>
            <w:bookmarkEnd w:id="117"/>
            <w:r/>
            <w:r/>
          </w:p>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480"/>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自工程竣工验收合格后当年农历年底付至合同价的40%，验收合格满一年农历年底付至审计价的70%，余款于验收合格满两年且无质量问题后</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lang w:val="en-US" w:eastAsia="zh-CN"/>
              </w:rPr>
              <w:t xml:space="preserve">审计价</w:t>
            </w:r>
            <w:r>
              <w:rPr>
                <w:rFonts w:hint="eastAsia" w:ascii="仿宋" w:hAnsi="仿宋" w:eastAsia="仿宋" w:cs="仿宋"/>
                <w:color w:val="auto"/>
                <w:sz w:val="24"/>
                <w:szCs w:val="24"/>
                <w:highlight w:val="none"/>
                <w:lang w:eastAsia="zh-CN"/>
              </w:rPr>
              <w:t xml:space="preserve">扣除已付款项一次性付清</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每次支付前，成交人均应出具在税务部门开具的正式税票。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谈判</w:t>
            </w:r>
            <w:r>
              <w:rPr>
                <w:rFonts w:hint="eastAsia" w:ascii="仿宋" w:hAnsi="仿宋" w:eastAsia="仿宋" w:cs="仿宋"/>
                <w:color w:val="auto"/>
                <w:sz w:val="24"/>
                <w:szCs w:val="24"/>
                <w:highlight w:val="none"/>
              </w:rPr>
              <w:t xml:space="preserve">过程中可能会实质性变动的内容</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48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采购需求中的技术、服务要求以及合同草案条款</w:t>
            </w:r>
            <w:r>
              <w:rPr>
                <w:rFonts w:hint="eastAsia" w:ascii="仿宋" w:hAnsi="仿宋" w:eastAsia="仿宋" w:cs="仿宋"/>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Borders>
              <w:top w:val="single" w:color="auto" w:sz="4" w:space="0"/>
              <w:left w:val="single" w:color="auto" w:sz="4" w:space="0"/>
              <w:right w:val="single" w:color="auto" w:sz="4" w:space="0"/>
            </w:tcBorders>
            <w:tcW w:w="1362"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安全文明施工</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685"/>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1.项目安全生产的达标目标及相应事项的约定：满足江苏省、南通市等安监部门安全文明生产的要求，做好安全技术教育及交底，落实所有安全技术措施和人身防护用品。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685"/>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2.建立安全制度、安全检查制度、安全教育制度、工地班前活动制度、文明施工检查制度。</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685"/>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3.成交人应严格按《建设工程安全生产管理条例》等法律、法规采取安全措施、组织施工，如发生事故，责任概由成交人承担。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685"/>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4.成交人对施工现场的安全生产负责。成交人在工地现场必须配备专职安全员；安全员必须持证上岗。</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685"/>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工程施工前和施工中，成交人项目经理或技术负责人应当对有关安全施工技术进行交底；成交人必须编制安全施工措施和施工现场临时用电、施工现场周边及主要通道的安全防护措施及其它有关法规要求的专项施工方案，专项施工方案必须经本单位技术负责人批准后，报采购人代表批准后实施。</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685"/>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6.工程施工前，成交人应根据法律、法规、规范、标准等要求，制定安全施工标准及要求，负责向施工作业班组、作业人员作出详细的说明，并由双方签字确认。</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685"/>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工程施工前，成交人使用的安全防护用具、机械设备（特别是垂直运输机械）、施工机具及配件，应当具有生产（制造）许可证、产品合格证，并在进入施工现场前进行查验，进场安装经有权部门检测合格签字确认后方可使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685"/>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8.特种作业人员，必须按照国家有关规定经过专门的安全作业培训，并取得特种作业操作资格证书后，方可上岗作业。</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685"/>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685"/>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685"/>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11.成交人负责施工期间施工区域内的安全保卫工作，包括在施工区域内提供和维护有利于工程和公众安全和方便的灯光、护板、格栅等警告警示信号和警卫。</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685"/>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12.成交人应对现场作业、施工方法及所施工工程的完备性、稳定性和安全性承担全部责任，并负责承担对工程的稳定、完整、安全、可靠及有效运行所必需的全部工作及相关费用。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685"/>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13.在施工期间，由于非采购人原因造成的事故，成交人需承担全部责任及由此引起的一切费用，采购人不承担任何责任，造成事故严重或多次造成事故的，采购人有权单方解除合同并拒付工程款。</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685"/>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14.环境保护：成交人应在施工组织设计中列明环境保护的具体措施。在合同履行期间，承包人应根据《南通市城乡建设局关于把环境保护纳入合同管</w:t>
            </w:r>
            <w:r>
              <w:rPr>
                <w:rFonts w:hint="eastAsia" w:ascii="仿宋" w:hAnsi="仿宋" w:eastAsia="仿宋" w:cs="仿宋"/>
                <w:color w:val="auto"/>
                <w:sz w:val="24"/>
                <w:szCs w:val="24"/>
                <w:highlight w:val="none"/>
              </w:rPr>
              <w:t xml:space="preserve">理的通知》（通建工〔2018〕97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w:t>
            </w:r>
            <w:r/>
          </w:p>
        </w:tc>
        <w:tc>
          <w:tcPr>
            <w:tcBorders>
              <w:left w:val="single" w:color="auto" w:sz="4" w:space="0"/>
              <w:bottom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685"/>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在施工过程中，须加强绿色建造与环境管理，做好扬尘防治工作，减少噪音污染。各潜在响应供应商自行踏勘现场，充分考虑城市交通、文明创建等客观因素对工期造成的影响；成交人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w:t>
            </w:r>
            <w:r/>
          </w:p>
        </w:tc>
        <w:tc>
          <w:tcPr>
            <w:tcBorders>
              <w:top w:val="single" w:color="auto" w:sz="4" w:space="0"/>
              <w:left w:val="single" w:color="auto" w:sz="4" w:space="0"/>
              <w:right w:val="single" w:color="auto" w:sz="4" w:space="0"/>
            </w:tcBorders>
            <w:tcW w:w="1362"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结算方式及报价要求</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contextualSpacing/>
              <w:ind w:firstLine="480"/>
              <w:keepLines w:val="0"/>
              <w:keepNext w:val="0"/>
              <w:pageBreakBefore w:val="0"/>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（一）报价要求</w:t>
            </w:r>
            <w:r/>
          </w:p>
          <w:p>
            <w:pPr>
              <w:contextualSpacing/>
              <w:ind w:firstLine="480"/>
              <w:keepLines w:val="0"/>
              <w:keepNext w:val="0"/>
              <w:pageBreakBefore w:val="0"/>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1.本采购文件规定的工程范围、工程规模、工期要求、技术要求、工程量清单等是响应供应商报价的基础，响应供应商在报价中所报的单价和合价，以及报价汇总表中的价格均包括现场所有</w:t>
            </w:r>
            <w:r>
              <w:rPr>
                <w:rFonts w:hint="eastAsia" w:ascii="仿宋" w:hAnsi="仿宋" w:eastAsia="仿宋" w:cs="仿宋"/>
                <w:color w:val="auto"/>
                <w:sz w:val="24"/>
                <w:szCs w:val="24"/>
                <w:highlight w:val="none"/>
                <w:lang w:val="en-US" w:eastAsia="zh-CN"/>
              </w:rPr>
              <w:t xml:space="preserve">施工</w:t>
            </w:r>
            <w:r>
              <w:rPr>
                <w:rFonts w:hint="eastAsia" w:ascii="仿宋" w:hAnsi="仿宋" w:eastAsia="仿宋" w:cs="仿宋"/>
                <w:color w:val="auto"/>
                <w:sz w:val="24"/>
                <w:szCs w:val="24"/>
                <w:highlight w:val="none"/>
              </w:rPr>
              <w:t xml:space="preserve">相关费用；材料、运输、施工、安全、垃圾清运、税费、技术措施费、机械进出场费、风险费、政策性文件规定费用、设计费等一切与之相关费用；工程类的直接费、间接费、措施费、规费、税费等一切费用等。</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contextualSpacing/>
              <w:ind w:firstLine="480"/>
              <w:keepLines w:val="0"/>
              <w:keepNext w:val="0"/>
              <w:pageBreakBefore w:val="0"/>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响应供应商应按采购人提供的工程量清单列出的工程项目和工程量填报单价（合价）。每一项目只允许有一个报价。任何有选择的报价将不予接受。响应供应商未填报单价或合价的工程项目，在实施后，采购人将不予支付，并视为该项费用已包括在其他有价款的单价或合价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contextualSpacing/>
              <w:ind w:firstLine="480"/>
              <w:keepLines w:val="0"/>
              <w:keepNext w:val="0"/>
              <w:pageBreakBefore w:val="0"/>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b/>
                <w:bCs/>
                <w:color w:val="auto"/>
                <w:sz w:val="24"/>
                <w:szCs w:val="24"/>
                <w:highlight w:val="none"/>
              </w:rPr>
              <w:t xml:space="preserve">报价方式：本工程项目采用固定单价报价（现场二次报价时按总价填报）。</w:t>
            </w:r>
            <w:r>
              <w:rPr>
                <w:rFonts w:hint="eastAsia" w:ascii="仿宋" w:hAnsi="仿宋" w:eastAsia="仿宋" w:cs="仿宋"/>
                <w:color w:val="auto"/>
                <w:sz w:val="24"/>
                <w:szCs w:val="24"/>
                <w:highlight w:val="none"/>
              </w:rPr>
              <w:t xml:space="preserve">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25</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contextualSpacing/>
              <w:ind w:firstLine="480"/>
              <w:keepLines w:val="0"/>
              <w:keepNext w:val="0"/>
              <w:pageBreakBefore w:val="0"/>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报价含交付使用前一切费用。不接受选择性报价。</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w:t>
            </w:r>
            <w:r/>
          </w:p>
        </w:tc>
        <w:tc>
          <w:tcPr>
            <w:tcBorders>
              <w:left w:val="single" w:color="auto" w:sz="4" w:space="0"/>
              <w:bottom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contextualSpacing/>
              <w:ind w:firstLine="480"/>
              <w:keepLines w:val="0"/>
              <w:keepNext w:val="0"/>
              <w:pageBreakBefore w:val="0"/>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（二）本项目成交后不允许转包或分包。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w:t>
            </w:r>
            <w:r/>
          </w:p>
        </w:tc>
        <w:tc>
          <w:tcPr>
            <w:tcBorders>
              <w:top w:val="single" w:color="auto" w:sz="4" w:space="0"/>
              <w:left w:val="single" w:color="auto" w:sz="4" w:space="0"/>
              <w:right w:val="single" w:color="auto" w:sz="4" w:space="0"/>
            </w:tcBorders>
            <w:tcW w:w="1362"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其他要求</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56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28</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56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2.在施工过程中，须加强绿色建造与环境管理，做好扬尘防治工作，减少噪音污染等工作。</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29</w:t>
            </w:r>
            <w:r/>
          </w:p>
        </w:tc>
        <w:tc>
          <w:tcPr>
            <w:tcBorders>
              <w:left w:val="single" w:color="auto" w:sz="4" w:space="0"/>
              <w:bottom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56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ascii="仿宋" w:hAnsi="仿宋" w:eastAsia="仿宋"/>
          <w:color w:val="auto"/>
          <w:szCs w:val="21"/>
          <w:highlight w:val="none"/>
        </w:rPr>
      </w:pPr>
      <w:r>
        <w:rPr>
          <w:rFonts w:hint="eastAsia" w:ascii="仿宋" w:hAnsi="仿宋" w:eastAsia="仿宋"/>
          <w:color w:val="auto"/>
          <w:szCs w:val="21"/>
          <w:highlight w:val="none"/>
        </w:rPr>
        <w:t xml:space="preserve">注：按照竞争性谈判文件要求详细填列，可增减行。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rPr>
        <w:t xml:space="preserve">）竞争性谈判文件规定提交的其他材料（如有）</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118" w:name="_Toc5446"/>
      <w:r>
        <w:rPr>
          <w:rFonts w:hint="eastAsia" w:ascii="黑体" w:hAnsi="黑体" w:eastAsia="黑体"/>
          <w:color w:val="auto"/>
          <w:sz w:val="28"/>
          <w:szCs w:val="28"/>
          <w:highlight w:val="none"/>
        </w:rPr>
        <w:t xml:space="preserve">三、</w:t>
      </w:r>
      <w:r>
        <w:rPr>
          <w:rFonts w:hint="eastAsia" w:ascii="黑体" w:hAnsi="黑体" w:eastAsia="黑体"/>
          <w:bCs/>
          <w:color w:val="auto"/>
          <w:sz w:val="28"/>
          <w:szCs w:val="28"/>
          <w:highlight w:val="none"/>
        </w:rPr>
        <w:t xml:space="preserve">报价文件</w:t>
      </w:r>
      <w:bookmarkEnd w:id="118"/>
      <w:r/>
      <w:r/>
    </w:p>
    <w:p>
      <w:pPr>
        <w:ind w:firstLine="560"/>
        <w:spacing w:line="500" w:lineRule="exact"/>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（一）竞争性谈判响应报价表</w:t>
      </w:r>
      <w:r/>
    </w:p>
    <w:p>
      <w:pPr>
        <w:ind w:firstLine="3040"/>
        <w:spacing w:line="560" w:lineRule="exact"/>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竞争性谈判响应报价表</w:t>
      </w:r>
      <w:r/>
    </w:p>
    <w:tbl>
      <w:tblPr>
        <w:tblStyle w:val="671"/>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val="en-US" w:eastAsia="zh-CN"/>
              </w:rPr>
              <w:t xml:space="preserve">东陈镇2026年度农村生态河道提升项目</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项目编号：</w:t>
            </w:r>
            <w:r>
              <w:rPr>
                <w:rFonts w:hint="eastAsia" w:ascii="仿宋" w:hAnsi="仿宋" w:eastAsia="仿宋" w:cs="宋体"/>
                <w:color w:val="auto"/>
                <w:sz w:val="24"/>
                <w:highlight w:val="none"/>
                <w:lang w:val="en-US" w:eastAsia="zh-CN"/>
              </w:rPr>
              <w:t xml:space="preserve">JSZC-320682-NTZJ-T2026-0015</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竞争性</w:t>
            </w:r>
            <w:r>
              <w:rPr>
                <w:rFonts w:hint="eastAsia" w:ascii="仿宋" w:hAnsi="仿宋" w:eastAsia="仿宋" w:cs="宋体"/>
                <w:color w:val="auto"/>
                <w:sz w:val="24"/>
                <w:highlight w:val="none"/>
                <w:lang w:eastAsia="zh-CN"/>
              </w:rPr>
              <w:t xml:space="preserve">谈判</w:t>
            </w:r>
            <w:r>
              <w:rPr>
                <w:rFonts w:hint="eastAsia" w:ascii="仿宋" w:hAnsi="仿宋" w:eastAsia="仿宋" w:cs="宋体"/>
                <w:color w:val="auto"/>
                <w:sz w:val="24"/>
                <w:highlight w:val="none"/>
              </w:rPr>
              <w:t xml:space="preserve">响应报价</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lang w:val="en-US" w:eastAsia="zh-CN"/>
              </w:rPr>
              <w:t xml:space="preserve">元</w:t>
            </w:r>
            <w:r>
              <w:rPr>
                <w:rFonts w:hint="eastAsia" w:ascii="仿宋" w:hAnsi="仿宋" w:eastAsia="仿宋" w:cs="宋体"/>
                <w:color w:val="auto"/>
                <w:sz w:val="24"/>
                <w:highlight w:val="none"/>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color w:val="auto"/>
                <w:szCs w:val="21"/>
                <w:highlight w:val="none"/>
              </w:rPr>
            </w:pPr>
            <w:r>
              <w:rPr>
                <w:rFonts w:ascii="仿宋" w:hAnsi="仿宋" w:eastAsia="仿宋" w:cs="宋体"/>
                <w:color w:val="auto"/>
                <w:szCs w:val="21"/>
                <w:highlight w:val="none"/>
              </w:rPr>
            </w:r>
            <w:r/>
          </w:p>
        </w:tc>
      </w:tr>
    </w:tbl>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spacing w:line="500" w:lineRule="exact"/>
        <w:rPr>
          <w:rFonts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（二）竞争性谈判响应报价明细表</w:t>
      </w:r>
      <w:r/>
    </w:p>
    <w:p>
      <w:pPr>
        <w:ind w:firstLine="3040"/>
        <w:spacing w:line="560" w:lineRule="exact"/>
        <w:rPr>
          <w:rFonts w:ascii="宋体" w:hAnsi="宋体"/>
          <w:color w:val="auto"/>
          <w:sz w:val="24"/>
          <w:highlight w:val="none"/>
        </w:rPr>
      </w:pPr>
      <w:r>
        <w:rPr>
          <w:rFonts w:hint="eastAsia" w:ascii="方正小标宋简体" w:hAnsi="宋体" w:eastAsia="方正小标宋简体"/>
          <w:color w:val="auto"/>
          <w:sz w:val="32"/>
          <w:szCs w:val="32"/>
          <w:highlight w:val="none"/>
        </w:rPr>
        <w:t xml:space="preserve">竞争性谈判响应报价明细表</w:t>
      </w:r>
      <w:r/>
    </w:p>
    <w:p>
      <w:pPr>
        <w:spacing w:line="360" w:lineRule="auto"/>
        <w:rPr>
          <w:rFonts w:ascii="宋体" w:hAnsi="宋体"/>
          <w:color w:val="auto"/>
          <w:highlight w:val="none"/>
        </w:rPr>
      </w:pPr>
      <w:r>
        <w:rPr>
          <w:rFonts w:ascii="宋体" w:hAnsi="宋体"/>
          <w:color w:val="auto"/>
          <w:highlight w:val="none"/>
        </w:rPr>
      </w:r>
      <w:r/>
    </w:p>
    <w:p>
      <w:pPr>
        <w:pStyle w:val="682"/>
        <w:jc w:val="center"/>
        <w:rPr>
          <w:rFonts w:hint="default" w:ascii="仿宋" w:hAnsi="仿宋" w:eastAsia="仿宋"/>
          <w:color w:val="auto"/>
          <w:sz w:val="32"/>
          <w:szCs w:val="32"/>
          <w:highlight w:val="none"/>
          <w:lang w:val="en-US" w:eastAsia="zh-CN"/>
        </w:rPr>
      </w:pPr>
      <w:r>
        <w:rPr>
          <w:rFonts w:hint="eastAsia" w:ascii="仿宋" w:hAnsi="仿宋" w:eastAsia="仿宋"/>
          <w:color w:val="auto"/>
          <w:sz w:val="32"/>
          <w:szCs w:val="32"/>
          <w:highlight w:val="none"/>
          <w:lang w:val="en-US" w:eastAsia="zh-CN"/>
        </w:rPr>
        <w:t xml:space="preserve">请供应商按清单进行报价</w:t>
      </w:r>
      <w:r/>
    </w:p>
    <w:p>
      <w:pPr>
        <w:pStyle w:val="674"/>
        <w:rPr>
          <w:rFonts w:ascii="仿宋" w:hAnsi="仿宋" w:eastAsia="仿宋"/>
          <w:color w:val="auto"/>
          <w:sz w:val="24"/>
          <w:highlight w:val="none"/>
        </w:rPr>
      </w:pPr>
      <w:r>
        <w:rPr>
          <w:rFonts w:ascii="仿宋" w:hAnsi="仿宋" w:eastAsia="仿宋"/>
          <w:color w:val="auto"/>
          <w:sz w:val="24"/>
          <w:highlight w:val="none"/>
        </w:rPr>
      </w:r>
      <w:r/>
    </w:p>
    <w:p>
      <w:pPr>
        <w:ind w:left="0" w:firstLine="641"/>
        <w:spacing w:line="500" w:lineRule="exact"/>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eastAsia="zh-CN"/>
        </w:rPr>
        <w:t xml:space="preserve">1.根据提供的工程量清单进行报价，已标价的工程量清单(包括:</w:t>
      </w:r>
      <w:r>
        <w:rPr>
          <w:rFonts w:hint="eastAsia" w:ascii="仿宋" w:hAnsi="仿宋" w:eastAsia="仿宋"/>
          <w:b/>
          <w:bCs/>
          <w:color w:val="auto"/>
          <w:sz w:val="28"/>
          <w:szCs w:val="28"/>
          <w:highlight w:val="none"/>
          <w:lang w:val="en-US" w:eastAsia="zh-CN"/>
        </w:rPr>
        <w:t xml:space="preserve">投标报价封面、投标报价扉页、投标总价、建设项目投标报价表、单项工程投标报价表、工程项目总价表、建筑工程分类分项工程量清单计价表、设备采购和安装工程分类分项工程量清单计价表、措施项目清单计价表、其他项目清单计价表、零星工作项目计价表、措施项目报价分解表、建筑工程单价费(税)率汇总表、设备采购和安装工程单价费(税)率汇总表、安全文明措施费分解表、人材机汇总表。）</w:t>
      </w:r>
      <w:r/>
    </w:p>
    <w:p>
      <w:pPr>
        <w:ind w:left="0" w:firstLine="638"/>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2.此表可以根据需要自行增减行数</w:t>
      </w:r>
      <w:r>
        <w:rPr>
          <w:rFonts w:hint="eastAsia" w:ascii="仿宋" w:hAnsi="仿宋" w:eastAsia="仿宋"/>
          <w:b/>
          <w:bCs/>
          <w:color w:val="auto"/>
          <w:sz w:val="28"/>
          <w:szCs w:val="28"/>
          <w:highlight w:val="none"/>
        </w:rPr>
        <w:t xml:space="preserve">（详见项目需求）</w:t>
      </w:r>
      <w:r>
        <w:rPr>
          <w:rFonts w:hint="eastAsia" w:ascii="仿宋" w:hAnsi="仿宋" w:eastAsia="仿宋"/>
          <w:color w:val="auto"/>
          <w:sz w:val="28"/>
          <w:szCs w:val="28"/>
          <w:highlight w:val="none"/>
        </w:rPr>
        <w:t xml:space="preserve">。</w:t>
      </w:r>
      <w:r/>
    </w:p>
    <w:p>
      <w:pPr>
        <w:ind w:left="0" w:firstLine="638"/>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3.项目如有分包，请各</w:t>
      </w:r>
      <w:r>
        <w:rPr>
          <w:rFonts w:hint="eastAsia" w:ascii="仿宋" w:hAnsi="仿宋" w:eastAsia="仿宋"/>
          <w:color w:val="auto"/>
          <w:sz w:val="28"/>
          <w:szCs w:val="28"/>
          <w:highlight w:val="none"/>
          <w:lang w:eastAsia="zh-CN"/>
        </w:rPr>
        <w:t xml:space="preserve">谈判</w:t>
      </w:r>
      <w:r>
        <w:rPr>
          <w:rFonts w:hint="eastAsia" w:ascii="仿宋" w:hAnsi="仿宋" w:eastAsia="仿宋"/>
          <w:color w:val="auto"/>
          <w:sz w:val="28"/>
          <w:szCs w:val="28"/>
          <w:highlight w:val="none"/>
        </w:rPr>
        <w:t xml:space="preserve">供应商按投报的分包分别列表。</w:t>
      </w:r>
      <w:r/>
    </w:p>
    <w:p>
      <w:pPr>
        <w:ind w:left="0" w:firstLine="638"/>
        <w:spacing w:line="500" w:lineRule="exact"/>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4.报价包括完成本项目涉及的一切费用，采购人不再支付其他任何费用。</w:t>
      </w: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（三）</w:t>
      </w:r>
      <w:r>
        <w:rPr>
          <w:rFonts w:hint="eastAsia" w:ascii="仿宋" w:hAnsi="仿宋" w:eastAsia="仿宋" w:cs="Arial"/>
          <w:color w:val="auto"/>
          <w:sz w:val="28"/>
          <w:szCs w:val="28"/>
          <w:highlight w:val="none"/>
        </w:rPr>
        <w:t xml:space="preserve">残疾人福利性单位声明函</w:t>
      </w:r>
      <w:r/>
    </w:p>
    <w:p>
      <w:pPr>
        <w:spacing w:line="500" w:lineRule="exact"/>
        <w:rPr>
          <w:rFonts w:ascii="仿宋" w:hAnsi="仿宋" w:eastAsia="仿宋" w:cs="Arial"/>
          <w:color w:val="auto"/>
          <w:sz w:val="28"/>
          <w:szCs w:val="28"/>
          <w:highlight w:val="none"/>
        </w:rPr>
      </w:pPr>
      <w:r>
        <w:rPr>
          <w:rFonts w:ascii="仿宋" w:hAnsi="仿宋" w:eastAsia="仿宋" w:cs="Arial"/>
          <w:color w:val="auto"/>
          <w:sz w:val="28"/>
          <w:szCs w:val="28"/>
          <w:highlight w:val="none"/>
        </w:rPr>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lang w:val="en-US" w:eastAsia="zh-CN"/>
        </w:rPr>
        <w:t xml:space="preserve">如皋市东陈镇人民政府</w:t>
      </w:r>
      <w:r>
        <w:rPr>
          <w:rFonts w:hint="eastAsia" w:ascii="仿宋" w:hAnsi="仿宋" w:eastAsia="仿宋"/>
          <w:color w:val="auto"/>
          <w:sz w:val="28"/>
          <w:szCs w:val="28"/>
          <w:highlight w:val="none"/>
        </w:rPr>
        <w:t xml:space="preserve">单位的项目编号为</w:t>
      </w:r>
      <w:r>
        <w:rPr>
          <w:rFonts w:hint="eastAsia" w:ascii="仿宋" w:hAnsi="仿宋" w:eastAsia="仿宋"/>
          <w:color w:val="auto"/>
          <w:sz w:val="28"/>
          <w:szCs w:val="28"/>
          <w:highlight w:val="none"/>
          <w:u w:val="single"/>
          <w:lang w:eastAsia="zh-CN"/>
        </w:rPr>
        <w:t xml:space="preserve">JSZC-320682-NTZJ-T2026-0015</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lang w:val="en-US" w:eastAsia="zh-CN"/>
        </w:rPr>
        <w:t xml:space="preserve">东陈镇2026年度农村生态河道提升项目</w:t>
      </w:r>
      <w:r>
        <w:rPr>
          <w:rFonts w:hint="eastAsia" w:ascii="仿宋" w:hAnsi="仿宋" w:eastAsia="仿宋"/>
          <w:color w:val="auto"/>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 成交供应商提供的《中小企业声明函》、《残疾人福利性单位声明函》将随成交结果同时公告，接受社会监督。</w:t>
      </w:r>
      <w:r/>
    </w:p>
    <w:p>
      <w:pPr>
        <w:jc w:val="left"/>
        <w:widowControl/>
        <w:rPr>
          <w:rFonts w:ascii="仿宋" w:hAnsi="仿宋" w:eastAsia="仿宋"/>
          <w:b/>
          <w:color w:val="auto"/>
          <w:sz w:val="28"/>
          <w:szCs w:val="28"/>
          <w:highlight w:val="none"/>
        </w:rPr>
      </w:pPr>
      <w:r>
        <w:rPr>
          <w:rFonts w:ascii="仿宋" w:hAnsi="仿宋" w:eastAsia="仿宋"/>
          <w:b/>
          <w:color w:val="auto"/>
          <w:sz w:val="28"/>
          <w:szCs w:val="28"/>
          <w:highlight w:val="none"/>
        </w:rPr>
        <w:br w:type="page" w:clear="all"/>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四</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关于符合本国产品标准的声明函</w:t>
      </w:r>
      <w:r>
        <w:rPr>
          <w:rFonts w:hint="eastAsia" w:ascii="仿宋" w:hAnsi="仿宋" w:eastAsia="仿宋"/>
          <w:bCs/>
          <w:color w:val="auto"/>
          <w:sz w:val="28"/>
          <w:szCs w:val="28"/>
          <w:highlight w:val="none"/>
        </w:rPr>
        <w:t xml:space="preserve">（在有进口产品参加的采购项目中，享受本国产品价格扣除优惠的，须提供此函）</w:t>
      </w:r>
      <w:r/>
    </w:p>
    <w:p>
      <w:pPr>
        <w:jc w:val="center"/>
        <w:rPr>
          <w:rFonts w:ascii="方正小标宋简体" w:hAnsi="方正小标宋简体" w:eastAsia="方正小标宋简体"/>
          <w:b/>
          <w:color w:val="auto"/>
          <w:sz w:val="44"/>
          <w:szCs w:val="44"/>
          <w:highlight w:val="none"/>
        </w:rPr>
      </w:pPr>
      <w:r>
        <w:rPr>
          <w:rStyle w:val="687"/>
          <w:rFonts w:ascii="方正小标宋简体" w:hAnsi="方正小标宋简体" w:eastAsia="方正小标宋简体"/>
          <w:color w:val="auto"/>
          <w:sz w:val="44"/>
          <w:szCs w:val="44"/>
          <w:highlight w:val="none"/>
        </w:rPr>
        <w:t xml:space="preserve">关于符合本国产品标准的声明函</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w:t>
      </w:r>
      <w:r>
        <w:rPr>
          <w:rStyle w:val="689"/>
          <w:rFonts w:hint="eastAsia" w:ascii="仿宋" w:hAnsi="仿宋" w:eastAsia="仿宋"/>
          <w:color w:val="auto"/>
          <w:sz w:val="32"/>
          <w:szCs w:val="32"/>
          <w:highlight w:val="none"/>
        </w:rPr>
        <w:t xml:space="preserve">（产品名称1）</w:t>
      </w:r>
      <w:r>
        <w:rPr>
          <w:rStyle w:val="689"/>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689"/>
          <w:rFonts w:hint="eastAsia" w:ascii="仿宋" w:hAnsi="仿宋" w:eastAsia="仿宋"/>
          <w:color w:val="auto"/>
          <w:sz w:val="32"/>
          <w:szCs w:val="32"/>
          <w:highlight w:val="none"/>
        </w:rPr>
        <w:t xml:space="preserve">（厂名）</w:t>
      </w:r>
      <w:r>
        <w:rPr>
          <w:rStyle w:val="689"/>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689"/>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689"/>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689"/>
          <w:rFonts w:hint="eastAsia" w:ascii="仿宋" w:hAnsi="仿宋" w:eastAsia="仿宋"/>
          <w:color w:val="auto"/>
          <w:sz w:val="32"/>
          <w:szCs w:val="32"/>
          <w:highlight w:val="none"/>
        </w:rPr>
        <w:t xml:space="preserve">（规定比例）</w:t>
      </w:r>
      <w:r>
        <w:rPr>
          <w:rStyle w:val="689"/>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689"/>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689"/>
          <w:rFonts w:hint="eastAsia" w:ascii="仿宋" w:hAnsi="仿宋" w:eastAsia="仿宋"/>
          <w:color w:val="auto"/>
          <w:sz w:val="32"/>
          <w:szCs w:val="32"/>
          <w:highlight w:val="none"/>
        </w:rPr>
        <w:t xml:space="preserve">（关键组件）</w:t>
      </w:r>
      <w:r>
        <w:rPr>
          <w:rStyle w:val="689"/>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689"/>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689"/>
          <w:rFonts w:hint="eastAsia" w:ascii="仿宋" w:hAnsi="仿宋" w:eastAsia="仿宋"/>
          <w:color w:val="auto"/>
          <w:sz w:val="32"/>
          <w:szCs w:val="32"/>
          <w:highlight w:val="none"/>
        </w:rPr>
        <w:t xml:space="preserve">（关键工序）</w:t>
      </w:r>
      <w:r>
        <w:rPr>
          <w:rStyle w:val="689"/>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2.</w:t>
      </w:r>
      <w:r>
        <w:rPr>
          <w:rStyle w:val="689"/>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，生产厂为</w:t>
      </w:r>
      <w:r>
        <w:rPr>
          <w:rStyle w:val="689"/>
          <w:rFonts w:hint="eastAsia" w:ascii="仿宋" w:hAnsi="仿宋" w:eastAsia="仿宋"/>
          <w:color w:val="auto"/>
          <w:sz w:val="32"/>
          <w:szCs w:val="32"/>
          <w:highlight w:val="none"/>
        </w:rPr>
        <w:t xml:space="preserve">（厂名）</w:t>
      </w:r>
      <w:r>
        <w:rPr>
          <w:rFonts w:hint="eastAsia" w:ascii="仿宋" w:hAnsi="仿宋" w:eastAsia="仿宋"/>
          <w:color w:val="auto"/>
          <w:sz w:val="32"/>
          <w:szCs w:val="32"/>
          <w:highlight w:val="none"/>
        </w:rPr>
        <w:t xml:space="preserve">，厂址为</w:t>
      </w:r>
      <w:r>
        <w:rPr>
          <w:rStyle w:val="689"/>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689"/>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的中国境内生产的组件成本占比≥</w:t>
      </w:r>
      <w:r>
        <w:rPr>
          <w:rStyle w:val="689"/>
          <w:rFonts w:hint="eastAsia" w:ascii="仿宋" w:hAnsi="仿宋" w:eastAsia="仿宋"/>
          <w:color w:val="auto"/>
          <w:sz w:val="32"/>
          <w:szCs w:val="32"/>
          <w:highlight w:val="none"/>
        </w:rPr>
        <w:t xml:space="preserve">（规定比例）</w:t>
      </w:r>
      <w:r>
        <w:rPr>
          <w:rFonts w:hint="eastAsia" w:ascii="仿宋" w:hAnsi="仿宋" w:eastAsia="仿宋"/>
          <w:color w:val="auto"/>
          <w:sz w:val="32"/>
          <w:szCs w:val="32"/>
          <w:highlight w:val="none"/>
        </w:rPr>
        <w:t xml:space="preserve">。</w:t>
      </w:r>
      <w:r>
        <w:rPr>
          <w:rStyle w:val="689"/>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689"/>
          <w:rFonts w:hint="eastAsia" w:ascii="仿宋" w:hAnsi="仿宋" w:eastAsia="仿宋"/>
          <w:color w:val="auto"/>
          <w:sz w:val="32"/>
          <w:szCs w:val="32"/>
          <w:highlight w:val="none"/>
        </w:rPr>
        <w:t xml:space="preserve">（关键组件）</w:t>
      </w:r>
      <w:r>
        <w:rPr>
          <w:rFonts w:hint="eastAsia" w:ascii="仿宋" w:hAnsi="仿宋" w:eastAsia="仿宋"/>
          <w:color w:val="auto"/>
          <w:sz w:val="32"/>
          <w:szCs w:val="32"/>
          <w:highlight w:val="none"/>
        </w:rPr>
        <w:t xml:space="preserve">在中国境内生产。</w:t>
      </w:r>
      <w:r>
        <w:rPr>
          <w:rStyle w:val="689"/>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689"/>
          <w:rFonts w:hint="eastAsia" w:ascii="仿宋" w:hAnsi="仿宋" w:eastAsia="仿宋"/>
          <w:color w:val="auto"/>
          <w:sz w:val="32"/>
          <w:szCs w:val="32"/>
          <w:highlight w:val="none"/>
        </w:rPr>
        <w:t xml:space="preserve">（关键工序）</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highlight w:val="none"/>
        </w:rPr>
      </w:pPr>
      <w:r>
        <w:rPr>
          <w:rFonts w:hint="eastAsia" w:ascii="微软雅黑" w:hAnsi="微软雅黑" w:eastAsia="仿宋"/>
          <w:color w:val="auto"/>
          <w:sz w:val="32"/>
          <w:szCs w:val="32"/>
          <w:highlight w:val="none"/>
        </w:rPr>
        <w:t xml:space="preserve"> </w:t>
      </w:r>
      <w:r/>
    </w:p>
    <w:p>
      <w:pPr>
        <w:ind w:firstLine="640"/>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公司（单位）名称（盖章）：　</w:t>
      </w:r>
      <w:r/>
    </w:p>
    <w:p>
      <w:pPr>
        <w:jc w:val="center"/>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4.该产品的关键组件要求实施前，“关键组件”栏可不填，下同。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5.该产品的关键工序要求实施前，“关键工序”栏可不填，下同。</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pStyle w:val="703"/>
        <w:ind w:firstLine="0"/>
        <w:jc w:val="center"/>
        <w:rPr>
          <w:rFonts w:hint="eastAsia" w:ascii="方正小标宋简体" w:eastAsia="方正小标宋简体"/>
          <w:bCs/>
          <w:color w:val="auto"/>
          <w:sz w:val="32"/>
          <w:szCs w:val="32"/>
          <w:highlight w:val="none"/>
          <w:lang w:eastAsia="zh-CN"/>
        </w:rPr>
        <w:outlineLvl w:val="0"/>
      </w:pPr>
      <w:r/>
      <w:bookmarkStart w:id="119" w:name="_Toc8475"/>
      <w:r/>
      <w:bookmarkStart w:id="120" w:name="_Toc5627"/>
      <w:r/>
      <w:bookmarkStart w:id="121" w:name="_Toc7554"/>
      <w:r/>
      <w:bookmarkStart w:id="122" w:name="_Toc11504"/>
      <w:r/>
      <w:bookmarkStart w:id="123" w:name="_Toc10838"/>
      <w:r/>
      <w:bookmarkStart w:id="124" w:name="_Toc31933"/>
      <w:r/>
      <w:bookmarkStart w:id="125" w:name="_Toc16289"/>
      <w:r/>
      <w:bookmarkStart w:id="126" w:name="_Toc16866"/>
      <w:r/>
      <w:bookmarkStart w:id="127" w:name="_Toc22834"/>
      <w:r>
        <w:rPr>
          <w:rFonts w:hint="eastAsia" w:ascii="方正小标宋简体" w:eastAsia="方正小标宋简体"/>
          <w:bCs/>
          <w:color w:val="auto"/>
          <w:sz w:val="32"/>
          <w:szCs w:val="32"/>
          <w:highlight w:val="none"/>
        </w:rPr>
        <w:t xml:space="preserve">第</w:t>
      </w:r>
      <w:r>
        <w:rPr>
          <w:rFonts w:hint="eastAsia" w:ascii="方正小标宋简体" w:eastAsia="方正小标宋简体"/>
          <w:bCs/>
          <w:color w:val="auto"/>
          <w:sz w:val="32"/>
          <w:szCs w:val="32"/>
          <w:highlight w:val="none"/>
          <w:lang w:val="en-US" w:eastAsia="zh-CN"/>
        </w:rPr>
        <w:t xml:space="preserve">6</w:t>
      </w:r>
      <w:r>
        <w:rPr>
          <w:rFonts w:hint="eastAsia" w:ascii="方正小标宋简体" w:eastAsia="方正小标宋简体"/>
          <w:bCs/>
          <w:color w:val="auto"/>
          <w:sz w:val="32"/>
          <w:szCs w:val="32"/>
          <w:highlight w:val="none"/>
        </w:rPr>
        <w:t xml:space="preserve">章 </w:t>
      </w:r>
      <w:r>
        <w:rPr>
          <w:rFonts w:hint="eastAsia" w:ascii="方正小标宋简体" w:eastAsia="方正小标宋简体"/>
          <w:bCs/>
          <w:color w:val="auto"/>
          <w:sz w:val="32"/>
          <w:szCs w:val="32"/>
          <w:highlight w:val="none"/>
          <w:lang w:val="en-US" w:eastAsia="zh-CN"/>
        </w:rPr>
        <w:t xml:space="preserve">附件</w:t>
      </w:r>
      <w:bookmarkEnd w:id="119"/>
      <w:r/>
      <w:bookmarkEnd w:id="120"/>
      <w:r/>
      <w:bookmarkEnd w:id="121"/>
      <w:r/>
      <w:bookmarkEnd w:id="122"/>
      <w:r/>
      <w:bookmarkEnd w:id="123"/>
      <w:r/>
      <w:bookmarkEnd w:id="124"/>
      <w:r/>
      <w:bookmarkEnd w:id="125"/>
      <w:r/>
      <w:bookmarkEnd w:id="126"/>
      <w:bookmarkEnd w:id="127"/>
      <w:r/>
    </w:p>
    <w:p>
      <w:pPr>
        <w:ind w:firstLine="560"/>
        <w:spacing w:line="500" w:lineRule="exact"/>
        <w:rPr>
          <w:rFonts w:hint="eastAsia" w:ascii="方正小标宋简体" w:hAnsi="Arial" w:eastAsia="方正小标宋简体" w:cs="Times New Roman"/>
          <w:bCs/>
          <w:color w:val="auto"/>
          <w:sz w:val="32"/>
          <w:szCs w:val="32"/>
          <w:highlight w:val="none"/>
          <w:lang w:val="en-US" w:eastAsia="zh-CN" w:bidi="ar-SA"/>
        </w:rPr>
        <w:outlineLvl w:val="1"/>
      </w:pPr>
      <w:r/>
      <w:bookmarkStart w:id="128" w:name="_Toc5946"/>
      <w:r/>
      <w:bookmarkStart w:id="129" w:name="_Toc31166"/>
      <w:r/>
      <w:bookmarkStart w:id="130" w:name="_Toc26066"/>
      <w:r/>
      <w:bookmarkStart w:id="131" w:name="_Toc10302"/>
      <w:r/>
      <w:bookmarkStart w:id="132" w:name="_Toc20215"/>
      <w:r/>
      <w:bookmarkStart w:id="133" w:name="_Toc79"/>
      <w:r/>
      <w:bookmarkStart w:id="134" w:name="_Toc17353"/>
      <w:r/>
      <w:bookmarkStart w:id="135" w:name="_Toc6445"/>
      <w:r>
        <w:rPr>
          <w:rFonts w:hint="eastAsia" w:ascii="方正小标宋简体" w:hAnsi="Arial" w:eastAsia="方正小标宋简体" w:cs="Times New Roman"/>
          <w:bCs/>
          <w:color w:val="auto"/>
          <w:sz w:val="32"/>
          <w:szCs w:val="32"/>
          <w:highlight w:val="none"/>
          <w:lang w:val="en-US" w:eastAsia="zh-CN" w:bidi="ar-SA"/>
        </w:rPr>
        <w:t xml:space="preserve">附件1：</w:t>
      </w:r>
      <w:bookmarkEnd w:id="128"/>
      <w:r/>
      <w:bookmarkEnd w:id="129"/>
      <w:r/>
      <w:bookmarkStart w:id="136" w:name="_Toc15951"/>
      <w:r/>
      <w:bookmarkStart w:id="137" w:name="_Toc10068"/>
      <w:r>
        <w:rPr>
          <w:rFonts w:hint="eastAsia" w:ascii="方正小标宋简体" w:hAnsi="Arial" w:eastAsia="方正小标宋简体" w:cs="Times New Roman"/>
          <w:bCs/>
          <w:color w:val="auto"/>
          <w:sz w:val="32"/>
          <w:szCs w:val="32"/>
          <w:highlight w:val="none"/>
          <w:lang w:val="en-US" w:eastAsia="zh-CN" w:bidi="ar-SA"/>
        </w:rPr>
        <w:t xml:space="preserve">清单编制说明</w:t>
      </w:r>
      <w:bookmarkEnd w:id="130"/>
      <w:r/>
      <w:r/>
    </w:p>
    <w:p>
      <w:pPr>
        <w:ind w:firstLine="560"/>
        <w:spacing w:line="500" w:lineRule="exact"/>
        <w:rPr>
          <w:rFonts w:hint="eastAsia" w:ascii="方正小标宋简体" w:hAnsi="Arial" w:eastAsia="方正小标宋简体" w:cs="Times New Roman"/>
          <w:bCs/>
          <w:color w:val="auto"/>
          <w:sz w:val="32"/>
          <w:szCs w:val="32"/>
          <w:highlight w:val="none"/>
          <w:lang w:val="en-US" w:eastAsia="zh-CN" w:bidi="ar-SA"/>
        </w:rPr>
        <w:outlineLvl w:val="1"/>
      </w:pPr>
      <w:r/>
      <w:bookmarkStart w:id="138" w:name="_Toc12454"/>
      <w:r>
        <w:rPr>
          <w:rFonts w:hint="eastAsia" w:ascii="方正小标宋简体" w:hAnsi="Arial" w:eastAsia="方正小标宋简体" w:cs="Times New Roman"/>
          <w:bCs/>
          <w:color w:val="auto"/>
          <w:sz w:val="32"/>
          <w:szCs w:val="32"/>
          <w:highlight w:val="none"/>
          <w:lang w:val="en-US" w:eastAsia="zh-CN" w:bidi="ar-SA"/>
        </w:rPr>
        <w:t xml:space="preserve">附件2：</w:t>
      </w:r>
      <w:bookmarkEnd w:id="138"/>
      <w:r>
        <w:rPr>
          <w:rFonts w:hint="eastAsia" w:ascii="方正小标宋简体" w:hAnsi="Arial" w:eastAsia="方正小标宋简体" w:cs="Times New Roman"/>
          <w:bCs/>
          <w:color w:val="auto"/>
          <w:sz w:val="32"/>
          <w:szCs w:val="32"/>
          <w:highlight w:val="none"/>
          <w:lang w:val="en-US" w:eastAsia="zh-CN" w:bidi="ar-SA"/>
        </w:rPr>
        <w:t xml:space="preserve">图纸</w:t>
      </w:r>
      <w:r/>
    </w:p>
    <w:p>
      <w:pPr>
        <w:ind w:firstLine="560"/>
        <w:spacing w:line="500" w:lineRule="exact"/>
        <w:rPr>
          <w:rFonts w:hint="eastAsia" w:ascii="方正小标宋简体" w:hAnsi="Arial" w:eastAsia="方正小标宋简体" w:cs="Times New Roman"/>
          <w:bCs/>
          <w:color w:val="auto"/>
          <w:sz w:val="32"/>
          <w:szCs w:val="32"/>
          <w:highlight w:val="none"/>
          <w:lang w:val="en-US" w:eastAsia="zh-CN" w:bidi="ar-SA"/>
        </w:rPr>
        <w:outlineLvl w:val="1"/>
      </w:pPr>
      <w:r/>
      <w:bookmarkStart w:id="139" w:name="_Toc15424"/>
      <w:r>
        <w:rPr>
          <w:rFonts w:hint="eastAsia" w:ascii="方正小标宋简体" w:hAnsi="Arial" w:eastAsia="方正小标宋简体" w:cs="Times New Roman"/>
          <w:bCs/>
          <w:color w:val="auto"/>
          <w:sz w:val="32"/>
          <w:szCs w:val="32"/>
          <w:highlight w:val="none"/>
          <w:lang w:val="en-US" w:eastAsia="zh-CN" w:bidi="ar-SA"/>
        </w:rPr>
        <w:t xml:space="preserve">附件3：工程量清单</w:t>
      </w:r>
      <w:bookmarkEnd w:id="136"/>
      <w:r/>
      <w:bookmarkEnd w:id="137"/>
      <w:r/>
      <w:bookmarkEnd w:id="139"/>
      <w:r/>
      <w:r/>
    </w:p>
    <w:p>
      <w:pPr>
        <w:ind w:firstLine="560"/>
        <w:spacing w:line="500" w:lineRule="exact"/>
        <w:rPr>
          <w:rFonts w:hint="eastAsia" w:ascii="方正小标宋简体" w:hAnsi="Arial" w:eastAsia="方正小标宋简体" w:cs="Times New Roman"/>
          <w:bCs/>
          <w:color w:val="auto"/>
          <w:sz w:val="32"/>
          <w:szCs w:val="32"/>
          <w:highlight w:val="none"/>
          <w:lang w:val="en-US" w:eastAsia="zh-CN" w:bidi="ar-SA"/>
        </w:rPr>
        <w:outlineLvl w:val="1"/>
      </w:pPr>
      <w:r/>
      <w:bookmarkStart w:id="140" w:name="_Toc19711"/>
      <w:r/>
      <w:bookmarkStart w:id="141" w:name="_Toc6981"/>
      <w:r/>
      <w:bookmarkStart w:id="142" w:name="_Toc26974"/>
      <w:r>
        <w:rPr>
          <w:rFonts w:hint="eastAsia" w:ascii="方正小标宋简体" w:hAnsi="Arial" w:eastAsia="方正小标宋简体" w:cs="Times New Roman"/>
          <w:bCs/>
          <w:color w:val="auto"/>
          <w:sz w:val="32"/>
          <w:szCs w:val="32"/>
          <w:highlight w:val="none"/>
          <w:lang w:val="en-US" w:eastAsia="zh-CN" w:bidi="ar-SA"/>
        </w:rPr>
        <w:t xml:space="preserve">附件4：</w:t>
      </w:r>
      <w:bookmarkEnd w:id="140"/>
      <w:r/>
      <w:bookmarkStart w:id="143" w:name="_Toc18425"/>
      <w:r/>
      <w:bookmarkStart w:id="144" w:name="_Toc7231"/>
      <w:r/>
      <w:bookmarkStart w:id="145" w:name="_Toc26344"/>
      <w:r>
        <w:rPr>
          <w:rFonts w:hint="eastAsia" w:ascii="方正小标宋简体" w:hAnsi="Arial" w:eastAsia="方正小标宋简体" w:cs="Times New Roman"/>
          <w:bCs/>
          <w:color w:val="auto"/>
          <w:sz w:val="32"/>
          <w:szCs w:val="32"/>
          <w:highlight w:val="none"/>
          <w:lang w:val="en-US" w:eastAsia="zh-CN" w:bidi="ar-SA"/>
        </w:rPr>
        <w:t xml:space="preserve">现场踏勘确认函</w:t>
      </w:r>
      <w:bookmarkEnd w:id="141"/>
      <w:r/>
      <w:bookmarkEnd w:id="142"/>
      <w:r/>
      <w:bookmarkEnd w:id="143"/>
      <w:r/>
      <w:bookmarkEnd w:id="131"/>
      <w:bookmarkEnd w:id="132"/>
      <w:bookmarkEnd w:id="133"/>
      <w:bookmarkEnd w:id="134"/>
      <w:bookmarkEnd w:id="135"/>
      <w:bookmarkEnd w:id="144"/>
      <w:bookmarkEnd w:id="145"/>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现场踏勘确认函</w:t>
      </w:r>
      <w:r/>
    </w:p>
    <w:p>
      <w:pPr>
        <w:spacing w:line="300" w:lineRule="exact"/>
        <w:rPr>
          <w:rFonts w:hint="default" w:ascii="仿宋" w:hAnsi="仿宋" w:eastAsia="仿宋"/>
          <w:color w:val="auto"/>
          <w:szCs w:val="21"/>
          <w:highlight w:val="none"/>
          <w:lang w:val="en-US" w:eastAsia="zh-CN"/>
        </w:rPr>
        <w:outlineLvl w:val="9"/>
      </w:pPr>
      <w:r>
        <w:rPr>
          <w:rFonts w:hint="default" w:ascii="仿宋" w:hAnsi="仿宋" w:eastAsia="仿宋"/>
          <w:color w:val="auto"/>
          <w:szCs w:val="21"/>
          <w:highlight w:val="none"/>
          <w:lang w:val="en-US" w:eastAsia="zh-CN"/>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______________________________：</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依据贵单位（采购项目名称</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项目</w:t>
      </w:r>
      <w:r>
        <w:rPr>
          <w:rFonts w:hint="eastAsia" w:ascii="仿宋" w:hAnsi="仿宋" w:eastAsia="仿宋"/>
          <w:color w:val="auto"/>
          <w:sz w:val="28"/>
          <w:szCs w:val="28"/>
          <w:highlight w:val="none"/>
          <w:lang w:val="en-US" w:eastAsia="zh-CN"/>
        </w:rPr>
        <w:t xml:space="preserve">谈判</w:t>
      </w:r>
      <w:r>
        <w:rPr>
          <w:rFonts w:hint="eastAsia" w:ascii="仿宋" w:hAnsi="仿宋" w:eastAsia="仿宋"/>
          <w:color w:val="auto"/>
          <w:sz w:val="28"/>
          <w:szCs w:val="28"/>
          <w:highlight w:val="none"/>
        </w:rPr>
        <w:t xml:space="preserve">文件的要求。我方已于</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年</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月</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日自行对该项目进行了现场勘察，我公司现就现场勘察情况做如下承诺：</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、经现场勘察，我方已熟悉与该项目相关的</w:t>
      </w:r>
      <w:r>
        <w:rPr>
          <w:rFonts w:hint="eastAsia" w:ascii="仿宋" w:hAnsi="仿宋" w:eastAsia="仿宋"/>
          <w:color w:val="auto"/>
          <w:sz w:val="28"/>
          <w:szCs w:val="28"/>
          <w:highlight w:val="none"/>
          <w:lang w:val="en-US" w:eastAsia="zh-CN"/>
        </w:rPr>
        <w:t xml:space="preserve">施工</w:t>
      </w:r>
      <w:r>
        <w:rPr>
          <w:rFonts w:hint="eastAsia" w:ascii="仿宋" w:hAnsi="仿宋" w:eastAsia="仿宋"/>
          <w:color w:val="auto"/>
          <w:sz w:val="28"/>
          <w:szCs w:val="28"/>
          <w:highlight w:val="none"/>
        </w:rPr>
        <w:t xml:space="preserve">管理现场、现场周围交通道路等所有情况。</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、我方承诺自行承担本次现场勘察所发生的所有费用并承担勘察现场的相关责任和风险。</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、我方承诺在任何情况下均不以不完全了解现场情况为理由而向采购人提出任何索赔的要求。</w:t>
      </w:r>
      <w:r/>
    </w:p>
    <w:p>
      <w:pPr>
        <w:jc w:val="righ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righ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响应供应商：</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（加盖公章）</w:t>
      </w:r>
      <w:r/>
    </w:p>
    <w:p>
      <w:pPr>
        <w:pStyle w:val="682"/>
        <w:rPr>
          <w:color w:val="auto"/>
          <w:highlight w:val="none"/>
        </w:rPr>
      </w:pPr>
      <w:r>
        <w:rPr>
          <w:color w:val="auto"/>
          <w:highlight w:val="none"/>
        </w:rPr>
      </w:r>
      <w:r/>
    </w:p>
    <w:p>
      <w:pPr>
        <w:ind w:firstLine="560"/>
        <w:jc w:val="righ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法定代表人或被授权人：</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（签字或盖章）</w:t>
      </w:r>
      <w:r/>
    </w:p>
    <w:p>
      <w:pPr>
        <w:pStyle w:val="682"/>
        <w:rPr>
          <w:color w:val="auto"/>
          <w:highlight w:val="none"/>
        </w:rPr>
      </w:pPr>
      <w:r>
        <w:rPr>
          <w:color w:val="auto"/>
          <w:highlight w:val="none"/>
        </w:rPr>
      </w:r>
      <w:r/>
    </w:p>
    <w:p>
      <w:pPr>
        <w:jc w:val="right"/>
        <w:spacing w:line="3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年</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月</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日</w:t>
      </w:r>
      <w:r/>
    </w:p>
    <w:p>
      <w:pPr>
        <w:rPr>
          <w:rFonts w:hint="eastAsia" w:ascii="仿宋" w:hAnsi="仿宋" w:eastAsia="仿宋"/>
          <w:color w:val="auto"/>
          <w:szCs w:val="21"/>
          <w:highlight w:val="none"/>
        </w:rPr>
        <w:outlineLvl w:val="9"/>
      </w:pPr>
      <w:r>
        <w:rPr>
          <w:rFonts w:hint="eastAsia" w:ascii="仿宋" w:hAnsi="仿宋" w:eastAsia="仿宋"/>
          <w:color w:val="auto"/>
          <w:szCs w:val="21"/>
          <w:highlight w:val="none"/>
        </w:rPr>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Symbol">
    <w:panose1 w:val="05050102010706020507"/>
  </w:font>
  <w:font w:name="Wingdings">
    <w:panose1 w:val="05000000000000000000"/>
  </w:font>
  <w:font w:name="微软雅黑">
    <w:panose1 w:val="020B0503020204020204"/>
  </w:font>
  <w:font w:name="文鼎CS楷体">
    <w:panose1 w:val="020B0503020202020204"/>
  </w:font>
  <w:font w:name="Calibri">
    <w:panose1 w:val="020F050202020403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rPr>
        <w:rStyle w:val="688"/>
      </w:rPr>
      <w:framePr w:wrap="around" w:vAnchor="text" w:hAnchor="margin" w:xAlign="center" w:y="1"/>
    </w:pPr>
    <w:r>
      <w:fldChar w:fldCharType="begin"/>
    </w:r>
    <w:r>
      <w:rPr>
        <w:rStyle w:val="688"/>
      </w:rPr>
      <w:instrText xml:space="preserve">PAGE  </w:instrText>
    </w:r>
    <w:r>
      <w:fldChar w:fldCharType="end"/>
    </w:r>
    <w:r/>
  </w:p>
  <w:p>
    <w:pPr>
      <w:pStyle w:val="6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2"/>
                            <w:rPr>
                              <w:rStyle w:val="688"/>
                            </w:rPr>
                          </w:pPr>
                          <w:r>
                            <w:fldChar w:fldCharType="begin"/>
                          </w:r>
                          <w:r>
                            <w:rPr>
                              <w:rStyle w:val="688"/>
                            </w:rPr>
                            <w:instrText xml:space="preserve">PAGE  </w:instrText>
                          </w:r>
                          <w:r>
                            <w:fldChar w:fldCharType="separate"/>
                          </w:r>
                          <w:r>
                            <w:rPr>
                              <w:rStyle w:val="688"/>
                            </w:rPr>
                            <w:t xml:space="preserve">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2"/>
                      <w:rPr>
                        <w:rStyle w:val="688"/>
                      </w:rPr>
                    </w:pPr>
                    <w:r>
                      <w:fldChar w:fldCharType="begin"/>
                    </w:r>
                    <w:r>
                      <w:rPr>
                        <w:rStyle w:val="688"/>
                      </w:rPr>
                      <w:instrText xml:space="preserve">PAGE  </w:instrText>
                    </w:r>
                    <w:r>
                      <w:fldChar w:fldCharType="separate"/>
                    </w:r>
                    <w:r>
                      <w:rPr>
                        <w:rStyle w:val="688"/>
                      </w:rPr>
                      <w:t xml:space="preserve">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pPr>
    <w:r>
      <w:rPr>
        <w:rFonts w:hint="eastAsia"/>
      </w:rPr>
      <w:t xml:space="preserve">如</w:t>
    </w:r>
    <w:r>
      <w:t xml:space="preserve">皋市政府采购</w:t>
    </w:r>
    <w:r>
      <w:rPr>
        <w:rFonts w:hint="eastAsia"/>
      </w:rPr>
      <w:t xml:space="preserve">竞争</w:t>
    </w:r>
    <w:r>
      <w:t xml:space="preserve">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0"/>
    <w:link w:val="666"/>
    <w:uiPriority w:val="9"/>
    <w:rPr>
      <w:rFonts w:ascii="Arial" w:hAnsi="Arial" w:eastAsia="Arial" w:cs="Arial"/>
      <w:sz w:val="40"/>
      <w:szCs w:val="40"/>
    </w:rPr>
  </w:style>
  <w:style w:type="character" w:styleId="15">
    <w:name w:val="Heading 2 Char"/>
    <w:basedOn w:val="670"/>
    <w:link w:val="667"/>
    <w:uiPriority w:val="9"/>
    <w:rPr>
      <w:rFonts w:ascii="Arial" w:hAnsi="Arial" w:eastAsia="Arial" w:cs="Arial"/>
      <w:sz w:val="34"/>
    </w:rPr>
  </w:style>
  <w:style w:type="character" w:styleId="17">
    <w:name w:val="Heading 3 Char"/>
    <w:basedOn w:val="670"/>
    <w:link w:val="668"/>
    <w:uiPriority w:val="9"/>
    <w:rPr>
      <w:rFonts w:ascii="Arial" w:hAnsi="Arial" w:eastAsia="Arial" w:cs="Arial"/>
      <w:sz w:val="30"/>
      <w:szCs w:val="30"/>
    </w:rPr>
  </w:style>
  <w:style w:type="character" w:styleId="19">
    <w:name w:val="Heading 4 Char"/>
    <w:basedOn w:val="670"/>
    <w:link w:val="669"/>
    <w:uiPriority w:val="9"/>
    <w:rPr>
      <w:rFonts w:ascii="Arial" w:hAnsi="Arial" w:eastAsia="Arial" w:cs="Arial"/>
      <w:b/>
      <w:bCs/>
      <w:sz w:val="26"/>
      <w:szCs w:val="26"/>
    </w:rPr>
  </w:style>
  <w:style w:type="paragraph" w:styleId="20">
    <w:name w:val="Heading 5"/>
    <w:basedOn w:val="665"/>
    <w:next w:val="66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0"/>
    <w:link w:val="20"/>
    <w:uiPriority w:val="9"/>
    <w:rPr>
      <w:rFonts w:ascii="Arial" w:hAnsi="Arial" w:eastAsia="Arial" w:cs="Arial"/>
      <w:b/>
      <w:bCs/>
      <w:sz w:val="24"/>
      <w:szCs w:val="24"/>
    </w:rPr>
  </w:style>
  <w:style w:type="paragraph" w:styleId="22">
    <w:name w:val="Heading 6"/>
    <w:basedOn w:val="665"/>
    <w:next w:val="6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0"/>
    <w:link w:val="22"/>
    <w:uiPriority w:val="9"/>
    <w:rPr>
      <w:rFonts w:ascii="Arial" w:hAnsi="Arial" w:eastAsia="Arial" w:cs="Arial"/>
      <w:b/>
      <w:bCs/>
      <w:sz w:val="22"/>
      <w:szCs w:val="22"/>
    </w:rPr>
  </w:style>
  <w:style w:type="paragraph" w:styleId="24">
    <w:name w:val="Heading 7"/>
    <w:basedOn w:val="665"/>
    <w:next w:val="6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0"/>
    <w:link w:val="24"/>
    <w:uiPriority w:val="9"/>
    <w:rPr>
      <w:rFonts w:ascii="Arial" w:hAnsi="Arial" w:eastAsia="Arial" w:cs="Arial"/>
      <w:b/>
      <w:bCs/>
      <w:i/>
      <w:iCs/>
      <w:sz w:val="22"/>
      <w:szCs w:val="22"/>
    </w:rPr>
  </w:style>
  <w:style w:type="paragraph" w:styleId="26">
    <w:name w:val="Heading 8"/>
    <w:basedOn w:val="665"/>
    <w:next w:val="6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0"/>
    <w:link w:val="26"/>
    <w:uiPriority w:val="9"/>
    <w:rPr>
      <w:rFonts w:ascii="Arial" w:hAnsi="Arial" w:eastAsia="Arial" w:cs="Arial"/>
      <w:i/>
      <w:iCs/>
      <w:sz w:val="22"/>
      <w:szCs w:val="22"/>
    </w:rPr>
  </w:style>
  <w:style w:type="paragraph" w:styleId="28">
    <w:name w:val="Heading 9"/>
    <w:basedOn w:val="665"/>
    <w:next w:val="6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0"/>
    <w:link w:val="28"/>
    <w:uiPriority w:val="9"/>
    <w:rPr>
      <w:rFonts w:ascii="Arial" w:hAnsi="Arial" w:eastAsia="Arial" w:cs="Arial"/>
      <w:i/>
      <w:iCs/>
      <w:sz w:val="21"/>
      <w:szCs w:val="21"/>
    </w:rPr>
  </w:style>
  <w:style w:type="paragraph" w:styleId="30">
    <w:name w:val="List Paragraph"/>
    <w:basedOn w:val="66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5"/>
    <w:next w:val="665"/>
    <w:link w:val="34"/>
    <w:uiPriority w:val="10"/>
    <w:qFormat/>
    <w:pPr>
      <w:contextualSpacing/>
      <w:spacing w:before="300" w:after="200"/>
    </w:pPr>
    <w:rPr>
      <w:sz w:val="48"/>
      <w:szCs w:val="48"/>
    </w:rPr>
  </w:style>
  <w:style w:type="character" w:styleId="34">
    <w:name w:val="Title Char"/>
    <w:basedOn w:val="670"/>
    <w:link w:val="33"/>
    <w:uiPriority w:val="10"/>
    <w:rPr>
      <w:sz w:val="48"/>
      <w:szCs w:val="48"/>
    </w:rPr>
  </w:style>
  <w:style w:type="paragraph" w:styleId="35">
    <w:name w:val="Subtitle"/>
    <w:basedOn w:val="665"/>
    <w:next w:val="665"/>
    <w:link w:val="36"/>
    <w:uiPriority w:val="11"/>
    <w:qFormat/>
    <w:pPr>
      <w:spacing w:before="200" w:after="200"/>
    </w:pPr>
    <w:rPr>
      <w:sz w:val="24"/>
      <w:szCs w:val="24"/>
    </w:rPr>
  </w:style>
  <w:style w:type="character" w:styleId="36">
    <w:name w:val="Subtitle Char"/>
    <w:basedOn w:val="670"/>
    <w:link w:val="35"/>
    <w:uiPriority w:val="11"/>
    <w:rPr>
      <w:sz w:val="24"/>
      <w:szCs w:val="24"/>
    </w:rPr>
  </w:style>
  <w:style w:type="paragraph" w:styleId="37">
    <w:name w:val="Quote"/>
    <w:basedOn w:val="665"/>
    <w:next w:val="665"/>
    <w:link w:val="38"/>
    <w:uiPriority w:val="29"/>
    <w:qFormat/>
    <w:pPr>
      <w:ind w:left="720" w:right="720"/>
    </w:pPr>
    <w:rPr>
      <w:i/>
    </w:rPr>
  </w:style>
  <w:style w:type="character" w:styleId="38">
    <w:name w:val="Quote Char"/>
    <w:link w:val="37"/>
    <w:uiPriority w:val="29"/>
    <w:rPr>
      <w:i/>
    </w:rPr>
  </w:style>
  <w:style w:type="paragraph" w:styleId="39">
    <w:name w:val="Intense Quote"/>
    <w:basedOn w:val="665"/>
    <w:next w:val="6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0"/>
    <w:link w:val="680"/>
    <w:uiPriority w:val="99"/>
  </w:style>
  <w:style w:type="character" w:styleId="44">
    <w:name w:val="Footer Char"/>
    <w:basedOn w:val="670"/>
    <w:link w:val="672"/>
    <w:uiPriority w:val="99"/>
  </w:style>
  <w:style w:type="paragraph" w:styleId="45">
    <w:name w:val="Caption"/>
    <w:basedOn w:val="665"/>
    <w:next w:val="665"/>
    <w:uiPriority w:val="35"/>
    <w:semiHidden/>
    <w:unhideWhenUsed/>
    <w:qFormat/>
    <w:pPr>
      <w:spacing w:line="276" w:lineRule="auto"/>
    </w:pPr>
    <w:rPr>
      <w:b/>
      <w:bCs/>
      <w:color w:val="4f81bd" w:themeColor="accent1"/>
      <w:sz w:val="18"/>
      <w:szCs w:val="18"/>
    </w:rPr>
  </w:style>
  <w:style w:type="character" w:styleId="46">
    <w:name w:val="Caption Char"/>
    <w:basedOn w:val="45"/>
    <w:link w:val="672"/>
    <w:uiPriority w:val="99"/>
  </w:style>
  <w:style w:type="table" w:styleId="48">
    <w:name w:val="Table Grid Light"/>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82"/>
    <w:uiPriority w:val="99"/>
    <w:rPr>
      <w:sz w:val="18"/>
    </w:rPr>
  </w:style>
  <w:style w:type="character" w:styleId="176">
    <w:name w:val="footnote reference"/>
    <w:basedOn w:val="670"/>
    <w:uiPriority w:val="99"/>
    <w:unhideWhenUsed/>
    <w:rPr>
      <w:vertAlign w:val="superscript"/>
    </w:rPr>
  </w:style>
  <w:style w:type="paragraph" w:styleId="177">
    <w:name w:val="endnote text"/>
    <w:basedOn w:val="6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0"/>
    <w:uiPriority w:val="99"/>
    <w:semiHidden/>
    <w:unhideWhenUsed/>
    <w:rPr>
      <w:vertAlign w:val="superscript"/>
    </w:rPr>
  </w:style>
  <w:style w:type="paragraph" w:styleId="182">
    <w:name w:val="toc 3"/>
    <w:basedOn w:val="665"/>
    <w:next w:val="665"/>
    <w:uiPriority w:val="39"/>
    <w:unhideWhenUsed/>
    <w:pPr>
      <w:ind w:left="567" w:right="0" w:firstLine="0"/>
      <w:spacing w:after="57"/>
    </w:pPr>
  </w:style>
  <w:style w:type="paragraph" w:styleId="183">
    <w:name w:val="toc 4"/>
    <w:basedOn w:val="665"/>
    <w:next w:val="665"/>
    <w:uiPriority w:val="39"/>
    <w:unhideWhenUsed/>
    <w:pPr>
      <w:ind w:left="850" w:right="0" w:firstLine="0"/>
      <w:spacing w:after="57"/>
    </w:pPr>
  </w:style>
  <w:style w:type="paragraph" w:styleId="184">
    <w:name w:val="toc 5"/>
    <w:basedOn w:val="665"/>
    <w:next w:val="665"/>
    <w:uiPriority w:val="39"/>
    <w:unhideWhenUsed/>
    <w:pPr>
      <w:ind w:left="1134" w:right="0" w:firstLine="0"/>
      <w:spacing w:after="57"/>
    </w:pPr>
  </w:style>
  <w:style w:type="paragraph" w:styleId="185">
    <w:name w:val="toc 6"/>
    <w:basedOn w:val="665"/>
    <w:next w:val="665"/>
    <w:uiPriority w:val="39"/>
    <w:unhideWhenUsed/>
    <w:pPr>
      <w:ind w:left="1417" w:right="0" w:firstLine="0"/>
      <w:spacing w:after="57"/>
    </w:pPr>
  </w:style>
  <w:style w:type="paragraph" w:styleId="186">
    <w:name w:val="toc 7"/>
    <w:basedOn w:val="665"/>
    <w:next w:val="665"/>
    <w:uiPriority w:val="39"/>
    <w:unhideWhenUsed/>
    <w:pPr>
      <w:ind w:left="1701" w:right="0" w:firstLine="0"/>
      <w:spacing w:after="57"/>
    </w:pPr>
  </w:style>
  <w:style w:type="paragraph" w:styleId="187">
    <w:name w:val="toc 8"/>
    <w:basedOn w:val="665"/>
    <w:next w:val="665"/>
    <w:uiPriority w:val="39"/>
    <w:unhideWhenUsed/>
    <w:pPr>
      <w:ind w:left="1984" w:right="0" w:firstLine="0"/>
      <w:spacing w:after="57"/>
    </w:pPr>
  </w:style>
  <w:style w:type="paragraph" w:styleId="188">
    <w:name w:val="toc 9"/>
    <w:basedOn w:val="665"/>
    <w:next w:val="66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5"/>
    <w:next w:val="665"/>
    <w:uiPriority w:val="99"/>
    <w:unhideWhenUsed/>
    <w:pPr>
      <w:spacing w:after="0" w:afterAutospacing="0"/>
    </w:pPr>
  </w:style>
  <w:style w:type="paragraph" w:styleId="665" w:default="1">
    <w:name w:val="Normal"/>
    <w:next w:val="672"/>
    <w:uiPriority w:val="0"/>
    <w:qFormat/>
    <w:pPr>
      <w:jc w:val="both"/>
      <w:widowControl w:val="off"/>
    </w:pPr>
    <w:rPr>
      <w:rFonts w:ascii="Times New Roman" w:hAnsi="Times New Roman" w:eastAsia="宋体" w:cs="Times New Roman"/>
      <w:sz w:val="21"/>
      <w:szCs w:val="24"/>
      <w:lang w:val="en-US" w:eastAsia="zh-CN" w:bidi="ar-SA"/>
    </w:rPr>
  </w:style>
  <w:style w:type="paragraph" w:styleId="666">
    <w:name w:val="Heading 1"/>
    <w:basedOn w:val="665"/>
    <w:next w:val="665"/>
    <w:uiPriority w:val="0"/>
    <w:qFormat/>
    <w:pPr>
      <w:keepLines/>
      <w:keepNext/>
      <w:spacing w:before="340" w:after="330" w:line="578" w:lineRule="auto"/>
      <w:outlineLvl w:val="0"/>
    </w:pPr>
    <w:rPr>
      <w:b/>
      <w:bCs/>
      <w:sz w:val="44"/>
      <w:szCs w:val="44"/>
    </w:rPr>
  </w:style>
  <w:style w:type="paragraph" w:styleId="667">
    <w:name w:val="Heading 2"/>
    <w:basedOn w:val="665"/>
    <w:next w:val="665"/>
    <w:uiPriority w:val="0"/>
    <w:qFormat/>
    <w:pPr>
      <w:keepLines/>
      <w:keepNext/>
      <w:spacing w:before="260" w:after="260" w:line="416" w:lineRule="auto"/>
      <w:outlineLvl w:val="1"/>
    </w:pPr>
    <w:rPr>
      <w:rFonts w:ascii="Arial" w:hAnsi="Arial" w:eastAsia="黑体"/>
      <w:b/>
      <w:bCs/>
      <w:sz w:val="32"/>
      <w:szCs w:val="32"/>
    </w:rPr>
  </w:style>
  <w:style w:type="paragraph" w:styleId="668">
    <w:name w:val="Heading 3"/>
    <w:basedOn w:val="665"/>
    <w:next w:val="673"/>
    <w:link w:val="698"/>
    <w:uiPriority w:val="0"/>
    <w:qFormat/>
    <w:pPr>
      <w:keepLines/>
      <w:keepNext/>
      <w:spacing w:before="260" w:after="260" w:line="416" w:lineRule="auto"/>
      <w:outlineLvl w:val="2"/>
    </w:pPr>
    <w:rPr>
      <w:b/>
      <w:sz w:val="32"/>
      <w:szCs w:val="20"/>
    </w:rPr>
  </w:style>
  <w:style w:type="paragraph" w:styleId="669">
    <w:name w:val="Heading 4"/>
    <w:basedOn w:val="665"/>
    <w:next w:val="665"/>
    <w:link w:val="694"/>
    <w:uiPriority w:val="0"/>
    <w:qFormat/>
    <w:pPr>
      <w:keepLines/>
      <w:keepNext/>
      <w:spacing w:before="280" w:after="290" w:line="376" w:lineRule="auto"/>
      <w:outlineLvl w:val="3"/>
    </w:pPr>
    <w:rPr>
      <w:rFonts w:ascii="Arial" w:hAnsi="Arial" w:eastAsia="黑体"/>
      <w:b/>
      <w:bCs/>
      <w:sz w:val="28"/>
      <w:szCs w:val="28"/>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Footer"/>
    <w:basedOn w:val="665"/>
    <w:uiPriority w:val="0"/>
    <w:qFormat/>
    <w:pPr>
      <w:jc w:val="left"/>
      <w:tabs>
        <w:tab w:val="center" w:pos="4153" w:leader="none"/>
        <w:tab w:val="right" w:pos="8306" w:leader="none"/>
      </w:tabs>
    </w:pPr>
    <w:rPr>
      <w:sz w:val="18"/>
      <w:szCs w:val="18"/>
    </w:rPr>
  </w:style>
  <w:style w:type="paragraph" w:styleId="673">
    <w:name w:val="Normal Indent"/>
    <w:basedOn w:val="665"/>
    <w:link w:val="697"/>
    <w:uiPriority w:val="0"/>
    <w:qFormat/>
    <w:pPr>
      <w:ind w:firstLine="420"/>
    </w:pPr>
  </w:style>
  <w:style w:type="paragraph" w:styleId="674">
    <w:name w:val="index 5"/>
    <w:basedOn w:val="665"/>
    <w:next w:val="665"/>
    <w:uiPriority w:val="0"/>
    <w:unhideWhenUsed/>
    <w:qFormat/>
    <w:pPr>
      <w:ind w:left="800"/>
    </w:pPr>
    <w:rPr>
      <w:rFonts w:hint="default"/>
      <w:sz w:val="21"/>
      <w:szCs w:val="24"/>
    </w:rPr>
  </w:style>
  <w:style w:type="paragraph" w:styleId="675">
    <w:name w:val="Document Map"/>
    <w:basedOn w:val="665"/>
    <w:uiPriority w:val="0"/>
    <w:semiHidden/>
    <w:qFormat/>
    <w:pPr>
      <w:shd w:val="clear" w:color="auto" w:fill="000080"/>
    </w:pPr>
  </w:style>
  <w:style w:type="paragraph" w:styleId="676">
    <w:name w:val="Body Text Indent"/>
    <w:basedOn w:val="665"/>
    <w:uiPriority w:val="0"/>
    <w:qFormat/>
    <w:pPr>
      <w:ind w:left="420"/>
      <w:spacing w:after="120"/>
    </w:pPr>
  </w:style>
  <w:style w:type="paragraph" w:styleId="677">
    <w:name w:val="Plain Text"/>
    <w:basedOn w:val="665"/>
    <w:link w:val="699"/>
    <w:uiPriority w:val="0"/>
    <w:qFormat/>
    <w:pPr>
      <w:jc w:val="left"/>
      <w:spacing w:after="200" w:line="252" w:lineRule="auto"/>
      <w:widowControl/>
    </w:pPr>
    <w:rPr>
      <w:rFonts w:ascii="宋体" w:hAnsi="Courier New"/>
      <w:szCs w:val="20"/>
    </w:rPr>
  </w:style>
  <w:style w:type="paragraph" w:styleId="678">
    <w:name w:val="Date"/>
    <w:basedOn w:val="665"/>
    <w:next w:val="665"/>
    <w:link w:val="707"/>
    <w:uiPriority w:val="0"/>
    <w:qFormat/>
    <w:rPr>
      <w:sz w:val="24"/>
      <w:szCs w:val="20"/>
    </w:rPr>
  </w:style>
  <w:style w:type="paragraph" w:styleId="679">
    <w:name w:val="Balloon Text"/>
    <w:basedOn w:val="665"/>
    <w:link w:val="695"/>
    <w:uiPriority w:val="0"/>
    <w:qFormat/>
    <w:rPr>
      <w:sz w:val="18"/>
      <w:szCs w:val="18"/>
    </w:rPr>
  </w:style>
  <w:style w:type="paragraph" w:styleId="680">
    <w:name w:val="Header"/>
    <w:basedOn w:val="665"/>
    <w:link w:val="696"/>
    <w:uiPriority w:val="99"/>
    <w:qFormat/>
    <w:pPr>
      <w:jc w:val="center"/>
      <w:tabs>
        <w:tab w:val="center" w:pos="4153" w:leader="none"/>
        <w:tab w:val="right" w:pos="8306" w:leader="none"/>
      </w:tabs>
      <w:pBdr>
        <w:bottom w:val="single" w:color="auto" w:sz="6" w:space="1"/>
      </w:pBdr>
    </w:pPr>
    <w:rPr>
      <w:sz w:val="18"/>
      <w:szCs w:val="18"/>
    </w:rPr>
  </w:style>
  <w:style w:type="paragraph" w:styleId="681">
    <w:name w:val="toc 1"/>
    <w:basedOn w:val="665"/>
    <w:next w:val="665"/>
    <w:uiPriority w:val="0"/>
    <w:qFormat/>
  </w:style>
  <w:style w:type="paragraph" w:styleId="682">
    <w:name w:val="footnote text"/>
    <w:basedOn w:val="665"/>
    <w:next w:val="674"/>
    <w:uiPriority w:val="0"/>
    <w:unhideWhenUsed/>
    <w:qFormat/>
    <w:pPr>
      <w:jc w:val="left"/>
      <w:spacing w:line="312" w:lineRule="atLeast"/>
    </w:pPr>
    <w:rPr>
      <w:rFonts w:hint="default"/>
      <w:sz w:val="18"/>
      <w:szCs w:val="22"/>
    </w:rPr>
  </w:style>
  <w:style w:type="paragraph" w:styleId="683">
    <w:name w:val="Body Text Indent 3"/>
    <w:basedOn w:val="665"/>
    <w:link w:val="706"/>
    <w:uiPriority w:val="0"/>
    <w:qFormat/>
    <w:pPr>
      <w:ind w:left="420"/>
      <w:spacing w:after="120"/>
    </w:pPr>
    <w:rPr>
      <w:sz w:val="16"/>
      <w:szCs w:val="16"/>
    </w:rPr>
  </w:style>
  <w:style w:type="paragraph" w:styleId="684">
    <w:name w:val="toc 2"/>
    <w:basedOn w:val="665"/>
    <w:next w:val="665"/>
    <w:uiPriority w:val="0"/>
    <w:qFormat/>
    <w:pPr>
      <w:ind w:left="420"/>
    </w:pPr>
  </w:style>
  <w:style w:type="paragraph" w:styleId="685">
    <w:name w:val="Normal (Web)"/>
    <w:basedOn w:val="665"/>
    <w:uiPriority w:val="99"/>
    <w:unhideWhenUsed/>
    <w:qFormat/>
    <w:pPr>
      <w:jc w:val="left"/>
      <w:spacing w:before="100" w:beforeAutospacing="1" w:after="100" w:afterAutospacing="1"/>
      <w:widowControl/>
    </w:pPr>
    <w:rPr>
      <w:rFonts w:ascii="宋体" w:hAnsi="宋体" w:cs="宋体"/>
      <w:sz w:val="24"/>
    </w:rPr>
  </w:style>
  <w:style w:type="table" w:styleId="686">
    <w:name w:val="Table Grid"/>
    <w:basedOn w:val="6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Strong"/>
    <w:basedOn w:val="670"/>
    <w:uiPriority w:val="22"/>
    <w:qFormat/>
    <w:rPr>
      <w:b/>
      <w:bCs/>
    </w:rPr>
  </w:style>
  <w:style w:type="character" w:styleId="688">
    <w:name w:val="page number"/>
    <w:basedOn w:val="670"/>
    <w:uiPriority w:val="0"/>
    <w:qFormat/>
  </w:style>
  <w:style w:type="character" w:styleId="689">
    <w:name w:val="Emphasis"/>
    <w:basedOn w:val="670"/>
    <w:uiPriority w:val="20"/>
    <w:qFormat/>
    <w:rPr>
      <w:i/>
      <w:iCs/>
    </w:rPr>
  </w:style>
  <w:style w:type="character" w:styleId="690">
    <w:name w:val="Hyperlink"/>
    <w:basedOn w:val="670"/>
    <w:uiPriority w:val="0"/>
    <w:qFormat/>
    <w:rPr>
      <w:color w:val="0000ff"/>
      <w:u w:val="single"/>
    </w:rPr>
  </w:style>
  <w:style w:type="character" w:styleId="691" w:customStyle="1">
    <w:name w:val="正文缩进2格 Char"/>
    <w:link w:val="692"/>
    <w:uiPriority w:val="0"/>
    <w:qFormat/>
    <w:rPr>
      <w:rFonts w:ascii="仿宋_GB2312" w:hAnsi="宋体" w:eastAsia="仿宋_GB2312"/>
      <w:sz w:val="31"/>
      <w:szCs w:val="28"/>
      <w:lang w:bidi="ar-SA"/>
    </w:rPr>
  </w:style>
  <w:style w:type="paragraph" w:styleId="692" w:customStyle="1">
    <w:name w:val="正文缩进2格"/>
    <w:basedOn w:val="665"/>
    <w:link w:val="691"/>
    <w:uiPriority w:val="0"/>
    <w:qFormat/>
    <w:pPr>
      <w:ind w:firstLine="639"/>
      <w:spacing w:line="600" w:lineRule="exact"/>
    </w:pPr>
    <w:rPr>
      <w:rFonts w:ascii="仿宋_GB2312" w:hAnsi="宋体" w:eastAsia="仿宋_GB2312"/>
      <w:sz w:val="31"/>
      <w:szCs w:val="28"/>
    </w:rPr>
  </w:style>
  <w:style w:type="character" w:styleId="693" w:customStyle="1">
    <w:name w:val="纯文本 Char"/>
    <w:uiPriority w:val="99"/>
    <w:qFormat/>
    <w:rPr>
      <w:rFonts w:ascii="宋体" w:hAnsi="Courier New"/>
      <w:sz w:val="21"/>
    </w:rPr>
  </w:style>
  <w:style w:type="character" w:styleId="694" w:customStyle="1">
    <w:name w:val="标题 4 Char"/>
    <w:basedOn w:val="670"/>
    <w:link w:val="669"/>
    <w:uiPriority w:val="0"/>
    <w:qFormat/>
    <w:rPr>
      <w:rFonts w:ascii="Arial" w:hAnsi="Arial" w:eastAsia="黑体"/>
      <w:b/>
      <w:bCs/>
      <w:sz w:val="28"/>
      <w:szCs w:val="28"/>
    </w:rPr>
  </w:style>
  <w:style w:type="character" w:styleId="695" w:customStyle="1">
    <w:name w:val="批注框文本 Char"/>
    <w:basedOn w:val="670"/>
    <w:link w:val="679"/>
    <w:uiPriority w:val="0"/>
    <w:qFormat/>
    <w:rPr>
      <w:sz w:val="18"/>
      <w:szCs w:val="18"/>
    </w:rPr>
  </w:style>
  <w:style w:type="character" w:styleId="696" w:customStyle="1">
    <w:name w:val="页眉 Char"/>
    <w:link w:val="680"/>
    <w:uiPriority w:val="99"/>
    <w:qFormat/>
    <w:rPr>
      <w:sz w:val="18"/>
      <w:szCs w:val="18"/>
    </w:rPr>
  </w:style>
  <w:style w:type="character" w:styleId="697" w:customStyle="1">
    <w:name w:val="正文缩进 Char"/>
    <w:link w:val="673"/>
    <w:uiPriority w:val="0"/>
    <w:qFormat/>
    <w:rPr>
      <w:rFonts w:eastAsia="宋体"/>
      <w:sz w:val="21"/>
      <w:szCs w:val="24"/>
      <w:lang w:val="en-US" w:eastAsia="zh-CN" w:bidi="ar-SA"/>
    </w:rPr>
  </w:style>
  <w:style w:type="character" w:styleId="698" w:customStyle="1">
    <w:name w:val="标题 3 Char"/>
    <w:basedOn w:val="670"/>
    <w:link w:val="668"/>
    <w:uiPriority w:val="0"/>
    <w:qFormat/>
    <w:rPr>
      <w:b/>
      <w:sz w:val="32"/>
    </w:rPr>
  </w:style>
  <w:style w:type="character" w:styleId="699" w:customStyle="1">
    <w:name w:val="纯文本 Char1"/>
    <w:basedOn w:val="670"/>
    <w:link w:val="677"/>
    <w:uiPriority w:val="0"/>
    <w:qFormat/>
    <w:rPr>
      <w:rFonts w:ascii="宋体" w:hAnsi="Courier New" w:cs="Courier New"/>
      <w:sz w:val="21"/>
      <w:szCs w:val="21"/>
    </w:rPr>
  </w:style>
  <w:style w:type="paragraph" w:styleId="700" w:customStyle="1">
    <w:name w:val="msonormalcxspmiddle"/>
    <w:basedOn w:val="665"/>
    <w:uiPriority w:val="0"/>
    <w:qFormat/>
    <w:pPr>
      <w:jc w:val="left"/>
      <w:spacing w:before="100" w:beforeAutospacing="1" w:after="100" w:afterAutospacing="1"/>
      <w:widowControl/>
    </w:pPr>
    <w:rPr>
      <w:rFonts w:ascii="宋体" w:hAnsi="宋体" w:cs="宋体"/>
      <w:sz w:val="24"/>
    </w:rPr>
  </w:style>
  <w:style w:type="paragraph" w:styleId="701" w:customStyle="1">
    <w:name w:val="Char Char Char Char"/>
    <w:basedOn w:val="675"/>
    <w:uiPriority w:val="0"/>
    <w:qFormat/>
    <w:pPr>
      <w:spacing w:line="360" w:lineRule="auto"/>
    </w:pPr>
    <w:rPr>
      <w:szCs w:val="20"/>
    </w:rPr>
  </w:style>
  <w:style w:type="paragraph" w:styleId="702" w:customStyle="1">
    <w:name w:val="Char"/>
    <w:basedOn w:val="665"/>
    <w:uiPriority w:val="0"/>
    <w:qFormat/>
    <w:pPr>
      <w:tabs>
        <w:tab w:val="left" w:pos="360" w:leader="none"/>
      </w:tabs>
    </w:pPr>
    <w:rPr>
      <w:color w:val="000000"/>
      <w:sz w:val="24"/>
    </w:rPr>
  </w:style>
  <w:style w:type="paragraph" w:styleId="703" w:customStyle="1">
    <w:name w:val="普通正文"/>
    <w:basedOn w:val="665"/>
    <w:uiPriority w:val="0"/>
    <w:qFormat/>
    <w:pPr>
      <w:ind w:firstLine="480"/>
      <w:jc w:val="left"/>
      <w:spacing w:before="120" w:after="120" w:line="360" w:lineRule="auto"/>
    </w:pPr>
    <w:rPr>
      <w:rFonts w:ascii="Arial" w:hAnsi="Arial"/>
      <w:sz w:val="24"/>
    </w:rPr>
  </w:style>
  <w:style w:type="paragraph" w:styleId="704" w:customStyle="1">
    <w:name w:val="Char1"/>
    <w:basedOn w:val="675"/>
    <w:uiPriority w:val="0"/>
    <w:qFormat/>
    <w:rPr>
      <w:rFonts w:ascii="Tahoma" w:hAnsi="Tahoma"/>
      <w:sz w:val="24"/>
    </w:rPr>
  </w:style>
  <w:style w:type="character" w:styleId="705" w:customStyle="1">
    <w:name w:val="纯文本 Char2"/>
    <w:basedOn w:val="670"/>
    <w:uiPriority w:val="0"/>
    <w:qFormat/>
    <w:rPr>
      <w:rFonts w:ascii="宋体" w:hAnsi="Courier New" w:eastAsia="宋体"/>
      <w:sz w:val="24"/>
      <w:lang w:val="en-US" w:eastAsia="zh-CN" w:bidi="ar-SA"/>
    </w:rPr>
  </w:style>
  <w:style w:type="character" w:styleId="706" w:customStyle="1">
    <w:name w:val="正文文本缩进 3 Char"/>
    <w:basedOn w:val="670"/>
    <w:link w:val="683"/>
    <w:uiPriority w:val="0"/>
    <w:qFormat/>
    <w:rPr>
      <w:sz w:val="16"/>
      <w:szCs w:val="16"/>
    </w:rPr>
  </w:style>
  <w:style w:type="character" w:styleId="707" w:customStyle="1">
    <w:name w:val="日期 Char"/>
    <w:basedOn w:val="670"/>
    <w:link w:val="678"/>
    <w:uiPriority w:val="0"/>
    <w:qFormat/>
    <w:rPr>
      <w:sz w:val="24"/>
    </w:rPr>
  </w:style>
  <w:style w:type="paragraph" w:styleId="708" w:customStyle="1">
    <w:name w:val="正文1"/>
    <w:basedOn w:val="665"/>
    <w:uiPriority w:val="0"/>
    <w:qFormat/>
    <w:pPr>
      <w:ind w:firstLine="361"/>
      <w:spacing w:line="360" w:lineRule="auto"/>
    </w:pPr>
    <w:rPr>
      <w:rFonts w:ascii="宋体" w:hAnsi="宋体" w:eastAsia="仿宋_GB2312"/>
    </w:rPr>
  </w:style>
  <w:style w:type="character" w:styleId="709" w:customStyle="1">
    <w:name w:val="15"/>
    <w:basedOn w:val="670"/>
    <w:uiPriority w:val="0"/>
    <w:qFormat/>
    <w:rPr>
      <w:rFonts w:hint="default" w:ascii="Times New Roman" w:hAnsi="Times New Roman" w:cs="Times New Roman"/>
    </w:rPr>
  </w:style>
  <w:style w:type="character" w:styleId="710" w:customStyle="1">
    <w:name w:val="10"/>
    <w:basedOn w:val="670"/>
    <w:uiPriority w:val="0"/>
    <w:qFormat/>
    <w:rPr>
      <w:rFonts w:hint="default" w:ascii="Times New Roman" w:hAnsi="Times New Roman" w:cs="Times New Roman"/>
    </w:rPr>
  </w:style>
  <w:style w:type="paragraph" w:styleId="711" w:customStyle="1">
    <w:name w:val="无间隔1"/>
    <w:basedOn w:val="665"/>
    <w:uiPriority w:val="0"/>
    <w:qFormat/>
    <w:rPr>
      <w:rFonts w:ascii="Calibri" w:hAnsi="Calibri"/>
    </w:rPr>
  </w:style>
  <w:style w:type="numbering" w:styleId="9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E3AFE7FE-88DA-4944-B5DB-E41717E8ACF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杨洁</cp:lastModifiedBy>
  <cp:revision>2</cp:revision>
  <dcterms:created xsi:type="dcterms:W3CDTF">2023-07-31T00:19:00Z</dcterms:created>
  <dcterms:modified xsi:type="dcterms:W3CDTF">2026-06-26T10:18:41Z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D9009F60029141ADB79D3C810900E994_12</vt:lpwstr>
  </property>
  <property fmtid="{D5CDD505-2E9C-101B-9397-08002B2CF9AE}" pid="4" name="KSOTemplateDocerSaveRecord">
    <vt:lpwstr>eyJoZGlkIjoiZDE2MWJhZjg3MGUwZGM3OTlkZThhZWFiNzgzMTI2MGMiLCJ1c2VySWQiOiIxMDMxNTEzNjU1In0=</vt:lpwstr>
  </property>
</Properties>
</file>