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9D29C">
      <w:pPr>
        <w:spacing w:line="360" w:lineRule="auto"/>
        <w:ind w:firstLine="1600"/>
        <w:jc w:val="left"/>
        <w:rPr>
          <w:rFonts w:hint="eastAsia" w:cs="Times New Roman" w:asciiTheme="minorEastAsia" w:hAnsiTheme="minorEastAsia"/>
          <w:b/>
          <w:bCs/>
          <w:color w:val="000000"/>
          <w:spacing w:val="80"/>
          <w:sz w:val="64"/>
          <w:szCs w:val="20"/>
        </w:rPr>
      </w:pPr>
    </w:p>
    <w:p w14:paraId="30A19D44">
      <w:pPr>
        <w:spacing w:line="360" w:lineRule="auto"/>
        <w:ind w:firstLine="1600"/>
        <w:jc w:val="left"/>
        <w:rPr>
          <w:rFonts w:hint="eastAsia" w:cs="Times New Roman" w:asciiTheme="minorEastAsia" w:hAnsiTheme="minorEastAsia"/>
          <w:b/>
          <w:bCs/>
          <w:color w:val="000000"/>
          <w:spacing w:val="80"/>
          <w:sz w:val="64"/>
          <w:szCs w:val="20"/>
        </w:rPr>
      </w:pPr>
    </w:p>
    <w:p w14:paraId="6ADA969C">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连云港市政府采购</w:t>
      </w:r>
    </w:p>
    <w:p w14:paraId="73779A78">
      <w:pPr>
        <w:spacing w:line="360" w:lineRule="auto"/>
        <w:ind w:firstLine="947" w:firstLineChars="200"/>
        <w:jc w:val="center"/>
        <w:rPr>
          <w:rFonts w:hint="eastAsia" w:cs="Times New Roman" w:asciiTheme="minorEastAsia" w:hAnsiTheme="minorEastAsia"/>
          <w:b/>
          <w:bCs/>
          <w:color w:val="000000"/>
          <w:spacing w:val="16"/>
          <w:sz w:val="44"/>
          <w:szCs w:val="24"/>
        </w:rPr>
      </w:pPr>
    </w:p>
    <w:p w14:paraId="2EB78B2D">
      <w:pPr>
        <w:spacing w:line="360" w:lineRule="auto"/>
        <w:ind w:firstLine="947" w:firstLineChars="200"/>
        <w:jc w:val="center"/>
        <w:rPr>
          <w:rFonts w:hint="eastAsia" w:cs="Times New Roman" w:asciiTheme="minorEastAsia" w:hAnsiTheme="minorEastAsia"/>
          <w:b/>
          <w:bCs/>
          <w:color w:val="000000"/>
          <w:spacing w:val="16"/>
          <w:sz w:val="44"/>
          <w:szCs w:val="24"/>
        </w:rPr>
      </w:pPr>
    </w:p>
    <w:p w14:paraId="04660826">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招标文件</w:t>
      </w:r>
    </w:p>
    <w:p w14:paraId="0A799456">
      <w:pPr>
        <w:spacing w:line="360" w:lineRule="auto"/>
        <w:ind w:firstLine="947" w:firstLineChars="200"/>
        <w:rPr>
          <w:rFonts w:hint="eastAsia" w:cs="Times New Roman" w:asciiTheme="minorEastAsia" w:hAnsiTheme="minorEastAsia"/>
          <w:b/>
          <w:bCs/>
          <w:color w:val="000000"/>
          <w:spacing w:val="16"/>
          <w:sz w:val="44"/>
          <w:szCs w:val="24"/>
        </w:rPr>
      </w:pPr>
    </w:p>
    <w:p w14:paraId="54767C6D">
      <w:pPr>
        <w:spacing w:line="360" w:lineRule="auto"/>
        <w:ind w:firstLine="947" w:firstLineChars="200"/>
        <w:rPr>
          <w:rFonts w:hint="eastAsia" w:cs="Times New Roman" w:asciiTheme="minorEastAsia" w:hAnsiTheme="minorEastAsia"/>
          <w:b/>
          <w:bCs/>
          <w:color w:val="000000"/>
          <w:spacing w:val="16"/>
          <w:sz w:val="44"/>
          <w:szCs w:val="24"/>
        </w:rPr>
      </w:pPr>
    </w:p>
    <w:p w14:paraId="3FA752C1">
      <w:pPr>
        <w:spacing w:line="360" w:lineRule="auto"/>
        <w:ind w:firstLine="947" w:firstLineChars="200"/>
        <w:rPr>
          <w:rFonts w:hint="eastAsia" w:cs="Times New Roman" w:asciiTheme="minorEastAsia" w:hAnsiTheme="minorEastAsia"/>
          <w:b/>
          <w:bCs/>
          <w:color w:val="000000"/>
          <w:spacing w:val="16"/>
          <w:sz w:val="44"/>
          <w:szCs w:val="24"/>
        </w:rPr>
      </w:pPr>
    </w:p>
    <w:p w14:paraId="3A586151">
      <w:pPr>
        <w:spacing w:line="360" w:lineRule="auto"/>
        <w:ind w:left="840" w:firstLine="611" w:firstLineChars="200"/>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w w:val="95"/>
          <w:sz w:val="32"/>
          <w:szCs w:val="24"/>
        </w:rPr>
        <w:t>项目名称：</w:t>
      </w:r>
      <w:r>
        <w:rPr>
          <w:rFonts w:hint="eastAsia" w:cs="Times New Roman" w:asciiTheme="minorEastAsia" w:hAnsiTheme="minorEastAsia"/>
          <w:b/>
          <w:bCs/>
          <w:color w:val="000000"/>
          <w:w w:val="95"/>
          <w:sz w:val="32"/>
          <w:szCs w:val="24"/>
          <w:lang w:eastAsia="zh-CN"/>
        </w:rPr>
        <w:t>连云港市立东方医院直线加速器采购</w:t>
      </w:r>
    </w:p>
    <w:p w14:paraId="4DD6CA3A">
      <w:pPr>
        <w:spacing w:line="360" w:lineRule="auto"/>
        <w:ind w:left="840" w:firstLine="611" w:firstLineChars="200"/>
        <w:rPr>
          <w:rFonts w:hint="eastAsia" w:cs="Times New Roman" w:asciiTheme="minorEastAsia" w:hAnsiTheme="minorEastAsia" w:eastAsiaTheme="minorEastAsia"/>
          <w:b/>
          <w:bCs/>
          <w:color w:val="000000"/>
          <w:w w:val="95"/>
          <w:sz w:val="32"/>
          <w:szCs w:val="24"/>
          <w:lang w:eastAsia="zh-CN"/>
        </w:rPr>
      </w:pPr>
      <w:r>
        <w:rPr>
          <w:rFonts w:hint="eastAsia" w:cs="Times New Roman" w:asciiTheme="minorEastAsia" w:hAnsiTheme="minorEastAsia"/>
          <w:b/>
          <w:bCs/>
          <w:color w:val="000000"/>
          <w:w w:val="95"/>
          <w:sz w:val="32"/>
          <w:szCs w:val="24"/>
        </w:rPr>
        <w:t>项目编号：</w:t>
      </w:r>
      <w:r>
        <w:rPr>
          <w:rFonts w:hint="eastAsia" w:cs="Times New Roman" w:asciiTheme="minorEastAsia" w:hAnsiTheme="minorEastAsia"/>
          <w:b/>
          <w:bCs/>
          <w:color w:val="000000"/>
          <w:w w:val="95"/>
          <w:sz w:val="32"/>
          <w:szCs w:val="24"/>
          <w:lang w:eastAsia="zh-CN"/>
        </w:rPr>
        <w:t>JSZC-320700-ZJZB-G2026-0068</w:t>
      </w:r>
    </w:p>
    <w:p w14:paraId="752A57A8">
      <w:pPr>
        <w:spacing w:line="360" w:lineRule="auto"/>
        <w:ind w:firstLine="482"/>
        <w:rPr>
          <w:rFonts w:hint="eastAsia" w:cs="Times New Roman" w:asciiTheme="minorEastAsia" w:hAnsiTheme="minorEastAsia"/>
          <w:color w:val="000000"/>
          <w:szCs w:val="24"/>
        </w:rPr>
      </w:pPr>
    </w:p>
    <w:p w14:paraId="2C33D324">
      <w:pPr>
        <w:spacing w:line="360" w:lineRule="auto"/>
        <w:ind w:right="-993" w:rightChars="-473" w:firstLine="482"/>
        <w:rPr>
          <w:rFonts w:hint="eastAsia" w:cs="Times New Roman" w:asciiTheme="minorEastAsia" w:hAnsiTheme="minorEastAsia"/>
          <w:color w:val="000000"/>
          <w:szCs w:val="20"/>
        </w:rPr>
      </w:pPr>
    </w:p>
    <w:p w14:paraId="5B8E9C60">
      <w:pPr>
        <w:spacing w:line="360" w:lineRule="auto"/>
        <w:ind w:right="-993" w:rightChars="-473" w:firstLine="482"/>
        <w:rPr>
          <w:rFonts w:hint="eastAsia" w:cs="Times New Roman" w:asciiTheme="minorEastAsia" w:hAnsiTheme="minorEastAsia"/>
          <w:color w:val="000000"/>
          <w:szCs w:val="20"/>
        </w:rPr>
      </w:pPr>
    </w:p>
    <w:p w14:paraId="6C3DF122">
      <w:pPr>
        <w:spacing w:line="360" w:lineRule="auto"/>
        <w:ind w:right="-993" w:rightChars="-473" w:firstLine="482"/>
        <w:rPr>
          <w:rFonts w:hint="eastAsia" w:cs="Times New Roman" w:asciiTheme="minorEastAsia" w:hAnsiTheme="minorEastAsia"/>
          <w:color w:val="000000"/>
          <w:szCs w:val="20"/>
        </w:rPr>
      </w:pPr>
    </w:p>
    <w:p w14:paraId="3FCD42D6">
      <w:pPr>
        <w:adjustRightInd w:val="0"/>
        <w:spacing w:before="120" w:after="120" w:line="360" w:lineRule="auto"/>
        <w:ind w:left="840" w:firstLine="640" w:firstLineChars="200"/>
        <w:textAlignment w:val="baseline"/>
        <w:rPr>
          <w:rFonts w:hint="eastAsia" w:cs="Times New Roman" w:asciiTheme="minorEastAsia" w:hAnsiTheme="minorEastAsia" w:eastAsiaTheme="minorEastAsia"/>
          <w:bCs/>
          <w:color w:val="000000"/>
          <w:kern w:val="0"/>
          <w:sz w:val="32"/>
          <w:szCs w:val="24"/>
          <w:lang w:eastAsia="zh-CN"/>
        </w:rPr>
      </w:pPr>
      <w:r>
        <w:rPr>
          <w:rFonts w:hint="eastAsia" w:cs="Times New Roman" w:asciiTheme="minorEastAsia" w:hAnsiTheme="minorEastAsia"/>
          <w:bCs/>
          <w:color w:val="000000"/>
          <w:kern w:val="0"/>
          <w:sz w:val="32"/>
          <w:szCs w:val="24"/>
        </w:rPr>
        <w:t>采购人：</w:t>
      </w:r>
      <w:r>
        <w:rPr>
          <w:rFonts w:hint="eastAsia" w:cs="Times New Roman" w:asciiTheme="minorEastAsia" w:hAnsiTheme="minorEastAsia"/>
          <w:bCs/>
          <w:color w:val="000000"/>
          <w:kern w:val="0"/>
          <w:sz w:val="32"/>
          <w:szCs w:val="24"/>
          <w:lang w:eastAsia="zh-CN"/>
        </w:rPr>
        <w:t>连云港市立东方医院</w:t>
      </w:r>
    </w:p>
    <w:p w14:paraId="47976A13">
      <w:pPr>
        <w:adjustRightInd w:val="0"/>
        <w:spacing w:before="120" w:after="120" w:line="360" w:lineRule="auto"/>
        <w:ind w:left="840" w:firstLine="640" w:firstLineChars="200"/>
        <w:jc w:val="left"/>
        <w:textAlignment w:val="baseline"/>
        <w:rPr>
          <w:rFonts w:hint="eastAsia" w:cs="Times New Roman" w:asciiTheme="minorEastAsia" w:hAnsiTheme="minorEastAsia"/>
          <w:bCs/>
          <w:color w:val="000000"/>
          <w:kern w:val="0"/>
          <w:sz w:val="32"/>
          <w:szCs w:val="24"/>
        </w:rPr>
      </w:pPr>
      <w:r>
        <w:rPr>
          <w:rFonts w:hint="eastAsia" w:cs="Times New Roman" w:asciiTheme="minorEastAsia" w:hAnsiTheme="minorEastAsia"/>
          <w:bCs/>
          <w:color w:val="000000"/>
          <w:kern w:val="0"/>
          <w:sz w:val="32"/>
          <w:szCs w:val="24"/>
        </w:rPr>
        <w:t>采购代理机构：江苏中际招标代理有限公司</w:t>
      </w:r>
    </w:p>
    <w:p w14:paraId="2BFE2F62">
      <w:pPr>
        <w:spacing w:line="360" w:lineRule="auto"/>
        <w:ind w:right="-993" w:rightChars="-473" w:firstLine="562"/>
        <w:jc w:val="center"/>
        <w:rPr>
          <w:rFonts w:hint="eastAsia" w:cs="Times New Roman" w:asciiTheme="minorEastAsia" w:hAnsiTheme="minorEastAsia"/>
          <w:color w:val="000000"/>
          <w:kern w:val="0"/>
          <w:sz w:val="28"/>
          <w:szCs w:val="24"/>
        </w:rPr>
      </w:pPr>
      <w:r>
        <w:rPr>
          <w:rFonts w:hint="eastAsia" w:cs="Times New Roman" w:asciiTheme="minorEastAsia" w:hAnsiTheme="minorEastAsia"/>
          <w:color w:val="000000"/>
          <w:kern w:val="0"/>
          <w:sz w:val="28"/>
          <w:szCs w:val="24"/>
        </w:rPr>
        <w:t>202</w:t>
      </w:r>
      <w:r>
        <w:rPr>
          <w:rFonts w:hint="eastAsia" w:cs="Times New Roman" w:asciiTheme="minorEastAsia" w:hAnsiTheme="minorEastAsia"/>
          <w:color w:val="000000"/>
          <w:kern w:val="0"/>
          <w:sz w:val="28"/>
          <w:szCs w:val="24"/>
          <w:lang w:val="en-US" w:eastAsia="zh-CN"/>
        </w:rPr>
        <w:t>6</w:t>
      </w:r>
      <w:r>
        <w:rPr>
          <w:rFonts w:hint="eastAsia" w:cs="Times New Roman" w:asciiTheme="minorEastAsia" w:hAnsiTheme="minorEastAsia"/>
          <w:color w:val="000000"/>
          <w:kern w:val="0"/>
          <w:sz w:val="28"/>
          <w:szCs w:val="24"/>
        </w:rPr>
        <w:t>年</w:t>
      </w:r>
      <w:r>
        <w:rPr>
          <w:rFonts w:hint="eastAsia" w:cs="Times New Roman" w:asciiTheme="minorEastAsia" w:hAnsiTheme="minorEastAsia"/>
          <w:color w:val="000000"/>
          <w:kern w:val="0"/>
          <w:sz w:val="28"/>
          <w:szCs w:val="24"/>
          <w:lang w:val="en-US" w:eastAsia="zh-CN"/>
        </w:rPr>
        <w:t>6</w:t>
      </w:r>
      <w:r>
        <w:rPr>
          <w:rFonts w:hint="eastAsia" w:cs="Times New Roman" w:asciiTheme="minorEastAsia" w:hAnsiTheme="minorEastAsia"/>
          <w:color w:val="000000"/>
          <w:kern w:val="0"/>
          <w:sz w:val="28"/>
          <w:szCs w:val="24"/>
        </w:rPr>
        <w:t>月</w:t>
      </w:r>
    </w:p>
    <w:p w14:paraId="759CDA6C">
      <w:pPr>
        <w:ind w:firstLine="562"/>
        <w:jc w:val="center"/>
        <w:rPr>
          <w:rFonts w:hint="eastAsia" w:cs="Times New Roman" w:asciiTheme="minorEastAsia" w:hAnsiTheme="minorEastAsia"/>
          <w:b/>
          <w:kern w:val="44"/>
          <w:sz w:val="36"/>
          <w:szCs w:val="20"/>
        </w:rPr>
      </w:pPr>
      <w:r>
        <w:rPr>
          <w:rFonts w:cs="Times New Roman" w:asciiTheme="minorEastAsia" w:hAnsiTheme="minorEastAsia"/>
          <w:b/>
          <w:kern w:val="0"/>
          <w:sz w:val="28"/>
          <w:szCs w:val="20"/>
        </w:rPr>
        <w:br w:type="page"/>
      </w:r>
      <w:bookmarkStart w:id="0" w:name="_Toc3580"/>
      <w:r>
        <w:rPr>
          <w:rFonts w:hint="eastAsia" w:cs="Times New Roman" w:asciiTheme="minorEastAsia" w:hAnsiTheme="minorEastAsia"/>
          <w:color w:val="000000"/>
          <w:kern w:val="44"/>
          <w:sz w:val="36"/>
          <w:szCs w:val="20"/>
        </w:rPr>
        <w:t>目录</w:t>
      </w:r>
      <w:bookmarkEnd w:id="0"/>
    </w:p>
    <w:p w14:paraId="1816427E">
      <w:pPr>
        <w:pStyle w:val="25"/>
        <w:tabs>
          <w:tab w:val="right" w:leader="dot" w:pos="9628"/>
        </w:tabs>
        <w:ind w:firstLine="560"/>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43"/>
          <w:rFonts w:hint="eastAsia" w:asciiTheme="minorEastAsia" w:hAnsiTheme="minorEastAsia" w:eastAsiaTheme="minorEastAsia"/>
          <w:i w:val="0"/>
          <w:kern w:val="44"/>
          <w:sz w:val="28"/>
          <w:szCs w:val="28"/>
        </w:rPr>
        <w:t>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75911774">
      <w:pPr>
        <w:pStyle w:val="25"/>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43"/>
          <w:rFonts w:hint="eastAsia" w:asciiTheme="minorEastAsia" w:hAnsiTheme="minorEastAsia" w:eastAsiaTheme="minorEastAsia"/>
          <w:i w:val="0"/>
          <w:kern w:val="44"/>
          <w:sz w:val="28"/>
          <w:szCs w:val="28"/>
        </w:rPr>
        <w:t>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630AC9FA">
      <w:pPr>
        <w:pStyle w:val="25"/>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43"/>
          <w:rFonts w:hint="eastAsia" w:asciiTheme="minorEastAsia" w:hAnsiTheme="minorEastAsia" w:eastAsiaTheme="minorEastAsia"/>
          <w:i w:val="0"/>
          <w:kern w:val="44"/>
          <w:sz w:val="28"/>
          <w:szCs w:val="28"/>
        </w:rPr>
        <w:t>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57B94966">
      <w:pPr>
        <w:pStyle w:val="25"/>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43"/>
          <w:rFonts w:hint="eastAsia" w:asciiTheme="minorEastAsia" w:hAnsiTheme="minorEastAsia" w:eastAsiaTheme="minorEastAsia"/>
          <w:i w:val="0"/>
          <w:sz w:val="28"/>
          <w:szCs w:val="28"/>
        </w:rPr>
        <w:t>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6FCC74AA">
      <w:pPr>
        <w:pStyle w:val="25"/>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43"/>
          <w:rFonts w:hint="eastAsia" w:asciiTheme="minorEastAsia" w:hAnsiTheme="minorEastAsia" w:eastAsiaTheme="minorEastAsia"/>
          <w:i w:val="0"/>
          <w:kern w:val="44"/>
          <w:sz w:val="28"/>
          <w:szCs w:val="28"/>
        </w:rPr>
        <w:t>第</w:t>
      </w:r>
      <w:r>
        <w:rPr>
          <w:rStyle w:val="43"/>
          <w:rFonts w:hint="eastAsia" w:asciiTheme="minorEastAsia" w:hAnsiTheme="minorEastAsia" w:eastAsiaTheme="minorEastAsia"/>
          <w:i w:val="0"/>
          <w:kern w:val="44"/>
          <w:sz w:val="28"/>
          <w:szCs w:val="28"/>
          <w:lang w:eastAsia="zh-CN"/>
        </w:rPr>
        <w:t>五</w:t>
      </w:r>
      <w:r>
        <w:rPr>
          <w:rStyle w:val="43"/>
          <w:rFonts w:hint="eastAsia" w:asciiTheme="minorEastAsia" w:hAnsiTheme="minorEastAsia" w:eastAsiaTheme="minorEastAsia"/>
          <w:i w:val="0"/>
          <w:kern w:val="44"/>
          <w:sz w:val="28"/>
          <w:szCs w:val="28"/>
        </w:rPr>
        <w:t>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48</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D9D0EE2">
      <w:pPr>
        <w:pStyle w:val="25"/>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43"/>
          <w:rFonts w:hint="eastAsia" w:asciiTheme="minorEastAsia" w:hAnsiTheme="minorEastAsia" w:eastAsiaTheme="minorEastAsia"/>
          <w:i w:val="0"/>
          <w:sz w:val="28"/>
          <w:szCs w:val="28"/>
        </w:rPr>
        <w:t>第</w:t>
      </w:r>
      <w:r>
        <w:rPr>
          <w:rStyle w:val="43"/>
          <w:rFonts w:hint="eastAsia" w:asciiTheme="minorEastAsia" w:hAnsiTheme="minorEastAsia" w:eastAsiaTheme="minorEastAsia"/>
          <w:i w:val="0"/>
          <w:sz w:val="28"/>
          <w:szCs w:val="28"/>
          <w:lang w:eastAsia="zh-CN"/>
        </w:rPr>
        <w:t>六</w:t>
      </w:r>
      <w:r>
        <w:rPr>
          <w:rStyle w:val="43"/>
          <w:rFonts w:hint="eastAsia" w:asciiTheme="minorEastAsia" w:hAnsiTheme="minorEastAsia" w:eastAsiaTheme="minorEastAsia"/>
          <w:i w:val="0"/>
          <w:sz w:val="28"/>
          <w:szCs w:val="28"/>
        </w:rPr>
        <w:t>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57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5F85AD66">
      <w:pPr>
        <w:tabs>
          <w:tab w:val="right" w:leader="dot" w:pos="9638"/>
        </w:tabs>
        <w:spacing w:line="360" w:lineRule="auto"/>
        <w:ind w:firstLine="560"/>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p>
    <w:p w14:paraId="6F83BEEE">
      <w:pPr>
        <w:keepNext/>
        <w:keepLines/>
        <w:adjustRightInd w:val="0"/>
        <w:spacing w:line="360" w:lineRule="auto"/>
        <w:ind w:firstLine="723"/>
        <w:jc w:val="center"/>
        <w:textAlignment w:val="baseline"/>
        <w:outlineLvl w:val="0"/>
        <w:rPr>
          <w:rFonts w:hint="eastAsia" w:cs="Times New Roman" w:asciiTheme="minorEastAsia" w:hAnsiTheme="minorEastAsia"/>
          <w:color w:val="000000"/>
          <w:szCs w:val="24"/>
        </w:rPr>
      </w:pPr>
      <w:bookmarkStart w:id="1" w:name="_Toc139967210"/>
      <w:bookmarkStart w:id="2" w:name="_Toc139966426"/>
      <w:r>
        <w:rPr>
          <w:rFonts w:cs="Times New Roman" w:asciiTheme="minorEastAsia" w:hAnsiTheme="minorEastAsia"/>
          <w:color w:val="000000"/>
          <w:kern w:val="44"/>
          <w:sz w:val="36"/>
          <w:szCs w:val="20"/>
        </w:rPr>
        <w:br w:type="page"/>
      </w:r>
      <w:bookmarkStart w:id="3" w:name="_Toc151625255"/>
      <w:bookmarkStart w:id="4" w:name="_Toc513622226"/>
      <w:r>
        <w:rPr>
          <w:rFonts w:hint="eastAsia" w:cs="Times New Roman" w:asciiTheme="minorEastAsia" w:hAnsiTheme="minorEastAsia"/>
          <w:color w:val="000000"/>
          <w:kern w:val="44"/>
          <w:sz w:val="36"/>
          <w:szCs w:val="20"/>
        </w:rPr>
        <w:t>第一章投标邀请</w:t>
      </w:r>
      <w:bookmarkEnd w:id="3"/>
      <w:bookmarkEnd w:id="4"/>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42F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5F340BC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项目概况</w:t>
            </w:r>
          </w:p>
          <w:p w14:paraId="1FE88319">
            <w:pPr>
              <w:spacing w:line="360" w:lineRule="auto"/>
              <w:ind w:firstLine="480" w:firstLineChars="200"/>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连云港市立东方医院直线加速器采购</w:t>
            </w:r>
            <w:r>
              <w:rPr>
                <w:rFonts w:hint="eastAsia" w:cs="Times New Roman" w:asciiTheme="minorEastAsia" w:hAnsiTheme="minorEastAsia"/>
                <w:color w:val="000000"/>
                <w:sz w:val="24"/>
                <w:szCs w:val="24"/>
              </w:rPr>
              <w:t>招标项目的潜在投标人应在</w:t>
            </w:r>
            <w:r>
              <w:rPr>
                <w:rFonts w:hint="eastAsia" w:cs="Times New Roman" w:asciiTheme="minorEastAsia" w:hAnsiTheme="minorEastAsia"/>
                <w:color w:val="000000"/>
                <w:sz w:val="24"/>
                <w:szCs w:val="24"/>
                <w:u w:val="single"/>
              </w:rPr>
              <w:t>江苏政府采购网</w:t>
            </w:r>
            <w:r>
              <w:rPr>
                <w:rFonts w:hint="eastAsia" w:cs="Times New Roman" w:asciiTheme="minorEastAsia" w:hAnsiTheme="minorEastAsia"/>
                <w:color w:val="000000"/>
                <w:sz w:val="24"/>
                <w:szCs w:val="24"/>
              </w:rPr>
              <w:t>获取招标文件，并于</w:t>
            </w:r>
            <w:r>
              <w:rPr>
                <w:rFonts w:hint="eastAsia" w:cs="Times New Roman" w:asciiTheme="minorEastAsia" w:hAnsiTheme="minorEastAsia"/>
                <w:sz w:val="24"/>
                <w:szCs w:val="24"/>
                <w:u w:val="single"/>
              </w:rPr>
              <w:t>202</w:t>
            </w:r>
            <w:r>
              <w:rPr>
                <w:rFonts w:hint="eastAsia" w:cs="Times New Roman" w:asciiTheme="minorEastAsia" w:hAnsiTheme="minorEastAsia"/>
                <w:sz w:val="24"/>
                <w:szCs w:val="24"/>
                <w:u w:val="single"/>
                <w:lang w:val="en-US" w:eastAsia="zh-CN"/>
              </w:rPr>
              <w:t>6</w:t>
            </w:r>
            <w:r>
              <w:rPr>
                <w:rFonts w:hint="eastAsia" w:cs="Times New Roman" w:asciiTheme="minorEastAsia" w:hAnsiTheme="minorEastAsia"/>
                <w:sz w:val="24"/>
                <w:szCs w:val="24"/>
                <w:u w:val="single"/>
              </w:rPr>
              <w:t>年</w:t>
            </w:r>
            <w:r>
              <w:rPr>
                <w:rFonts w:hint="eastAsia" w:cs="Times New Roman" w:asciiTheme="minorEastAsia" w:hAnsiTheme="minorEastAsia"/>
                <w:sz w:val="24"/>
                <w:szCs w:val="24"/>
                <w:u w:val="single"/>
                <w:lang w:val="en-US" w:eastAsia="zh-CN"/>
              </w:rPr>
              <w:t>7</w:t>
            </w:r>
            <w:r>
              <w:rPr>
                <w:rFonts w:hint="eastAsia" w:cs="Times New Roman" w:asciiTheme="minorEastAsia" w:hAnsiTheme="minorEastAsia"/>
                <w:sz w:val="24"/>
                <w:szCs w:val="24"/>
                <w:u w:val="single"/>
              </w:rPr>
              <w:t>月</w:t>
            </w:r>
            <w:r>
              <w:rPr>
                <w:rFonts w:hint="eastAsia" w:cs="Times New Roman" w:asciiTheme="minorEastAsia" w:hAnsiTheme="minorEastAsia"/>
                <w:sz w:val="24"/>
                <w:szCs w:val="24"/>
                <w:u w:val="single"/>
                <w:lang w:val="en-US" w:eastAsia="zh-CN"/>
              </w:rPr>
              <w:t>8</w:t>
            </w:r>
            <w:r>
              <w:rPr>
                <w:rFonts w:hint="eastAsia" w:cs="Times New Roman" w:asciiTheme="minorEastAsia" w:hAnsiTheme="minorEastAsia"/>
                <w:sz w:val="24"/>
                <w:szCs w:val="24"/>
                <w:u w:val="single"/>
              </w:rPr>
              <w:t>日9点</w:t>
            </w:r>
            <w:r>
              <w:rPr>
                <w:rFonts w:hint="eastAsia" w:cs="Times New Roman" w:asciiTheme="minorEastAsia" w:hAnsiTheme="minorEastAsia"/>
                <w:bCs/>
                <w:sz w:val="24"/>
                <w:szCs w:val="24"/>
                <w:u w:val="single"/>
              </w:rPr>
              <w:t>00分00秒</w:t>
            </w:r>
            <w:r>
              <w:rPr>
                <w:rFonts w:hint="eastAsia" w:cs="Times New Roman" w:asciiTheme="minorEastAsia" w:hAnsiTheme="minorEastAsia"/>
                <w:color w:val="000000"/>
                <w:sz w:val="24"/>
                <w:szCs w:val="24"/>
              </w:rPr>
              <w:t>（北京时间）前</w:t>
            </w:r>
            <w:r>
              <w:rPr>
                <w:rFonts w:hint="eastAsia" w:cs="宋体" w:asciiTheme="minorEastAsia" w:hAnsiTheme="minorEastAsia"/>
                <w:b/>
                <w:color w:val="FF0000"/>
                <w:sz w:val="24"/>
                <w:szCs w:val="24"/>
              </w:rPr>
              <w:t>上传电子投标文件</w:t>
            </w:r>
            <w:r>
              <w:rPr>
                <w:rFonts w:hint="eastAsia" w:cs="Times New Roman" w:asciiTheme="minorEastAsia" w:hAnsiTheme="minorEastAsia"/>
                <w:color w:val="000000"/>
                <w:sz w:val="24"/>
                <w:szCs w:val="24"/>
              </w:rPr>
              <w:t>。</w:t>
            </w:r>
          </w:p>
        </w:tc>
      </w:tr>
    </w:tbl>
    <w:p w14:paraId="7747ECB2">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一、项目基本情况</w:t>
      </w:r>
    </w:p>
    <w:p w14:paraId="32D8BA45">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项目编号：</w:t>
      </w:r>
      <w:r>
        <w:rPr>
          <w:rFonts w:hint="eastAsia" w:cs="Times New Roman" w:asciiTheme="minorEastAsia" w:hAnsiTheme="minorEastAsia"/>
          <w:color w:val="000000"/>
          <w:sz w:val="24"/>
          <w:szCs w:val="24"/>
          <w:lang w:eastAsia="zh-CN"/>
        </w:rPr>
        <w:t>JSZC-320700-ZJZB-G2026-0068</w:t>
      </w:r>
    </w:p>
    <w:p w14:paraId="249853A7">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项目名称：</w:t>
      </w:r>
      <w:r>
        <w:rPr>
          <w:rFonts w:hint="eastAsia" w:cs="Times New Roman" w:asciiTheme="minorEastAsia" w:hAnsiTheme="minorEastAsia"/>
          <w:color w:val="000000"/>
          <w:sz w:val="24"/>
          <w:szCs w:val="24"/>
          <w:lang w:eastAsia="zh-CN"/>
        </w:rPr>
        <w:t>连云港市立东方医院直线加速器采购</w:t>
      </w:r>
    </w:p>
    <w:p w14:paraId="21DEA91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预算金额：</w:t>
      </w:r>
      <w:r>
        <w:rPr>
          <w:rFonts w:hint="eastAsia" w:cs="Times New Roman" w:asciiTheme="minorEastAsia" w:hAnsiTheme="minorEastAsia"/>
          <w:b/>
          <w:sz w:val="24"/>
          <w:szCs w:val="24"/>
          <w:lang w:val="en-US" w:eastAsia="zh-CN"/>
        </w:rPr>
        <w:t>2000</w:t>
      </w:r>
      <w:r>
        <w:rPr>
          <w:rFonts w:hint="eastAsia" w:cs="Times New Roman" w:asciiTheme="minorEastAsia" w:hAnsiTheme="minorEastAsia"/>
          <w:color w:val="000000"/>
          <w:sz w:val="24"/>
          <w:szCs w:val="24"/>
        </w:rPr>
        <w:t>万元。</w:t>
      </w:r>
    </w:p>
    <w:p w14:paraId="5EA96F7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最高限价(如有):</w:t>
      </w:r>
      <w:r>
        <w:rPr>
          <w:rFonts w:hint="eastAsia" w:cs="Times New Roman" w:asciiTheme="minorEastAsia" w:hAnsiTheme="minorEastAsia"/>
          <w:b/>
          <w:sz w:val="24"/>
          <w:szCs w:val="24"/>
          <w:lang w:val="en-US" w:eastAsia="zh-CN"/>
        </w:rPr>
        <w:t>1800</w:t>
      </w:r>
      <w:r>
        <w:rPr>
          <w:rFonts w:hint="eastAsia" w:cs="Times New Roman" w:asciiTheme="minorEastAsia" w:hAnsiTheme="minorEastAsia"/>
          <w:color w:val="000000"/>
          <w:sz w:val="24"/>
          <w:szCs w:val="24"/>
        </w:rPr>
        <w:t>万元，投标报价超过</w:t>
      </w:r>
      <w:r>
        <w:rPr>
          <w:rFonts w:hint="eastAsia" w:cs="Times New Roman" w:asciiTheme="minorEastAsia" w:hAnsiTheme="minorEastAsia"/>
          <w:color w:val="000000"/>
          <w:sz w:val="24"/>
          <w:szCs w:val="24"/>
          <w:lang w:eastAsia="zh-CN"/>
        </w:rPr>
        <w:t>最高限价</w:t>
      </w:r>
      <w:r>
        <w:rPr>
          <w:rFonts w:hint="eastAsia" w:cs="Times New Roman" w:asciiTheme="minorEastAsia" w:hAnsiTheme="minorEastAsia"/>
          <w:color w:val="000000"/>
          <w:sz w:val="24"/>
          <w:szCs w:val="24"/>
        </w:rPr>
        <w:t>的投标无效。</w:t>
      </w:r>
    </w:p>
    <w:p w14:paraId="7F1057D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采购需求：</w:t>
      </w:r>
      <w:r>
        <w:rPr>
          <w:rFonts w:hint="eastAsia" w:cs="Times New Roman" w:asciiTheme="minorEastAsia" w:hAnsiTheme="minorEastAsia"/>
          <w:color w:val="000000"/>
          <w:sz w:val="24"/>
          <w:szCs w:val="24"/>
          <w:lang w:eastAsia="zh-CN"/>
        </w:rPr>
        <w:t>直线加速器采购</w:t>
      </w:r>
      <w:r>
        <w:rPr>
          <w:rFonts w:hint="eastAsia" w:cs="Times New Roman" w:asciiTheme="minorEastAsia" w:hAnsiTheme="minorEastAsia"/>
          <w:color w:val="000000"/>
          <w:sz w:val="24"/>
          <w:szCs w:val="24"/>
        </w:rPr>
        <w:t>，详见项目需求。</w:t>
      </w:r>
    </w:p>
    <w:p w14:paraId="7008C343">
      <w:pPr>
        <w:adjustRightInd w:val="0"/>
        <w:snapToGrid w:val="0"/>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对项目采购需求部分的询问、质疑请与采购人联系，由采购人负责答复。</w:t>
      </w:r>
    </w:p>
    <w:p w14:paraId="6519C71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合同履行期限（</w:t>
      </w:r>
      <w:r>
        <w:rPr>
          <w:rFonts w:cs="Times New Roman" w:asciiTheme="minorEastAsia" w:hAnsiTheme="minorEastAsia"/>
          <w:color w:val="000000"/>
          <w:sz w:val="24"/>
          <w:szCs w:val="24"/>
        </w:rPr>
        <w:t>交货期</w:t>
      </w:r>
      <w:r>
        <w:rPr>
          <w:rFonts w:hint="eastAsia" w:cs="Times New Roman" w:asciiTheme="minorEastAsia" w:hAnsiTheme="minorEastAsia"/>
          <w:color w:val="000000"/>
          <w:sz w:val="24"/>
          <w:szCs w:val="24"/>
        </w:rPr>
        <w:t>）：合同签订生效之日起5个月内交付采购人使用</w:t>
      </w:r>
      <w:r>
        <w:rPr>
          <w:rFonts w:hint="eastAsia" w:cs="Times New Roman" w:asciiTheme="minorEastAsia" w:hAnsiTheme="minorEastAsia"/>
          <w:sz w:val="24"/>
          <w:szCs w:val="24"/>
        </w:rPr>
        <w:t>。</w:t>
      </w:r>
    </w:p>
    <w:p w14:paraId="08C0AA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w:t>
      </w:r>
      <w:r>
        <w:rPr>
          <w:rFonts w:hint="eastAsia" w:cs="Times New Roman" w:asciiTheme="minorEastAsia" w:hAnsiTheme="minorEastAsia"/>
          <w:sz w:val="24"/>
          <w:szCs w:val="24"/>
        </w:rPr>
        <w:t>（是/否√）</w:t>
      </w:r>
      <w:r>
        <w:rPr>
          <w:rFonts w:hint="eastAsia" w:cs="Times New Roman" w:asciiTheme="minorEastAsia" w:hAnsiTheme="minorEastAsia"/>
          <w:color w:val="000000"/>
          <w:sz w:val="24"/>
          <w:szCs w:val="24"/>
        </w:rPr>
        <w:t>接受联合体投标。</w:t>
      </w:r>
    </w:p>
    <w:p w14:paraId="45DC233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二、申请人的资格要求</w:t>
      </w:r>
    </w:p>
    <w:p w14:paraId="4D0F9BE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6BCF0EE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72C2D5B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（2）上一年度经审计的财务状况报告或银行出具的资信证明</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p>
    <w:p w14:paraId="3F0D078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2E7F23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618C8E5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w:t>
      </w:r>
      <w:bookmarkStart w:id="5" w:name="OLE_LINK3"/>
      <w:bookmarkStart w:id="6" w:name="OLE_LINK2"/>
      <w:r>
        <w:rPr>
          <w:rFonts w:hint="eastAsia" w:cs="Times New Roman" w:asciiTheme="minorEastAsia" w:hAnsiTheme="minorEastAsia"/>
          <w:sz w:val="24"/>
          <w:szCs w:val="24"/>
        </w:rPr>
        <w:t>参加政府采购活动前三年内在经营活动中没有重大违法记录的书面声明</w:t>
      </w:r>
      <w:bookmarkEnd w:id="5"/>
      <w:bookmarkEnd w:id="6"/>
      <w:r>
        <w:rPr>
          <w:rFonts w:hint="eastAsia" w:cs="Times New Roman" w:asciiTheme="minorEastAsia" w:hAnsiTheme="minorEastAsia"/>
          <w:sz w:val="24"/>
          <w:szCs w:val="24"/>
        </w:rPr>
        <w:t>。</w:t>
      </w:r>
    </w:p>
    <w:p w14:paraId="7E9911C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cs="Times New Roman" w:asciiTheme="minorEastAsia" w:hAnsiTheme="minorEastAsia"/>
          <w:b/>
          <w:sz w:val="24"/>
          <w:szCs w:val="24"/>
        </w:rPr>
        <w:t>无。</w:t>
      </w:r>
    </w:p>
    <w:p w14:paraId="0501FA20">
      <w:pPr>
        <w:spacing w:line="360" w:lineRule="auto"/>
        <w:ind w:firstLine="422"/>
        <w:rPr>
          <w:rFonts w:hint="eastAsia" w:ascii="宋体" w:hAnsi="宋体" w:eastAsia="宋体" w:cs="宋体"/>
          <w:b/>
          <w:bCs/>
          <w:color w:val="auto"/>
          <w:sz w:val="24"/>
          <w:szCs w:val="24"/>
          <w:highlight w:val="none"/>
        </w:rPr>
      </w:pPr>
      <w:r>
        <w:rPr>
          <w:rFonts w:hint="eastAsia" w:cs="Times New Roman" w:asciiTheme="minorEastAsia" w:hAnsiTheme="minorEastAsia"/>
          <w:sz w:val="24"/>
          <w:szCs w:val="24"/>
        </w:rPr>
        <w:t>3.本项目的特定资格要求：</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根据国家相关规定提供投标产品有效的医疗器械产品注册证或产品备案凭证；</w:t>
      </w:r>
    </w:p>
    <w:p w14:paraId="6871F695">
      <w:pPr>
        <w:spacing w:line="360" w:lineRule="auto"/>
        <w:ind w:firstLine="42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）若投标供应商为代理商，应根据国家相关规定提供范围涵盖投标产品的医疗器械经营许可证或医疗器械经营备案凭证；</w:t>
      </w:r>
    </w:p>
    <w:p w14:paraId="3A85FA6A">
      <w:pPr>
        <w:spacing w:line="360" w:lineRule="auto"/>
        <w:ind w:firstLine="42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）若投标供应商为生产商，应根据国家相关规定提供范围涵盖投标产品的医疗器械生产许可证或生产备案凭证；</w:t>
      </w:r>
    </w:p>
    <w:p w14:paraId="6A14CB38">
      <w:pPr>
        <w:spacing w:line="360" w:lineRule="auto"/>
        <w:ind w:firstLine="422"/>
        <w:rPr>
          <w:rFonts w:hint="eastAsia" w:ascii="宋体" w:hAnsi="宋体" w:eastAsia="宋体" w:cs="宋体"/>
          <w:sz w:val="24"/>
          <w:szCs w:val="24"/>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中华人民共和国境内生产、销售的供应商均需须按照国家规定提供《辐射安全许可证》。（若投标人为经销商，须提供自身的《辐射安全许可证》，同时提供制造商的《辐射安全许可证》。若投标人为生产制造商，须提供自身的《辐射安全许可证》）。</w:t>
      </w:r>
    </w:p>
    <w:p w14:paraId="4627B59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2E7F948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680C8D1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备注：采购人或采购代理机构通过信用中国网站（www.creditchina.gov.cn）、中国政府采购网（www.ccgp.gov.cn），对供应商信用记录情况进行查询。</w:t>
      </w:r>
    </w:p>
    <w:p w14:paraId="38A1891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（2）本项目</w:t>
      </w:r>
      <w:r>
        <w:rPr>
          <w:rFonts w:hint="eastAsia" w:cs="Times New Roman" w:asciiTheme="minorEastAsia" w:hAnsiTheme="minorEastAsia"/>
          <w:sz w:val="24"/>
          <w:szCs w:val="24"/>
          <w:lang w:eastAsia="zh-CN"/>
        </w:rPr>
        <w:t>不</w:t>
      </w:r>
      <w:r>
        <w:rPr>
          <w:rFonts w:hint="eastAsia" w:cs="Times New Roman" w:asciiTheme="minorEastAsia" w:hAnsiTheme="minorEastAsia"/>
          <w:b/>
          <w:sz w:val="24"/>
          <w:szCs w:val="24"/>
        </w:rPr>
        <w:t>接受进口产品</w:t>
      </w:r>
      <w:r>
        <w:rPr>
          <w:rFonts w:hint="eastAsia" w:cs="Times New Roman" w:asciiTheme="minorEastAsia" w:hAnsiTheme="minorEastAsia"/>
          <w:sz w:val="24"/>
          <w:szCs w:val="24"/>
        </w:rPr>
        <w:t>（进口产品是指通过中国海关报关验放进入中国境内且产自关境外的产品），中标后不允许分包或转包。</w:t>
      </w:r>
    </w:p>
    <w:p w14:paraId="443C0E5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3750B5BB">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三、获取招标文件</w:t>
      </w:r>
    </w:p>
    <w:p w14:paraId="2651ECC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18</w:t>
      </w:r>
      <w:r>
        <w:rPr>
          <w:rFonts w:hint="eastAsia" w:cs="Times New Roman" w:asciiTheme="minorEastAsia" w:hAnsiTheme="minorEastAsia"/>
          <w:sz w:val="24"/>
          <w:szCs w:val="24"/>
        </w:rPr>
        <w:t>日至202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25</w:t>
      </w:r>
      <w:bookmarkStart w:id="25" w:name="_GoBack"/>
      <w:bookmarkEnd w:id="25"/>
      <w:r>
        <w:rPr>
          <w:rFonts w:hint="eastAsia" w:cs="Times New Roman" w:asciiTheme="minorEastAsia" w:hAnsiTheme="minorEastAsia"/>
          <w:sz w:val="24"/>
          <w:szCs w:val="24"/>
        </w:rPr>
        <w:t>日</w:t>
      </w:r>
      <w:r>
        <w:rPr>
          <w:rFonts w:hint="eastAsia" w:asciiTheme="minorEastAsia" w:hAnsiTheme="minorEastAsia"/>
          <w:sz w:val="24"/>
        </w:rPr>
        <w:t>23:59止（北京时间）</w:t>
      </w:r>
      <w:r>
        <w:rPr>
          <w:rFonts w:hint="eastAsia" w:cs="Times New Roman" w:asciiTheme="minorEastAsia" w:hAnsiTheme="minorEastAsia"/>
          <w:sz w:val="24"/>
          <w:szCs w:val="24"/>
        </w:rPr>
        <w:t>。</w:t>
      </w:r>
    </w:p>
    <w:p w14:paraId="0DE320E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p>
    <w:p w14:paraId="51789AF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66B2515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6D06B9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0972617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7064E3F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077F62D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31272ED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7EFA8F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7D14819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（6）苏采云系统使用谷歌浏览器参与不见面开标。</w:t>
      </w:r>
    </w:p>
    <w:p w14:paraId="267780F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626A94F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450B28A9">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四、提交投标文件截止时间、开标时间和地点</w:t>
      </w:r>
    </w:p>
    <w:p w14:paraId="3A01E38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4D1B02E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投标文件接收截止时间：202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7</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8</w:t>
      </w:r>
      <w:r>
        <w:rPr>
          <w:rFonts w:hint="eastAsia" w:cs="Times New Roman" w:asciiTheme="minorEastAsia" w:hAnsiTheme="minorEastAsia"/>
          <w:sz w:val="24"/>
          <w:szCs w:val="24"/>
        </w:rPr>
        <w:t>日9:00:00（北京时间）</w:t>
      </w:r>
    </w:p>
    <w:p w14:paraId="4AF3D9B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2.开标时间与地点</w:t>
      </w:r>
    </w:p>
    <w:p w14:paraId="2CC1211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7</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8</w:t>
      </w:r>
      <w:r>
        <w:rPr>
          <w:rFonts w:hint="eastAsia" w:cs="Times New Roman" w:asciiTheme="minorEastAsia" w:hAnsiTheme="minorEastAsia"/>
          <w:sz w:val="24"/>
          <w:szCs w:val="24"/>
        </w:rPr>
        <w:t>日9:00:00（北京时间）</w:t>
      </w:r>
    </w:p>
    <w:p w14:paraId="19A256D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开标地点：“苏采云”系统 “开标大厅”</w:t>
      </w:r>
    </w:p>
    <w:p w14:paraId="0E99396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w:t>
      </w:r>
    </w:p>
    <w:p w14:paraId="35720BD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http://jszfcg.jsczt.cn/</w:t>
      </w:r>
    </w:p>
    <w:p w14:paraId="729A86B2">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五、公告期限</w:t>
      </w:r>
    </w:p>
    <w:p w14:paraId="4E44ACE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自本公告发布之日起5个工作日。</w:t>
      </w:r>
    </w:p>
    <w:p w14:paraId="10C2A1A5">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六、其他补充事宜</w:t>
      </w:r>
    </w:p>
    <w:p w14:paraId="42F2AAC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0F42F3F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2.本招标文件中标注★的款项为实质性响应要求和条件，必须</w:t>
      </w:r>
      <w:r>
        <w:rPr>
          <w:rFonts w:hint="eastAsia" w:cs="Times New Roman" w:asciiTheme="minorEastAsia" w:hAnsiTheme="minorEastAsia"/>
          <w:b/>
          <w:sz w:val="24"/>
          <w:szCs w:val="24"/>
        </w:rPr>
        <w:t>逐条</w:t>
      </w:r>
      <w:r>
        <w:rPr>
          <w:rFonts w:hint="eastAsia" w:cs="Times New Roman" w:asciiTheme="minorEastAsia" w:hAnsiTheme="minorEastAsia"/>
          <w:sz w:val="24"/>
          <w:szCs w:val="24"/>
        </w:rPr>
        <w:t>做出满足要求和条件的响应，否则将按无效响应处理。</w:t>
      </w:r>
    </w:p>
    <w:p w14:paraId="3FBD8CE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02B66801">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七、对本次招标提出询问，请按以下方式联系。</w:t>
      </w:r>
    </w:p>
    <w:p w14:paraId="38BD4F3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1.采购人信息</w:t>
      </w:r>
    </w:p>
    <w:p w14:paraId="64175459">
      <w:pPr>
        <w:spacing w:line="360" w:lineRule="auto"/>
        <w:ind w:firstLine="480" w:firstLineChars="200"/>
        <w:jc w:val="left"/>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名    称：</w:t>
      </w:r>
      <w:r>
        <w:rPr>
          <w:rFonts w:hint="eastAsia" w:cs="Times New Roman" w:asciiTheme="minorEastAsia" w:hAnsiTheme="minorEastAsia"/>
          <w:sz w:val="24"/>
          <w:szCs w:val="24"/>
          <w:lang w:eastAsia="zh-CN"/>
        </w:rPr>
        <w:t>连云港市立东方医院</w:t>
      </w:r>
    </w:p>
    <w:p w14:paraId="2AD0A9A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hint="eastAsia" w:ascii="宋体" w:hAnsi="宋体" w:eastAsia="宋体" w:cs="宋体"/>
          <w:color w:val="auto"/>
          <w:sz w:val="24"/>
          <w:szCs w:val="24"/>
          <w:highlight w:val="none"/>
          <w:lang w:val="en-US" w:eastAsia="zh-CN"/>
        </w:rPr>
        <w:t>连云港市连云区中华西路57号</w:t>
      </w:r>
    </w:p>
    <w:p w14:paraId="471BCA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联系方式：</w:t>
      </w:r>
      <w:r>
        <w:rPr>
          <w:rFonts w:hint="eastAsia" w:ascii="宋体" w:hAnsi="宋体" w:eastAsia="宋体" w:cs="宋体"/>
          <w:color w:val="auto"/>
          <w:sz w:val="24"/>
          <w:szCs w:val="24"/>
          <w:highlight w:val="none"/>
          <w:lang w:val="en-US" w:eastAsia="zh-CN"/>
        </w:rPr>
        <w:t>0518-80683027</w:t>
      </w:r>
    </w:p>
    <w:p w14:paraId="6495F44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2.采购代理机构信息</w:t>
      </w:r>
    </w:p>
    <w:p w14:paraId="2641D4D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名    称：江苏中际招标代理有限公司</w:t>
      </w:r>
    </w:p>
    <w:p w14:paraId="48E366B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asciiTheme="minorEastAsia" w:hAnsiTheme="minorEastAsia"/>
          <w:sz w:val="24"/>
        </w:rPr>
        <w:t>连云港市海州区凌州路8号德惠商务大厦B座1014室</w:t>
      </w:r>
    </w:p>
    <w:p w14:paraId="2FF435B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18061313418</w:t>
      </w:r>
    </w:p>
    <w:p w14:paraId="297439C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3.项目联系方式</w:t>
      </w:r>
    </w:p>
    <w:p w14:paraId="1ABA648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项目联系人：朱虓</w:t>
      </w:r>
    </w:p>
    <w:p w14:paraId="14C5D75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电      话：</w:t>
      </w:r>
      <w:r>
        <w:rPr>
          <w:rFonts w:cs="Times New Roman" w:asciiTheme="minorEastAsia" w:hAnsiTheme="minorEastAsia"/>
          <w:sz w:val="24"/>
          <w:szCs w:val="24"/>
        </w:rPr>
        <w:t>18061313418</w:t>
      </w:r>
    </w:p>
    <w:p w14:paraId="396C259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八、电子招投标说明</w:t>
      </w:r>
    </w:p>
    <w:p w14:paraId="2196931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1.本项目采用电子招标投标，请供应商严格按照招标文件的规定编制、提交投标文件，否则所造成的一切不利后果由供应商自行承担。</w:t>
      </w:r>
    </w:p>
    <w:p w14:paraId="7A3AC3A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2.投标人应当通过“苏采云”系统提交数据电文形式的投标文件（即电子投标）。</w:t>
      </w:r>
    </w:p>
    <w:p w14:paraId="4D64699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特别说明：通过“苏采云”系统提交政府采购客户端工具导出加密的投标文件（后缀名为zip）。投标文件不得超过150M！</w:t>
      </w:r>
    </w:p>
    <w:p w14:paraId="10AB74C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说明：本项目采用线上投标，即供应商投标文件从政府采购客户端工具制作通过“苏采云”系统提交，未提供线上投标文件的，投标无效。</w:t>
      </w:r>
    </w:p>
    <w:p w14:paraId="186559B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3.电子投标文件应由其法定代表人或法定代表人授权代表在规定的网上投标时间内，凭 CA 证书登陆“苏采云”系统在线编制投标文件（电子数据），并在投标截止时间之前上传投标文件。</w:t>
      </w:r>
    </w:p>
    <w:p w14:paraId="78951F5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投标人应在达到开标时间后，使用CA数字证书解密各自投标文件。</w:t>
      </w:r>
    </w:p>
    <w:p w14:paraId="51F2B42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1848966A">
      <w:pPr>
        <w:spacing w:line="360" w:lineRule="auto"/>
        <w:rPr>
          <w:rFonts w:hint="eastAsia" w:cs="宋体" w:asciiTheme="minorEastAsia" w:hAnsiTheme="minorEastAsia"/>
          <w:color w:val="000000"/>
          <w:szCs w:val="24"/>
        </w:rPr>
      </w:pPr>
    </w:p>
    <w:p w14:paraId="0C3320F8">
      <w:pPr>
        <w:spacing w:line="360" w:lineRule="auto"/>
        <w:ind w:firstLine="482"/>
        <w:rPr>
          <w:rFonts w:hint="eastAsia" w:cs="Times New Roman" w:asciiTheme="minorEastAsia" w:hAnsiTheme="minorEastAsia"/>
          <w:color w:val="000000"/>
          <w:sz w:val="24"/>
          <w:szCs w:val="24"/>
        </w:rPr>
      </w:pPr>
    </w:p>
    <w:p w14:paraId="1DF0E6DB">
      <w:pPr>
        <w:keepNext/>
        <w:keepLines/>
        <w:adjustRightInd w:val="0"/>
        <w:spacing w:line="360" w:lineRule="auto"/>
        <w:ind w:firstLine="723"/>
        <w:jc w:val="center"/>
        <w:textAlignment w:val="baseline"/>
        <w:outlineLvl w:val="0"/>
        <w:rPr>
          <w:rFonts w:hint="eastAsia" w:cs="Times New Roman" w:asciiTheme="minorEastAsia" w:hAnsiTheme="minorEastAsia"/>
          <w:b/>
          <w:color w:val="000000"/>
          <w:kern w:val="44"/>
          <w:sz w:val="36"/>
          <w:szCs w:val="36"/>
        </w:rPr>
      </w:pPr>
      <w:r>
        <w:rPr>
          <w:rFonts w:cs="Times New Roman" w:asciiTheme="minorEastAsia" w:hAnsiTheme="minorEastAsia"/>
          <w:b/>
          <w:kern w:val="44"/>
          <w:sz w:val="36"/>
          <w:szCs w:val="20"/>
        </w:rPr>
        <w:br w:type="page"/>
      </w:r>
      <w:bookmarkStart w:id="7" w:name="_Toc513622227"/>
      <w:bookmarkStart w:id="8" w:name="_Toc151625256"/>
      <w:r>
        <w:rPr>
          <w:rFonts w:hint="eastAsia" w:cs="Times New Roman" w:asciiTheme="minorEastAsia" w:hAnsiTheme="minorEastAsia"/>
          <w:color w:val="000000"/>
          <w:kern w:val="44"/>
          <w:sz w:val="36"/>
          <w:szCs w:val="20"/>
        </w:rPr>
        <w:t>第二章投标人须知</w:t>
      </w:r>
      <w:bookmarkEnd w:id="1"/>
      <w:bookmarkEnd w:id="2"/>
      <w:bookmarkEnd w:id="7"/>
      <w:bookmarkEnd w:id="8"/>
    </w:p>
    <w:p w14:paraId="14977733">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一、总则</w:t>
      </w:r>
    </w:p>
    <w:p w14:paraId="42C0728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 采购人、项目（标段）名称及编号，详见第一章“投标邀请”。</w:t>
      </w:r>
    </w:p>
    <w:p w14:paraId="509983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 采购预算</w:t>
      </w:r>
    </w:p>
    <w:p w14:paraId="7698974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本项目的采购预算，详见第一章“投标邀请”。</w:t>
      </w:r>
    </w:p>
    <w:p w14:paraId="42B4B0C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 资金来源</w:t>
      </w:r>
    </w:p>
    <w:p w14:paraId="230F0F4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“投标邀请”中所述的采购人已获得一笔政府采购资金，用于采购第六章“项目需求”所列内容。</w:t>
      </w:r>
    </w:p>
    <w:p w14:paraId="54FBE72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 采购方式</w:t>
      </w:r>
    </w:p>
    <w:p w14:paraId="03670C3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4.1 本项目采用公开招标采购方式，招标、投标、开标、评标和中标结果发布全程电子化。</w:t>
      </w:r>
    </w:p>
    <w:p w14:paraId="6183D6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 合格的投标人</w:t>
      </w:r>
    </w:p>
    <w:p w14:paraId="6FA567C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5.1 投标人应符合第一章“投标邀请”中规定的条件，</w:t>
      </w:r>
      <w:r>
        <w:rPr>
          <w:rFonts w:hint="eastAsia" w:cs="Times New Roman" w:asciiTheme="minorEastAsia" w:hAnsiTheme="minorEastAsia"/>
          <w:b/>
          <w:bCs/>
          <w:color w:val="000000"/>
          <w:sz w:val="24"/>
          <w:szCs w:val="24"/>
        </w:rPr>
        <w:t>否则投标无效</w:t>
      </w:r>
      <w:r>
        <w:rPr>
          <w:rFonts w:hint="eastAsia" w:cs="Times New Roman" w:asciiTheme="minorEastAsia" w:hAnsiTheme="minorEastAsia"/>
          <w:color w:val="000000"/>
          <w:sz w:val="24"/>
          <w:szCs w:val="24"/>
        </w:rPr>
        <w:t>。</w:t>
      </w:r>
    </w:p>
    <w:p w14:paraId="5133F4D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p>
    <w:p w14:paraId="256185A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E3DB76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5.4 符合上述条件的投标人应承担投标及履约过程应承担的全部责任与义务。</w:t>
      </w:r>
    </w:p>
    <w:p w14:paraId="301F492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 投标费用</w:t>
      </w:r>
    </w:p>
    <w:p w14:paraId="02F0BED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6.1 不论投标结果如何，投标人均应自行承担所有与编写和提交投标文件有关的全部费用。</w:t>
      </w:r>
    </w:p>
    <w:p w14:paraId="63C8F7A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 xml:space="preserve"> 质疑</w:t>
      </w:r>
    </w:p>
    <w:p w14:paraId="6D01BF9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质疑的提出</w:t>
      </w:r>
    </w:p>
    <w:p w14:paraId="645CF7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7.1.1 提出质疑的供应商应当是参与所质疑项目采购活动的供应商。</w:t>
      </w:r>
    </w:p>
    <w:p w14:paraId="2488BFB0">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未依照采购公告要求获取招标文件的供应商，视为未参与该项目的采购活动，不具备对该招标文件提出质疑的法定权利。</w:t>
      </w:r>
    </w:p>
    <w:p w14:paraId="52957D4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应当依法申请具有法定职权的部门查清、认定，并将相关结果提供给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不具有法定调查、认定权限。</w:t>
      </w:r>
    </w:p>
    <w:p w14:paraId="2C1F9A1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质疑函的接收方式为供应商书面原件提交</w:t>
      </w:r>
      <w:r>
        <w:rPr>
          <w:rFonts w:hint="eastAsia" w:cs="Times New Roman" w:asciiTheme="minorEastAsia" w:hAnsiTheme="minorEastAsia"/>
          <w:color w:val="000000"/>
          <w:sz w:val="24"/>
          <w:szCs w:val="24"/>
        </w:rPr>
        <w:t>。联系部门、联系电话和通讯地址详见第一章“投标邀请”。</w:t>
      </w:r>
      <w:r>
        <w:rPr>
          <w:rFonts w:cs="Times New Roman" w:asciiTheme="minorEastAsia" w:hAnsiTheme="minorEastAsia"/>
          <w:color w:val="000000"/>
          <w:sz w:val="24"/>
          <w:szCs w:val="24"/>
        </w:rPr>
        <w:t>质疑实行实名制，不得进行虚假、恶意质疑。</w:t>
      </w:r>
    </w:p>
    <w:p w14:paraId="294D4E9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7.1.5 质疑函应当使用范本（</w:t>
      </w:r>
      <w:r>
        <w:rPr>
          <w:rFonts w:hint="eastAsia" w:ascii="宋体" w:hAnsi="宋体"/>
          <w:color w:val="000000"/>
          <w:sz w:val="24"/>
        </w:rPr>
        <w:t>详见中国政府采购网-下载专区</w:t>
      </w:r>
      <w:r>
        <w:rPr>
          <w:rFonts w:hint="eastAsia" w:cs="Times New Roman" w:asciiTheme="minorEastAsia" w:hAnsiTheme="minorEastAsia"/>
          <w:color w:val="000000"/>
          <w:sz w:val="24"/>
          <w:szCs w:val="24"/>
        </w:rPr>
        <w:t>）。</w:t>
      </w:r>
    </w:p>
    <w:p w14:paraId="778EA61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供应商提出质疑</w:t>
      </w:r>
      <w:r>
        <w:rPr>
          <w:rFonts w:hint="eastAsia" w:cs="Times New Roman" w:asciiTheme="minorEastAsia" w:hAnsiTheme="minorEastAsia"/>
          <w:b/>
          <w:color w:val="000000"/>
          <w:sz w:val="24"/>
          <w:szCs w:val="24"/>
        </w:rPr>
        <w:t>应当提交质疑函和必要的证明材料</w:t>
      </w:r>
      <w:r>
        <w:rPr>
          <w:rFonts w:hint="eastAsia" w:cs="Times New Roman" w:asciiTheme="minorEastAsia" w:hAnsiTheme="minorEastAsia"/>
          <w:color w:val="000000"/>
          <w:sz w:val="24"/>
          <w:szCs w:val="24"/>
        </w:rPr>
        <w:t>，应当包括下列内容：</w:t>
      </w:r>
    </w:p>
    <w:p w14:paraId="7B86DAF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供应商的姓名或者名称、地址、邮编、联系人及联系电话；</w:t>
      </w:r>
    </w:p>
    <w:p w14:paraId="55A1A1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质疑项目的名称、编号；</w:t>
      </w:r>
    </w:p>
    <w:p w14:paraId="531DF49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具体、明确的质疑事项和与质疑事项相关的请求；</w:t>
      </w:r>
    </w:p>
    <w:p w14:paraId="73FF9CF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事实依据；</w:t>
      </w:r>
    </w:p>
    <w:p w14:paraId="77C9C3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必要的法律依据；</w:t>
      </w:r>
    </w:p>
    <w:p w14:paraId="10EFA95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提出质疑的日期；</w:t>
      </w:r>
    </w:p>
    <w:p w14:paraId="540E75C9">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w:t>
      </w:r>
      <w:r>
        <w:rPr>
          <w:rFonts w:hint="eastAsia" w:cs="Times New Roman" w:asciiTheme="minorEastAsia" w:hAnsiTheme="minorEastAsia"/>
          <w:b/>
          <w:color w:val="000000"/>
          <w:sz w:val="24"/>
          <w:szCs w:val="24"/>
        </w:rPr>
        <w:t>必要的证明材料；</w:t>
      </w:r>
    </w:p>
    <w:p w14:paraId="17356E0A">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（8）招标文件(交易文件)下载</w:t>
      </w:r>
      <w:r>
        <w:rPr>
          <w:rFonts w:hint="eastAsia" w:cs="Times New Roman" w:asciiTheme="minorEastAsia" w:hAnsiTheme="minorEastAsia"/>
          <w:color w:val="000000"/>
          <w:sz w:val="24"/>
          <w:szCs w:val="24"/>
          <w:lang w:eastAsia="zh-CN"/>
        </w:rPr>
        <w:t>（报名）</w:t>
      </w:r>
      <w:r>
        <w:rPr>
          <w:rFonts w:hint="eastAsia" w:cs="Times New Roman" w:asciiTheme="minorEastAsia" w:hAnsiTheme="minorEastAsia"/>
          <w:color w:val="000000"/>
          <w:sz w:val="24"/>
          <w:szCs w:val="24"/>
        </w:rPr>
        <w:t>回执函；</w:t>
      </w:r>
    </w:p>
    <w:p w14:paraId="3D635EA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营业执照复印件及法定代表人授权委托书、法定代表人身份证复印件、委托代理人身份证复印件。</w:t>
      </w:r>
    </w:p>
    <w:p w14:paraId="6981039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供应商为自然人的，应当由本人签字；供应商为法人或者其他组织的，应当由法定代表人、主要负责人，或者其授权代理人签字或者盖章，并加盖单位公章。</w:t>
      </w:r>
    </w:p>
    <w:p w14:paraId="795424F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质疑函的受理和答复</w:t>
      </w:r>
    </w:p>
    <w:p w14:paraId="2291E73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w:t>
      </w:r>
      <w:r>
        <w:rPr>
          <w:rFonts w:hint="eastAsia" w:cs="Times New Roman" w:asciiTheme="minorEastAsia" w:hAnsiTheme="minorEastAsia"/>
          <w:color w:val="000000"/>
          <w:sz w:val="24"/>
          <w:szCs w:val="24"/>
        </w:rPr>
        <w:t>当</w:t>
      </w:r>
      <w:r>
        <w:rPr>
          <w:rFonts w:cs="Times New Roman" w:asciiTheme="minorEastAsia" w:hAnsiTheme="minorEastAsia"/>
          <w:color w:val="000000"/>
          <w:sz w:val="24"/>
          <w:szCs w:val="24"/>
        </w:rPr>
        <w:t>保证其提出的质疑事项及必要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证明材料的真实性及来源的合法性，并承担相应的法律责任。</w:t>
      </w:r>
      <w:r>
        <w:rPr>
          <w:rFonts w:cs="Times New Roman" w:asciiTheme="minorEastAsia" w:hAnsiTheme="minorEastAsia"/>
          <w:b/>
          <w:color w:val="000000"/>
          <w:sz w:val="24"/>
          <w:szCs w:val="24"/>
        </w:rPr>
        <w:t>对不能提供必要</w:t>
      </w:r>
      <w:r>
        <w:rPr>
          <w:rFonts w:hint="eastAsia" w:cs="Times New Roman" w:asciiTheme="minorEastAsia" w:hAnsiTheme="minorEastAsia"/>
          <w:b/>
          <w:color w:val="000000"/>
          <w:sz w:val="24"/>
          <w:szCs w:val="24"/>
        </w:rPr>
        <w:t>的</w:t>
      </w:r>
      <w:r>
        <w:rPr>
          <w:rFonts w:cs="Times New Roman" w:asciiTheme="minorEastAsia" w:hAnsiTheme="minorEastAsia"/>
          <w:b/>
          <w:color w:val="000000"/>
          <w:sz w:val="24"/>
          <w:szCs w:val="24"/>
        </w:rPr>
        <w:t>证明材料的、涉及商业秘密的、非书面原件形式的、匿名的质疑函将不予受理</w:t>
      </w:r>
      <w:r>
        <w:rPr>
          <w:rFonts w:cs="Times New Roman" w:asciiTheme="minorEastAsia" w:hAnsiTheme="minorEastAsia"/>
          <w:color w:val="000000"/>
          <w:sz w:val="24"/>
          <w:szCs w:val="24"/>
        </w:rPr>
        <w:t>。必要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证明材料要具备客观性、关联性、合法性，无法查实的</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如宣传册、媒体报道、猜测、推理等</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不能作为证明材料。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不负责搜集必要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证明材料等工作。</w:t>
      </w:r>
    </w:p>
    <w:p w14:paraId="1CD13E7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对符合质疑要求的，</w:t>
      </w:r>
      <w:r>
        <w:rPr>
          <w:rFonts w:hint="eastAsia" w:cs="Times New Roman" w:asciiTheme="minorEastAsia" w:hAnsiTheme="minorEastAsia"/>
          <w:color w:val="000000"/>
          <w:sz w:val="24"/>
          <w:szCs w:val="24"/>
        </w:rPr>
        <w:t>采购人、采购代理机构接收</w:t>
      </w:r>
      <w:r>
        <w:rPr>
          <w:rFonts w:cs="Times New Roman" w:asciiTheme="minorEastAsia" w:hAnsiTheme="minorEastAsia"/>
          <w:color w:val="000000"/>
          <w:sz w:val="24"/>
          <w:szCs w:val="24"/>
        </w:rPr>
        <w:t>并登记。在处理过程中，发现需要质疑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进一步补充必要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证明材料的，质疑</w:t>
      </w:r>
      <w:r>
        <w:rPr>
          <w:rFonts w:hint="eastAsia" w:cs="Times New Roman" w:asciiTheme="minorEastAsia" w:hAnsiTheme="minorEastAsia"/>
          <w:color w:val="000000"/>
          <w:sz w:val="24"/>
          <w:szCs w:val="24"/>
        </w:rPr>
        <w:t>供应商应</w:t>
      </w:r>
      <w:r>
        <w:rPr>
          <w:rFonts w:cs="Times New Roman" w:asciiTheme="minorEastAsia" w:hAnsiTheme="minorEastAsia"/>
          <w:color w:val="000000"/>
          <w:sz w:val="24"/>
          <w:szCs w:val="24"/>
        </w:rPr>
        <w:t>在法定的时间内提供，质疑答复时间相应顺延。质疑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不能按时提供必要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306E20F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对不符合质疑要求的，</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有权要求其补充必要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未在法定的时间内提供补充必要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60AA37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7.2.4 采购人、采购代理机构</w:t>
      </w:r>
      <w:r>
        <w:rPr>
          <w:rFonts w:cs="Times New Roman" w:asciiTheme="minorEastAsia" w:hAnsiTheme="minorEastAsia"/>
          <w:color w:val="000000"/>
          <w:sz w:val="24"/>
          <w:szCs w:val="24"/>
        </w:rPr>
        <w:t>负责将质疑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提出的质疑函及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材料提供给评审委员会协助答复，并将答复意见回复质疑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。必要时，可向被质疑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转发《质疑函》及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应当在要求的时间内，以书面形式作出说明并提交</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w:t>
      </w:r>
    </w:p>
    <w:p w14:paraId="46DF462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质疑处理</w:t>
      </w:r>
    </w:p>
    <w:p w14:paraId="1282CA5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供应商未按照法定程序进行质疑投诉的，</w:t>
      </w:r>
      <w:r>
        <w:rPr>
          <w:rFonts w:cs="Times New Roman" w:asciiTheme="minorEastAsia" w:hAnsiTheme="minorEastAsia"/>
          <w:color w:val="000000"/>
          <w:sz w:val="24"/>
          <w:szCs w:val="24"/>
        </w:rPr>
        <w:t>视为一般失信行为。</w:t>
      </w:r>
    </w:p>
    <w:p w14:paraId="49362B2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供应商不配合或者采用不正当手段干扰政府采购质疑、投诉处理工作</w:t>
      </w:r>
      <w:r>
        <w:rPr>
          <w:rFonts w:cs="Times New Roman" w:asciiTheme="minorEastAsia" w:hAnsiTheme="minorEastAsia"/>
          <w:color w:val="000000"/>
          <w:sz w:val="24"/>
          <w:szCs w:val="24"/>
        </w:rPr>
        <w:t>的，视为一般失信行为。</w:t>
      </w:r>
    </w:p>
    <w:p w14:paraId="7C64D47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供应商投诉受理期间，就同一事项多头举报，干扰财政部门投诉处理</w:t>
      </w:r>
      <w:r>
        <w:rPr>
          <w:rFonts w:cs="Times New Roman" w:asciiTheme="minorEastAsia" w:hAnsiTheme="minorEastAsia"/>
          <w:color w:val="000000"/>
          <w:sz w:val="24"/>
          <w:szCs w:val="24"/>
        </w:rPr>
        <w:t>的，视为一般失信行为。</w:t>
      </w:r>
    </w:p>
    <w:p w14:paraId="0C21BB5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供应商在全国范围12个月内三次以上质疑查无实据</w:t>
      </w:r>
      <w:r>
        <w:rPr>
          <w:rFonts w:cs="Times New Roman" w:asciiTheme="minorEastAsia" w:hAnsiTheme="minorEastAsia"/>
          <w:color w:val="000000"/>
          <w:sz w:val="24"/>
          <w:szCs w:val="24"/>
        </w:rPr>
        <w:t>的，视为一般失信行为。</w:t>
      </w:r>
    </w:p>
    <w:p w14:paraId="6BE3F3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供应商采用捏造事实、提供虚假材料或者以非法手段取得证明材料等方式进行虚假、恶意投诉</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（证据来源的合法性存在明显疑问，投诉人无法证明其取得方式合法的，视为以非法手段取得证明材料）</w:t>
      </w:r>
    </w:p>
    <w:p w14:paraId="02885B1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供应商在全国范围12个月内三次以上投诉查无实据</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p>
    <w:p w14:paraId="11F0B23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7.4 未尽事宜，依照有关法律、法规执行。</w:t>
      </w:r>
    </w:p>
    <w:p w14:paraId="7A88DC2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 投诉</w:t>
      </w:r>
    </w:p>
    <w:p w14:paraId="20F6CC21">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8.1 投诉事项依照有关法律、法规执行。</w:t>
      </w:r>
    </w:p>
    <w:p w14:paraId="769D8BE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二、招标文件</w:t>
      </w:r>
    </w:p>
    <w:p w14:paraId="6D5AE63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 招标文件构成</w:t>
      </w:r>
    </w:p>
    <w:p w14:paraId="024C217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9.1 要求提供的货物、招标过程及合同条款在招标文件中均有说明，招标文件分为七章，各章的内容如下：</w:t>
      </w:r>
    </w:p>
    <w:p w14:paraId="1465536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第一章  投标邀请</w:t>
      </w:r>
    </w:p>
    <w:p w14:paraId="52BCD36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第二章  投标人须知</w:t>
      </w:r>
    </w:p>
    <w:p w14:paraId="1A04B0F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第三章  政府采购合同格式</w:t>
      </w:r>
    </w:p>
    <w:p w14:paraId="5AE5B9E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第四章  投标文件格式</w:t>
      </w:r>
    </w:p>
    <w:p w14:paraId="156C8CE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第五章  合同专用条款表</w:t>
      </w:r>
    </w:p>
    <w:p w14:paraId="407856F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第六章  项目需求</w:t>
      </w:r>
    </w:p>
    <w:p w14:paraId="0A3EB7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第七章  评标办法</w:t>
      </w:r>
    </w:p>
    <w:p w14:paraId="47DA25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 招标文件的澄清或修改</w:t>
      </w:r>
    </w:p>
    <w:p w14:paraId="3F13389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4B5C676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FFE730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25BE95A">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三、投标文件的编制</w:t>
      </w:r>
    </w:p>
    <w:p w14:paraId="41802E5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 投标文件编写注意事项</w:t>
      </w:r>
    </w:p>
    <w:p w14:paraId="4AB042F1">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无效响应处理</w:t>
      </w:r>
      <w:r>
        <w:rPr>
          <w:rFonts w:hint="eastAsia" w:cs="Times New Roman" w:asciiTheme="minorEastAsia" w:hAnsiTheme="minorEastAsia"/>
          <w:color w:val="000000"/>
          <w:sz w:val="24"/>
          <w:szCs w:val="24"/>
        </w:rPr>
        <w:t>。</w:t>
      </w:r>
    </w:p>
    <w:p w14:paraId="3B5BDE1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作出满足原要求和条件的响应</w:t>
      </w:r>
      <w:r>
        <w:rPr>
          <w:rFonts w:hint="eastAsia" w:cs="Times New Roman" w:asciiTheme="minorEastAsia" w:hAnsiTheme="minorEastAsia"/>
          <w:color w:val="000000"/>
          <w:sz w:val="24"/>
          <w:szCs w:val="24"/>
        </w:rPr>
        <w:t>。</w:t>
      </w:r>
    </w:p>
    <w:p w14:paraId="350DD8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招标文件中标注★号的部分为实质性要求和条件</w:t>
      </w:r>
      <w:r>
        <w:rPr>
          <w:rFonts w:hint="eastAsia" w:cs="Times New Roman" w:asciiTheme="minorEastAsia" w:hAnsiTheme="minorEastAsia"/>
          <w:color w:val="000000"/>
          <w:sz w:val="24"/>
          <w:szCs w:val="24"/>
        </w:rPr>
        <w:t>。</w:t>
      </w:r>
    </w:p>
    <w:p w14:paraId="2BBD56D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 投标的语言及计量单位</w:t>
      </w:r>
    </w:p>
    <w:p w14:paraId="14E11CF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12.1 投标人的投标文件以及投标人与采购代理机构就有关投标的所有来往函电统一使用中文（特别规定除外），既有中文也有外文的，以中文意义为准。</w:t>
      </w:r>
    </w:p>
    <w:p w14:paraId="6A167E3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12.2 投标文件中使用的计量单位除招标文件中有特殊规定外，一律使用中国法定计量单位。</w:t>
      </w:r>
    </w:p>
    <w:p w14:paraId="1EA044C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 投标报价</w:t>
      </w:r>
    </w:p>
    <w:p w14:paraId="0BD9878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3F15910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（1）投标的货物总价；</w:t>
      </w:r>
    </w:p>
    <w:p w14:paraId="7D82FC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（2）货物的标准附件、备品备件、专用工具、运输、装卸等各种费用；</w:t>
      </w:r>
    </w:p>
    <w:p w14:paraId="1279C85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（3）必要的保险费用和各项税金；</w:t>
      </w:r>
    </w:p>
    <w:p w14:paraId="2963A60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（4）投标总价要求包含安装维保费用。</w:t>
      </w:r>
    </w:p>
    <w:p w14:paraId="1D7B562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13.2 投标人可就第六章“项目需求”中的某个分标货物内容作完整唯一报价，也可就所有分标或某几个分标货物内容分别作完整唯一报价。</w:t>
      </w:r>
    </w:p>
    <w:p w14:paraId="09B5FD3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 投标货币</w:t>
      </w:r>
    </w:p>
    <w:p w14:paraId="5F06BBA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14.1 投标应以人民币报价。</w:t>
      </w:r>
    </w:p>
    <w:p w14:paraId="55810B4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 投标文件有效期</w:t>
      </w:r>
    </w:p>
    <w:p w14:paraId="2E8E55A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15.1 本项目投标文件有效期为：投标文件接收截止时间结束后60天内，投标文件有效期不符合招标文件要求的，该投标人投标无效。</w:t>
      </w:r>
    </w:p>
    <w:p w14:paraId="4A1672B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15.2 在特殊情况下，采购代理机构可与投标人协商延长投标文件的有效期，这种要求与答复均应以书面形式提交。</w:t>
      </w:r>
    </w:p>
    <w:p w14:paraId="19D5E23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16. 投标保证金</w:t>
      </w:r>
    </w:p>
    <w:p w14:paraId="5406E34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本项目不收取投标保证金。</w:t>
      </w:r>
    </w:p>
    <w:p w14:paraId="5C2DE40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 投标文件制作工具</w:t>
      </w:r>
    </w:p>
    <w:p w14:paraId="0E7EBCB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55B711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 投标文件构成</w:t>
      </w:r>
    </w:p>
    <w:p w14:paraId="44170A9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投标人编制的投标文件应包括</w:t>
      </w:r>
      <w:r>
        <w:rPr>
          <w:rFonts w:hint="eastAsia" w:cs="Times New Roman" w:asciiTheme="minorEastAsia" w:hAnsiTheme="minorEastAsia"/>
          <w:b/>
          <w:color w:val="000000"/>
          <w:sz w:val="24"/>
          <w:szCs w:val="24"/>
        </w:rPr>
        <w:t>商务文件、技术文件、评审因素所需材料和其他材料</w:t>
      </w:r>
      <w:r>
        <w:rPr>
          <w:rFonts w:hint="eastAsia" w:cs="Times New Roman" w:asciiTheme="minorEastAsia" w:hAnsiTheme="minorEastAsia"/>
          <w:color w:val="000000"/>
          <w:sz w:val="24"/>
          <w:szCs w:val="24"/>
        </w:rPr>
        <w:t>等内容，相关文件的提交如未特别注明可提供扫描件。</w:t>
      </w:r>
    </w:p>
    <w:p w14:paraId="049CE55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投标文件格式：</w:t>
      </w:r>
    </w:p>
    <w:p w14:paraId="74F42D33">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填写投标人名称、投标人地址、法定代表人、委托代理人、日期等内容。</w:t>
      </w:r>
    </w:p>
    <w:p w14:paraId="565E57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商务文件：（政府采购政策有关材料可选提交；委托代理时必须提交法定代表人授权委托书，否则投标无效；其他文件必须提交，否则投标无效）</w:t>
      </w:r>
    </w:p>
    <w:p w14:paraId="2A8A1D5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（1）响应函：请按给定格式及要求填写。</w:t>
      </w:r>
    </w:p>
    <w:p w14:paraId="398AF7A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（2）开标一览表：请按给定格式及要求填写。</w:t>
      </w:r>
    </w:p>
    <w:p w14:paraId="6A0B3A6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（3）分项报价表：请按第四章“投标文件格式”提供的“分项报价表”格式及要求填写。</w:t>
      </w:r>
    </w:p>
    <w:p w14:paraId="476CC8E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7791FAF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（5）资格审查材料：</w:t>
      </w:r>
    </w:p>
    <w:p w14:paraId="39C8B9E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0411755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（6）法定代表人授权委托书：请按给定格式及要求填写。</w:t>
      </w:r>
    </w:p>
    <w:p w14:paraId="62E8EC4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（7）商务条款偏离表：请按给定格式及要求，并根据投标人投标承诺的商务条件与“合同条款”“合同专用条款表”“项目需求”等的差异填写。</w:t>
      </w:r>
    </w:p>
    <w:p w14:paraId="66A9BD4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技术文件：</w:t>
      </w:r>
    </w:p>
    <w:p w14:paraId="58E42F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（1）技术标：可以但不限于技术方案、产品技术资料、招标文件规定的其他文件等，格式自定。</w:t>
      </w:r>
    </w:p>
    <w:p w14:paraId="532E04E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（2）技术规格偏离表：按第四章“投标文件格式”提供的“技术规格偏离表”的格式及要求，根据投标人投标的货物与“项目需求”相关技术规格要求的差异填写。</w:t>
      </w:r>
    </w:p>
    <w:p w14:paraId="33A0E755">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4</w:t>
      </w:r>
      <w:r>
        <w:rPr>
          <w:rFonts w:hint="eastAsia" w:cs="Times New Roman" w:asciiTheme="minorEastAsia" w:hAnsiTheme="minorEastAsia"/>
          <w:b/>
          <w:sz w:val="24"/>
          <w:szCs w:val="24"/>
        </w:rPr>
        <w:t>评审因素所需材料：</w:t>
      </w:r>
    </w:p>
    <w:p w14:paraId="68E60BF1">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如有，请按招标文件要求提供。</w:t>
      </w:r>
    </w:p>
    <w:p w14:paraId="62FBA785">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其他材料：</w:t>
      </w:r>
    </w:p>
    <w:p w14:paraId="43F1A17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sz w:val="24"/>
          <w:szCs w:val="24"/>
        </w:rPr>
        <w:t>如有，请按招标文件要求提供。</w:t>
      </w:r>
    </w:p>
    <w:p w14:paraId="15C22B5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 生成投标文件</w:t>
      </w:r>
    </w:p>
    <w:p w14:paraId="3475B423">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19.1 投标文件应由</w:t>
      </w:r>
      <w:r>
        <w:rPr>
          <w:rFonts w:hint="eastAsia" w:cs="Times New Roman" w:asciiTheme="minorEastAsia" w:hAnsiTheme="minorEastAsia"/>
          <w:b/>
          <w:color w:val="000000"/>
          <w:sz w:val="24"/>
          <w:szCs w:val="24"/>
        </w:rPr>
        <w:t>法定代表人或其委托代理人</w:t>
      </w:r>
      <w:r>
        <w:rPr>
          <w:rFonts w:hint="eastAsia" w:cs="Times New Roman" w:asciiTheme="minorEastAsia" w:hAnsiTheme="minorEastAsia"/>
          <w:b/>
          <w:bCs/>
          <w:color w:val="000000"/>
          <w:sz w:val="24"/>
          <w:szCs w:val="24"/>
        </w:rPr>
        <w:t>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使用电子签章</w:t>
      </w:r>
      <w:r>
        <w:rPr>
          <w:rFonts w:hint="eastAsia" w:cs="Times New Roman" w:asciiTheme="minorEastAsia" w:hAnsiTheme="minorEastAsia"/>
          <w:color w:val="000000"/>
          <w:sz w:val="24"/>
          <w:szCs w:val="24"/>
        </w:rPr>
        <w:t>，本招标文件所表述的公章是指刻有投标人法定名称的印章，不包括合同、财务、税务、发票等形式的业务专用章。</w:t>
      </w:r>
    </w:p>
    <w:p w14:paraId="1066D8A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19.2 电子投标文件不得涂改、行间插字或删除，如出现上述情况应重新编制。</w:t>
      </w:r>
    </w:p>
    <w:p w14:paraId="28DD023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19.3 投标文件制作工具生成内容相同、加密与未加密两个版本电子投标文件，加密版本用于提交上传</w:t>
      </w:r>
      <w:r>
        <w:rPr>
          <w:rFonts w:cs="Times New Roman" w:asciiTheme="minorEastAsia" w:hAnsiTheme="minorEastAsia"/>
          <w:color w:val="000000"/>
          <w:sz w:val="24"/>
          <w:szCs w:val="24"/>
        </w:rPr>
        <w:t>，未加密版本用于特殊情况处理。</w:t>
      </w:r>
    </w:p>
    <w:p w14:paraId="2330A697">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四、投标文件及样品的提交</w:t>
      </w:r>
    </w:p>
    <w:p w14:paraId="700C98E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 投标文件的上传、修改和撤回</w:t>
      </w:r>
    </w:p>
    <w:p w14:paraId="02B8117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不予接收</w:t>
      </w:r>
      <w:r>
        <w:rPr>
          <w:rFonts w:hint="eastAsia" w:cs="Times New Roman" w:asciiTheme="minorEastAsia" w:hAnsiTheme="minorEastAsia"/>
          <w:color w:val="000000"/>
          <w:sz w:val="24"/>
          <w:szCs w:val="24"/>
        </w:rPr>
        <w:t>。</w:t>
      </w:r>
    </w:p>
    <w:p w14:paraId="32D41EE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20.2 投标人在上传投标文件后可以对其修改或撤回，但这种修改或撤回，必须在规定的投标截止时间前。</w:t>
      </w:r>
    </w:p>
    <w:p w14:paraId="6E910E9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20.3 对电子投标文件的修改，投标人可以在投标截止时间前登录电子交易平台撤回文件，并上传新的投标文件，投标文件以最终完成上传的为准。</w:t>
      </w:r>
    </w:p>
    <w:p w14:paraId="3C733C96">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20.4 投标人不得在投标截止时间后修改投标文件，也不得在投标截止时间起至投标有效期满前撤回投标文件。</w:t>
      </w:r>
    </w:p>
    <w:p w14:paraId="0830B67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提交投标样品截止时间和地点</w:t>
      </w:r>
    </w:p>
    <w:p w14:paraId="7CF423D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21.1 采购项目需要提交样品的，投标人应当于招标文件规定的样品接收截止</w:t>
      </w:r>
      <w:r>
        <w:rPr>
          <w:rFonts w:hint="eastAsia" w:cs="Times New Roman" w:asciiTheme="minorEastAsia" w:hAnsiTheme="minorEastAsia"/>
          <w:bCs/>
          <w:color w:val="000000"/>
          <w:sz w:val="24"/>
          <w:szCs w:val="24"/>
        </w:rPr>
        <w:t>时间前将样品送达指定地点并登记完毕，</w:t>
      </w:r>
      <w:r>
        <w:rPr>
          <w:rFonts w:hint="eastAsia" w:cs="Times New Roman" w:asciiTheme="minorEastAsia" w:hAnsiTheme="minorEastAsia"/>
          <w:b/>
          <w:bCs/>
          <w:color w:val="000000"/>
          <w:sz w:val="24"/>
          <w:szCs w:val="24"/>
        </w:rPr>
        <w:t>否则不予接收</w:t>
      </w:r>
      <w:r>
        <w:rPr>
          <w:rFonts w:hint="eastAsia" w:cs="Times New Roman" w:asciiTheme="minorEastAsia" w:hAnsiTheme="minorEastAsia"/>
          <w:color w:val="000000"/>
          <w:sz w:val="24"/>
          <w:szCs w:val="24"/>
        </w:rPr>
        <w:t>。</w:t>
      </w:r>
    </w:p>
    <w:p w14:paraId="0A80218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21.2 中标人提供的样品由采购人封存、保管，作为履约验收的参考。未中标人提供的样品，投标人应在中标结果公布后两个工作日内领回，否则按无主物品处理。</w:t>
      </w:r>
    </w:p>
    <w:p w14:paraId="24D84D84">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五、开标与评标</w:t>
      </w:r>
    </w:p>
    <w:p w14:paraId="6590ED7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 开标</w:t>
      </w:r>
    </w:p>
    <w:p w14:paraId="7EEC714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准备身份证件和用于生成、加密和上传电子投标文件的CA数字证书参加开标会</w:t>
      </w:r>
      <w:r>
        <w:rPr>
          <w:rFonts w:hint="eastAsia" w:cs="Times New Roman" w:asciiTheme="minorEastAsia" w:hAnsiTheme="minorEastAsia"/>
          <w:color w:val="000000"/>
          <w:sz w:val="24"/>
          <w:szCs w:val="24"/>
        </w:rPr>
        <w:t>。</w:t>
      </w:r>
    </w:p>
    <w:p w14:paraId="7EB0BA9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线下开标的，供应商必须按规定时间递交CA数字证书，</w:t>
      </w:r>
      <w:r>
        <w:rPr>
          <w:rFonts w:hint="eastAsia" w:cs="Times New Roman" w:asciiTheme="minorEastAsia" w:hAnsiTheme="minorEastAsia"/>
          <w:b/>
          <w:color w:val="FF0000"/>
          <w:sz w:val="24"/>
          <w:szCs w:val="24"/>
        </w:rPr>
        <w:t>超过截止时间的采购代理机构有权拒收，视为放弃投标（响应）和放弃对开标（开启）全过程提出疑义的权利，并承担由此导致的一切后果。</w:t>
      </w:r>
    </w:p>
    <w:p w14:paraId="1791AFE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不见面交易的，供应商必须提前登录不见面开标大厅并在投标文件递交截止时间之前完成签到，</w:t>
      </w:r>
      <w:r>
        <w:rPr>
          <w:rFonts w:hint="eastAsia" w:cs="Times New Roman" w:asciiTheme="minorEastAsia" w:hAnsiTheme="minorEastAsia"/>
          <w:b/>
          <w:color w:val="FF0000"/>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27658DA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供应商未参加开标会的，视同认可开标结果。</w:t>
      </w:r>
    </w:p>
    <w:p w14:paraId="557387B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22.2 开标程序：</w:t>
      </w:r>
    </w:p>
    <w:p w14:paraId="5FADF8D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（1）开标会由采购代理机构主持，主持人宣布开标会议开始；</w:t>
      </w:r>
    </w:p>
    <w:p w14:paraId="2E30FF1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（2）投标人解密投标文件；</w:t>
      </w:r>
    </w:p>
    <w:p w14:paraId="4929A6E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50D82C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（4）宣布评标期间的有关事项；</w:t>
      </w:r>
    </w:p>
    <w:p w14:paraId="2F8287B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（5）开标会议结束。</w:t>
      </w:r>
    </w:p>
    <w:p w14:paraId="4725AD8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22.3 采购代理机构将做开标记录（包括投标人名称、投标总报价、分标报价、交货期等）。</w:t>
      </w:r>
    </w:p>
    <w:p w14:paraId="7FEF5CA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22.4 开标结束后，采购人依法对投标人的资格进行审查。</w:t>
      </w:r>
    </w:p>
    <w:p w14:paraId="66E25CB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 评标</w:t>
      </w:r>
    </w:p>
    <w:p w14:paraId="541690F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23.1 成立评标委员会。评标委员会由采购人代表和评审专家组成。</w:t>
      </w:r>
    </w:p>
    <w:p w14:paraId="2ADE792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23.2 评标的方式。本采购项目采用不公开方式评标，评标的依据为招标文件和投标文件。</w:t>
      </w:r>
    </w:p>
    <w:p w14:paraId="1B977DF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评标工作程序</w:t>
      </w:r>
    </w:p>
    <w:p w14:paraId="32CE4F6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（1）评标委员会负责具体评标事务，并独立履行下列职责：</w:t>
      </w:r>
    </w:p>
    <w:p w14:paraId="00DCCCC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①</w:t>
      </w:r>
      <w:r>
        <w:rPr>
          <w:rFonts w:cs="Times New Roman" w:asciiTheme="minorEastAsia" w:hAnsiTheme="minorEastAsia"/>
          <w:color w:val="000000"/>
          <w:sz w:val="24"/>
          <w:szCs w:val="24"/>
        </w:rPr>
        <w:t>审查、评价投标文件是否符合招标文件的商务、技术等实质性要求；</w:t>
      </w:r>
    </w:p>
    <w:p w14:paraId="3AE169C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r>
        <w:rPr>
          <w:rFonts w:cs="Times New Roman" w:asciiTheme="minorEastAsia" w:hAnsiTheme="minorEastAsia"/>
          <w:color w:val="000000"/>
          <w:sz w:val="24"/>
          <w:szCs w:val="24"/>
        </w:rPr>
        <w:t>要求投标人对投标文件有关事项作出澄清或者说明；</w:t>
      </w:r>
    </w:p>
    <w:p w14:paraId="23A30C6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对投标文件进行比较和评价</w:t>
      </w:r>
      <w:r>
        <w:rPr>
          <w:rFonts w:hint="eastAsia" w:cs="Times New Roman" w:asciiTheme="minorEastAsia" w:hAnsiTheme="minorEastAsia"/>
          <w:color w:val="000000"/>
          <w:sz w:val="24"/>
          <w:szCs w:val="24"/>
        </w:rPr>
        <w:t>（对商务、技术及其他内容的比较和评价结束前，评标委员会不得比较和评价投标报价）</w:t>
      </w:r>
      <w:r>
        <w:rPr>
          <w:rFonts w:cs="Times New Roman" w:asciiTheme="minorEastAsia" w:hAnsiTheme="minorEastAsia"/>
          <w:color w:val="000000"/>
          <w:sz w:val="24"/>
          <w:szCs w:val="24"/>
        </w:rPr>
        <w:t>；</w:t>
      </w:r>
    </w:p>
    <w:p w14:paraId="3021D1F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④</w:t>
      </w:r>
      <w:r>
        <w:rPr>
          <w:rFonts w:cs="Times New Roman" w:asciiTheme="minorEastAsia" w:hAnsiTheme="minorEastAsia"/>
          <w:color w:val="000000"/>
          <w:sz w:val="24"/>
          <w:szCs w:val="24"/>
        </w:rPr>
        <w:t>确定中标候选人名单，以及根据采购人授权直接确定中标人；</w:t>
      </w:r>
    </w:p>
    <w:p w14:paraId="5826283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⑤</w:t>
      </w:r>
      <w:r>
        <w:rPr>
          <w:rFonts w:cs="Times New Roman" w:asciiTheme="minorEastAsia" w:hAnsiTheme="minorEastAsia"/>
          <w:color w:val="000000"/>
          <w:sz w:val="24"/>
          <w:szCs w:val="24"/>
        </w:rPr>
        <w:t>向采购人、采购代理机构或者有关部门报告评标中发现的违法行为；</w:t>
      </w:r>
    </w:p>
    <w:p w14:paraId="1B6927A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⑥</w:t>
      </w:r>
      <w:r>
        <w:rPr>
          <w:rFonts w:cs="Times New Roman" w:asciiTheme="minorEastAsia" w:hAnsiTheme="minorEastAsia"/>
          <w:color w:val="000000"/>
          <w:sz w:val="24"/>
          <w:szCs w:val="24"/>
        </w:rPr>
        <w:t>编写评标报告</w:t>
      </w:r>
      <w:r>
        <w:rPr>
          <w:rFonts w:hint="eastAsia" w:cs="Times New Roman" w:asciiTheme="minorEastAsia" w:hAnsiTheme="minorEastAsia"/>
          <w:color w:val="000000"/>
          <w:sz w:val="24"/>
          <w:szCs w:val="24"/>
        </w:rPr>
        <w:t>。</w:t>
      </w:r>
    </w:p>
    <w:p w14:paraId="13E86C8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（2）评标委员会对符合资格的投标人的投标文件进行符合性审查，以确定其是否满足招标文件的实质性要求。</w:t>
      </w:r>
    </w:p>
    <w:p w14:paraId="30E4143A">
      <w:pPr>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符合性检查</w:t>
      </w:r>
      <w:r>
        <w:rPr>
          <w:rFonts w:hint="eastAsia" w:cs="Times New Roman" w:asciiTheme="minorEastAsia" w:hAnsiTheme="minorEastAsia"/>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5F82E8D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且其余非实质性技术及商务条款</w:t>
      </w:r>
      <w:r>
        <w:rPr>
          <w:rFonts w:hint="eastAsia" w:cs="Times New Roman" w:asciiTheme="minorEastAsia" w:hAnsiTheme="minorEastAsia"/>
          <w:color w:val="000000"/>
          <w:sz w:val="24"/>
          <w:szCs w:val="24"/>
        </w:rPr>
        <w:t>没有重大偏离或保留。</w:t>
      </w:r>
    </w:p>
    <w:p w14:paraId="1216FC09">
      <w:pPr>
        <w:spacing w:line="360" w:lineRule="auto"/>
        <w:ind w:firstLine="482" w:firstLineChars="200"/>
        <w:jc w:val="left"/>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所谓重大偏离或保留</w:t>
      </w:r>
      <w:r>
        <w:rPr>
          <w:rFonts w:cs="Times New Roman" w:asciiTheme="minorEastAsia" w:hAnsiTheme="minorEastAsia"/>
          <w:color w:val="000000"/>
          <w:sz w:val="24"/>
          <w:szCs w:val="24"/>
        </w:rPr>
        <w:t>，是指与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文件不一致，而且限制了合同中</w:t>
      </w:r>
      <w:r>
        <w:rPr>
          <w:rFonts w:hint="eastAsia" w:cs="Times New Roman" w:asciiTheme="minorEastAsia" w:hAnsiTheme="minorEastAsia"/>
          <w:color w:val="000000"/>
          <w:sz w:val="24"/>
          <w:szCs w:val="24"/>
        </w:rPr>
        <w:t>采购人和见证方</w:t>
      </w:r>
      <w:r>
        <w:rPr>
          <w:rFonts w:cs="Times New Roman" w:asciiTheme="minorEastAsia" w:hAnsiTheme="minorEastAsia"/>
          <w:color w:val="000000"/>
          <w:sz w:val="24"/>
          <w:szCs w:val="24"/>
        </w:rPr>
        <w:t>的权利或</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的义务，保留或给予纠正这些偏离的机会将会对其他实质性响应要求的</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的竞争地位产生不公正的影响。重大偏离的认定需经过</w:t>
      </w:r>
      <w:r>
        <w:rPr>
          <w:rFonts w:hint="eastAsia" w:cs="Times New Roman" w:asciiTheme="minorEastAsia" w:hAnsiTheme="minorEastAsia"/>
          <w:color w:val="000000"/>
          <w:sz w:val="24"/>
          <w:szCs w:val="24"/>
        </w:rPr>
        <w:t>评标委员会</w:t>
      </w:r>
      <w:r>
        <w:rPr>
          <w:rFonts w:cs="Times New Roman" w:asciiTheme="minorEastAsia" w:hAnsiTheme="minorEastAsia"/>
          <w:color w:val="000000"/>
          <w:sz w:val="24"/>
          <w:szCs w:val="24"/>
        </w:rPr>
        <w:t>2/3及以上成员的认定。</w:t>
      </w:r>
    </w:p>
    <w:p w14:paraId="645B92F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评标委员会决定投标文件的响应性仅基于投标文件本身的内容，而不寻求外部证据。</w:t>
      </w:r>
    </w:p>
    <w:p w14:paraId="37B8F44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评标委员会将拒绝被确定为非实质性响应的投标人，投标人不能通过修正或撤销不符之处而使其投标成为实质性响应的投标。</w:t>
      </w:r>
    </w:p>
    <w:p w14:paraId="18535A55">
      <w:pPr>
        <w:spacing w:line="360" w:lineRule="auto"/>
        <w:ind w:firstLine="480" w:firstLineChars="200"/>
        <w:jc w:val="left"/>
      </w:pPr>
      <w:r>
        <w:rPr>
          <w:rFonts w:hint="eastAsia" w:cs="Times New Roman" w:asciiTheme="minorEastAsia" w:hAnsiTheme="minorEastAsia"/>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5CCEA0C9">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23.4启动异常低价投标（响应）审查的情形和具体要求，包括：</w:t>
      </w:r>
    </w:p>
    <w:p w14:paraId="07431E6E">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（一）</w:t>
      </w:r>
      <w:r>
        <w:rPr>
          <w:rFonts w:hint="eastAsia" w:cs="Times New Roman" w:asciiTheme="minorEastAsia" w:hAnsiTheme="minorEastAsia"/>
          <w:color w:val="FF0000"/>
          <w:sz w:val="24"/>
          <w:szCs w:val="24"/>
        </w:rPr>
        <w:t>评审过程中出现下列情形之一的，评审委员会应当启动异常低价投标（响应）审查程序：</w:t>
      </w:r>
    </w:p>
    <w:p w14:paraId="66DAC2A2">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①投标报价低于全部通过符合性审查供应商投标报价平均值50%的，即投标报价&lt;全部通过符合性审查供应商投标报价平均值×50%；</w:t>
      </w:r>
    </w:p>
    <w:p w14:paraId="20DC4ECE">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②投标报价低于通过符合性审查的次低报价供应商投标报价50%的，即投标报价&lt;通过符合性审查的次低报价供应商投标报价×50%；</w:t>
      </w:r>
    </w:p>
    <w:p w14:paraId="0039AD31">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③投标报价低于采购项目最高限价45%的，即投标报价&lt;采购项目最高限价×45%</w:t>
      </w:r>
    </w:p>
    <w:p w14:paraId="2D069181">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④评审委员会基于专业判断，认为供应商报价过低</w:t>
      </w:r>
      <w:r>
        <w:rPr>
          <w:rFonts w:hint="eastAsia" w:cs="Times New Roman" w:asciiTheme="minorEastAsia" w:hAnsiTheme="minorEastAsia"/>
          <w:color w:val="FF0000"/>
          <w:sz w:val="24"/>
          <w:szCs w:val="24"/>
        </w:rPr>
        <w:t>、有可能影响产品质量或者不能诚信履约的其他情形。</w:t>
      </w:r>
    </w:p>
    <w:p w14:paraId="2FB6948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w:t>
      </w:r>
      <w:r>
        <w:rPr>
          <w:rFonts w:hint="eastAsia" w:cs="Times New Roman" w:asciiTheme="minorEastAsia" w:hAnsiTheme="minorEastAsia"/>
          <w:color w:val="000000"/>
          <w:sz w:val="24"/>
          <w:szCs w:val="24"/>
          <w:lang w:val="en-US" w:eastAsia="zh-CN"/>
        </w:rPr>
        <w:t>二）</w:t>
      </w:r>
      <w:r>
        <w:rPr>
          <w:rFonts w:hint="eastAsia" w:cs="Times New Roman" w:asciiTheme="minorEastAsia" w:hAnsiTheme="minorEastAsia"/>
          <w:color w:val="000000"/>
          <w:sz w:val="24"/>
          <w:szCs w:val="24"/>
        </w:rPr>
        <w:t>评审委员会启动异常低价投标审查后，属于前述</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一般</w:t>
      </w:r>
      <w:r>
        <w:rPr>
          <w:rFonts w:hint="eastAsia" w:cs="Times New Roman" w:asciiTheme="minorEastAsia" w:hAnsiTheme="minorEastAsia"/>
          <w:color w:val="000000"/>
          <w:sz w:val="24"/>
          <w:szCs w:val="24"/>
        </w:rPr>
        <w:t>不少于30分钟</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具体时间由评审委员会确定</w:t>
      </w:r>
      <w:r>
        <w:rPr>
          <w:rFonts w:hint="eastAsia" w:cs="Times New Roman" w:asciiTheme="minorEastAsia" w:hAnsiTheme="minorEastAsia"/>
          <w:color w:val="000000"/>
          <w:sz w:val="24"/>
          <w:szCs w:val="24"/>
        </w:rPr>
        <w:t>。其中，属于</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第3项情形，供应商已随投标文件一并提交相关书面说明及必要的证明材料的，在评审现场可不再重复提交。</w:t>
      </w:r>
    </w:p>
    <w:p w14:paraId="2D4F0C0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7821634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1A471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p>
    <w:p w14:paraId="24B33C6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评委会将通过“苏采云”系统要求其在合理的时间内提供书面说明、证明材料。未通过资格审查或符合性审查的投标人，将通过“苏采云”系统中告知其未通过的原因，评审结束后，将不再告知。</w:t>
      </w:r>
    </w:p>
    <w:p w14:paraId="2CD9D85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23.5 评标过程的保密</w:t>
      </w:r>
    </w:p>
    <w:p w14:paraId="4E8527F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0F8EB5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24. 投标文件报价出现前后不一致的，按照下列规定修正：</w:t>
      </w:r>
    </w:p>
    <w:p w14:paraId="5ED6EBD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投标文件中开标一览表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内容与投标文件中相应内容不一致的，以开标一览表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为准；</w:t>
      </w:r>
    </w:p>
    <w:p w14:paraId="519D052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大写金额和小写金额不一致的，以大写金额为准；</w:t>
      </w:r>
    </w:p>
    <w:p w14:paraId="680D3F0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单价金额小数点或者百分比有明显错位的，以开标一览表的总价为准，并修改单价；</w:t>
      </w:r>
    </w:p>
    <w:p w14:paraId="753CFD6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总价金额与按单价汇总金额不一致的，以单价金额计算结果为准。</w:t>
      </w:r>
    </w:p>
    <w:p w14:paraId="095D8A05">
      <w:pPr>
        <w:spacing w:line="360" w:lineRule="auto"/>
        <w:ind w:firstLine="480" w:firstLineChars="200"/>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同时出现两种以上不一致的，按照前款规定的顺序修正。修正后的报价</w:t>
      </w:r>
      <w:r>
        <w:rPr>
          <w:rFonts w:hint="eastAsia" w:cs="Times New Roman" w:asciiTheme="minorEastAsia" w:hAnsiTheme="minorEastAsia"/>
          <w:color w:val="000000"/>
          <w:sz w:val="24"/>
          <w:szCs w:val="24"/>
        </w:rPr>
        <w:t>按照政府采购有关规定</w:t>
      </w:r>
      <w:r>
        <w:rPr>
          <w:rFonts w:cs="Times New Roman" w:asciiTheme="minorEastAsia" w:hAnsiTheme="minorEastAsia"/>
          <w:color w:val="000000"/>
          <w:sz w:val="24"/>
          <w:szCs w:val="24"/>
        </w:rPr>
        <w:t>经投标人确认后产生约束力，投标人不确认的，其投标无效。</w:t>
      </w:r>
    </w:p>
    <w:p w14:paraId="6C66F90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投标人有下列情况之一的，投标无效：</w:t>
      </w:r>
    </w:p>
    <w:p w14:paraId="6245C24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（1）未按照招标文件的规定提交投标保证金的；</w:t>
      </w:r>
    </w:p>
    <w:p w14:paraId="02316CC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（2）投标文件未按招标文件要求编制、签署、盖章的；</w:t>
      </w:r>
    </w:p>
    <w:p w14:paraId="1A8821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（3）不具备招标文件中规定的资格要求的；</w:t>
      </w:r>
    </w:p>
    <w:p w14:paraId="04F87DB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（4）报价超过招标文件中规定的预算金额或者最高限价的；</w:t>
      </w:r>
    </w:p>
    <w:p w14:paraId="4876F38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（5）投标文件含有采购人不能接受的附加条件的；</w:t>
      </w:r>
    </w:p>
    <w:p w14:paraId="1BA5733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（6）未按招标文件要求提供电子投标文件或者电子投标文件未能解密（指投标人自身原因）且按照招标文件明确的投标文件解密失败后补救方案（仅现场开标适用）补救不成功的；</w:t>
      </w:r>
    </w:p>
    <w:p w14:paraId="2B4270E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（7）投标人提交的电子投标文件、投标文件备份U盘（仅现场开标适用）均因其自身原因出现问题导致无法电子评标的；</w:t>
      </w:r>
    </w:p>
    <w:p w14:paraId="106FF92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（8）法律、法规和招标文件规定的其他无效情形。</w:t>
      </w:r>
    </w:p>
    <w:p w14:paraId="7A631A31">
      <w:pPr>
        <w:spacing w:line="360" w:lineRule="auto"/>
        <w:ind w:firstLine="480" w:firstLineChars="200"/>
        <w:jc w:val="left"/>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有下列情形之一的，视为投标人串通投标，其投标无效：</w:t>
      </w:r>
    </w:p>
    <w:p w14:paraId="00AE148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不同投标人的投标文件由同一单位或者个人编制；</w:t>
      </w:r>
    </w:p>
    <w:p w14:paraId="0487622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不同投标人委托同一单位或者个人办理投标事宜；</w:t>
      </w:r>
    </w:p>
    <w:p w14:paraId="0453D30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不同投标人的投标文件载明的项目管理成员或者联系人员为同一人；</w:t>
      </w:r>
    </w:p>
    <w:p w14:paraId="2551F7C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不同投标人的投标文件异常一致或者投标报价呈规律性差异；</w:t>
      </w:r>
    </w:p>
    <w:p w14:paraId="7CA9AF8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不同投标人的投标文件相互混装；</w:t>
      </w:r>
    </w:p>
    <w:p w14:paraId="117429F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不同投标人的投标保证金从同一单位或者个人的账户转出。</w:t>
      </w:r>
    </w:p>
    <w:p w14:paraId="7F7CB93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在招标采购中，出现下列情形之一的，应予废标：</w:t>
      </w:r>
    </w:p>
    <w:p w14:paraId="4D3289E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（1）符合专业条件的供应商或者对招标文件作实质响应的供应商不足3家的；</w:t>
      </w:r>
    </w:p>
    <w:p w14:paraId="6FCFC40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（2）出现影响采购公正的违法、违规行为的；</w:t>
      </w:r>
    </w:p>
    <w:p w14:paraId="3A56F4D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（3）投标人的报价均超过了采购预算（最高限价），采购人不能支付的；</w:t>
      </w:r>
    </w:p>
    <w:p w14:paraId="26AE57C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（4）因重大变故，采购任务取消的。</w:t>
      </w:r>
    </w:p>
    <w:p w14:paraId="4A4F5CA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 评标原则、评标办法和特殊情况处理</w:t>
      </w:r>
    </w:p>
    <w:p w14:paraId="7287B51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28.1 评标原则</w:t>
      </w:r>
    </w:p>
    <w:p w14:paraId="06E53C4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5E2F634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28.2 评标办法</w:t>
      </w:r>
    </w:p>
    <w:p w14:paraId="3521167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详见第七章“评标办法”。</w:t>
      </w:r>
    </w:p>
    <w:p w14:paraId="497EEEF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28.3 现场开标特殊情况处理（采用不见面交易方式招标的本条款不适用）</w:t>
      </w:r>
    </w:p>
    <w:p w14:paraId="640E99B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因“开评标系统”自身故障，开标活动无法正常进行时，将使用投标文件备份U盘继续进行开标活动。</w:t>
      </w:r>
    </w:p>
    <w:p w14:paraId="338FE26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“开评标系统”自身故障是指非投标人原因造成所有投标人电子投标文件均无法解密的情形，部分投标文件无法解密的，不适用本条款。</w:t>
      </w:r>
    </w:p>
    <w:p w14:paraId="2D78386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对于不同载体的投标文件，开标、评标及认定顺序为电子投标文件、投标备份U盘，前项不能读取的可按后项评审。</w:t>
      </w:r>
    </w:p>
    <w:p w14:paraId="15B8DAFC">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六、中标结果</w:t>
      </w:r>
    </w:p>
    <w:p w14:paraId="5E355C2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 中标人的确定</w:t>
      </w:r>
    </w:p>
    <w:p w14:paraId="235A2CD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29.1 评标委员会按照评审得分由高到低顺序推荐3名中标候选人。</w:t>
      </w:r>
    </w:p>
    <w:p w14:paraId="08B6E3E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29.2 根据采购人的授权，由评标委员会直接确定排名第一的中标候选人为中标人。</w:t>
      </w:r>
    </w:p>
    <w:p w14:paraId="739E9F6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 中标通知书</w:t>
      </w:r>
    </w:p>
    <w:p w14:paraId="0434A1F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30.1 中标人确定后，中标结果由采购代理机构公告，中标公告期限为1个工作日。</w:t>
      </w:r>
    </w:p>
    <w:p w14:paraId="4371DB3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30.2 在公告中标结果的同时，由采购代理机构向中标人发出中标通知书，</w:t>
      </w:r>
      <w:r>
        <w:rPr>
          <w:rFonts w:hint="eastAsia" w:cs="Times New Roman" w:asciiTheme="minorEastAsia" w:hAnsiTheme="minorEastAsia"/>
          <w:b/>
          <w:color w:val="FF0000"/>
          <w:sz w:val="24"/>
          <w:szCs w:val="24"/>
        </w:rPr>
        <w:t>中标供应商在领取中标通知书时，需提供</w:t>
      </w:r>
      <w:r>
        <w:rPr>
          <w:rFonts w:hint="eastAsia" w:cs="Times New Roman" w:asciiTheme="minorEastAsia" w:hAnsiTheme="minorEastAsia"/>
          <w:b/>
          <w:color w:val="FF0000"/>
          <w:sz w:val="24"/>
          <w:szCs w:val="24"/>
          <w:lang w:eastAsia="zh-CN"/>
        </w:rPr>
        <w:t>壹</w:t>
      </w:r>
      <w:r>
        <w:rPr>
          <w:rFonts w:hint="eastAsia" w:cs="Times New Roman" w:asciiTheme="minorEastAsia" w:hAnsiTheme="minorEastAsia"/>
          <w:b/>
          <w:color w:val="FF0000"/>
          <w:sz w:val="24"/>
          <w:szCs w:val="24"/>
        </w:rPr>
        <w:t>份与电子投标文件一致的纸质打印投标文件</w:t>
      </w:r>
      <w:r>
        <w:rPr>
          <w:rFonts w:hint="eastAsia" w:cs="Times New Roman" w:asciiTheme="minorEastAsia" w:hAnsiTheme="minorEastAsia"/>
          <w:color w:val="000000"/>
          <w:sz w:val="24"/>
          <w:szCs w:val="24"/>
        </w:rPr>
        <w:t>；对未通过资格审查的投标人，应当告知其未通过的原因；采用综合评分法评审的，还应当告知未中标人本人的评审得分与排序。</w:t>
      </w:r>
    </w:p>
    <w:p w14:paraId="637D5C0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30.3 采购代理机构无义务向未中标投标人解释落标原因和退回投标文件。</w:t>
      </w:r>
    </w:p>
    <w:p w14:paraId="775A5C7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签订合同</w:t>
      </w:r>
    </w:p>
    <w:p w14:paraId="797778C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23F9D73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31.2 中标人因不可抗力或者自身原因不能履行政府采购合同的，按政府采购有关法律法规执行。</w:t>
      </w:r>
    </w:p>
    <w:p w14:paraId="0D35259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 履约保证金及质保金</w:t>
      </w:r>
    </w:p>
    <w:p w14:paraId="0F9F582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32.1 履约保证金的数额不得超过政府采购合同金额的10%。中标人应当以支票、汇票、本票或者金融机构、担保机构出具的保函等非现金形式在合同签订前提交。</w:t>
      </w:r>
    </w:p>
    <w:p w14:paraId="7D83FBF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32.2 中标人违约的，采购人将按照合同约定扣除其全部或部分履约保证金。如中标人违约给采购人造成的损失超过履约保证金的，应当依法赔偿超过部分的损失。</w:t>
      </w:r>
    </w:p>
    <w:p w14:paraId="39D82E9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32.3 履约保证金自合同生效之日起至合同约定的中标人主要义务履行完毕止，采购人应当按合同约定及时退还履约保证金。</w:t>
      </w:r>
    </w:p>
    <w:p w14:paraId="01E4354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color w:val="000000"/>
          <w:sz w:val="24"/>
          <w:szCs w:val="24"/>
        </w:rPr>
        <w:t>32.4 本项目履约保证金要求详见招标文件第五章“合同专用条款表”。</w:t>
      </w:r>
    </w:p>
    <w:p w14:paraId="1373F9EB">
      <w:pPr>
        <w:spacing w:line="360" w:lineRule="auto"/>
        <w:ind w:firstLine="480" w:firstLineChars="200"/>
        <w:jc w:val="left"/>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32.5 采购人与中标人应按第五章“合同专用条款表”约定质保金，质保期内中标人提供的标的性能、质量和服务符合合同约定，经验收合格，质保期满后该款如数退还（不计利息）。</w:t>
      </w:r>
    </w:p>
    <w:p w14:paraId="1119629A">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七、其他事项</w:t>
      </w:r>
    </w:p>
    <w:p w14:paraId="0BA4C93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 采购代理服务费</w:t>
      </w:r>
    </w:p>
    <w:p w14:paraId="1C304C5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33.1</w:t>
      </w:r>
      <w:r>
        <w:rPr>
          <w:rFonts w:cs="Times New Roman" w:asciiTheme="minorEastAsia" w:hAnsiTheme="minorEastAsia"/>
          <w:sz w:val="24"/>
        </w:rPr>
        <w:t>采购代理费</w:t>
      </w:r>
      <w:r>
        <w:rPr>
          <w:rFonts w:hint="eastAsia" w:cs="Times New Roman" w:asciiTheme="minorEastAsia" w:hAnsiTheme="minorEastAsia"/>
          <w:sz w:val="24"/>
        </w:rPr>
        <w:t>按发改价格[2002]1980号文下浮</w:t>
      </w:r>
      <w:r>
        <w:rPr>
          <w:rFonts w:hint="eastAsia" w:cs="Times New Roman" w:asciiTheme="minorEastAsia" w:hAnsiTheme="minorEastAsia"/>
          <w:sz w:val="24"/>
          <w:lang w:val="en-US" w:eastAsia="zh-CN"/>
        </w:rPr>
        <w:t>4</w:t>
      </w:r>
      <w:r>
        <w:rPr>
          <w:rFonts w:hint="eastAsia" w:cs="Times New Roman" w:asciiTheme="minorEastAsia" w:hAnsiTheme="minorEastAsia"/>
          <w:sz w:val="24"/>
        </w:rPr>
        <w:t>0%标准计取</w:t>
      </w:r>
      <w:r>
        <w:rPr>
          <w:rFonts w:hint="eastAsia" w:cs="Times New Roman" w:asciiTheme="minorEastAsia" w:hAnsiTheme="minorEastAsia"/>
          <w:color w:val="000000"/>
          <w:sz w:val="24"/>
          <w:szCs w:val="24"/>
        </w:rPr>
        <w:t>。</w:t>
      </w:r>
      <w:r>
        <w:rPr>
          <w:rFonts w:hint="eastAsia" w:ascii="宋体" w:hAnsi="宋体"/>
          <w:color w:val="000000"/>
          <w:sz w:val="24"/>
        </w:rPr>
        <w:t>投标人须将此部分费用综合考虑在报价中，不得单列。</w:t>
      </w:r>
      <w:r>
        <w:rPr>
          <w:rFonts w:hint="eastAsia" w:ascii="宋体" w:hAnsi="宋体"/>
          <w:color w:val="000000"/>
          <w:sz w:val="24"/>
          <w:szCs w:val="21"/>
        </w:rPr>
        <w:t>由中标人领取中标通知书时一次性支付。</w:t>
      </w:r>
    </w:p>
    <w:p w14:paraId="4A0379F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 解释权</w:t>
      </w:r>
    </w:p>
    <w:p w14:paraId="59B5232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34.1 本招标文件根据《中华人民共和国政府采购法》《中华人民共和国政府采购法实施条例》《政府采购货物和服务招标投标管理办法》及相关法律法规编制，解释权归采购代理机构。</w:t>
      </w:r>
    </w:p>
    <w:p w14:paraId="120F50F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 有关事宜</w:t>
      </w:r>
    </w:p>
    <w:p w14:paraId="1AE4D53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35.1 所有与本招标文件有关的函电和通讯地址见第一章“投标邀请”。</w:t>
      </w:r>
    </w:p>
    <w:p w14:paraId="3F248FE8">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八、政策功能</w:t>
      </w:r>
    </w:p>
    <w:p w14:paraId="5DB9327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36. 对于小型企业、微型企业、监狱企业、残疾人福利性单位报价以扣除优惠比率后的价格参与评审，但不作为中标价和合同签约价。中标价和合同签约价仍以其投标文件中的一次报价为准。</w:t>
      </w:r>
    </w:p>
    <w:p w14:paraId="24D14B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14:paraId="0C4E4D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32FB547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6EE30A2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本项目价格扣除计算方法如下：参与报价得分计算的价格＝投标人的投标报价-小型企业、微型企业、监狱企业、残疾人福利性单位的投标报价×10%。</w:t>
      </w:r>
    </w:p>
    <w:p w14:paraId="17086B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14:paraId="3919B3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14:paraId="2A03974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66CEA4F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14:paraId="209B06A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65AD842">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39. 支持绿色发展</w:t>
      </w:r>
    </w:p>
    <w:p w14:paraId="1627408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AE3724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2A3011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40.政府采购项目执行《财政部 生态环境部 工业和信息化部关于印发&lt;绿色数据中心政府采购需求标准（试行）&gt;的通知》（财库〔2023〕7号）相关要求。</w:t>
      </w:r>
    </w:p>
    <w:p w14:paraId="40BB273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20B79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42.采</w:t>
      </w:r>
      <w:r>
        <w:rPr>
          <w:rFonts w:hint="eastAsia" w:ascii="宋体" w:hAnsi="宋体" w:eastAsia="宋体" w:cs="宋体"/>
          <w:color w:val="auto"/>
          <w:sz w:val="24"/>
          <w:szCs w:val="24"/>
        </w:rPr>
        <w:t>购本国产品的支持政策</w:t>
      </w:r>
    </w:p>
    <w:p w14:paraId="2BD9BC7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 本项目政府采购活动中既有本国产品又有非本国产品参与竞争的，依法对本国产品给予价格评审优惠，对本国产品的报价给予20%的价格扣除，用扣除后的价格参与评审。</w:t>
      </w:r>
    </w:p>
    <w:p w14:paraId="0C8B92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E2ED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EBAB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2CE38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5ADD054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784B9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09DD9C1">
      <w:pPr>
        <w:keepNext/>
        <w:keepLines/>
        <w:adjustRightInd w:val="0"/>
        <w:spacing w:line="360" w:lineRule="auto"/>
        <w:ind w:firstLine="723"/>
        <w:jc w:val="center"/>
        <w:textAlignment w:val="baseline"/>
        <w:outlineLvl w:val="0"/>
        <w:rPr>
          <w:rFonts w:hint="eastAsia" w:cs="Times New Roman" w:asciiTheme="minorEastAsia" w:hAnsiTheme="minorEastAsia"/>
          <w:b/>
          <w:kern w:val="44"/>
          <w:sz w:val="36"/>
          <w:szCs w:val="20"/>
        </w:rPr>
      </w:pPr>
      <w:r>
        <w:rPr>
          <w:rFonts w:cs="Times New Roman" w:asciiTheme="minorEastAsia" w:hAnsiTheme="minorEastAsia"/>
          <w:b/>
          <w:kern w:val="44"/>
          <w:sz w:val="36"/>
          <w:szCs w:val="20"/>
        </w:rPr>
        <w:br w:type="page"/>
      </w:r>
      <w:bookmarkStart w:id="9" w:name="_Toc139967211"/>
      <w:bookmarkStart w:id="10" w:name="_Toc139966427"/>
      <w:bookmarkStart w:id="11" w:name="_Toc151625257"/>
      <w:bookmarkStart w:id="12" w:name="_Toc513622228"/>
      <w:r>
        <w:rPr>
          <w:rFonts w:hint="eastAsia" w:cs="Times New Roman" w:asciiTheme="minorEastAsia" w:hAnsiTheme="minorEastAsia"/>
          <w:color w:val="000000"/>
          <w:kern w:val="44"/>
          <w:sz w:val="36"/>
          <w:szCs w:val="20"/>
        </w:rPr>
        <w:t>第三章政府采购合同格式</w:t>
      </w:r>
      <w:bookmarkEnd w:id="9"/>
      <w:bookmarkEnd w:id="10"/>
      <w:bookmarkEnd w:id="11"/>
      <w:bookmarkEnd w:id="12"/>
    </w:p>
    <w:p w14:paraId="2E256EB6">
      <w:pPr>
        <w:spacing w:line="360" w:lineRule="auto"/>
        <w:ind w:firstLine="880" w:firstLineChars="200"/>
        <w:rPr>
          <w:rFonts w:hint="eastAsia" w:cs="Times New Roman" w:asciiTheme="minorEastAsia" w:hAnsiTheme="minorEastAsia"/>
          <w:color w:val="000000"/>
          <w:sz w:val="44"/>
          <w:szCs w:val="24"/>
        </w:rPr>
      </w:pPr>
    </w:p>
    <w:p w14:paraId="3D572EE0">
      <w:pPr>
        <w:spacing w:line="360" w:lineRule="auto"/>
        <w:ind w:firstLine="880" w:firstLineChars="200"/>
        <w:rPr>
          <w:rFonts w:hint="eastAsia" w:cs="Times New Roman" w:asciiTheme="minorEastAsia" w:hAnsiTheme="minorEastAsia"/>
          <w:color w:val="000000"/>
          <w:sz w:val="44"/>
          <w:szCs w:val="24"/>
        </w:rPr>
      </w:pPr>
    </w:p>
    <w:p w14:paraId="331CAAFC">
      <w:pPr>
        <w:spacing w:line="360" w:lineRule="auto"/>
        <w:ind w:firstLine="880" w:firstLineChars="200"/>
        <w:rPr>
          <w:rFonts w:hint="eastAsia" w:cs="Times New Roman" w:asciiTheme="minorEastAsia" w:hAnsiTheme="minorEastAsia"/>
          <w:color w:val="000000"/>
          <w:sz w:val="44"/>
          <w:szCs w:val="24"/>
        </w:rPr>
      </w:pPr>
    </w:p>
    <w:p w14:paraId="1C86783D">
      <w:pPr>
        <w:spacing w:line="360" w:lineRule="auto"/>
        <w:ind w:firstLine="880" w:firstLineChars="200"/>
        <w:rPr>
          <w:rFonts w:hint="eastAsia" w:cs="Times New Roman" w:asciiTheme="minorEastAsia" w:hAnsiTheme="minorEastAsia"/>
          <w:color w:val="000000"/>
          <w:sz w:val="44"/>
          <w:szCs w:val="24"/>
        </w:rPr>
      </w:pPr>
    </w:p>
    <w:p w14:paraId="2C7ABC0B">
      <w:pPr>
        <w:spacing w:line="360" w:lineRule="auto"/>
        <w:ind w:firstLine="2078" w:firstLineChars="398"/>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连 云 港 市 政 府 采 购</w:t>
      </w:r>
    </w:p>
    <w:p w14:paraId="6EAB0542">
      <w:pPr>
        <w:spacing w:line="360" w:lineRule="auto"/>
        <w:ind w:firstLine="420" w:firstLineChars="200"/>
        <w:rPr>
          <w:rFonts w:hint="eastAsia" w:cs="Times New Roman" w:asciiTheme="minorEastAsia" w:hAnsiTheme="minorEastAsia"/>
          <w:color w:val="000000"/>
          <w:szCs w:val="24"/>
        </w:rPr>
      </w:pPr>
    </w:p>
    <w:p w14:paraId="734E12EB">
      <w:pPr>
        <w:spacing w:line="360" w:lineRule="auto"/>
        <w:ind w:firstLine="883" w:firstLineChars="200"/>
        <w:jc w:val="center"/>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合同</w:t>
      </w:r>
    </w:p>
    <w:p w14:paraId="5E956C13">
      <w:pPr>
        <w:spacing w:line="360" w:lineRule="auto"/>
        <w:ind w:firstLine="420" w:firstLineChars="200"/>
        <w:rPr>
          <w:rFonts w:hint="eastAsia" w:cs="Times New Roman" w:asciiTheme="minorEastAsia" w:hAnsiTheme="minorEastAsia"/>
          <w:color w:val="000000"/>
          <w:szCs w:val="24"/>
        </w:rPr>
      </w:pPr>
    </w:p>
    <w:p w14:paraId="1E11B596">
      <w:pPr>
        <w:spacing w:line="360" w:lineRule="auto"/>
        <w:ind w:firstLine="3507" w:firstLineChars="794"/>
        <w:rPr>
          <w:rFonts w:hint="eastAsia" w:cs="Times New Roman" w:asciiTheme="minorEastAsia" w:hAnsiTheme="minorEastAsia"/>
          <w:b/>
          <w:bCs/>
          <w:color w:val="000000"/>
          <w:sz w:val="44"/>
          <w:szCs w:val="24"/>
        </w:rPr>
      </w:pPr>
    </w:p>
    <w:p w14:paraId="422192D1">
      <w:pPr>
        <w:spacing w:line="360" w:lineRule="auto"/>
        <w:ind w:firstLine="3507" w:firstLineChars="794"/>
        <w:rPr>
          <w:rFonts w:hint="eastAsia" w:cs="Times New Roman" w:asciiTheme="minorEastAsia" w:hAnsiTheme="minorEastAsia"/>
          <w:b/>
          <w:bCs/>
          <w:color w:val="000000"/>
          <w:sz w:val="44"/>
          <w:szCs w:val="24"/>
        </w:rPr>
      </w:pPr>
    </w:p>
    <w:p w14:paraId="31B5AC78">
      <w:pPr>
        <w:spacing w:line="360" w:lineRule="auto"/>
        <w:ind w:firstLine="3507" w:firstLineChars="794"/>
        <w:rPr>
          <w:rFonts w:hint="eastAsia" w:cs="Times New Roman" w:asciiTheme="minorEastAsia" w:hAnsiTheme="minorEastAsia"/>
          <w:b/>
          <w:bCs/>
          <w:color w:val="000000"/>
          <w:sz w:val="44"/>
          <w:szCs w:val="24"/>
        </w:rPr>
      </w:pPr>
    </w:p>
    <w:p w14:paraId="7AE9DF1C">
      <w:pPr>
        <w:spacing w:line="360" w:lineRule="auto"/>
        <w:ind w:firstLine="1802" w:firstLineChars="408"/>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合同编号：</w:t>
      </w:r>
    </w:p>
    <w:p w14:paraId="29FB7048">
      <w:pPr>
        <w:spacing w:line="360" w:lineRule="auto"/>
        <w:ind w:firstLine="880" w:firstLineChars="200"/>
        <w:rPr>
          <w:rFonts w:hint="eastAsia" w:cs="Times New Roman" w:asciiTheme="minorEastAsia" w:hAnsiTheme="minorEastAsia"/>
          <w:color w:val="000000"/>
          <w:sz w:val="44"/>
          <w:szCs w:val="24"/>
        </w:rPr>
      </w:pPr>
    </w:p>
    <w:p w14:paraId="662B1B22">
      <w:pPr>
        <w:spacing w:line="360" w:lineRule="auto"/>
        <w:ind w:firstLine="880" w:firstLineChars="200"/>
        <w:rPr>
          <w:rFonts w:hint="eastAsia" w:cs="Times New Roman" w:asciiTheme="minorEastAsia" w:hAnsiTheme="minorEastAsia"/>
          <w:color w:val="000000"/>
          <w:sz w:val="44"/>
          <w:szCs w:val="24"/>
        </w:rPr>
      </w:pPr>
    </w:p>
    <w:p w14:paraId="51B57A3F">
      <w:pPr>
        <w:spacing w:line="360" w:lineRule="auto"/>
        <w:ind w:firstLine="880" w:firstLineChars="200"/>
        <w:rPr>
          <w:rFonts w:hint="eastAsia" w:cs="Times New Roman" w:asciiTheme="minorEastAsia" w:hAnsiTheme="minorEastAsia"/>
          <w:color w:val="000000"/>
          <w:sz w:val="44"/>
          <w:szCs w:val="24"/>
        </w:rPr>
      </w:pPr>
    </w:p>
    <w:p w14:paraId="44D467CB">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采购人：</w:t>
      </w:r>
    </w:p>
    <w:p w14:paraId="453A0330">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中标人：</w:t>
      </w:r>
    </w:p>
    <w:p w14:paraId="7E5BAD16">
      <w:pPr>
        <w:spacing w:line="360" w:lineRule="auto"/>
        <w:ind w:firstLine="420" w:firstLineChars="200"/>
        <w:rPr>
          <w:rFonts w:hint="eastAsia" w:cs="Times New Roman" w:asciiTheme="minorEastAsia" w:hAnsiTheme="minorEastAsia"/>
          <w:color w:val="000000"/>
          <w:szCs w:val="24"/>
        </w:rPr>
      </w:pPr>
    </w:p>
    <w:p w14:paraId="67056355">
      <w:pPr>
        <w:spacing w:line="360" w:lineRule="auto"/>
        <w:ind w:firstLine="420" w:firstLineChars="200"/>
        <w:rPr>
          <w:rFonts w:hint="eastAsia" w:cs="Times New Roman" w:asciiTheme="minorEastAsia" w:hAnsiTheme="minorEastAsia"/>
          <w:color w:val="000000"/>
          <w:szCs w:val="24"/>
        </w:rPr>
      </w:pPr>
    </w:p>
    <w:p w14:paraId="1434E13F">
      <w:pPr>
        <w:spacing w:line="360" w:lineRule="auto"/>
        <w:ind w:firstLine="562"/>
        <w:rPr>
          <w:rFonts w:hint="eastAsia" w:cs="Times New Roman" w:asciiTheme="minorEastAsia" w:hAnsiTheme="minorEastAsia"/>
          <w:color w:val="000000"/>
          <w:sz w:val="28"/>
          <w:szCs w:val="24"/>
        </w:rPr>
      </w:pPr>
    </w:p>
    <w:p w14:paraId="295DA9C3">
      <w:pPr>
        <w:widowControl/>
        <w:jc w:val="left"/>
        <w:rPr>
          <w:rFonts w:hint="eastAsia" w:cs="Times New Roman" w:asciiTheme="minorEastAsia" w:hAnsiTheme="minorEastAsia"/>
          <w:b/>
          <w:sz w:val="32"/>
          <w:szCs w:val="32"/>
        </w:rPr>
      </w:pPr>
      <w:r>
        <w:rPr>
          <w:rFonts w:cs="Times New Roman" w:asciiTheme="minorEastAsia" w:hAnsiTheme="minorEastAsia"/>
          <w:b/>
          <w:sz w:val="32"/>
          <w:szCs w:val="32"/>
        </w:rPr>
        <w:br w:type="page"/>
      </w:r>
    </w:p>
    <w:p w14:paraId="04DC353C">
      <w:pPr>
        <w:spacing w:line="560" w:lineRule="exact"/>
        <w:ind w:firstLine="643"/>
        <w:jc w:val="center"/>
        <w:rPr>
          <w:rFonts w:hint="eastAsia" w:cs="Times New Roman" w:asciiTheme="minorEastAsia" w:hAnsiTheme="minorEastAsia"/>
          <w:bCs/>
          <w:szCs w:val="24"/>
        </w:rPr>
      </w:pPr>
      <w:r>
        <w:rPr>
          <w:rFonts w:hint="eastAsia" w:cs="Times New Roman" w:asciiTheme="minorEastAsia" w:hAnsiTheme="minorEastAsia"/>
          <w:b/>
          <w:sz w:val="32"/>
          <w:szCs w:val="32"/>
        </w:rPr>
        <w:t>连云港市政府采购合同</w:t>
      </w:r>
    </w:p>
    <w:p w14:paraId="41FF571A">
      <w:pPr>
        <w:spacing w:line="360" w:lineRule="auto"/>
        <w:ind w:firstLine="643" w:firstLineChars="200"/>
        <w:jc w:val="center"/>
        <w:rPr>
          <w:rFonts w:hint="eastAsia" w:cs="Times New Roman" w:asciiTheme="minorEastAsia" w:hAnsiTheme="minorEastAsia"/>
          <w:b/>
          <w:color w:val="000000"/>
          <w:sz w:val="32"/>
          <w:szCs w:val="20"/>
        </w:rPr>
      </w:pPr>
    </w:p>
    <w:p w14:paraId="1DF40CD8">
      <w:pPr>
        <w:spacing w:line="360" w:lineRule="auto"/>
        <w:ind w:firstLine="482"/>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rPr>
        <w:t>甲方：</w:t>
      </w:r>
      <w:r>
        <w:rPr>
          <w:rFonts w:hint="eastAsia" w:cs="宋体" w:asciiTheme="minorEastAsia" w:hAnsiTheme="minorEastAsia"/>
          <w:sz w:val="24"/>
          <w:szCs w:val="24"/>
          <w:lang w:eastAsia="zh-CN"/>
        </w:rPr>
        <w:t>连云港市立东方医院</w:t>
      </w:r>
    </w:p>
    <w:p w14:paraId="6E7F224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乙方：</w:t>
      </w:r>
    </w:p>
    <w:p w14:paraId="2DC7070D">
      <w:pPr>
        <w:widowControl/>
        <w:spacing w:line="360" w:lineRule="auto"/>
        <w:ind w:firstLine="480" w:firstLineChars="200"/>
        <w:jc w:val="left"/>
        <w:rPr>
          <w:rFonts w:hint="eastAsia" w:cs="宋体" w:asciiTheme="minorEastAsia" w:hAnsiTheme="minorEastAsia"/>
          <w:sz w:val="24"/>
          <w:szCs w:val="24"/>
        </w:rPr>
      </w:pPr>
      <w:r>
        <w:rPr>
          <w:rFonts w:hint="eastAsia" w:cs="Times New Roman" w:asciiTheme="minorEastAsia" w:hAnsiTheme="minorEastAsia"/>
          <w:sz w:val="24"/>
          <w:szCs w:val="24"/>
        </w:rPr>
        <w:t>甲方委托</w:t>
      </w:r>
      <w:r>
        <w:rPr>
          <w:rFonts w:hint="eastAsia" w:cs="宋体" w:asciiTheme="minorEastAsia" w:hAnsiTheme="minorEastAsia"/>
          <w:sz w:val="24"/>
          <w:szCs w:val="24"/>
          <w:u w:val="single"/>
        </w:rPr>
        <w:t>江苏中际招标代理有限公司</w:t>
      </w:r>
      <w:r>
        <w:rPr>
          <w:rFonts w:hint="eastAsia" w:cs="Times New Roman" w:asciiTheme="minorEastAsia" w:hAnsiTheme="minorEastAsia"/>
          <w:sz w:val="24"/>
          <w:szCs w:val="24"/>
        </w:rPr>
        <w:t>就</w:t>
      </w:r>
      <w:r>
        <w:rPr>
          <w:rFonts w:hint="eastAsia" w:cs="Times New Roman" w:asciiTheme="minorEastAsia" w:hAnsiTheme="minorEastAsia"/>
          <w:sz w:val="24"/>
          <w:szCs w:val="24"/>
          <w:u w:val="single"/>
          <w:lang w:eastAsia="zh-CN"/>
        </w:rPr>
        <w:t>连云港市立东方医院</w:t>
      </w:r>
      <w:r>
        <w:rPr>
          <w:rFonts w:hint="eastAsia" w:cs="Times New Roman" w:asciiTheme="minorEastAsia" w:hAnsiTheme="minorEastAsia"/>
          <w:sz w:val="24"/>
          <w:szCs w:val="24"/>
          <w:u w:val="single"/>
        </w:rPr>
        <w:t>.......设备采购</w:t>
      </w:r>
      <w:r>
        <w:rPr>
          <w:rFonts w:hint="eastAsia" w:cs="Times New Roman" w:asciiTheme="minorEastAsia" w:hAnsiTheme="minorEastAsia"/>
          <w:sz w:val="24"/>
          <w:szCs w:val="24"/>
        </w:rPr>
        <w:t>设备对外公开招标（项目编号：）。经过专家评审，确定乙方为中标单位。为规范甲乙双方权利与义务</w:t>
      </w:r>
      <w:r>
        <w:rPr>
          <w:rFonts w:hint="eastAsia" w:cs="Times New Roman" w:asciiTheme="minorEastAsia" w:hAnsiTheme="minorEastAsia"/>
          <w:color w:val="000000"/>
          <w:sz w:val="24"/>
          <w:szCs w:val="24"/>
        </w:rPr>
        <w:t>，特订立本合同。</w:t>
      </w:r>
    </w:p>
    <w:p w14:paraId="43D0BE92">
      <w:pPr>
        <w:ind w:firstLine="482"/>
        <w:rPr>
          <w:rFonts w:hint="eastAsia" w:cs="宋体" w:asciiTheme="minorEastAsia" w:hAnsiTheme="minorEastAsia"/>
          <w:color w:val="000000"/>
          <w:sz w:val="24"/>
          <w:szCs w:val="24"/>
        </w:rPr>
      </w:pPr>
      <w:r>
        <w:rPr>
          <w:rFonts w:hint="eastAsia" w:cs="宋体" w:asciiTheme="minorEastAsia" w:hAnsiTheme="minorEastAsia"/>
          <w:color w:val="000000"/>
          <w:sz w:val="24"/>
          <w:szCs w:val="24"/>
        </w:rPr>
        <w:t>一、设备名称、型号、数量和价格</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036"/>
        <w:gridCol w:w="1080"/>
        <w:gridCol w:w="1500"/>
        <w:gridCol w:w="739"/>
        <w:gridCol w:w="705"/>
        <w:gridCol w:w="1376"/>
        <w:gridCol w:w="1275"/>
      </w:tblGrid>
      <w:tr w14:paraId="1A3C4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30" w:type="dxa"/>
            <w:vAlign w:val="center"/>
          </w:tcPr>
          <w:p w14:paraId="30C0E2E3">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设备名称</w:t>
            </w:r>
          </w:p>
        </w:tc>
        <w:tc>
          <w:tcPr>
            <w:tcW w:w="2036" w:type="dxa"/>
            <w:vAlign w:val="center"/>
          </w:tcPr>
          <w:p w14:paraId="7B58E5FE">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生产厂家</w:t>
            </w:r>
          </w:p>
        </w:tc>
        <w:tc>
          <w:tcPr>
            <w:tcW w:w="1080" w:type="dxa"/>
            <w:vAlign w:val="center"/>
          </w:tcPr>
          <w:p w14:paraId="74F74B10">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注册证号</w:t>
            </w:r>
          </w:p>
        </w:tc>
        <w:tc>
          <w:tcPr>
            <w:tcW w:w="1500" w:type="dxa"/>
            <w:vAlign w:val="center"/>
          </w:tcPr>
          <w:p w14:paraId="76AF155C">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规格型号</w:t>
            </w:r>
          </w:p>
        </w:tc>
        <w:tc>
          <w:tcPr>
            <w:tcW w:w="739" w:type="dxa"/>
            <w:vAlign w:val="center"/>
          </w:tcPr>
          <w:p w14:paraId="0FEDC336">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单位</w:t>
            </w:r>
          </w:p>
        </w:tc>
        <w:tc>
          <w:tcPr>
            <w:tcW w:w="705" w:type="dxa"/>
            <w:vAlign w:val="center"/>
          </w:tcPr>
          <w:p w14:paraId="24ACE8E8">
            <w:pPr>
              <w:widowControl/>
              <w:textAlignment w:val="bottom"/>
              <w:rPr>
                <w:rFonts w:hint="eastAsia" w:cs="宋体" w:asciiTheme="minorEastAsia" w:hAnsiTheme="minorEastAsia"/>
                <w:color w:val="000000"/>
                <w:szCs w:val="21"/>
              </w:rPr>
            </w:pPr>
            <w:r>
              <w:rPr>
                <w:rFonts w:hint="eastAsia" w:cs="宋体" w:asciiTheme="minorEastAsia" w:hAnsiTheme="minorEastAsia"/>
                <w:color w:val="000000"/>
                <w:kern w:val="0"/>
                <w:szCs w:val="21"/>
              </w:rPr>
              <w:t>数量</w:t>
            </w:r>
          </w:p>
        </w:tc>
        <w:tc>
          <w:tcPr>
            <w:tcW w:w="1376" w:type="dxa"/>
            <w:vAlign w:val="center"/>
          </w:tcPr>
          <w:p w14:paraId="7D48F60F">
            <w:pPr>
              <w:widowControl/>
              <w:textAlignment w:val="bottom"/>
              <w:rPr>
                <w:rFonts w:hint="eastAsia" w:cs="宋体" w:asciiTheme="minorEastAsia" w:hAnsiTheme="minorEastAsia"/>
                <w:color w:val="000000"/>
                <w:szCs w:val="21"/>
                <w:u w:val="single"/>
              </w:rPr>
            </w:pPr>
            <w:r>
              <w:rPr>
                <w:rFonts w:hint="eastAsia" w:cs="宋体" w:asciiTheme="minorEastAsia" w:hAnsiTheme="minorEastAsia"/>
                <w:color w:val="000000"/>
                <w:kern w:val="0"/>
                <w:szCs w:val="21"/>
              </w:rPr>
              <w:t>单价（元）</w:t>
            </w:r>
          </w:p>
        </w:tc>
        <w:tc>
          <w:tcPr>
            <w:tcW w:w="1275" w:type="dxa"/>
            <w:vAlign w:val="center"/>
          </w:tcPr>
          <w:p w14:paraId="6C9D016F">
            <w:pPr>
              <w:widowControl/>
              <w:textAlignment w:val="bottom"/>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金额（元）</w:t>
            </w:r>
          </w:p>
        </w:tc>
      </w:tr>
      <w:tr w14:paraId="2EA0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330" w:type="dxa"/>
            <w:vAlign w:val="center"/>
          </w:tcPr>
          <w:p w14:paraId="0EAA4BED">
            <w:pPr>
              <w:ind w:firstLine="482"/>
              <w:jc w:val="center"/>
              <w:rPr>
                <w:rFonts w:hint="eastAsia" w:cs="宋体" w:asciiTheme="minorEastAsia" w:hAnsiTheme="minorEastAsia"/>
                <w:color w:val="000000"/>
                <w:szCs w:val="21"/>
              </w:rPr>
            </w:pPr>
          </w:p>
        </w:tc>
        <w:tc>
          <w:tcPr>
            <w:tcW w:w="2036" w:type="dxa"/>
            <w:vAlign w:val="center"/>
          </w:tcPr>
          <w:p w14:paraId="242C1753">
            <w:pPr>
              <w:ind w:firstLine="482"/>
              <w:jc w:val="center"/>
              <w:rPr>
                <w:rFonts w:hint="eastAsia" w:cs="宋体" w:asciiTheme="minorEastAsia" w:hAnsiTheme="minorEastAsia"/>
                <w:color w:val="000000"/>
                <w:szCs w:val="21"/>
              </w:rPr>
            </w:pPr>
          </w:p>
        </w:tc>
        <w:tc>
          <w:tcPr>
            <w:tcW w:w="1080" w:type="dxa"/>
            <w:vAlign w:val="center"/>
          </w:tcPr>
          <w:p w14:paraId="6976BFD7">
            <w:pPr>
              <w:ind w:firstLine="482"/>
              <w:jc w:val="center"/>
              <w:rPr>
                <w:rFonts w:hint="eastAsia" w:cs="宋体" w:asciiTheme="minorEastAsia" w:hAnsiTheme="minorEastAsia"/>
                <w:color w:val="000000"/>
                <w:szCs w:val="21"/>
              </w:rPr>
            </w:pPr>
          </w:p>
        </w:tc>
        <w:tc>
          <w:tcPr>
            <w:tcW w:w="1500" w:type="dxa"/>
            <w:vAlign w:val="center"/>
          </w:tcPr>
          <w:p w14:paraId="2AEA8592">
            <w:pPr>
              <w:ind w:firstLine="482"/>
              <w:jc w:val="center"/>
              <w:rPr>
                <w:rFonts w:hint="eastAsia" w:cs="宋体" w:asciiTheme="minorEastAsia" w:hAnsiTheme="minorEastAsia"/>
                <w:color w:val="000000"/>
                <w:szCs w:val="21"/>
              </w:rPr>
            </w:pPr>
          </w:p>
        </w:tc>
        <w:tc>
          <w:tcPr>
            <w:tcW w:w="739" w:type="dxa"/>
            <w:vAlign w:val="center"/>
          </w:tcPr>
          <w:p w14:paraId="78CE223B">
            <w:pPr>
              <w:ind w:firstLine="482"/>
              <w:jc w:val="center"/>
              <w:rPr>
                <w:rFonts w:hint="eastAsia" w:cs="宋体" w:asciiTheme="minorEastAsia" w:hAnsiTheme="minorEastAsia"/>
                <w:color w:val="000000"/>
                <w:szCs w:val="21"/>
              </w:rPr>
            </w:pPr>
          </w:p>
        </w:tc>
        <w:tc>
          <w:tcPr>
            <w:tcW w:w="705" w:type="dxa"/>
            <w:vAlign w:val="center"/>
          </w:tcPr>
          <w:p w14:paraId="64D8E666">
            <w:pPr>
              <w:ind w:firstLine="482"/>
              <w:jc w:val="center"/>
              <w:rPr>
                <w:rFonts w:hint="eastAsia" w:cs="宋体" w:asciiTheme="minorEastAsia" w:hAnsiTheme="minorEastAsia"/>
                <w:color w:val="000000"/>
                <w:szCs w:val="21"/>
              </w:rPr>
            </w:pPr>
          </w:p>
        </w:tc>
        <w:tc>
          <w:tcPr>
            <w:tcW w:w="1376" w:type="dxa"/>
            <w:vAlign w:val="center"/>
          </w:tcPr>
          <w:p w14:paraId="48181908">
            <w:pPr>
              <w:ind w:firstLine="482"/>
              <w:jc w:val="center"/>
              <w:rPr>
                <w:rFonts w:hint="eastAsia" w:cs="宋体" w:asciiTheme="minorEastAsia" w:hAnsiTheme="minorEastAsia"/>
                <w:color w:val="000000"/>
                <w:szCs w:val="21"/>
              </w:rPr>
            </w:pPr>
          </w:p>
        </w:tc>
        <w:tc>
          <w:tcPr>
            <w:tcW w:w="1275" w:type="dxa"/>
            <w:vAlign w:val="center"/>
          </w:tcPr>
          <w:p w14:paraId="4B98EA22">
            <w:pPr>
              <w:ind w:firstLine="482"/>
              <w:jc w:val="center"/>
              <w:rPr>
                <w:rFonts w:hint="eastAsia" w:cs="宋体" w:asciiTheme="minorEastAsia" w:hAnsiTheme="minorEastAsia"/>
                <w:color w:val="000000"/>
                <w:szCs w:val="21"/>
              </w:rPr>
            </w:pPr>
          </w:p>
        </w:tc>
      </w:tr>
      <w:tr w14:paraId="159E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vAlign w:val="bottom"/>
          </w:tcPr>
          <w:p w14:paraId="4AAB457D">
            <w:pPr>
              <w:widowControl/>
              <w:ind w:firstLine="482"/>
              <w:textAlignment w:val="bottom"/>
              <w:rPr>
                <w:rFonts w:hint="eastAsia" w:cs="宋体" w:asciiTheme="minorEastAsia" w:hAnsiTheme="minorEastAsia"/>
                <w:color w:val="000000"/>
                <w:szCs w:val="21"/>
                <w:u w:val="single"/>
              </w:rPr>
            </w:pPr>
            <w:r>
              <w:rPr>
                <w:rFonts w:hint="eastAsia" w:cs="宋体" w:asciiTheme="minorEastAsia" w:hAnsiTheme="minorEastAsia"/>
                <w:color w:val="000000"/>
                <w:kern w:val="0"/>
                <w:szCs w:val="21"/>
              </w:rPr>
              <w:t>总计（大写）：人民币   元整</w:t>
            </w:r>
          </w:p>
        </w:tc>
        <w:tc>
          <w:tcPr>
            <w:tcW w:w="2651" w:type="dxa"/>
            <w:gridSpan w:val="2"/>
            <w:vAlign w:val="bottom"/>
          </w:tcPr>
          <w:p w14:paraId="0AC6C87B">
            <w:pPr>
              <w:widowControl/>
              <w:ind w:firstLine="482"/>
              <w:textAlignment w:val="bottom"/>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（小写）：</w:t>
            </w:r>
          </w:p>
        </w:tc>
      </w:tr>
    </w:tbl>
    <w:p w14:paraId="3E5F496F">
      <w:pPr>
        <w:ind w:firstLine="420" w:firstLineChars="200"/>
        <w:rPr>
          <w:rFonts w:hint="eastAsia" w:cs="宋体" w:asciiTheme="minorEastAsia" w:hAnsiTheme="minorEastAsia"/>
          <w:color w:val="000000"/>
          <w:szCs w:val="21"/>
        </w:rPr>
      </w:pPr>
      <w:r>
        <w:rPr>
          <w:rFonts w:hint="eastAsia" w:cs="宋体" w:asciiTheme="minorEastAsia" w:hAnsiTheme="minorEastAsia"/>
          <w:color w:val="000000"/>
          <w:szCs w:val="21"/>
        </w:rPr>
        <w:t>注：合同价款已包含货物生产（含所有配件、备品备件、专用工具等）、包装、运输（运抵现场）、保险、检测检验、安装、管理费、产品保护、技术服务、税金、利润、相关部门验收、不可预见及其他相关所有费用，直至交付甲方使用。</w:t>
      </w:r>
    </w:p>
    <w:p w14:paraId="7958C474">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二、设备配置清单见附件。</w:t>
      </w:r>
    </w:p>
    <w:p w14:paraId="2E41AD61">
      <w:pPr>
        <w:spacing w:line="360" w:lineRule="auto"/>
        <w:ind w:firstLine="480" w:firstLineChars="200"/>
        <w:rPr>
          <w:rFonts w:hint="eastAsia" w:cs="宋体" w:asciiTheme="minorEastAsia" w:hAnsiTheme="minorEastAsia"/>
          <w:sz w:val="24"/>
          <w:szCs w:val="24"/>
          <w:lang w:eastAsia="zh-CN"/>
        </w:rPr>
      </w:pPr>
      <w:r>
        <w:rPr>
          <w:rFonts w:hint="eastAsia" w:cs="宋体" w:asciiTheme="minorEastAsia" w:hAnsiTheme="minorEastAsia"/>
          <w:sz w:val="24"/>
          <w:szCs w:val="24"/>
        </w:rPr>
        <w:t>三、付款方式：（1）取得相关审批材料、设备到货后，乙方应向甲方提供真实、合法的全额销售发票，甲方应向乙方支付合同总价的30％；（2）设备验收合格，且无质量问题情况下，甲方支付至合同总价的60％；（3）设备验收合格、取得竣工验收报告并公示合格后，甲方支付至合同总价的100％</w:t>
      </w:r>
      <w:r>
        <w:rPr>
          <w:rFonts w:hint="eastAsia" w:cs="宋体" w:asciiTheme="minorEastAsia" w:hAnsiTheme="minorEastAsia"/>
          <w:sz w:val="24"/>
          <w:szCs w:val="24"/>
          <w:lang w:eastAsia="zh-CN"/>
        </w:rPr>
        <w:t>。</w:t>
      </w:r>
    </w:p>
    <w:p w14:paraId="4B556864">
      <w:pPr>
        <w:spacing w:line="360" w:lineRule="auto"/>
        <w:ind w:firstLine="480" w:firstLineChars="20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四、交货期：乙方应在本合同生效之日起天之内将货物运抵甲方指定地点。</w:t>
      </w:r>
    </w:p>
    <w:p w14:paraId="6DFB4696">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五、交货地点：</w:t>
      </w:r>
      <w:r>
        <w:rPr>
          <w:rFonts w:hint="eastAsia" w:cs="宋体" w:asciiTheme="minorEastAsia" w:hAnsiTheme="minorEastAsia"/>
          <w:sz w:val="24"/>
          <w:szCs w:val="24"/>
          <w:lang w:eastAsia="zh-CN"/>
        </w:rPr>
        <w:t>连云港市立东方医院</w:t>
      </w:r>
      <w:r>
        <w:rPr>
          <w:rFonts w:hint="eastAsia" w:cs="宋体" w:asciiTheme="minorEastAsia" w:hAnsiTheme="minorEastAsia"/>
          <w:sz w:val="24"/>
          <w:szCs w:val="24"/>
        </w:rPr>
        <w:t>指定院区。</w:t>
      </w:r>
    </w:p>
    <w:p w14:paraId="4EA98348">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六、质保期：上述设备提供免费原厂全保年，自甲方正式验收合格之日起计算。在质保期内，乙方需对所提供的货物定期检查和保养，并且保证每年上门检修、保养一次，不再向甲方收取费用。</w:t>
      </w:r>
    </w:p>
    <w:p w14:paraId="5C61D1AF">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七、资质、质量要求及技术标准</w:t>
      </w:r>
    </w:p>
    <w:p w14:paraId="1D181931">
      <w:pPr>
        <w:spacing w:line="360" w:lineRule="auto"/>
        <w:ind w:firstLine="480" w:firstLineChars="200"/>
        <w:rPr>
          <w:rFonts w:hint="eastAsia" w:cs="宋体" w:asciiTheme="minorEastAsia" w:hAnsiTheme="minorEastAsia"/>
          <w:bCs/>
          <w:sz w:val="24"/>
          <w:szCs w:val="24"/>
        </w:rPr>
      </w:pPr>
      <w:r>
        <w:rPr>
          <w:rFonts w:hint="eastAsia" w:cs="宋体" w:asciiTheme="minorEastAsia" w:hAnsiTheme="minorEastAsia"/>
          <w:sz w:val="24"/>
          <w:szCs w:val="24"/>
        </w:rPr>
        <w:t>1．特别提醒条款：</w:t>
      </w:r>
      <w:r>
        <w:rPr>
          <w:rFonts w:hint="eastAsia" w:cs="宋体" w:asciiTheme="minorEastAsia" w:hAnsiTheme="minorEastAsia"/>
          <w:bCs/>
          <w:sz w:val="24"/>
          <w:szCs w:val="24"/>
        </w:rPr>
        <w:t>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p>
    <w:p w14:paraId="0A141FD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p>
    <w:p w14:paraId="60FBBFEB">
      <w:pPr>
        <w:spacing w:line="360" w:lineRule="auto"/>
        <w:ind w:firstLine="480" w:firstLineChars="200"/>
        <w:rPr>
          <w:rFonts w:hint="eastAsia" w:cs="宋体" w:asciiTheme="minorEastAsia" w:hAnsiTheme="minorEastAsia"/>
          <w:sz w:val="24"/>
          <w:szCs w:val="24"/>
          <w:u w:val="single"/>
        </w:rPr>
      </w:pPr>
      <w:r>
        <w:rPr>
          <w:rFonts w:hint="eastAsia" w:cs="宋体" w:asciiTheme="minorEastAsia" w:hAnsiTheme="minorEastAsia"/>
          <w:sz w:val="24"/>
          <w:szCs w:val="24"/>
        </w:rPr>
        <w:t>3．乙方保证所供设备为全新、未使用过的原装正品，生产日期在合同签订之日1年以内，并严格保持原包装，否则甲方有权拒收或要求更换，造成的一切损失由乙方负全部责任。</w:t>
      </w:r>
    </w:p>
    <w:p w14:paraId="568A1986">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八、设备到货、安装和验收要求</w:t>
      </w:r>
    </w:p>
    <w:p w14:paraId="245A8C0A">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6BB43494">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7A554CDB">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3．设备安装、调试结束后，甲方对设备试用后进行验收（时间由甲、乙双方商定），乙方免费派工程师到达现场协助验收工作。</w:t>
      </w:r>
    </w:p>
    <w:p w14:paraId="6C684EB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4. 乙方确保设备安装调试后须具备正常运行所需的所有条件，即为交钥匙项目。</w:t>
      </w:r>
    </w:p>
    <w:p w14:paraId="7F91669C">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5．质保期自甲方书面验收合格之日算起，质保期外只收配件费，免收人工费等一切费用。</w:t>
      </w:r>
    </w:p>
    <w:p w14:paraId="06F87D7E">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p>
    <w:p w14:paraId="3C374E3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九、技术培训</w:t>
      </w:r>
    </w:p>
    <w:p w14:paraId="6C7C8BC7">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①现场技术培训：在安装过程中或安装结束后，乙方工程师或有关人员有义务免费对甲方工程师和操作人员进行现场维修、保养、操作培训，解答甲方人员提出的问题。</w:t>
      </w:r>
    </w:p>
    <w:p w14:paraId="6E17DF11">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 xml:space="preserve"> ②正规培训班培训：/。</w:t>
      </w:r>
    </w:p>
    <w:p w14:paraId="00DBF624">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十、售后服务要求</w:t>
      </w:r>
    </w:p>
    <w:p w14:paraId="37C84FC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确保设备质保期内开机率为98%，如设备故障停机率超过2%（一年按365天计算，每年8天），每超过一天（一天并不意味24小时停机，只要当日发生停机事件，即视为停机一天），质保期延长两周，超过10天，乙方应向甲方每天支付合同金额1%的违约金。</w:t>
      </w:r>
    </w:p>
    <w:p w14:paraId="32A1EEA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p>
    <w:p w14:paraId="60BD3DB3">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3．无论在质保期内还是质保期外，乙方必须上门维修，乙方工程师来甲方维修本设备，必须事先与甲方临床医学工程部取得联系；在维修过程中与甲方工程师共同完成维修工作。否则由此引起的一切责任由乙方负责。</w:t>
      </w:r>
    </w:p>
    <w:p w14:paraId="0DBDB236">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4．乙方免费提供全套技术资料（维修说明书包括详细电路图、操作说明书及光盘等），如技术资料不全，甲方有权不支付货款。</w:t>
      </w:r>
    </w:p>
    <w:p w14:paraId="5DD40E3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十一、专利权和货物相关的更改要求</w:t>
      </w:r>
    </w:p>
    <w:p w14:paraId="0748EA66">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7502A1E3">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p>
    <w:p w14:paraId="4489614E">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444640F5">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4、在合同执行过程中，如果国家相应的技术规范作出调整，或货物的技术有了较大的更新，乙方应免费更换所供货物的相应部件。</w:t>
      </w:r>
    </w:p>
    <w:p w14:paraId="49562819">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十二、违约责任</w:t>
      </w:r>
    </w:p>
    <w:p w14:paraId="1B6EF6AE">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1、甲方无正当理由拒收货物的，由甲方向乙方偿付合同总价的5%违约金。</w:t>
      </w:r>
    </w:p>
    <w:p w14:paraId="7D770F2B">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2、甲方未按合同规定的期限向乙方支付货款的，每逾期一天甲方向乙方偿付欠款总额的万分之一滞纳金，但累计滞纳金总额不超过欠款总额的5% 。</w:t>
      </w:r>
    </w:p>
    <w:p w14:paraId="0F9C551B">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3、如乙方不能交付货物，乙方应向甲方支付合同总价5%违约金。</w:t>
      </w:r>
    </w:p>
    <w:p w14:paraId="63FC0DEC">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4、乙方逾期交付货物的，每逾期1天，乙方向甲方偿付逾期交货部分货款总额的万分之三的滞纳金。如乙方逾期交货达10天，甲方有权解除合同，合同自通知到达乙方时解除。</w:t>
      </w:r>
    </w:p>
    <w:p w14:paraId="707379EA">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5、乙方所交付的货物品种、型号、规格等不符合合同规定的，甲方有权拒收。甲方拒收的，乙方应向甲方支付合同货款总额5%的违约金。</w:t>
      </w:r>
    </w:p>
    <w:p w14:paraId="543173FC">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6、乙方所供设备如验收不合格，根据甲方的要求，乙方必须在甲方规定的时间内无条件换货或退货，由此引起的一切损失由乙方承担。</w:t>
      </w:r>
    </w:p>
    <w:p w14:paraId="07AD631B">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p>
    <w:p w14:paraId="5A1CFA31">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8、乙方未按本合同的规定和“服务承诺”提供伴随服务/售后服务的，应按合同总价款的10%向甲方承担违约责任,同时将依法向上级招投标机构要求给予乙方列入黑名单的处罚，并保留追究相关法律责任的权利。</w:t>
      </w:r>
    </w:p>
    <w:p w14:paraId="19C2C32E">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十三、合同的变更和终止</w:t>
      </w:r>
    </w:p>
    <w:p w14:paraId="392391A6">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（一）合同变更</w:t>
      </w:r>
    </w:p>
    <w:p w14:paraId="4261C3FF">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1、如因国家相关法律、法规及国家政策发生变化，需变更本合同的，则双方应对相关条款进行依法变更；</w:t>
      </w:r>
    </w:p>
    <w:p w14:paraId="78422FCC">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0D26CC18">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（二）合同终止</w:t>
      </w:r>
    </w:p>
    <w:p w14:paraId="48784F60">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出现下列情况之一的，合同将终止：</w:t>
      </w:r>
    </w:p>
    <w:p w14:paraId="2F3A8D5D">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1、合同履行完毕、权利义务关系消灭的；</w:t>
      </w:r>
    </w:p>
    <w:p w14:paraId="613B797A">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2、国家法律、法规、条例进行调整，禁止本合同延续的；或合同一方被国家执法机关处罚、查封关闭的；</w:t>
      </w:r>
    </w:p>
    <w:p w14:paraId="2C5B46C9">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 xml:space="preserve">3、一方严重违约（如乙方逾期供货、质量低下导致甲方使用中存在安全风险，以及可能会造成甲方其他严重后果）的； </w:t>
      </w:r>
    </w:p>
    <w:p w14:paraId="2DE120FA">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4、发生严重纠纷、事故，影响医疗秩序的或存在严重纠纷、医疗事故隐患的，以及其他严重影响医院声誉情况的；</w:t>
      </w:r>
    </w:p>
    <w:p w14:paraId="4D461BCE">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5、其他国家法律、法规规定的或经双方共同认可的其他可终止合同情况。</w:t>
      </w:r>
    </w:p>
    <w:p w14:paraId="6099AF79">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十四、争议的解决</w:t>
      </w:r>
    </w:p>
    <w:p w14:paraId="56E027D7">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p>
    <w:p w14:paraId="419FE695">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sz w:val="24"/>
          <w:szCs w:val="24"/>
        </w:rPr>
        <w:t>2、因履行本合同引起的或与本合同有关的争议，甲、乙双方应首先通过友好协商解决，如果协商不能解决争议，向甲方所在地人民法院提起诉讼。</w:t>
      </w:r>
    </w:p>
    <w:p w14:paraId="590CFE9D">
      <w:pPr>
        <w:spacing w:line="360" w:lineRule="auto"/>
        <w:ind w:firstLine="480" w:firstLineChars="200"/>
        <w:rPr>
          <w:rFonts w:hint="eastAsia" w:cs="宋体" w:asciiTheme="minorEastAsia" w:hAnsiTheme="minorEastAsia"/>
          <w:sz w:val="24"/>
          <w:szCs w:val="24"/>
        </w:rPr>
      </w:pPr>
      <w:r>
        <w:rPr>
          <w:rFonts w:hint="eastAsia" w:cs="宋体" w:asciiTheme="minorEastAsia" w:hAnsiTheme="minorEastAsia"/>
          <w:color w:val="000000"/>
          <w:sz w:val="24"/>
          <w:szCs w:val="24"/>
        </w:rPr>
        <w:t>十五、其他约定</w:t>
      </w:r>
      <w:r>
        <w:rPr>
          <w:rFonts w:hint="eastAsia" w:cs="宋体" w:asciiTheme="minorEastAsia" w:hAnsiTheme="minorEastAsia"/>
          <w:sz w:val="24"/>
          <w:szCs w:val="24"/>
        </w:rPr>
        <w:t>：设备出保后全保费用为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p>
    <w:tbl>
      <w:tblPr>
        <w:tblStyle w:val="36"/>
        <w:tblW w:w="0" w:type="auto"/>
        <w:jc w:val="center"/>
        <w:tblLayout w:type="fixed"/>
        <w:tblCellMar>
          <w:top w:w="15" w:type="dxa"/>
          <w:left w:w="15" w:type="dxa"/>
          <w:bottom w:w="15" w:type="dxa"/>
          <w:right w:w="15" w:type="dxa"/>
        </w:tblCellMar>
      </w:tblPr>
      <w:tblGrid>
        <w:gridCol w:w="596"/>
        <w:gridCol w:w="1764"/>
        <w:gridCol w:w="1640"/>
        <w:gridCol w:w="1589"/>
        <w:gridCol w:w="1320"/>
        <w:gridCol w:w="925"/>
        <w:gridCol w:w="1412"/>
      </w:tblGrid>
      <w:tr w14:paraId="1CEED892">
        <w:tblPrEx>
          <w:tblCellMar>
            <w:top w:w="15" w:type="dxa"/>
            <w:left w:w="15" w:type="dxa"/>
            <w:bottom w:w="15" w:type="dxa"/>
            <w:right w:w="15" w:type="dxa"/>
          </w:tblCellMar>
        </w:tblPrEx>
        <w:trPr>
          <w:trHeight w:val="339" w:hRule="atLeast"/>
          <w:jc w:val="center"/>
        </w:trPr>
        <w:tc>
          <w:tcPr>
            <w:tcW w:w="596" w:type="dxa"/>
            <w:tcBorders>
              <w:top w:val="single" w:color="000000" w:sz="4" w:space="0"/>
              <w:left w:val="single" w:color="000000" w:sz="4" w:space="0"/>
              <w:bottom w:val="single" w:color="auto" w:sz="4" w:space="0"/>
              <w:right w:val="single" w:color="000000" w:sz="4" w:space="0"/>
            </w:tcBorders>
            <w:noWrap/>
            <w:vAlign w:val="center"/>
          </w:tcPr>
          <w:p w14:paraId="1306A737">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序号</w:t>
            </w:r>
          </w:p>
        </w:tc>
        <w:tc>
          <w:tcPr>
            <w:tcW w:w="1764" w:type="dxa"/>
            <w:tcBorders>
              <w:top w:val="single" w:color="000000" w:sz="4" w:space="0"/>
              <w:left w:val="single" w:color="000000" w:sz="4" w:space="0"/>
              <w:bottom w:val="single" w:color="auto" w:sz="4" w:space="0"/>
              <w:right w:val="single" w:color="000000" w:sz="4" w:space="0"/>
            </w:tcBorders>
            <w:noWrap/>
            <w:vAlign w:val="center"/>
          </w:tcPr>
          <w:p w14:paraId="40CC425A">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产品名称</w:t>
            </w:r>
          </w:p>
        </w:tc>
        <w:tc>
          <w:tcPr>
            <w:tcW w:w="1640" w:type="dxa"/>
            <w:tcBorders>
              <w:top w:val="single" w:color="000000" w:sz="4" w:space="0"/>
              <w:left w:val="single" w:color="000000" w:sz="4" w:space="0"/>
              <w:bottom w:val="single" w:color="000000" w:sz="4" w:space="0"/>
              <w:right w:val="single" w:color="000000" w:sz="4" w:space="0"/>
            </w:tcBorders>
            <w:noWrap/>
            <w:vAlign w:val="center"/>
          </w:tcPr>
          <w:p w14:paraId="698392BF">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生产企业</w:t>
            </w: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4C5304AF">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注册证编号</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07C16A39">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规格型号</w:t>
            </w: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2FCE1BB2">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单位</w:t>
            </w: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6715E1F4">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供货单价（元）</w:t>
            </w:r>
          </w:p>
        </w:tc>
      </w:tr>
      <w:tr w14:paraId="63CF8388">
        <w:tblPrEx>
          <w:tblCellMar>
            <w:top w:w="15" w:type="dxa"/>
            <w:left w:w="15" w:type="dxa"/>
            <w:bottom w:w="15" w:type="dxa"/>
            <w:right w:w="15" w:type="dxa"/>
          </w:tblCellMar>
        </w:tblPrEx>
        <w:trPr>
          <w:trHeight w:val="395" w:hRule="atLeast"/>
          <w:jc w:val="center"/>
        </w:trPr>
        <w:tc>
          <w:tcPr>
            <w:tcW w:w="596" w:type="dxa"/>
            <w:tcBorders>
              <w:top w:val="single" w:color="auto" w:sz="4" w:space="0"/>
              <w:left w:val="single" w:color="auto" w:sz="4" w:space="0"/>
              <w:bottom w:val="single" w:color="auto" w:sz="4" w:space="0"/>
              <w:right w:val="single" w:color="auto" w:sz="4" w:space="0"/>
            </w:tcBorders>
            <w:noWrap/>
            <w:vAlign w:val="center"/>
          </w:tcPr>
          <w:p w14:paraId="1F5CD832">
            <w:pPr>
              <w:spacing w:line="360" w:lineRule="auto"/>
              <w:ind w:firstLine="480" w:firstLineChars="200"/>
              <w:rPr>
                <w:rFonts w:hint="eastAsia" w:cs="宋体" w:asciiTheme="minorEastAsia" w:hAnsiTheme="minorEastAsia"/>
                <w:sz w:val="24"/>
                <w:szCs w:val="24"/>
              </w:rPr>
            </w:pPr>
          </w:p>
        </w:tc>
        <w:tc>
          <w:tcPr>
            <w:tcW w:w="1764" w:type="dxa"/>
            <w:tcBorders>
              <w:top w:val="single" w:color="auto" w:sz="4" w:space="0"/>
              <w:left w:val="single" w:color="auto" w:sz="4" w:space="0"/>
              <w:bottom w:val="single" w:color="auto" w:sz="4" w:space="0"/>
              <w:right w:val="single" w:color="auto" w:sz="4" w:space="0"/>
            </w:tcBorders>
            <w:noWrap/>
            <w:vAlign w:val="center"/>
          </w:tcPr>
          <w:p w14:paraId="24D3ACA6">
            <w:pPr>
              <w:spacing w:line="360" w:lineRule="auto"/>
              <w:ind w:firstLine="480" w:firstLineChars="200"/>
              <w:rPr>
                <w:rFonts w:hint="eastAsia" w:cs="宋体" w:asciiTheme="minorEastAsia" w:hAnsiTheme="minorEastAsia"/>
                <w:sz w:val="24"/>
                <w:szCs w:val="24"/>
              </w:rPr>
            </w:pPr>
          </w:p>
        </w:tc>
        <w:tc>
          <w:tcPr>
            <w:tcW w:w="1640" w:type="dxa"/>
            <w:tcBorders>
              <w:top w:val="single" w:color="000000" w:sz="4" w:space="0"/>
              <w:left w:val="single" w:color="auto" w:sz="4" w:space="0"/>
              <w:bottom w:val="single" w:color="000000" w:sz="4" w:space="0"/>
              <w:right w:val="single" w:color="000000" w:sz="4" w:space="0"/>
            </w:tcBorders>
            <w:noWrap/>
            <w:vAlign w:val="center"/>
          </w:tcPr>
          <w:p w14:paraId="5720160D">
            <w:pPr>
              <w:spacing w:line="360" w:lineRule="auto"/>
              <w:ind w:firstLine="480" w:firstLineChars="200"/>
              <w:rPr>
                <w:rFonts w:hint="eastAsia" w:cs="宋体" w:asciiTheme="minorEastAsia" w:hAnsiTheme="minorEastAsia"/>
                <w:sz w:val="24"/>
                <w:szCs w:val="24"/>
              </w:rPr>
            </w:pP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0D339399">
            <w:pPr>
              <w:spacing w:line="360" w:lineRule="auto"/>
              <w:ind w:firstLine="480" w:firstLineChars="200"/>
              <w:rPr>
                <w:rFonts w:hint="eastAsia" w:cs="宋体" w:asciiTheme="minorEastAsia" w:hAnsiTheme="minorEastAsia"/>
                <w:sz w:val="24"/>
                <w:szCs w:val="24"/>
              </w:rPr>
            </w:pP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5F05C7CB">
            <w:pPr>
              <w:spacing w:line="360" w:lineRule="auto"/>
              <w:ind w:firstLine="480" w:firstLineChars="200"/>
              <w:rPr>
                <w:rFonts w:hint="eastAsia" w:cs="宋体" w:asciiTheme="minorEastAsia" w:hAnsiTheme="minorEastAsia"/>
                <w:sz w:val="24"/>
                <w:szCs w:val="24"/>
              </w:rPr>
            </w:pP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1099D53B">
            <w:pPr>
              <w:spacing w:line="360" w:lineRule="auto"/>
              <w:ind w:firstLine="480" w:firstLineChars="200"/>
              <w:rPr>
                <w:rFonts w:hint="eastAsia" w:cs="宋体" w:asciiTheme="minorEastAsia" w:hAnsiTheme="minorEastAsia"/>
                <w:sz w:val="24"/>
                <w:szCs w:val="24"/>
              </w:rPr>
            </w:pP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5F487DDC">
            <w:pPr>
              <w:spacing w:line="360" w:lineRule="auto"/>
              <w:ind w:firstLine="480" w:firstLineChars="200"/>
              <w:rPr>
                <w:rFonts w:hint="eastAsia" w:cs="宋体" w:asciiTheme="minorEastAsia" w:hAnsiTheme="minorEastAsia"/>
                <w:sz w:val="24"/>
                <w:szCs w:val="24"/>
              </w:rPr>
            </w:pPr>
          </w:p>
        </w:tc>
      </w:tr>
    </w:tbl>
    <w:p w14:paraId="6D0FBFFE">
      <w:pPr>
        <w:spacing w:line="360" w:lineRule="auto"/>
        <w:ind w:firstLine="480" w:firstLineChars="200"/>
        <w:rPr>
          <w:rFonts w:hint="eastAsia" w:cs="宋体" w:asciiTheme="minorEastAsia" w:hAnsiTheme="minorEastAsia"/>
          <w:color w:val="000000"/>
          <w:sz w:val="24"/>
          <w:szCs w:val="24"/>
        </w:rPr>
      </w:pPr>
      <w:r>
        <w:rPr>
          <w:rFonts w:hint="eastAsia" w:cs="宋体" w:asciiTheme="minorEastAsia" w:hAnsiTheme="minorEastAsia"/>
          <w:color w:val="000000"/>
          <w:sz w:val="24"/>
          <w:szCs w:val="24"/>
        </w:rPr>
        <w:t>十六、合同生效</w:t>
      </w:r>
    </w:p>
    <w:p w14:paraId="20E3F474">
      <w:pPr>
        <w:spacing w:line="360" w:lineRule="auto"/>
        <w:ind w:firstLine="480" w:firstLineChars="200"/>
        <w:rPr>
          <w:rFonts w:hint="eastAsia" w:cs="宋体" w:asciiTheme="minorEastAsia" w:hAnsiTheme="minorEastAsia"/>
          <w:color w:val="000000"/>
          <w:sz w:val="24"/>
          <w:szCs w:val="24"/>
        </w:rPr>
      </w:pPr>
      <w:r>
        <w:rPr>
          <w:rFonts w:hint="eastAsia" w:cs="Times New Roman" w:asciiTheme="minorEastAsia" w:hAnsiTheme="minorEastAsia"/>
          <w:sz w:val="24"/>
          <w:szCs w:val="24"/>
        </w:rPr>
        <w:t>本合同和招、投标文件及承诺书，内容互补，</w:t>
      </w:r>
      <w:r>
        <w:rPr>
          <w:rFonts w:hint="eastAsia" w:cs="宋体" w:asciiTheme="minorEastAsia" w:hAnsiTheme="minorEastAsia"/>
          <w:color w:val="000000"/>
          <w:sz w:val="24"/>
          <w:szCs w:val="24"/>
        </w:rPr>
        <w:t>具有同等法律效力，应按照中华人民共和国的现行法律进行解释。合同一式肆份，甲方叁份、乙方壹份，自双方签字盖章后生效。</w:t>
      </w:r>
    </w:p>
    <w:p w14:paraId="7C1B4CD5">
      <w:pPr>
        <w:spacing w:line="360" w:lineRule="auto"/>
        <w:ind w:firstLine="361"/>
        <w:rPr>
          <w:rFonts w:hint="eastAsia" w:cs="宋体" w:asciiTheme="minorEastAsia" w:hAnsiTheme="minorEastAsia"/>
          <w:color w:val="000000"/>
          <w:sz w:val="18"/>
          <w:szCs w:val="18"/>
        </w:rPr>
      </w:pPr>
    </w:p>
    <w:p w14:paraId="5F21E65D">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甲方：</w:t>
      </w:r>
      <w:r>
        <w:rPr>
          <w:rFonts w:hint="eastAsia" w:cs="宋体" w:asciiTheme="minorEastAsia" w:hAnsiTheme="minorEastAsia"/>
          <w:b/>
          <w:sz w:val="24"/>
          <w:szCs w:val="24"/>
          <w:lang w:eastAsia="zh-CN"/>
        </w:rPr>
        <w:t>连云港市立东方医院</w:t>
      </w:r>
      <w:r>
        <w:rPr>
          <w:rFonts w:hint="eastAsia" w:cs="宋体" w:asciiTheme="minorEastAsia" w:hAnsiTheme="minorEastAsia"/>
          <w:b/>
          <w:sz w:val="24"/>
          <w:szCs w:val="24"/>
        </w:rPr>
        <w:t xml:space="preserve">                乙方：</w:t>
      </w:r>
    </w:p>
    <w:p w14:paraId="3923C3B2">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地址：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地址：</w:t>
      </w:r>
    </w:p>
    <w:p w14:paraId="7F27B61B">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电话：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 xml:space="preserve">          电话：</w:t>
      </w:r>
    </w:p>
    <w:p w14:paraId="0FE85906">
      <w:pPr>
        <w:spacing w:line="360" w:lineRule="auto"/>
        <w:rPr>
          <w:rFonts w:hint="eastAsia" w:cs="宋体" w:asciiTheme="minorEastAsia" w:hAnsiTheme="minorEastAsia"/>
          <w:b/>
          <w:sz w:val="24"/>
          <w:szCs w:val="24"/>
        </w:rPr>
      </w:pPr>
      <w:r>
        <w:fldChar w:fldCharType="begin"/>
      </w:r>
      <w:r>
        <w:instrText xml:space="preserve"> HYPERLINK "mailto:邮箱lygyyzbcgzx@163.com" </w:instrText>
      </w:r>
      <w:r>
        <w:fldChar w:fldCharType="separate"/>
      </w:r>
      <w:r>
        <w:rPr>
          <w:rFonts w:hint="eastAsia" w:cs="宋体" w:asciiTheme="minorEastAsia" w:hAnsiTheme="minorEastAsia"/>
          <w:b/>
          <w:sz w:val="24"/>
        </w:rPr>
        <w:t>邮箱</w:t>
      </w:r>
      <w:r>
        <w:rPr>
          <w:rFonts w:hint="eastAsia" w:cs="宋体" w:asciiTheme="minorEastAsia" w:hAnsiTheme="minorEastAsia"/>
          <w:b/>
          <w:sz w:val="24"/>
          <w:szCs w:val="24"/>
          <w:shd w:val="clear" w:color="FFFFFF" w:fill="auto"/>
        </w:rPr>
        <w:t>：</w:t>
      </w:r>
      <w:r>
        <w:rPr>
          <w:rFonts w:hint="eastAsia" w:cs="宋体" w:asciiTheme="minorEastAsia" w:hAnsiTheme="minorEastAsia"/>
          <w:b/>
          <w:sz w:val="24"/>
        </w:rPr>
        <w:fldChar w:fldCharType="end"/>
      </w:r>
      <w:r>
        <w:rPr>
          <w:rFonts w:hint="eastAsia" w:cs="宋体" w:asciiTheme="minorEastAsia" w:hAnsiTheme="minorEastAsia"/>
          <w:b/>
          <w:sz w:val="24"/>
          <w:szCs w:val="24"/>
        </w:rPr>
        <w:t xml:space="preserve">            </w:t>
      </w:r>
      <w:r>
        <w:rPr>
          <w:rFonts w:hint="eastAsia" w:cs="宋体" w:asciiTheme="minorEastAsia" w:hAnsiTheme="minorEastAsia"/>
          <w:b/>
          <w:sz w:val="24"/>
          <w:szCs w:val="24"/>
          <w:lang w:val="en-US" w:eastAsia="zh-CN"/>
        </w:rPr>
        <w:t xml:space="preserve">                 </w:t>
      </w:r>
      <w:r>
        <w:rPr>
          <w:rFonts w:hint="eastAsia" w:cs="宋体" w:asciiTheme="minorEastAsia" w:hAnsiTheme="minorEastAsia"/>
          <w:b/>
          <w:sz w:val="24"/>
          <w:szCs w:val="24"/>
        </w:rPr>
        <w:t xml:space="preserve">     邮箱：</w:t>
      </w:r>
    </w:p>
    <w:p w14:paraId="67D77FE0">
      <w:pPr>
        <w:spacing w:line="600" w:lineRule="auto"/>
        <w:rPr>
          <w:rFonts w:hint="eastAsia" w:cs="宋体" w:asciiTheme="minorEastAsia" w:hAnsiTheme="minorEastAsia"/>
          <w:b/>
          <w:sz w:val="24"/>
          <w:szCs w:val="24"/>
        </w:rPr>
      </w:pPr>
      <w:r>
        <w:rPr>
          <w:rFonts w:hint="eastAsia" w:cs="宋体" w:asciiTheme="minorEastAsia" w:hAnsiTheme="minorEastAsia"/>
          <w:b/>
          <w:sz w:val="24"/>
          <w:szCs w:val="24"/>
        </w:rPr>
        <w:t>授权代表：                              授权代表：</w:t>
      </w:r>
    </w:p>
    <w:p w14:paraId="1114FC03">
      <w:pPr>
        <w:spacing w:before="165" w:beforeLines="50" w:after="165" w:afterLines="50" w:line="360" w:lineRule="auto"/>
        <w:rPr>
          <w:rFonts w:hint="eastAsia" w:cs="宋体" w:asciiTheme="minorEastAsia" w:hAnsiTheme="minorEastAsia"/>
          <w:b/>
          <w:color w:val="000000"/>
          <w:sz w:val="24"/>
          <w:szCs w:val="24"/>
        </w:rPr>
      </w:pPr>
      <w:r>
        <w:rPr>
          <w:rFonts w:hint="eastAsia" w:cs="宋体" w:asciiTheme="minorEastAsia" w:hAnsiTheme="minorEastAsia"/>
          <w:b/>
          <w:sz w:val="24"/>
          <w:szCs w:val="24"/>
        </w:rPr>
        <w:t>日    期：    年      月      日        日    期：    年      月      日</w:t>
      </w:r>
    </w:p>
    <w:p w14:paraId="18DCEE64">
      <w:pPr>
        <w:pStyle w:val="2"/>
        <w:numPr>
          <w:ilvl w:val="0"/>
          <w:numId w:val="0"/>
        </w:numPr>
        <w:rPr>
          <w:rFonts w:hint="eastAsia" w:asciiTheme="minorEastAsia" w:hAnsiTheme="minorEastAsia" w:eastAsiaTheme="minorEastAsia"/>
          <w:sz w:val="24"/>
          <w:szCs w:val="24"/>
        </w:rPr>
      </w:pPr>
      <w:r>
        <w:rPr>
          <w:rFonts w:asciiTheme="minorEastAsia" w:hAnsiTheme="minorEastAsia" w:eastAsiaTheme="minorEastAsia"/>
          <w:szCs w:val="24"/>
        </w:rPr>
        <w:br w:type="page"/>
      </w:r>
      <w:bookmarkStart w:id="13" w:name="_Toc139967212"/>
      <w:bookmarkStart w:id="14" w:name="_Toc139966428"/>
      <w:bookmarkStart w:id="15" w:name="_Toc513622229"/>
      <w:bookmarkStart w:id="16" w:name="_Toc151625258"/>
      <w:r>
        <w:rPr>
          <w:rFonts w:hint="eastAsia" w:asciiTheme="minorEastAsia" w:hAnsiTheme="minorEastAsia" w:eastAsiaTheme="minorEastAsia"/>
          <w:color w:val="000000"/>
        </w:rPr>
        <w:t>第四章投标文件格式</w:t>
      </w:r>
      <w:bookmarkEnd w:id="13"/>
      <w:bookmarkEnd w:id="14"/>
      <w:bookmarkEnd w:id="15"/>
      <w:bookmarkEnd w:id="16"/>
    </w:p>
    <w:p w14:paraId="460EAE9A">
      <w:pPr>
        <w:spacing w:line="360" w:lineRule="auto"/>
        <w:ind w:firstLine="1044" w:firstLineChars="200"/>
        <w:jc w:val="center"/>
        <w:rPr>
          <w:rFonts w:hint="eastAsia" w:cs="Times New Roman" w:asciiTheme="minorEastAsia" w:hAnsiTheme="minorEastAsia"/>
          <w:b/>
          <w:color w:val="000000"/>
          <w:sz w:val="52"/>
          <w:szCs w:val="52"/>
        </w:rPr>
      </w:pPr>
    </w:p>
    <w:p w14:paraId="53F355F5">
      <w:pPr>
        <w:spacing w:line="360" w:lineRule="auto"/>
        <w:ind w:firstLine="1044"/>
        <w:jc w:val="center"/>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连 云 港 市 政 府 采 购</w:t>
      </w:r>
    </w:p>
    <w:p w14:paraId="0F5D41A3">
      <w:pPr>
        <w:spacing w:line="360" w:lineRule="auto"/>
        <w:ind w:firstLine="1446"/>
        <w:jc w:val="center"/>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投标文件</w:t>
      </w:r>
    </w:p>
    <w:p w14:paraId="2F8867BC">
      <w:pPr>
        <w:spacing w:line="360" w:lineRule="auto"/>
        <w:ind w:firstLine="643" w:firstLineChars="200"/>
        <w:jc w:val="center"/>
        <w:rPr>
          <w:rFonts w:hint="eastAsia" w:cs="Times New Roman" w:asciiTheme="minorEastAsia" w:hAnsiTheme="minorEastAsia"/>
          <w:b/>
          <w:color w:val="000000"/>
          <w:sz w:val="32"/>
          <w:szCs w:val="32"/>
        </w:rPr>
      </w:pPr>
    </w:p>
    <w:p w14:paraId="74101921">
      <w:pPr>
        <w:spacing w:line="360" w:lineRule="auto"/>
        <w:ind w:firstLine="1084" w:firstLineChars="300"/>
        <w:rPr>
          <w:rFonts w:hint="eastAsia" w:cs="Times New Roman" w:asciiTheme="minorEastAsia" w:hAnsiTheme="minorEastAsia"/>
          <w:b/>
          <w:color w:val="000000"/>
          <w:sz w:val="36"/>
          <w:szCs w:val="21"/>
        </w:rPr>
      </w:pPr>
    </w:p>
    <w:p w14:paraId="1F53936A">
      <w:pPr>
        <w:autoSpaceDE w:val="0"/>
        <w:autoSpaceDN w:val="0"/>
        <w:adjustRightInd w:val="0"/>
        <w:ind w:firstLine="482"/>
        <w:jc w:val="left"/>
        <w:rPr>
          <w:rFonts w:hint="eastAsia" w:cs="Times New Roman" w:asciiTheme="minorEastAsia" w:hAnsiTheme="minorEastAsia"/>
          <w:color w:val="000000"/>
          <w:szCs w:val="24"/>
        </w:rPr>
      </w:pPr>
    </w:p>
    <w:p w14:paraId="1641B403">
      <w:pPr>
        <w:autoSpaceDE w:val="0"/>
        <w:autoSpaceDN w:val="0"/>
        <w:adjustRightInd w:val="0"/>
        <w:ind w:firstLine="482"/>
        <w:jc w:val="left"/>
        <w:rPr>
          <w:rFonts w:hint="eastAsia" w:cs="Times New Roman" w:asciiTheme="minorEastAsia" w:hAnsiTheme="minorEastAsia"/>
          <w:color w:val="000000"/>
          <w:szCs w:val="24"/>
        </w:rPr>
      </w:pPr>
    </w:p>
    <w:p w14:paraId="5241FB63">
      <w:pPr>
        <w:autoSpaceDE w:val="0"/>
        <w:autoSpaceDN w:val="0"/>
        <w:adjustRightInd w:val="0"/>
        <w:ind w:firstLine="482"/>
        <w:jc w:val="left"/>
        <w:rPr>
          <w:rFonts w:hint="eastAsia" w:cs="Times New Roman" w:asciiTheme="minorEastAsia" w:hAnsiTheme="minorEastAsia"/>
          <w:color w:val="000000"/>
          <w:szCs w:val="24"/>
        </w:rPr>
      </w:pPr>
    </w:p>
    <w:p w14:paraId="692EDBAF">
      <w:pPr>
        <w:autoSpaceDE w:val="0"/>
        <w:autoSpaceDN w:val="0"/>
        <w:adjustRightInd w:val="0"/>
        <w:ind w:firstLine="482"/>
        <w:jc w:val="left"/>
        <w:rPr>
          <w:rFonts w:hint="eastAsia" w:cs="Times New Roman" w:asciiTheme="minorEastAsia" w:hAnsiTheme="minorEastAsia"/>
          <w:color w:val="000000"/>
          <w:szCs w:val="24"/>
        </w:rPr>
      </w:pPr>
    </w:p>
    <w:p w14:paraId="63B13F39">
      <w:pPr>
        <w:spacing w:line="360" w:lineRule="auto"/>
        <w:ind w:firstLine="1084" w:firstLineChars="300"/>
        <w:rPr>
          <w:rFonts w:hint="eastAsia" w:cs="Times New Roman" w:asciiTheme="minorEastAsia" w:hAnsiTheme="minorEastAsia"/>
          <w:b/>
          <w:color w:val="000000"/>
          <w:sz w:val="36"/>
          <w:szCs w:val="21"/>
        </w:rPr>
      </w:pPr>
    </w:p>
    <w:p w14:paraId="510024BB">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项 目 名 称：</w:t>
      </w:r>
    </w:p>
    <w:p w14:paraId="7C291BBA">
      <w:pPr>
        <w:spacing w:line="360" w:lineRule="auto"/>
        <w:ind w:firstLine="1084" w:firstLineChars="300"/>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项 目 编 号：</w:t>
      </w:r>
      <w:r>
        <w:rPr>
          <w:rFonts w:hint="eastAsia" w:cs="Times New Roman" w:asciiTheme="minorEastAsia" w:hAnsiTheme="minorEastAsia"/>
          <w:b/>
          <w:color w:val="000000"/>
          <w:sz w:val="36"/>
          <w:szCs w:val="24"/>
          <w:lang w:eastAsia="zh-CN"/>
        </w:rPr>
        <w:t>JSZC-320700-ZJZB-G2026-0068</w:t>
      </w:r>
    </w:p>
    <w:p w14:paraId="4788207B">
      <w:pPr>
        <w:spacing w:line="360" w:lineRule="auto"/>
        <w:ind w:firstLine="1084" w:firstLineChars="300"/>
        <w:rPr>
          <w:rFonts w:hint="eastAsia" w:cs="Times New Roman" w:asciiTheme="minorEastAsia" w:hAnsiTheme="minorEastAsia"/>
          <w:b/>
          <w:color w:val="000000"/>
          <w:sz w:val="36"/>
          <w:szCs w:val="24"/>
        </w:rPr>
      </w:pPr>
    </w:p>
    <w:p w14:paraId="1B5C29A5">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投标人名称：</w:t>
      </w:r>
    </w:p>
    <w:p w14:paraId="705BF12E">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p>
    <w:p w14:paraId="01126A0A">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法定代表人：</w:t>
      </w:r>
    </w:p>
    <w:p w14:paraId="47252965">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委托代理人（委托代理时填写）：</w:t>
      </w:r>
    </w:p>
    <w:p w14:paraId="7B8C247B">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日      期：</w:t>
      </w:r>
    </w:p>
    <w:p w14:paraId="43903CB9">
      <w:pPr>
        <w:rPr>
          <w:rFonts w:hint="eastAsia" w:cs="Times New Roman" w:asciiTheme="minorEastAsia" w:hAnsiTheme="minorEastAsia"/>
          <w:color w:val="000000"/>
          <w:kern w:val="0"/>
          <w:sz w:val="24"/>
          <w:szCs w:val="24"/>
        </w:rPr>
      </w:pPr>
      <w:r>
        <w:rPr>
          <w:rFonts w:cs="Times New Roman" w:asciiTheme="minorEastAsia" w:hAnsiTheme="minorEastAsia"/>
          <w:b/>
          <w:color w:val="000000"/>
          <w:kern w:val="0"/>
          <w:sz w:val="36"/>
          <w:szCs w:val="20"/>
        </w:rPr>
        <w:br w:type="page"/>
      </w:r>
      <w:bookmarkStart w:id="17" w:name="_Toc139966431"/>
      <w:bookmarkStart w:id="18" w:name="_Toc139967215"/>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eastAsia="zh-CN"/>
        </w:rPr>
        <w:t>投标</w:t>
      </w:r>
      <w:r>
        <w:rPr>
          <w:rFonts w:hint="eastAsia" w:cs="Times New Roman" w:asciiTheme="minorEastAsia" w:hAnsiTheme="minorEastAsia"/>
          <w:color w:val="000000"/>
          <w:kern w:val="0"/>
          <w:sz w:val="24"/>
          <w:szCs w:val="24"/>
        </w:rPr>
        <w:t>函</w:t>
      </w:r>
    </w:p>
    <w:p w14:paraId="0624D55A">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投标</w:t>
      </w:r>
      <w:r>
        <w:rPr>
          <w:rFonts w:hint="eastAsia" w:cs="宋体" w:asciiTheme="minorEastAsia" w:hAnsiTheme="minorEastAsia"/>
          <w:bCs/>
          <w:sz w:val="36"/>
          <w:szCs w:val="28"/>
        </w:rPr>
        <w:t>函</w:t>
      </w:r>
    </w:p>
    <w:p w14:paraId="2E211CFC">
      <w:pPr>
        <w:spacing w:line="480" w:lineRule="exact"/>
        <w:ind w:firstLine="482"/>
        <w:rPr>
          <w:rFonts w:hint="eastAsia" w:cs="Times New Roman" w:asciiTheme="minorEastAsia" w:hAnsiTheme="minorEastAsia" w:eastAsiaTheme="minorEastAsia"/>
          <w:color w:val="000000"/>
          <w:szCs w:val="24"/>
          <w:lang w:eastAsia="zh-CN"/>
        </w:rPr>
      </w:pPr>
      <w:r>
        <w:rPr>
          <w:rFonts w:hint="eastAsia" w:cs="Times New Roman" w:asciiTheme="minorEastAsia" w:hAnsiTheme="minorEastAsia"/>
          <w:color w:val="000000"/>
          <w:szCs w:val="24"/>
        </w:rPr>
        <w:t>致：</w:t>
      </w:r>
      <w:r>
        <w:rPr>
          <w:rFonts w:hint="eastAsia" w:cs="Times New Roman" w:asciiTheme="minorEastAsia" w:hAnsiTheme="minorEastAsia"/>
          <w:color w:val="000000"/>
          <w:szCs w:val="24"/>
          <w:lang w:eastAsia="zh-CN"/>
        </w:rPr>
        <w:t>连云港市立东方医院</w:t>
      </w:r>
    </w:p>
    <w:p w14:paraId="3DE28788">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根据贵方项目（项目编号：）招标文件，正式授权下述签字人全权代表参加贵方组织的采购活动，按照招标文件要求提交</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w:t>
      </w:r>
    </w:p>
    <w:p w14:paraId="061C34E7">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据此函，签字人兹宣布同意如下：</w:t>
      </w:r>
    </w:p>
    <w:p w14:paraId="61CAC8D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1.按招标文件项目需求提交</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报价，报价、交货期等详见开标一览表。</w:t>
      </w:r>
    </w:p>
    <w:p w14:paraId="1505E604">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2.我方同意在本项目招标文件中规定的</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文件递交截止之日起60天内遵守本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文件中的承诺且在此期限期满之前均具有约束力。</w:t>
      </w:r>
    </w:p>
    <w:p w14:paraId="6E4CDBAD">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3.我方承诺已经具备《中华人民共和国政府采购法》中规定的参加政府采购活动的供应商应当具备的条件：</w:t>
      </w:r>
    </w:p>
    <w:p w14:paraId="5E032842">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(1)具有独立承担民事责任的能力；</w:t>
      </w:r>
    </w:p>
    <w:p w14:paraId="7C299C7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(2)具有良好的商业信誉和健全的财务会计制度；</w:t>
      </w:r>
    </w:p>
    <w:p w14:paraId="3BEC849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(3)具有履行合同所必需的设备和专业技术能力；</w:t>
      </w:r>
    </w:p>
    <w:p w14:paraId="4CFF43B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(4)有依法缴纳税收和社会保障资金的良好记录；</w:t>
      </w:r>
    </w:p>
    <w:p w14:paraId="6501C00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(5)参加此项采购活动前三年内，在经营活动中没有重大违法记录。</w:t>
      </w:r>
    </w:p>
    <w:p w14:paraId="2E690C4E">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4.我方根据招标文件的规定，承担完成合同的责任和义务。</w:t>
      </w:r>
    </w:p>
    <w:p w14:paraId="74CB722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5.我方已详细审核招标文件，我方知道必须放弃提出含糊不清或误解问题的权利。</w:t>
      </w:r>
    </w:p>
    <w:p w14:paraId="04BCFC69">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6.如果在响应文件有效期内撤回或者有其他违约行为，我方的保证金可被贵方全部或部分没收。</w:t>
      </w:r>
    </w:p>
    <w:p w14:paraId="242956A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7.同意应贵方要求提供与本次采购活动有关的任何数据或资料。</w:t>
      </w:r>
    </w:p>
    <w:p w14:paraId="7446CA20">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8.我方完全理解，最低报价不是中标（成交）的唯一条件。</w:t>
      </w:r>
    </w:p>
    <w:p w14:paraId="44929548">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9.若贵方需要，我方愿意提供我方作出的一切承诺的证明材料。</w:t>
      </w:r>
    </w:p>
    <w:p w14:paraId="1D834CEC">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866EC56">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(1)提供虚假材料谋取中标、成交的；</w:t>
      </w:r>
    </w:p>
    <w:p w14:paraId="71F232A1">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(2)采取不正当手段诋毁、排挤其他供应商的；</w:t>
      </w:r>
    </w:p>
    <w:p w14:paraId="5D901506">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(3)与采购人、其他供应商或者采购代理机构恶意串通的；</w:t>
      </w:r>
    </w:p>
    <w:p w14:paraId="2B2BE095">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(4)向采购人、采购代理机构行贿或者提供其他不正当利益的；</w:t>
      </w:r>
    </w:p>
    <w:p w14:paraId="6C8BB5D3">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(5)在招标采购过程中与采购人进行协商谈判的；</w:t>
      </w:r>
    </w:p>
    <w:p w14:paraId="7773DBB9">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(6)拒绝有关部门监督检查或提供虚假情况的。</w:t>
      </w:r>
    </w:p>
    <w:p w14:paraId="25F575A2">
      <w:pPr>
        <w:spacing w:line="480" w:lineRule="exact"/>
        <w:ind w:firstLine="420" w:firstLineChars="200"/>
        <w:rPr>
          <w:rFonts w:hint="eastAsia" w:cs="Times New Roman" w:asciiTheme="minorEastAsia" w:hAnsiTheme="minorEastAsia"/>
          <w:color w:val="000000"/>
          <w:szCs w:val="24"/>
        </w:rPr>
      </w:pPr>
    </w:p>
    <w:p w14:paraId="7AB0BF83">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法定代表人或其委托代理人签字（或盖章）： 　　</w:t>
      </w:r>
    </w:p>
    <w:p w14:paraId="3702FC6A">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p>
    <w:p w14:paraId="0138D5BA">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p>
    <w:p w14:paraId="40E99BB7">
      <w:pPr>
        <w:spacing w:line="480" w:lineRule="exact"/>
        <w:ind w:firstLine="420" w:firstLineChars="200"/>
        <w:rPr>
          <w:rFonts w:hint="eastAsia" w:cs="Times New Roman" w:asciiTheme="minorEastAsia" w:hAnsiTheme="minorEastAsia"/>
          <w:color w:val="000000"/>
          <w:szCs w:val="24"/>
        </w:rPr>
      </w:pPr>
    </w:p>
    <w:p w14:paraId="07B20611">
      <w:pPr>
        <w:spacing w:line="480" w:lineRule="exact"/>
        <w:ind w:firstLine="420" w:firstLineChars="200"/>
        <w:rPr>
          <w:rFonts w:hint="eastAsia" w:cs="宋体" w:asciiTheme="minorEastAsia" w:hAnsiTheme="minorEastAsia"/>
          <w:color w:val="000000"/>
          <w:kern w:val="0"/>
          <w:sz w:val="36"/>
          <w:szCs w:val="36"/>
          <w:lang w:val="zh-CN"/>
        </w:rPr>
      </w:pPr>
      <w:r>
        <w:rPr>
          <w:rFonts w:hint="eastAsia" w:cs="Times New Roman" w:asciiTheme="minorEastAsia" w:hAnsiTheme="minorEastAsia"/>
          <w:color w:val="000000"/>
          <w:szCs w:val="24"/>
        </w:rPr>
        <w:t>注：未按照本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函的格式要求填写的，将造成非实质响应，从而导致该供应商响应无效。</w:t>
      </w:r>
    </w:p>
    <w:p w14:paraId="683CC91C">
      <w:pPr>
        <w:rPr>
          <w:rFonts w:hint="eastAsia" w:cs="Times New Roman" w:asciiTheme="minorEastAsia" w:hAnsiTheme="minorEastAsia"/>
          <w:b/>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格式2、开标一览表</w:t>
      </w:r>
    </w:p>
    <w:p w14:paraId="393DC20D">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开标一览表</w:t>
      </w:r>
    </w:p>
    <w:p w14:paraId="0DBAE6D8">
      <w:pPr>
        <w:autoSpaceDE w:val="0"/>
        <w:autoSpaceDN w:val="0"/>
        <w:adjustRightInd w:val="0"/>
        <w:spacing w:line="360" w:lineRule="auto"/>
        <w:ind w:firstLine="720" w:firstLineChars="300"/>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4533B6F4">
      <w:pPr>
        <w:autoSpaceDE w:val="0"/>
        <w:autoSpaceDN w:val="0"/>
        <w:adjustRightInd w:val="0"/>
        <w:spacing w:line="360" w:lineRule="auto"/>
        <w:ind w:firstLine="720" w:firstLineChars="300"/>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项目名称：</w:t>
      </w:r>
    </w:p>
    <w:p w14:paraId="28153DE8">
      <w:pPr>
        <w:autoSpaceDE w:val="0"/>
        <w:autoSpaceDN w:val="0"/>
        <w:adjustRightInd w:val="0"/>
        <w:ind w:firstLine="720" w:firstLineChars="3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报价单位：元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5B58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69643F9F">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投标货物名称</w:t>
            </w:r>
          </w:p>
        </w:tc>
        <w:tc>
          <w:tcPr>
            <w:tcW w:w="3651" w:type="dxa"/>
            <w:vAlign w:val="center"/>
          </w:tcPr>
          <w:p w14:paraId="2FB5A341">
            <w:pPr>
              <w:spacing w:line="360" w:lineRule="auto"/>
              <w:jc w:val="center"/>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总价（小写）</w:t>
            </w:r>
          </w:p>
        </w:tc>
      </w:tr>
      <w:tr w14:paraId="7AD3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F3B303D">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投标产品名称</w:t>
            </w:r>
          </w:p>
        </w:tc>
        <w:tc>
          <w:tcPr>
            <w:tcW w:w="3651" w:type="dxa"/>
            <w:vAlign w:val="center"/>
          </w:tcPr>
          <w:p w14:paraId="7818980A">
            <w:pPr>
              <w:spacing w:line="360" w:lineRule="auto"/>
              <w:ind w:firstLine="562"/>
              <w:jc w:val="center"/>
              <w:rPr>
                <w:rFonts w:hint="eastAsia" w:cs="Times New Roman" w:asciiTheme="minorEastAsia" w:hAnsiTheme="minorEastAsia"/>
                <w:color w:val="000000"/>
                <w:sz w:val="28"/>
                <w:szCs w:val="28"/>
              </w:rPr>
            </w:pPr>
          </w:p>
        </w:tc>
      </w:tr>
    </w:tbl>
    <w:p w14:paraId="5E8C6DBE">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0AC8EF57">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47A206C9">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43019394">
      <w:pPr>
        <w:spacing w:line="360" w:lineRule="auto"/>
        <w:ind w:firstLine="420" w:firstLineChars="200"/>
        <w:rPr>
          <w:rFonts w:hint="eastAsia" w:cs="Times New Roman" w:asciiTheme="minorEastAsia" w:hAnsiTheme="minorEastAsia"/>
          <w:color w:val="000000"/>
          <w:szCs w:val="24"/>
        </w:rPr>
      </w:pPr>
    </w:p>
    <w:p w14:paraId="16947808">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134AF006">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1F66CF2A">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51FEEFB6">
      <w:pPr>
        <w:spacing w:line="360" w:lineRule="auto"/>
        <w:ind w:firstLine="420" w:firstLineChars="200"/>
        <w:rPr>
          <w:rFonts w:hint="eastAsia" w:cs="Times New Roman" w:asciiTheme="minorEastAsia" w:hAnsiTheme="minorEastAsia"/>
          <w:color w:val="000000"/>
          <w:szCs w:val="24"/>
        </w:rPr>
      </w:pPr>
    </w:p>
    <w:p w14:paraId="1F2F1E42">
      <w:pPr>
        <w:rPr>
          <w:rFonts w:hint="eastAsia" w:cs="Times New Roman" w:asciiTheme="minorEastAsia" w:hAnsiTheme="minorEastAsia"/>
          <w:color w:val="000000"/>
          <w:kern w:val="0"/>
          <w:sz w:val="32"/>
          <w:szCs w:val="20"/>
        </w:rPr>
      </w:pPr>
      <w:r>
        <w:rPr>
          <w:rFonts w:hint="eastAsia" w:cs="Times New Roman" w:asciiTheme="minorEastAsia" w:hAnsiTheme="minorEastAsia"/>
          <w:color w:val="000000"/>
          <w:kern w:val="0"/>
          <w:sz w:val="32"/>
          <w:szCs w:val="20"/>
        </w:rPr>
        <w:br w:type="page"/>
      </w:r>
      <w:r>
        <w:rPr>
          <w:rFonts w:hint="eastAsia" w:cs="Times New Roman" w:asciiTheme="minorEastAsia" w:hAnsiTheme="minorEastAsia"/>
          <w:color w:val="000000"/>
          <w:kern w:val="0"/>
          <w:sz w:val="24"/>
          <w:szCs w:val="24"/>
        </w:rPr>
        <w:t>格式3、</w:t>
      </w:r>
      <w:r>
        <w:rPr>
          <w:rFonts w:cs="Times New Roman" w:asciiTheme="minorEastAsia" w:hAnsiTheme="minorEastAsia"/>
          <w:color w:val="000000"/>
          <w:kern w:val="0"/>
          <w:sz w:val="24"/>
          <w:szCs w:val="24"/>
        </w:rPr>
        <w:t>投标产品配置及分项报价表</w:t>
      </w:r>
    </w:p>
    <w:p w14:paraId="2F4B8EB8">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投标产品配置及分项报价</w:t>
      </w:r>
      <w:r>
        <w:rPr>
          <w:rFonts w:hint="eastAsia" w:cs="宋体" w:asciiTheme="minorEastAsia" w:hAnsiTheme="minorEastAsia"/>
          <w:bCs/>
          <w:sz w:val="36"/>
          <w:szCs w:val="28"/>
        </w:rPr>
        <w:t>表</w:t>
      </w:r>
    </w:p>
    <w:p w14:paraId="71506262">
      <w:pPr>
        <w:autoSpaceDE w:val="0"/>
        <w:autoSpaceDN w:val="0"/>
        <w:adjustRightInd w:val="0"/>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p>
    <w:p w14:paraId="5F9916F7">
      <w:pPr>
        <w:autoSpaceDE w:val="0"/>
        <w:autoSpaceDN w:val="0"/>
        <w:adjustRightInd w:val="0"/>
        <w:spacing w:line="360" w:lineRule="auto"/>
        <w:ind w:firstLine="482"/>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项目编号：</w:t>
      </w:r>
    </w:p>
    <w:p w14:paraId="5384CAEB">
      <w:pPr>
        <w:spacing w:line="360" w:lineRule="auto"/>
        <w:ind w:firstLine="482"/>
        <w:jc w:val="right"/>
        <w:rPr>
          <w:rFonts w:hint="eastAsia" w:cs="Times New Roman" w:asciiTheme="minorEastAsia" w:hAnsiTheme="minorEastAsia"/>
          <w:color w:val="000000"/>
          <w:szCs w:val="24"/>
        </w:rPr>
      </w:pPr>
      <w:r>
        <w:rPr>
          <w:rFonts w:hint="eastAsia" w:cs="Times New Roman" w:asciiTheme="minorEastAsia" w:hAnsiTheme="minorEastAsia"/>
          <w:color w:val="000000"/>
          <w:szCs w:val="24"/>
        </w:rPr>
        <w:t>单位：元</w:t>
      </w:r>
    </w:p>
    <w:tbl>
      <w:tblPr>
        <w:tblStyle w:val="3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1E3EC5C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42BBFF2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33CB939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7CE9FD2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53E96AA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514A64C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044A08D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545799B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44C4B74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单价</w:t>
            </w:r>
          </w:p>
        </w:tc>
        <w:tc>
          <w:tcPr>
            <w:tcW w:w="709" w:type="dxa"/>
            <w:shd w:val="clear" w:color="auto" w:fill="C0C0C0"/>
            <w:noWrap/>
            <w:vAlign w:val="center"/>
          </w:tcPr>
          <w:p w14:paraId="6B0B0AA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38742871">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备注</w:t>
            </w:r>
          </w:p>
        </w:tc>
      </w:tr>
      <w:tr w14:paraId="2CA7174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4F4C519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1</w:t>
            </w:r>
          </w:p>
        </w:tc>
        <w:tc>
          <w:tcPr>
            <w:tcW w:w="975" w:type="dxa"/>
            <w:noWrap/>
            <w:tcMar>
              <w:top w:w="15" w:type="dxa"/>
              <w:left w:w="15" w:type="dxa"/>
              <w:bottom w:w="0" w:type="dxa"/>
              <w:right w:w="15" w:type="dxa"/>
            </w:tcMar>
            <w:vAlign w:val="bottom"/>
          </w:tcPr>
          <w:p w14:paraId="42470D1F">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7685EEAD">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07D53627">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7B97ADC">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02465FF">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8723FAF">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2A52576C">
            <w:pPr>
              <w:spacing w:line="360" w:lineRule="auto"/>
              <w:jc w:val="center"/>
              <w:rPr>
                <w:rFonts w:hint="eastAsia" w:cs="Times New Roman" w:asciiTheme="minorEastAsia" w:hAnsiTheme="minorEastAsia"/>
                <w:bCs/>
                <w:color w:val="000000"/>
                <w:sz w:val="24"/>
                <w:szCs w:val="24"/>
              </w:rPr>
            </w:pPr>
          </w:p>
        </w:tc>
        <w:tc>
          <w:tcPr>
            <w:tcW w:w="709" w:type="dxa"/>
            <w:noWrap/>
          </w:tcPr>
          <w:p w14:paraId="031AE18E">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2920910F">
            <w:pPr>
              <w:spacing w:line="360" w:lineRule="auto"/>
              <w:jc w:val="center"/>
              <w:rPr>
                <w:rFonts w:hint="eastAsia" w:cs="Times New Roman" w:asciiTheme="minorEastAsia" w:hAnsiTheme="minorEastAsia"/>
                <w:bCs/>
                <w:color w:val="000000"/>
                <w:sz w:val="24"/>
                <w:szCs w:val="24"/>
              </w:rPr>
            </w:pPr>
          </w:p>
        </w:tc>
      </w:tr>
      <w:tr w14:paraId="24F1BFA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3817166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2</w:t>
            </w:r>
          </w:p>
        </w:tc>
        <w:tc>
          <w:tcPr>
            <w:tcW w:w="975" w:type="dxa"/>
            <w:noWrap/>
            <w:tcMar>
              <w:top w:w="15" w:type="dxa"/>
              <w:left w:w="15" w:type="dxa"/>
              <w:bottom w:w="0" w:type="dxa"/>
              <w:right w:w="15" w:type="dxa"/>
            </w:tcMar>
            <w:vAlign w:val="bottom"/>
          </w:tcPr>
          <w:p w14:paraId="29155C69">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76D14D2">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E54B89D">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AF7637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F03C7FA">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5E6E5ABD">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42D8A9D0">
            <w:pPr>
              <w:spacing w:line="360" w:lineRule="auto"/>
              <w:jc w:val="center"/>
              <w:rPr>
                <w:rFonts w:hint="eastAsia" w:cs="Times New Roman" w:asciiTheme="minorEastAsia" w:hAnsiTheme="minorEastAsia"/>
                <w:bCs/>
                <w:color w:val="000000"/>
                <w:sz w:val="24"/>
                <w:szCs w:val="24"/>
              </w:rPr>
            </w:pPr>
          </w:p>
        </w:tc>
        <w:tc>
          <w:tcPr>
            <w:tcW w:w="709" w:type="dxa"/>
            <w:noWrap/>
          </w:tcPr>
          <w:p w14:paraId="3C977E9D">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0A06B152">
            <w:pPr>
              <w:spacing w:line="360" w:lineRule="auto"/>
              <w:jc w:val="center"/>
              <w:rPr>
                <w:rFonts w:hint="eastAsia" w:cs="Times New Roman" w:asciiTheme="minorEastAsia" w:hAnsiTheme="minorEastAsia"/>
                <w:bCs/>
                <w:color w:val="000000"/>
                <w:sz w:val="24"/>
                <w:szCs w:val="24"/>
              </w:rPr>
            </w:pPr>
          </w:p>
        </w:tc>
      </w:tr>
      <w:tr w14:paraId="742DDB7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423EF18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3</w:t>
            </w:r>
          </w:p>
        </w:tc>
        <w:tc>
          <w:tcPr>
            <w:tcW w:w="975" w:type="dxa"/>
            <w:noWrap/>
            <w:tcMar>
              <w:top w:w="15" w:type="dxa"/>
              <w:left w:w="15" w:type="dxa"/>
              <w:bottom w:w="0" w:type="dxa"/>
              <w:right w:w="15" w:type="dxa"/>
            </w:tcMar>
            <w:vAlign w:val="bottom"/>
          </w:tcPr>
          <w:p w14:paraId="2241144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69D0C8D">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132563C">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8AC659D">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9AC490A">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7C01AECD">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7406747">
            <w:pPr>
              <w:spacing w:line="360" w:lineRule="auto"/>
              <w:jc w:val="center"/>
              <w:rPr>
                <w:rFonts w:hint="eastAsia" w:cs="Times New Roman" w:asciiTheme="minorEastAsia" w:hAnsiTheme="minorEastAsia"/>
                <w:bCs/>
                <w:color w:val="000000"/>
                <w:sz w:val="24"/>
                <w:szCs w:val="24"/>
              </w:rPr>
            </w:pPr>
          </w:p>
        </w:tc>
        <w:tc>
          <w:tcPr>
            <w:tcW w:w="709" w:type="dxa"/>
            <w:noWrap/>
          </w:tcPr>
          <w:p w14:paraId="134333ED">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5BF84DB8">
            <w:pPr>
              <w:spacing w:line="360" w:lineRule="auto"/>
              <w:jc w:val="center"/>
              <w:rPr>
                <w:rFonts w:hint="eastAsia" w:cs="Times New Roman" w:asciiTheme="minorEastAsia" w:hAnsiTheme="minorEastAsia"/>
                <w:bCs/>
                <w:color w:val="000000"/>
                <w:sz w:val="24"/>
                <w:szCs w:val="24"/>
              </w:rPr>
            </w:pPr>
          </w:p>
        </w:tc>
      </w:tr>
      <w:tr w14:paraId="7652D0E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7CC66B4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4</w:t>
            </w:r>
          </w:p>
        </w:tc>
        <w:tc>
          <w:tcPr>
            <w:tcW w:w="975" w:type="dxa"/>
            <w:noWrap/>
            <w:tcMar>
              <w:top w:w="15" w:type="dxa"/>
              <w:left w:w="15" w:type="dxa"/>
              <w:bottom w:w="0" w:type="dxa"/>
              <w:right w:w="15" w:type="dxa"/>
            </w:tcMar>
            <w:vAlign w:val="bottom"/>
          </w:tcPr>
          <w:p w14:paraId="17FB6E7D">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1E9C2D53">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5859287">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2D49BEB9">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4509CD2">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256A33C5">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64DBF393">
            <w:pPr>
              <w:spacing w:line="360" w:lineRule="auto"/>
              <w:jc w:val="center"/>
              <w:rPr>
                <w:rFonts w:hint="eastAsia" w:cs="Times New Roman" w:asciiTheme="minorEastAsia" w:hAnsiTheme="minorEastAsia"/>
                <w:bCs/>
                <w:color w:val="000000"/>
                <w:sz w:val="24"/>
                <w:szCs w:val="24"/>
              </w:rPr>
            </w:pPr>
          </w:p>
        </w:tc>
        <w:tc>
          <w:tcPr>
            <w:tcW w:w="709" w:type="dxa"/>
            <w:noWrap/>
          </w:tcPr>
          <w:p w14:paraId="79770763">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710FCE80">
            <w:pPr>
              <w:spacing w:line="360" w:lineRule="auto"/>
              <w:jc w:val="center"/>
              <w:rPr>
                <w:rFonts w:hint="eastAsia" w:cs="Times New Roman" w:asciiTheme="minorEastAsia" w:hAnsiTheme="minorEastAsia"/>
                <w:bCs/>
                <w:color w:val="000000"/>
                <w:sz w:val="24"/>
                <w:szCs w:val="24"/>
              </w:rPr>
            </w:pPr>
          </w:p>
        </w:tc>
      </w:tr>
      <w:tr w14:paraId="1BA1D228">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5843ED2A">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5</w:t>
            </w:r>
          </w:p>
        </w:tc>
        <w:tc>
          <w:tcPr>
            <w:tcW w:w="975" w:type="dxa"/>
            <w:noWrap/>
            <w:tcMar>
              <w:top w:w="15" w:type="dxa"/>
              <w:left w:w="15" w:type="dxa"/>
              <w:bottom w:w="0" w:type="dxa"/>
              <w:right w:w="15" w:type="dxa"/>
            </w:tcMar>
            <w:vAlign w:val="bottom"/>
          </w:tcPr>
          <w:p w14:paraId="46B18C3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02112FAB">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1AB76798">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984DF2A">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F4759ED">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C7D29EF">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254F36BE">
            <w:pPr>
              <w:spacing w:line="360" w:lineRule="auto"/>
              <w:jc w:val="center"/>
              <w:rPr>
                <w:rFonts w:hint="eastAsia" w:cs="Times New Roman" w:asciiTheme="minorEastAsia" w:hAnsiTheme="minorEastAsia"/>
                <w:bCs/>
                <w:color w:val="000000"/>
                <w:sz w:val="24"/>
                <w:szCs w:val="24"/>
              </w:rPr>
            </w:pPr>
          </w:p>
        </w:tc>
        <w:tc>
          <w:tcPr>
            <w:tcW w:w="709" w:type="dxa"/>
            <w:noWrap/>
          </w:tcPr>
          <w:p w14:paraId="36B9030A">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C6B3269">
            <w:pPr>
              <w:spacing w:line="360" w:lineRule="auto"/>
              <w:jc w:val="center"/>
              <w:rPr>
                <w:rFonts w:hint="eastAsia" w:cs="Times New Roman" w:asciiTheme="minorEastAsia" w:hAnsiTheme="minorEastAsia"/>
                <w:bCs/>
                <w:color w:val="000000"/>
                <w:sz w:val="24"/>
                <w:szCs w:val="24"/>
              </w:rPr>
            </w:pPr>
          </w:p>
        </w:tc>
      </w:tr>
      <w:tr w14:paraId="7DF3D032">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46442C00">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6</w:t>
            </w:r>
          </w:p>
        </w:tc>
        <w:tc>
          <w:tcPr>
            <w:tcW w:w="975" w:type="dxa"/>
            <w:noWrap/>
            <w:tcMar>
              <w:top w:w="15" w:type="dxa"/>
              <w:left w:w="15" w:type="dxa"/>
              <w:bottom w:w="0" w:type="dxa"/>
              <w:right w:w="15" w:type="dxa"/>
            </w:tcMar>
            <w:vAlign w:val="bottom"/>
          </w:tcPr>
          <w:p w14:paraId="59A75D44">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29A9772">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6FE48478">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3FC3E6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947BF98">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0F99B0C5">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B2AB7C5">
            <w:pPr>
              <w:spacing w:line="360" w:lineRule="auto"/>
              <w:jc w:val="center"/>
              <w:rPr>
                <w:rFonts w:hint="eastAsia" w:cs="Times New Roman" w:asciiTheme="minorEastAsia" w:hAnsiTheme="minorEastAsia"/>
                <w:bCs/>
                <w:color w:val="000000"/>
                <w:sz w:val="24"/>
                <w:szCs w:val="24"/>
              </w:rPr>
            </w:pPr>
          </w:p>
        </w:tc>
        <w:tc>
          <w:tcPr>
            <w:tcW w:w="709" w:type="dxa"/>
            <w:noWrap/>
          </w:tcPr>
          <w:p w14:paraId="2F5D82B3">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35674E49">
            <w:pPr>
              <w:spacing w:line="360" w:lineRule="auto"/>
              <w:jc w:val="center"/>
              <w:rPr>
                <w:rFonts w:hint="eastAsia" w:cs="Times New Roman" w:asciiTheme="minorEastAsia" w:hAnsiTheme="minorEastAsia"/>
                <w:bCs/>
                <w:color w:val="000000"/>
                <w:sz w:val="24"/>
                <w:szCs w:val="24"/>
              </w:rPr>
            </w:pPr>
          </w:p>
        </w:tc>
      </w:tr>
      <w:tr w14:paraId="628D993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69A1D97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总价合计（即《开标一览表》中的“总价”）</w:t>
            </w:r>
          </w:p>
        </w:tc>
        <w:tc>
          <w:tcPr>
            <w:tcW w:w="6008" w:type="dxa"/>
            <w:gridSpan w:val="6"/>
            <w:noWrap/>
          </w:tcPr>
          <w:p w14:paraId="11AC9E9D">
            <w:pPr>
              <w:spacing w:line="360" w:lineRule="auto"/>
              <w:jc w:val="center"/>
              <w:rPr>
                <w:rFonts w:hint="eastAsia" w:cs="Times New Roman" w:asciiTheme="minorEastAsia" w:hAnsiTheme="minorEastAsia"/>
                <w:bCs/>
                <w:color w:val="000000"/>
                <w:sz w:val="24"/>
                <w:szCs w:val="24"/>
              </w:rPr>
            </w:pPr>
          </w:p>
        </w:tc>
      </w:tr>
      <w:tr w14:paraId="4A3F93F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6DF5438C">
            <w:pPr>
              <w:spacing w:line="360" w:lineRule="auto"/>
              <w:jc w:val="left"/>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tc>
      </w:tr>
    </w:tbl>
    <w:p w14:paraId="7E267EEF">
      <w:pPr>
        <w:spacing w:line="360" w:lineRule="auto"/>
        <w:ind w:firstLine="420" w:firstLineChars="200"/>
        <w:rPr>
          <w:rFonts w:hint="eastAsia" w:cs="Times New Roman" w:asciiTheme="minorEastAsia" w:hAnsiTheme="minorEastAsia"/>
          <w:color w:val="000000"/>
          <w:szCs w:val="24"/>
        </w:rPr>
      </w:pPr>
    </w:p>
    <w:p w14:paraId="031C6125">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1BEF2801">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3EB123E1">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4F789A24">
      <w:pPr>
        <w:spacing w:line="360" w:lineRule="auto"/>
        <w:ind w:firstLine="482"/>
        <w:rPr>
          <w:rFonts w:hint="eastAsia" w:cs="Times New Roman" w:asciiTheme="minorEastAsia" w:hAnsiTheme="minorEastAsia"/>
          <w:color w:val="000000"/>
          <w:szCs w:val="20"/>
        </w:rPr>
      </w:pPr>
    </w:p>
    <w:p w14:paraId="5ED3A75E">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填报说明：</w:t>
      </w:r>
    </w:p>
    <w:p w14:paraId="4908B727">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5B3B150E">
      <w:pPr>
        <w:numPr>
          <w:ilvl w:val="0"/>
          <w:numId w:val="0"/>
        </w:numPr>
        <w:spacing w:line="360" w:lineRule="auto"/>
        <w:ind w:firstLine="420" w:firstLineChars="200"/>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kern w:val="2"/>
          <w:sz w:val="21"/>
          <w:szCs w:val="24"/>
          <w:lang w:val="en-US" w:eastAsia="zh-CN" w:bidi="ar-SA"/>
        </w:rPr>
        <w:t>2、</w:t>
      </w:r>
      <w:r>
        <w:rPr>
          <w:rFonts w:hint="eastAsia" w:cs="Times New Roman" w:asciiTheme="minorEastAsia" w:hAnsiTheme="minorEastAsia"/>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6C19387">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3</w:t>
      </w:r>
      <w:r>
        <w:rPr>
          <w:rFonts w:hint="eastAsia" w:cs="Times New Roman" w:asciiTheme="minorEastAsia" w:hAnsiTheme="minorEastAsia"/>
          <w:color w:val="000000"/>
          <w:szCs w:val="24"/>
        </w:rPr>
        <w:t>、以上总价包含货物费用、运杂费、安装施工费、集成费、税金和其他费用。</w:t>
      </w:r>
    </w:p>
    <w:p w14:paraId="5331A673">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4</w:t>
      </w:r>
      <w:r>
        <w:rPr>
          <w:rFonts w:hint="eastAsia" w:cs="Times New Roman" w:asciiTheme="minorEastAsia" w:hAnsiTheme="minorEastAsia"/>
          <w:color w:val="000000"/>
          <w:szCs w:val="24"/>
        </w:rPr>
        <w:t>、请供应商正确填写本表，所填内容将作为评审的依据，其内容应与对应的证明资料相符。</w:t>
      </w:r>
    </w:p>
    <w:p w14:paraId="00B958FC">
      <w:pPr>
        <w:spacing w:line="360" w:lineRule="auto"/>
        <w:ind w:firstLine="420" w:firstLineChars="200"/>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5</w:t>
      </w:r>
      <w:r>
        <w:rPr>
          <w:rFonts w:hint="eastAsia" w:cs="Times New Roman" w:asciiTheme="minorEastAsia" w:hAnsiTheme="minorEastAsia"/>
          <w:color w:val="000000"/>
          <w:szCs w:val="24"/>
        </w:rPr>
        <w:t>、本表中事项填写不得有缺失，请如实填写，行数或事项不够，可自行增加。</w:t>
      </w:r>
    </w:p>
    <w:p w14:paraId="63744F0A">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格式4、中小企业声明函</w:t>
      </w:r>
    </w:p>
    <w:p w14:paraId="11A94BED">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中小企业声明函</w:t>
      </w:r>
    </w:p>
    <w:p w14:paraId="262E18F9">
      <w:pPr>
        <w:autoSpaceDE w:val="0"/>
        <w:autoSpaceDN w:val="0"/>
        <w:adjustRightInd w:val="0"/>
        <w:ind w:firstLine="482"/>
        <w:jc w:val="left"/>
        <w:rPr>
          <w:rFonts w:hint="eastAsia" w:cs="Times New Roman" w:asciiTheme="minorEastAsia" w:hAnsiTheme="minorEastAsia"/>
          <w:color w:val="000000"/>
          <w:szCs w:val="24"/>
        </w:rPr>
      </w:pPr>
    </w:p>
    <w:p w14:paraId="7C62A631">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1D01722D">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124C951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424BE652">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 </w:t>
      </w:r>
    </w:p>
    <w:p w14:paraId="41EA12D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2A5368CB">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17564DB8">
      <w:pPr>
        <w:snapToGrid w:val="0"/>
        <w:spacing w:line="360" w:lineRule="auto"/>
        <w:ind w:firstLine="480" w:firstLineChars="200"/>
        <w:rPr>
          <w:rFonts w:hint="eastAsia" w:cs="Times New Roman" w:asciiTheme="minorEastAsia" w:hAnsiTheme="minorEastAsia"/>
          <w:sz w:val="24"/>
          <w:szCs w:val="24"/>
        </w:rPr>
      </w:pPr>
    </w:p>
    <w:p w14:paraId="13D99BD0">
      <w:pPr>
        <w:snapToGrid w:val="0"/>
        <w:spacing w:line="360" w:lineRule="auto"/>
        <w:ind w:right="480" w:firstLine="4920" w:firstLineChars="2050"/>
        <w:rPr>
          <w:rFonts w:hint="eastAsia" w:cs="Times New Roman" w:asciiTheme="minorEastAsia" w:hAnsiTheme="minorEastAsia"/>
          <w:sz w:val="24"/>
          <w:szCs w:val="24"/>
        </w:rPr>
      </w:pPr>
    </w:p>
    <w:p w14:paraId="296854A6">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p>
    <w:p w14:paraId="2E70229E">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17B7CC6E">
      <w:pPr>
        <w:snapToGrid w:val="0"/>
        <w:spacing w:line="360" w:lineRule="auto"/>
        <w:ind w:right="480" w:firstLine="482" w:firstLineChars="200"/>
        <w:rPr>
          <w:rFonts w:hint="eastAsia" w:cs="Times New Roman" w:asciiTheme="minorEastAsia" w:hAnsiTheme="minorEastAsia"/>
          <w:b/>
          <w:sz w:val="24"/>
          <w:szCs w:val="24"/>
        </w:rPr>
      </w:pPr>
    </w:p>
    <w:p w14:paraId="478BD2B2">
      <w:pPr>
        <w:snapToGrid w:val="0"/>
        <w:spacing w:line="360" w:lineRule="auto"/>
        <w:ind w:right="480" w:firstLine="482" w:firstLineChars="200"/>
        <w:rPr>
          <w:rFonts w:hint="eastAsia" w:cs="Times New Roman" w:asciiTheme="minorEastAsia" w:hAnsiTheme="minorEastAsia"/>
          <w:b/>
          <w:sz w:val="24"/>
          <w:szCs w:val="24"/>
        </w:rPr>
      </w:pPr>
    </w:p>
    <w:p w14:paraId="04FF1B99">
      <w:pPr>
        <w:snapToGrid w:val="0"/>
        <w:spacing w:line="360" w:lineRule="auto"/>
        <w:ind w:right="480" w:firstLine="482" w:firstLineChars="200"/>
        <w:rPr>
          <w:rFonts w:hint="eastAsia" w:cs="Times New Roman" w:asciiTheme="minorEastAsia" w:hAnsiTheme="minorEastAsia"/>
          <w:b/>
          <w:sz w:val="24"/>
          <w:szCs w:val="24"/>
        </w:rPr>
      </w:pPr>
    </w:p>
    <w:p w14:paraId="12A43054">
      <w:pPr>
        <w:snapToGrid w:val="0"/>
        <w:spacing w:line="360" w:lineRule="auto"/>
        <w:ind w:right="480" w:firstLine="482" w:firstLineChars="200"/>
        <w:rPr>
          <w:rFonts w:hint="eastAsia" w:cs="Times New Roman" w:asciiTheme="minorEastAsia" w:hAnsiTheme="minorEastAsia"/>
          <w:b/>
          <w:sz w:val="24"/>
          <w:szCs w:val="24"/>
        </w:rPr>
      </w:pPr>
    </w:p>
    <w:p w14:paraId="076F6A9D">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填报说明：</w:t>
      </w:r>
    </w:p>
    <w:p w14:paraId="36483E56">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5920C46D">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2、请供应商如实填写，所填内容将作为评审的依据。其内容填写须与分项报价表一致，如填写不完整或不一致，将不享受扶持政策。</w:t>
      </w:r>
    </w:p>
    <w:p w14:paraId="3327C581">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3、中标供应商的《中小企业声明函》随中标结果公开。</w:t>
      </w:r>
    </w:p>
    <w:p w14:paraId="766C7EF6">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4、《中小企业声明函》查询渠道用微信搜索“中小企业规模类型自测小程序”。</w:t>
      </w:r>
    </w:p>
    <w:p w14:paraId="026C32F7">
      <w:r>
        <w:rPr>
          <w:rFonts w:ascii="金山简黑体" w:hAnsi="Courier New" w:eastAsia="金山简黑体" w:cs="Times New Roman"/>
          <w:b/>
          <w:spacing w:val="-8"/>
          <w:sz w:val="44"/>
          <w:szCs w:val="20"/>
        </w:rPr>
        <w:br w:type="page"/>
      </w:r>
    </w:p>
    <w:p w14:paraId="2F48F95D">
      <w:pPr>
        <w:rPr>
          <w:rFonts w:hint="eastAsia" w:cs="Times New Roman" w:asciiTheme="minorEastAsia" w:hAnsiTheme="minorEastAsia"/>
          <w:b/>
          <w:kern w:val="0"/>
          <w:sz w:val="28"/>
          <w:szCs w:val="20"/>
        </w:rPr>
      </w:pPr>
      <w:r>
        <w:rPr>
          <w:rFonts w:hint="eastAsia" w:cs="Times New Roman" w:asciiTheme="minorEastAsia" w:hAnsiTheme="minorEastAsia"/>
          <w:color w:val="000000"/>
          <w:kern w:val="0"/>
          <w:sz w:val="24"/>
          <w:szCs w:val="24"/>
        </w:rPr>
        <w:t>格式5、残疾人福利性企业声明函</w:t>
      </w:r>
    </w:p>
    <w:p w14:paraId="2492D294">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63997866">
      <w:pPr>
        <w:autoSpaceDE w:val="0"/>
        <w:autoSpaceDN w:val="0"/>
        <w:adjustRightInd w:val="0"/>
        <w:ind w:firstLine="482"/>
        <w:jc w:val="left"/>
        <w:rPr>
          <w:rFonts w:hint="eastAsia" w:cs="Times New Roman" w:asciiTheme="minorEastAsia" w:hAnsiTheme="minorEastAsia"/>
          <w:color w:val="000000"/>
          <w:szCs w:val="24"/>
        </w:rPr>
      </w:pPr>
    </w:p>
    <w:p w14:paraId="4CCB175D">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626D2DE">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05AA48EF">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762652D6">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p>
    <w:p w14:paraId="757C9561">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4BF5A214">
      <w:pPr>
        <w:snapToGrid w:val="0"/>
        <w:spacing w:line="360" w:lineRule="auto"/>
        <w:ind w:firstLine="480" w:firstLineChars="200"/>
        <w:rPr>
          <w:rFonts w:hint="eastAsia" w:cs="Times New Roman" w:asciiTheme="minorEastAsia" w:hAnsiTheme="minorEastAsia"/>
          <w:sz w:val="24"/>
          <w:szCs w:val="24"/>
        </w:rPr>
      </w:pPr>
    </w:p>
    <w:p w14:paraId="3EFCB6DA">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企业名称(盖章)：</w:t>
      </w:r>
    </w:p>
    <w:p w14:paraId="6193B74D">
      <w:pPr>
        <w:spacing w:line="588" w:lineRule="exact"/>
        <w:ind w:firstLine="480" w:firstLineChars="200"/>
        <w:rPr>
          <w:rFonts w:hint="eastAsia" w:cs="Times New Roman" w:asciiTheme="minorEastAsia" w:hAnsiTheme="minorEastAsia"/>
          <w:b/>
          <w:sz w:val="22"/>
          <w:szCs w:val="21"/>
        </w:rPr>
      </w:pPr>
      <w:r>
        <w:rPr>
          <w:rFonts w:hint="eastAsia" w:cs="Times New Roman" w:asciiTheme="minorEastAsia" w:hAnsiTheme="minorEastAsia"/>
          <w:sz w:val="24"/>
          <w:szCs w:val="24"/>
        </w:rPr>
        <w:t>　　　　　　　　　　　　　　　　　　日期：   年   月   日</w:t>
      </w:r>
    </w:p>
    <w:p w14:paraId="1D97875E">
      <w:pPr>
        <w:snapToGrid w:val="0"/>
        <w:spacing w:line="360" w:lineRule="auto"/>
        <w:ind w:firstLine="442" w:firstLineChars="200"/>
        <w:rPr>
          <w:rFonts w:hint="eastAsia" w:cs="Times New Roman" w:asciiTheme="minorEastAsia" w:hAnsiTheme="minorEastAsia"/>
          <w:b/>
          <w:sz w:val="22"/>
          <w:szCs w:val="21"/>
        </w:rPr>
      </w:pPr>
    </w:p>
    <w:p w14:paraId="45F2D9E0">
      <w:pPr>
        <w:snapToGrid w:val="0"/>
        <w:spacing w:line="360" w:lineRule="auto"/>
        <w:ind w:firstLine="442" w:firstLineChars="200"/>
        <w:rPr>
          <w:rFonts w:hint="eastAsia" w:cs="Times New Roman" w:asciiTheme="minorEastAsia" w:hAnsiTheme="minorEastAsia"/>
          <w:b/>
          <w:sz w:val="22"/>
          <w:szCs w:val="21"/>
        </w:rPr>
      </w:pPr>
    </w:p>
    <w:p w14:paraId="1C0930D1">
      <w:pPr>
        <w:snapToGrid w:val="0"/>
        <w:spacing w:line="360" w:lineRule="auto"/>
        <w:ind w:firstLine="442" w:firstLineChars="200"/>
        <w:rPr>
          <w:rFonts w:hint="eastAsia" w:cs="Times New Roman" w:asciiTheme="minorEastAsia" w:hAnsiTheme="minorEastAsia"/>
          <w:b/>
          <w:sz w:val="22"/>
          <w:szCs w:val="21"/>
        </w:rPr>
      </w:pPr>
    </w:p>
    <w:p w14:paraId="56C93D24">
      <w:pPr>
        <w:snapToGrid w:val="0"/>
        <w:spacing w:line="360" w:lineRule="auto"/>
        <w:ind w:firstLine="442" w:firstLineChars="200"/>
        <w:rPr>
          <w:rFonts w:hint="eastAsia" w:cs="Times New Roman" w:asciiTheme="minorEastAsia" w:hAnsiTheme="minorEastAsia"/>
          <w:b/>
          <w:sz w:val="22"/>
          <w:szCs w:val="21"/>
        </w:rPr>
      </w:pPr>
    </w:p>
    <w:p w14:paraId="15A24042">
      <w:pPr>
        <w:snapToGrid w:val="0"/>
        <w:spacing w:line="360" w:lineRule="auto"/>
        <w:ind w:firstLine="442" w:firstLineChars="200"/>
        <w:rPr>
          <w:rFonts w:hint="eastAsia" w:cs="Times New Roman" w:asciiTheme="minorEastAsia" w:hAnsiTheme="minorEastAsia"/>
          <w:b/>
          <w:sz w:val="22"/>
          <w:szCs w:val="21"/>
        </w:rPr>
      </w:pPr>
    </w:p>
    <w:p w14:paraId="02939F4E">
      <w:pPr>
        <w:snapToGrid w:val="0"/>
        <w:spacing w:line="360" w:lineRule="auto"/>
        <w:ind w:firstLine="442" w:firstLineChars="200"/>
        <w:rPr>
          <w:rFonts w:hint="eastAsia" w:cs="Times New Roman" w:asciiTheme="minorEastAsia" w:hAnsiTheme="minorEastAsia"/>
          <w:b/>
          <w:sz w:val="22"/>
          <w:szCs w:val="21"/>
        </w:rPr>
      </w:pPr>
    </w:p>
    <w:p w14:paraId="3D2909E2">
      <w:pPr>
        <w:snapToGrid w:val="0"/>
        <w:spacing w:line="360" w:lineRule="auto"/>
        <w:ind w:firstLine="480" w:firstLineChars="200"/>
        <w:rPr>
          <w:rFonts w:hint="eastAsia" w:cs="Times New Roman" w:asciiTheme="minorEastAsia" w:hAnsiTheme="minorEastAsia"/>
          <w:bCs/>
          <w:sz w:val="24"/>
          <w:szCs w:val="24"/>
        </w:rPr>
      </w:pPr>
      <w:r>
        <w:rPr>
          <w:rFonts w:hint="eastAsia" w:cs="Times New Roman" w:asciiTheme="minorEastAsia" w:hAnsiTheme="minorEastAsia"/>
          <w:bCs/>
          <w:sz w:val="24"/>
          <w:szCs w:val="24"/>
        </w:rPr>
        <w:t>填报说明：</w:t>
      </w:r>
    </w:p>
    <w:p w14:paraId="13B00131">
      <w:pPr>
        <w:snapToGrid w:val="0"/>
        <w:spacing w:line="360" w:lineRule="auto"/>
        <w:ind w:firstLine="480" w:firstLineChars="200"/>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1、请供应商如实填写，所填内容将作为评审的依据。</w:t>
      </w:r>
      <w:r>
        <w:rPr>
          <w:rFonts w:hint="eastAsia" w:cs="Times New Roman" w:asciiTheme="minorEastAsia" w:hAnsiTheme="minorEastAsia"/>
          <w:sz w:val="24"/>
          <w:szCs w:val="24"/>
        </w:rPr>
        <w:t>其内容填写须与分项报价表一致，如填写不完整或不一致，将不享受扶</w:t>
      </w:r>
      <w:r>
        <w:rPr>
          <w:rFonts w:hint="eastAsia" w:cs="Times New Roman" w:asciiTheme="minorEastAsia" w:hAnsiTheme="minorEastAsia"/>
          <w:bCs/>
          <w:sz w:val="24"/>
          <w:szCs w:val="24"/>
        </w:rPr>
        <w:t>持政策。</w:t>
      </w:r>
    </w:p>
    <w:p w14:paraId="524550D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bCs/>
          <w:sz w:val="24"/>
          <w:szCs w:val="24"/>
        </w:rPr>
        <w:t>2、中标供应商的《残疾人福利性单位声明函》随中标结果公开。</w:t>
      </w:r>
    </w:p>
    <w:p w14:paraId="2A65BA08">
      <w:pPr>
        <w:rPr>
          <w:rFonts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4D001C22">
      <w:pPr>
        <w:rPr>
          <w:rFonts w:hint="eastAsia" w:cs="Times New Roman" w:asciiTheme="minorEastAsia" w:hAnsiTheme="minorEastAsia"/>
          <w:color w:val="auto"/>
          <w:kern w:val="0"/>
          <w:sz w:val="24"/>
          <w:szCs w:val="24"/>
        </w:rPr>
      </w:pPr>
      <w:r>
        <w:rPr>
          <w:rFonts w:hint="eastAsia" w:cs="Times New Roman" w:asciiTheme="minorEastAsia" w:hAnsiTheme="minorEastAsia"/>
          <w:color w:val="auto"/>
          <w:kern w:val="0"/>
          <w:sz w:val="24"/>
          <w:szCs w:val="24"/>
        </w:rPr>
        <w:t>格式</w:t>
      </w:r>
      <w:r>
        <w:rPr>
          <w:rFonts w:hint="eastAsia" w:cs="Times New Roman" w:asciiTheme="minorEastAsia" w:hAnsiTheme="minorEastAsia"/>
          <w:color w:val="auto"/>
          <w:kern w:val="0"/>
          <w:sz w:val="24"/>
          <w:szCs w:val="24"/>
          <w:lang w:val="en-US" w:eastAsia="zh-CN"/>
        </w:rPr>
        <w:t>6</w:t>
      </w:r>
      <w:r>
        <w:rPr>
          <w:rFonts w:hint="eastAsia" w:cs="Times New Roman" w:asciiTheme="minorEastAsia" w:hAnsiTheme="minorEastAsia"/>
          <w:color w:val="auto"/>
          <w:kern w:val="0"/>
          <w:sz w:val="24"/>
          <w:szCs w:val="24"/>
        </w:rPr>
        <w:t>、关于符合本国产品标准的声明函</w:t>
      </w:r>
    </w:p>
    <w:p w14:paraId="23AB8E79">
      <w:pPr>
        <w:rPr>
          <w:rFonts w:hint="eastAsia" w:cs="Times New Roman" w:asciiTheme="minorEastAsia" w:hAnsiTheme="minorEastAsia"/>
          <w:color w:val="auto"/>
          <w:kern w:val="0"/>
          <w:sz w:val="24"/>
          <w:szCs w:val="24"/>
        </w:rPr>
      </w:pPr>
    </w:p>
    <w:p w14:paraId="4264502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39"/>
          <w:rFonts w:hint="eastAsia" w:ascii="宋体" w:hAnsi="宋体" w:eastAsia="宋体" w:cs="宋体"/>
          <w:i w:val="0"/>
          <w:iCs w:val="0"/>
          <w:caps w:val="0"/>
          <w:color w:val="auto"/>
          <w:spacing w:val="0"/>
          <w:sz w:val="36"/>
          <w:szCs w:val="36"/>
          <w:shd w:val="clear" w:fill="FFFFFF"/>
        </w:rPr>
        <w:t>关于符合本国产品标准的声明函</w:t>
      </w:r>
    </w:p>
    <w:p w14:paraId="72D9CBD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970A98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12B3059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42"/>
          <w:rFonts w:hint="eastAsia" w:ascii="宋体" w:hAnsi="宋体" w:eastAsia="宋体" w:cs="宋体"/>
          <w:i w:val="0"/>
          <w:iCs w:val="0"/>
          <w:caps w:val="0"/>
          <w:color w:val="auto"/>
          <w:spacing w:val="0"/>
          <w:sz w:val="24"/>
          <w:szCs w:val="24"/>
          <w:u w:val="single"/>
          <w:shd w:val="clear" w:fill="FFFFFF"/>
        </w:rPr>
        <w:t>（产品名称1）</w:t>
      </w:r>
      <w:r>
        <w:rPr>
          <w:rStyle w:val="42"/>
          <w:rFonts w:hint="eastAsia" w:ascii="宋体" w:hAnsi="宋体" w:eastAsia="宋体" w:cs="宋体"/>
          <w:i w:val="0"/>
          <w:iCs w:val="0"/>
          <w:caps w:val="0"/>
          <w:color w:val="auto"/>
          <w:spacing w:val="0"/>
          <w:sz w:val="24"/>
          <w:szCs w:val="24"/>
          <w:u w:val="single"/>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Style w:val="42"/>
          <w:rFonts w:hint="eastAsia" w:ascii="宋体" w:hAnsi="宋体" w:eastAsia="宋体" w:cs="宋体"/>
          <w:i w:val="0"/>
          <w:iCs w:val="0"/>
          <w:caps w:val="0"/>
          <w:color w:val="auto"/>
          <w:spacing w:val="0"/>
          <w:sz w:val="24"/>
          <w:szCs w:val="24"/>
          <w:u w:val="single"/>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Style w:val="42"/>
          <w:rFonts w:hint="eastAsia" w:ascii="宋体" w:hAnsi="宋体" w:eastAsia="宋体" w:cs="宋体"/>
          <w:i w:val="0"/>
          <w:iCs w:val="0"/>
          <w:caps w:val="0"/>
          <w:color w:val="auto"/>
          <w:spacing w:val="0"/>
          <w:sz w:val="24"/>
          <w:szCs w:val="24"/>
          <w:u w:val="single"/>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Style w:val="42"/>
          <w:rFonts w:hint="eastAsia" w:ascii="宋体" w:hAnsi="宋体" w:eastAsia="宋体" w:cs="宋体"/>
          <w:i w:val="0"/>
          <w:iCs w:val="0"/>
          <w:caps w:val="0"/>
          <w:color w:val="auto"/>
          <w:spacing w:val="0"/>
          <w:sz w:val="24"/>
          <w:szCs w:val="24"/>
          <w:u w:val="single"/>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Style w:val="42"/>
          <w:rFonts w:hint="eastAsia" w:ascii="宋体" w:hAnsi="宋体" w:eastAsia="宋体" w:cs="宋体"/>
          <w:i w:val="0"/>
          <w:iCs w:val="0"/>
          <w:caps w:val="0"/>
          <w:color w:val="auto"/>
          <w:spacing w:val="0"/>
          <w:sz w:val="24"/>
          <w:szCs w:val="24"/>
          <w:u w:val="single"/>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5E1B9FD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46F4EA9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76E898E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2E36865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shd w:val="clear" w:fill="FFFFFF"/>
        </w:rPr>
      </w:pPr>
    </w:p>
    <w:p w14:paraId="1BD1C0D7">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58F760E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1143161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C43CEA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B71F40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677921F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ascii="楷体" w:hAnsi="楷体" w:eastAsia="楷体" w:cs="楷体"/>
          <w:i w:val="0"/>
          <w:iCs w:val="0"/>
          <w:caps w:val="0"/>
          <w:color w:val="auto"/>
          <w:spacing w:val="0"/>
          <w:sz w:val="24"/>
          <w:szCs w:val="24"/>
          <w:shd w:val="clear" w:fill="FFFFFF"/>
        </w:rPr>
        <w:t>1.产品如有型号，请在“产品名称”栏一并填写。</w:t>
      </w:r>
    </w:p>
    <w:p w14:paraId="0AF9223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2.生产厂名与厂址应与生产厂营业执照载明的相关信息保持一致。</w:t>
      </w:r>
    </w:p>
    <w:p w14:paraId="5566BBF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3.该产品的中国境内生产的组件成本占比相关要求实施前，“规定比例”栏可不填，下同。</w:t>
      </w:r>
    </w:p>
    <w:p w14:paraId="3159BE4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4.该产品的关键组件要求实施前，“关键组件”栏可不填，下同。</w:t>
      </w:r>
    </w:p>
    <w:p w14:paraId="075EB77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楷体" w:hAnsi="楷体" w:eastAsia="楷体" w:cs="楷体"/>
          <w:i w:val="0"/>
          <w:iCs w:val="0"/>
          <w:caps w:val="0"/>
          <w:color w:val="auto"/>
          <w:spacing w:val="0"/>
          <w:sz w:val="24"/>
          <w:szCs w:val="24"/>
          <w:shd w:val="clear" w:fill="FFFFFF"/>
        </w:rPr>
      </w:pPr>
      <w:r>
        <w:rPr>
          <w:rFonts w:hint="eastAsia" w:ascii="楷体" w:hAnsi="楷体" w:eastAsia="楷体" w:cs="楷体"/>
          <w:i w:val="0"/>
          <w:iCs w:val="0"/>
          <w:caps w:val="0"/>
          <w:color w:val="auto"/>
          <w:spacing w:val="0"/>
          <w:sz w:val="24"/>
          <w:szCs w:val="24"/>
          <w:shd w:val="clear" w:fill="FFFFFF"/>
        </w:rPr>
        <w:t>5.该产品的关键工序要求实施前，“关键工序”栏可不填，下同。</w:t>
      </w:r>
    </w:p>
    <w:p w14:paraId="615BA4F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cs="Times New Roman" w:asciiTheme="minorEastAsia" w:hAnsiTheme="minorEastAsia"/>
          <w:b/>
          <w:color w:val="000000"/>
          <w:kern w:val="0"/>
          <w:sz w:val="28"/>
          <w:szCs w:val="20"/>
        </w:rPr>
      </w:pPr>
      <w:r>
        <w:rPr>
          <w:rFonts w:hint="eastAsia" w:ascii="楷体" w:hAnsi="楷体" w:eastAsia="楷体" w:cs="楷体"/>
          <w:i w:val="0"/>
          <w:iCs w:val="0"/>
          <w:caps w:val="0"/>
          <w:color w:val="auto"/>
          <w:spacing w:val="0"/>
          <w:sz w:val="24"/>
          <w:szCs w:val="24"/>
          <w:shd w:val="clear" w:fill="FFFFFF"/>
          <w:lang w:val="en-US" w:eastAsia="zh-CN"/>
        </w:rPr>
        <w:t>6.《声明函》中标注“  /  ”的地方无需填写。</w:t>
      </w: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7</w:t>
      </w:r>
      <w:r>
        <w:rPr>
          <w:rFonts w:hint="eastAsia" w:cs="Times New Roman" w:asciiTheme="minorEastAsia" w:hAnsiTheme="minorEastAsia"/>
          <w:color w:val="000000"/>
          <w:kern w:val="0"/>
          <w:sz w:val="24"/>
          <w:szCs w:val="24"/>
        </w:rPr>
        <w:t>、具备履行合同所必需的设备和专业技术能力的声明及证明材料</w:t>
      </w:r>
    </w:p>
    <w:p w14:paraId="2477A3D0">
      <w:pPr>
        <w:autoSpaceDE w:val="0"/>
        <w:autoSpaceDN w:val="0"/>
        <w:adjustRightInd w:val="0"/>
        <w:ind w:firstLine="482"/>
        <w:jc w:val="left"/>
        <w:rPr>
          <w:rFonts w:hint="eastAsia" w:cs="Times New Roman" w:asciiTheme="minorEastAsia" w:hAnsiTheme="minorEastAsia"/>
          <w:color w:val="000000"/>
          <w:szCs w:val="24"/>
        </w:rPr>
      </w:pPr>
    </w:p>
    <w:p w14:paraId="098CACB1">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具备履行合同所必需的设备和专业技术能力的声明及证明材料</w:t>
      </w:r>
    </w:p>
    <w:p w14:paraId="694A0971">
      <w:pPr>
        <w:spacing w:line="360" w:lineRule="auto"/>
        <w:ind w:firstLine="482"/>
        <w:rPr>
          <w:rFonts w:hint="eastAsia" w:cs="Times New Roman" w:asciiTheme="minorEastAsia" w:hAnsiTheme="minorEastAsia"/>
          <w:color w:val="000000"/>
          <w:sz w:val="24"/>
          <w:szCs w:val="24"/>
        </w:rPr>
      </w:pPr>
    </w:p>
    <w:p w14:paraId="56753E8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（供应商名称）</w:t>
      </w:r>
      <w:r>
        <w:rPr>
          <w:rFonts w:hint="eastAsia" w:cs="Times New Roman" w:asciiTheme="minorEastAsia" w:hAnsiTheme="minorEastAsia"/>
          <w:color w:val="000000"/>
          <w:sz w:val="24"/>
          <w:szCs w:val="24"/>
        </w:rPr>
        <w:t>郑重声明：我单位具备履行本项采购合同所必需的设备和专业技术能力，为履行本项采购合同我单位具备如下主要设备和主要专业技术能力：</w:t>
      </w:r>
    </w:p>
    <w:p w14:paraId="41D67E4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主要设备有：。</w:t>
      </w:r>
    </w:p>
    <w:p w14:paraId="15720C7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主要专业技术能力有：。</w:t>
      </w:r>
    </w:p>
    <w:p w14:paraId="29284707">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注：须附证明材料。</w:t>
      </w:r>
    </w:p>
    <w:p w14:paraId="3E2AFCF7">
      <w:pPr>
        <w:spacing w:line="360" w:lineRule="auto"/>
        <w:ind w:firstLine="480" w:firstLineChars="200"/>
        <w:rPr>
          <w:rFonts w:hint="eastAsia" w:cs="Times New Roman" w:asciiTheme="minorEastAsia" w:hAnsiTheme="minorEastAsia"/>
          <w:color w:val="000000"/>
          <w:sz w:val="24"/>
          <w:szCs w:val="24"/>
        </w:rPr>
      </w:pPr>
    </w:p>
    <w:p w14:paraId="5DD9C566">
      <w:pPr>
        <w:spacing w:line="360" w:lineRule="auto"/>
        <w:ind w:firstLine="480" w:firstLineChars="200"/>
        <w:rPr>
          <w:rFonts w:hint="eastAsia" w:cs="Times New Roman" w:asciiTheme="minorEastAsia" w:hAnsiTheme="minorEastAsia"/>
          <w:color w:val="000000"/>
          <w:sz w:val="24"/>
          <w:szCs w:val="24"/>
        </w:rPr>
      </w:pPr>
    </w:p>
    <w:p w14:paraId="178B73CC">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声明人（盖章）：</w:t>
      </w:r>
    </w:p>
    <w:p w14:paraId="73EF1F3E">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4FDB2AC3">
      <w:pPr>
        <w:spacing w:line="460" w:lineRule="exact"/>
        <w:ind w:firstLine="422" w:firstLineChars="200"/>
        <w:rPr>
          <w:rFonts w:hint="eastAsia" w:cs="Times New Roman" w:asciiTheme="minorEastAsia" w:hAnsiTheme="minorEastAsia"/>
          <w:b/>
          <w:color w:val="000000"/>
          <w:szCs w:val="24"/>
        </w:rPr>
      </w:pPr>
    </w:p>
    <w:p w14:paraId="74F9FF4C">
      <w:pPr>
        <w:spacing w:line="460" w:lineRule="exact"/>
        <w:ind w:firstLine="422" w:firstLineChars="200"/>
        <w:rPr>
          <w:rFonts w:hint="eastAsia" w:cs="Times New Roman" w:asciiTheme="minorEastAsia" w:hAnsiTheme="minorEastAsia"/>
          <w:b/>
          <w:color w:val="000000"/>
          <w:szCs w:val="24"/>
        </w:rPr>
      </w:pPr>
    </w:p>
    <w:p w14:paraId="577F04BB">
      <w:pPr>
        <w:spacing w:line="460" w:lineRule="exact"/>
        <w:ind w:firstLine="422" w:firstLineChars="200"/>
        <w:rPr>
          <w:rFonts w:hint="eastAsia" w:cs="Times New Roman" w:asciiTheme="minorEastAsia" w:hAnsiTheme="minorEastAsia"/>
          <w:b/>
          <w:color w:val="000000"/>
          <w:szCs w:val="24"/>
        </w:rPr>
      </w:pPr>
    </w:p>
    <w:p w14:paraId="100B0BC8">
      <w:pPr>
        <w:spacing w:line="460" w:lineRule="exact"/>
        <w:ind w:firstLine="562" w:firstLineChars="200"/>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特别提醒：请认真填写此声明，并提供证明材料，如对应的照片、设备采购发票、合同、租赁材料、人员专业证书等。否则自行承担无效响应的风险。</w:t>
      </w:r>
    </w:p>
    <w:p w14:paraId="0CE774E4">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8</w:t>
      </w:r>
      <w:r>
        <w:rPr>
          <w:rFonts w:hint="eastAsia" w:cs="Times New Roman" w:asciiTheme="minorEastAsia" w:hAnsiTheme="minorEastAsia"/>
          <w:color w:val="000000"/>
          <w:kern w:val="0"/>
          <w:sz w:val="24"/>
          <w:szCs w:val="24"/>
        </w:rPr>
        <w:t>、参加政府采购活动前 3 年内在经营活动中没有重大违法记录的书面声明</w:t>
      </w:r>
    </w:p>
    <w:p w14:paraId="0BAD8B35">
      <w:pPr>
        <w:spacing w:line="360" w:lineRule="auto"/>
        <w:ind w:firstLine="420" w:firstLineChars="200"/>
        <w:rPr>
          <w:rFonts w:hint="eastAsia" w:cs="Times New Roman" w:asciiTheme="minorEastAsia" w:hAnsiTheme="minorEastAsia"/>
          <w:szCs w:val="24"/>
        </w:rPr>
      </w:pPr>
    </w:p>
    <w:p w14:paraId="028318B9">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声  明</w:t>
      </w:r>
    </w:p>
    <w:p w14:paraId="13654F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27E28CFE">
      <w:pPr>
        <w:spacing w:line="360" w:lineRule="auto"/>
        <w:ind w:firstLine="480" w:firstLineChars="200"/>
        <w:rPr>
          <w:rFonts w:hint="eastAsia" w:cs="Times New Roman" w:asciiTheme="minorEastAsia" w:hAnsiTheme="minorEastAsia"/>
          <w:bCs/>
          <w:color w:val="000000"/>
          <w:sz w:val="24"/>
          <w:szCs w:val="24"/>
        </w:rPr>
      </w:pPr>
    </w:p>
    <w:p w14:paraId="72479B0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30801B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388E8C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6814F8ED">
      <w:pPr>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9</w:t>
      </w:r>
      <w:r>
        <w:rPr>
          <w:rFonts w:hint="eastAsia" w:cs="Times New Roman" w:asciiTheme="minorEastAsia" w:hAnsiTheme="minorEastAsia"/>
          <w:color w:val="000000"/>
          <w:kern w:val="0"/>
          <w:sz w:val="24"/>
          <w:szCs w:val="24"/>
        </w:rPr>
        <w:t>、法定代表人授权委托书</w:t>
      </w:r>
    </w:p>
    <w:p w14:paraId="6E1BDD26">
      <w:pPr>
        <w:spacing w:line="360" w:lineRule="auto"/>
        <w:ind w:firstLine="720" w:firstLineChars="200"/>
        <w:jc w:val="center"/>
        <w:rPr>
          <w:rFonts w:hint="eastAsia" w:cs="宋体" w:asciiTheme="minorEastAsia" w:hAnsiTheme="minorEastAsia"/>
          <w:bCs/>
          <w:sz w:val="36"/>
          <w:szCs w:val="28"/>
        </w:rPr>
      </w:pPr>
    </w:p>
    <w:p w14:paraId="6C31A5DE">
      <w:pPr>
        <w:spacing w:line="360" w:lineRule="auto"/>
        <w:ind w:firstLine="720" w:firstLineChars="200"/>
        <w:jc w:val="center"/>
        <w:rPr>
          <w:rFonts w:hint="eastAsia" w:cs="宋体" w:asciiTheme="minorEastAsia" w:hAnsiTheme="minorEastAsia"/>
          <w:bCs/>
          <w:sz w:val="36"/>
          <w:szCs w:val="28"/>
        </w:rPr>
      </w:pPr>
      <w:r>
        <w:rPr>
          <w:rFonts w:hint="eastAsia" w:cs="宋体" w:asciiTheme="minorEastAsia" w:hAnsiTheme="minorEastAsia"/>
          <w:bCs/>
          <w:sz w:val="36"/>
          <w:szCs w:val="28"/>
        </w:rPr>
        <w:t>法定代表人授权委托书</w:t>
      </w:r>
    </w:p>
    <w:p w14:paraId="79825F89">
      <w:pPr>
        <w:spacing w:line="500" w:lineRule="exact"/>
        <w:ind w:firstLine="420" w:firstLineChars="200"/>
        <w:rPr>
          <w:rFonts w:hint="eastAsia" w:cs="Times New Roman" w:asciiTheme="minorEastAsia" w:hAnsiTheme="minorEastAsia"/>
          <w:szCs w:val="20"/>
        </w:rPr>
      </w:pPr>
    </w:p>
    <w:p w14:paraId="00C04767">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致：</w:t>
      </w:r>
      <w:r>
        <w:rPr>
          <w:rFonts w:hint="eastAsia" w:cs="Times New Roman" w:asciiTheme="minorEastAsia" w:hAnsiTheme="minorEastAsia"/>
          <w:i/>
          <w:sz w:val="24"/>
          <w:szCs w:val="24"/>
          <w:u w:val="single"/>
        </w:rPr>
        <w:t>采购单位</w:t>
      </w:r>
    </w:p>
    <w:p w14:paraId="0005E46F">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本人</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（姓名）系</w:t>
      </w:r>
      <w:r>
        <w:rPr>
          <w:rFonts w:hint="eastAsia" w:cs="Times New Roman" w:asciiTheme="minorEastAsia" w:hAnsiTheme="minorEastAsia"/>
          <w:color w:val="000000"/>
          <w:sz w:val="24"/>
          <w:szCs w:val="24"/>
          <w:lang w:val="zh-CN"/>
        </w:rPr>
        <w:t>________________</w:t>
      </w:r>
      <w:r>
        <w:rPr>
          <w:rFonts w:hint="eastAsia" w:cs="Times New Roman" w:asciiTheme="minorEastAsia" w:hAnsiTheme="minorEastAsia"/>
          <w:color w:val="000000"/>
          <w:sz w:val="24"/>
          <w:szCs w:val="20"/>
        </w:rPr>
        <w:t>（投标人名称）的法定代表人（单位负责人），现委托</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（姓名）为我方代理人。代理人根据授权，以我方名义签署、澄清确认、递交、撤回、修改</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w:t>
      </w:r>
      <w:r>
        <w:rPr>
          <w:rFonts w:hint="eastAsia" w:cs="Times New Roman" w:asciiTheme="minorEastAsia" w:hAnsiTheme="minorEastAsia"/>
          <w:color w:val="000000"/>
          <w:sz w:val="24"/>
          <w:szCs w:val="20"/>
        </w:rPr>
        <w:t>投标文件和处理有关事宜，其法律后果由我方承担。</w:t>
      </w:r>
    </w:p>
    <w:p w14:paraId="1E448467">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委托期限：自本授权委托书签署之日起至响应有效期届满之日止。</w:t>
      </w:r>
    </w:p>
    <w:p w14:paraId="1936D073">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代理人无转委托权。</w:t>
      </w:r>
    </w:p>
    <w:p w14:paraId="70D4699B">
      <w:pPr>
        <w:ind w:firstLine="482"/>
        <w:rPr>
          <w:rFonts w:hint="eastAsia" w:cs="Times New Roman" w:asciiTheme="minorEastAsia" w:hAnsiTheme="minorEastAsia"/>
          <w:color w:val="000000"/>
          <w:sz w:val="24"/>
          <w:szCs w:val="20"/>
        </w:rPr>
      </w:pPr>
    </w:p>
    <w:p w14:paraId="1371C843">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投标人名称（加盖公章）</w:t>
      </w:r>
      <w:r>
        <w:rPr>
          <w:rFonts w:hint="eastAsia" w:cs="Times New Roman" w:asciiTheme="minorEastAsia" w:hAnsiTheme="minorEastAsia"/>
          <w:color w:val="000000"/>
          <w:sz w:val="24"/>
          <w:szCs w:val="24"/>
          <w:lang w:val="zh-CN"/>
        </w:rPr>
        <w:t>：________________</w:t>
      </w:r>
    </w:p>
    <w:p w14:paraId="6AD7C0E3">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法定代表人（单位负责人）（签字、签章或印鉴）：</w:t>
      </w:r>
      <w:r>
        <w:rPr>
          <w:rFonts w:hint="eastAsia" w:cs="Times New Roman" w:asciiTheme="minorEastAsia" w:hAnsiTheme="minorEastAsia"/>
          <w:color w:val="000000"/>
          <w:sz w:val="24"/>
          <w:szCs w:val="24"/>
          <w:lang w:val="zh-CN"/>
        </w:rPr>
        <w:t>________________</w:t>
      </w:r>
    </w:p>
    <w:p w14:paraId="0A9B225B">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委托代理人（签字/签章）：</w:t>
      </w:r>
      <w:r>
        <w:rPr>
          <w:rFonts w:hint="eastAsia" w:cs="Times New Roman" w:asciiTheme="minorEastAsia" w:hAnsiTheme="minorEastAsia"/>
          <w:color w:val="000000"/>
          <w:sz w:val="24"/>
          <w:szCs w:val="24"/>
          <w:lang w:val="zh-CN"/>
        </w:rPr>
        <w:t>________________</w:t>
      </w:r>
    </w:p>
    <w:p w14:paraId="32300B16">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日期：_____年______月______日</w:t>
      </w:r>
    </w:p>
    <w:p w14:paraId="19D62B54">
      <w:pPr>
        <w:tabs>
          <w:tab w:val="left" w:pos="5580"/>
        </w:tabs>
        <w:ind w:firstLine="482"/>
        <w:rPr>
          <w:rFonts w:hint="eastAsia" w:cs="Times New Roman" w:asciiTheme="minorEastAsia" w:hAnsiTheme="minorEastAsia"/>
          <w:color w:val="000000"/>
          <w:sz w:val="24"/>
          <w:szCs w:val="20"/>
        </w:rPr>
      </w:pPr>
    </w:p>
    <w:p w14:paraId="426A266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9A3E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14:paraId="166E33A7">
            <w:pPr>
              <w:tabs>
                <w:tab w:val="left" w:pos="5580"/>
              </w:tabs>
              <w:ind w:firstLine="482"/>
              <w:jc w:val="left"/>
              <w:rPr>
                <w:rFonts w:hint="eastAsia" w:cs="Times New Roman" w:asciiTheme="minorEastAsia" w:hAnsiTheme="minorEastAsia"/>
                <w:color w:val="000000"/>
                <w:sz w:val="24"/>
                <w:szCs w:val="20"/>
              </w:rPr>
            </w:pPr>
          </w:p>
          <w:p w14:paraId="30EF067E">
            <w:pPr>
              <w:tabs>
                <w:tab w:val="left" w:pos="5580"/>
              </w:tabs>
              <w:ind w:firstLine="482"/>
              <w:jc w:val="left"/>
              <w:rPr>
                <w:rFonts w:hint="eastAsia" w:cs="Times New Roman" w:asciiTheme="minorEastAsia" w:hAnsiTheme="minorEastAsia"/>
                <w:color w:val="000000"/>
                <w:sz w:val="24"/>
                <w:szCs w:val="20"/>
              </w:rPr>
            </w:pPr>
          </w:p>
          <w:p w14:paraId="2762C7A9">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tcPr>
          <w:p w14:paraId="42178DA0">
            <w:pPr>
              <w:tabs>
                <w:tab w:val="left" w:pos="5580"/>
              </w:tabs>
              <w:ind w:firstLine="482"/>
              <w:jc w:val="left"/>
              <w:rPr>
                <w:rFonts w:hint="eastAsia" w:cs="Times New Roman" w:asciiTheme="minorEastAsia" w:hAnsiTheme="minorEastAsia"/>
                <w:color w:val="000000"/>
                <w:sz w:val="24"/>
                <w:szCs w:val="20"/>
              </w:rPr>
            </w:pPr>
          </w:p>
          <w:p w14:paraId="0F836A83">
            <w:pPr>
              <w:tabs>
                <w:tab w:val="left" w:pos="5580"/>
              </w:tabs>
              <w:ind w:firstLine="482"/>
              <w:jc w:val="left"/>
              <w:rPr>
                <w:rFonts w:hint="eastAsia" w:cs="Times New Roman" w:asciiTheme="minorEastAsia" w:hAnsiTheme="minorEastAsia"/>
                <w:color w:val="000000"/>
                <w:sz w:val="24"/>
                <w:szCs w:val="20"/>
              </w:rPr>
            </w:pPr>
          </w:p>
          <w:p w14:paraId="311954F6">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3E2F275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委托代理人有效期内的身份证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FFD8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14:paraId="11BFEA1F">
            <w:pPr>
              <w:tabs>
                <w:tab w:val="left" w:pos="5580"/>
              </w:tabs>
              <w:ind w:firstLine="482"/>
              <w:jc w:val="left"/>
              <w:rPr>
                <w:rFonts w:hint="eastAsia" w:cs="Times New Roman" w:asciiTheme="minorEastAsia" w:hAnsiTheme="minorEastAsia"/>
                <w:color w:val="000000"/>
                <w:sz w:val="24"/>
                <w:szCs w:val="20"/>
              </w:rPr>
            </w:pPr>
          </w:p>
          <w:p w14:paraId="3462E10F">
            <w:pPr>
              <w:tabs>
                <w:tab w:val="left" w:pos="5580"/>
              </w:tabs>
              <w:ind w:firstLine="482"/>
              <w:jc w:val="left"/>
              <w:rPr>
                <w:rFonts w:hint="eastAsia" w:cs="Times New Roman" w:asciiTheme="minorEastAsia" w:hAnsiTheme="minorEastAsia"/>
                <w:color w:val="000000"/>
                <w:sz w:val="24"/>
                <w:szCs w:val="20"/>
              </w:rPr>
            </w:pPr>
          </w:p>
          <w:p w14:paraId="18A8BCD5">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tcPr>
          <w:p w14:paraId="472F8FD1">
            <w:pPr>
              <w:tabs>
                <w:tab w:val="left" w:pos="5580"/>
              </w:tabs>
              <w:ind w:firstLine="482"/>
              <w:jc w:val="left"/>
              <w:rPr>
                <w:rFonts w:hint="eastAsia" w:cs="Times New Roman" w:asciiTheme="minorEastAsia" w:hAnsiTheme="minorEastAsia"/>
                <w:color w:val="000000"/>
                <w:sz w:val="24"/>
                <w:szCs w:val="20"/>
              </w:rPr>
            </w:pPr>
          </w:p>
          <w:p w14:paraId="4FBD411C">
            <w:pPr>
              <w:tabs>
                <w:tab w:val="left" w:pos="5580"/>
              </w:tabs>
              <w:ind w:firstLine="482"/>
              <w:jc w:val="left"/>
              <w:rPr>
                <w:rFonts w:hint="eastAsia" w:cs="Times New Roman" w:asciiTheme="minorEastAsia" w:hAnsiTheme="minorEastAsia"/>
                <w:color w:val="000000"/>
                <w:sz w:val="24"/>
                <w:szCs w:val="20"/>
              </w:rPr>
            </w:pPr>
          </w:p>
          <w:p w14:paraId="6F75900E">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57E2101F">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说明：</w:t>
      </w:r>
    </w:p>
    <w:p w14:paraId="65AB8E0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1.若供应商为事业单位或其他组织或分支机构（仅当招标文件注明允许分支机构投标的），则法定代表人（单位负责人）处的签署人可为单位负责人。</w:t>
      </w:r>
    </w:p>
    <w:p w14:paraId="7B0A8C4A">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2.若投标文件中签字之处均为法定代表人（单位负责人）本人签署，则可不提供本《授权委托书》，但须提供《法定代表人（单位负责人）身份证明》。</w:t>
      </w:r>
    </w:p>
    <w:p w14:paraId="59ADA195">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color w:val="000000"/>
          <w:sz w:val="24"/>
          <w:szCs w:val="20"/>
        </w:rPr>
        <w:t>3.供应商为自然人的情形，可不提供本《授权委托书》。</w:t>
      </w:r>
    </w:p>
    <w:p w14:paraId="1F3B782C">
      <w:pPr>
        <w:rPr>
          <w:rFonts w:hint="eastAsia" w:cs="Times New Roman" w:asciiTheme="minorEastAsia" w:hAnsiTheme="minorEastAsia"/>
          <w:bCs/>
          <w:color w:val="000000"/>
          <w:kern w:val="0"/>
          <w:sz w:val="32"/>
          <w:szCs w:val="21"/>
        </w:rPr>
      </w:pPr>
      <w:r>
        <w:rPr>
          <w:rFonts w:hint="eastAsia" w:cs="Times New Roman" w:asciiTheme="minorEastAsia" w:hAnsiTheme="minorEastAsia"/>
          <w:b/>
          <w:color w:val="000000"/>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10</w:t>
      </w:r>
      <w:r>
        <w:rPr>
          <w:rFonts w:hint="eastAsia" w:cs="Times New Roman" w:asciiTheme="minorEastAsia" w:hAnsiTheme="minorEastAsia"/>
          <w:color w:val="000000"/>
          <w:kern w:val="0"/>
          <w:sz w:val="24"/>
          <w:szCs w:val="24"/>
        </w:rPr>
        <w:t>、商务条款偏离表</w:t>
      </w:r>
    </w:p>
    <w:p w14:paraId="2B6E7720">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商务条款偏离表</w:t>
      </w:r>
    </w:p>
    <w:p w14:paraId="5F7EA833">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请逐条对应招标文件“项目需求”等内容要求的商务条件，填写该表。</w:t>
      </w:r>
    </w:p>
    <w:tbl>
      <w:tblPr>
        <w:tblStyle w:val="3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8"/>
        <w:gridCol w:w="1070"/>
        <w:gridCol w:w="1523"/>
        <w:gridCol w:w="1890"/>
        <w:gridCol w:w="1980"/>
        <w:gridCol w:w="1616"/>
      </w:tblGrid>
      <w:tr w14:paraId="55CC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65C7EF05">
            <w:pPr>
              <w:spacing w:line="400" w:lineRule="exact"/>
              <w:rPr>
                <w:rFonts w:hint="eastAsia" w:asciiTheme="minorEastAsia" w:hAnsiTheme="minorEastAsia"/>
                <w:sz w:val="24"/>
                <w:szCs w:val="24"/>
              </w:rPr>
            </w:pPr>
            <w:r>
              <w:rPr>
                <w:rFonts w:hint="eastAsia" w:asciiTheme="minorEastAsia" w:hAnsiTheme="minorEastAsia"/>
                <w:sz w:val="24"/>
                <w:szCs w:val="24"/>
              </w:rPr>
              <w:t>序号</w:t>
            </w:r>
          </w:p>
        </w:tc>
        <w:tc>
          <w:tcPr>
            <w:tcW w:w="1091" w:type="dxa"/>
            <w:vAlign w:val="center"/>
          </w:tcPr>
          <w:p w14:paraId="2873FB2B">
            <w:pPr>
              <w:spacing w:line="400" w:lineRule="exact"/>
              <w:rPr>
                <w:rFonts w:hint="eastAsia" w:asciiTheme="minorEastAsia" w:hAnsiTheme="minorEastAsia"/>
                <w:sz w:val="24"/>
                <w:szCs w:val="24"/>
              </w:rPr>
            </w:pPr>
            <w:r>
              <w:rPr>
                <w:rFonts w:hint="eastAsia" w:asciiTheme="minorEastAsia" w:hAnsiTheme="minorEastAsia"/>
                <w:sz w:val="24"/>
                <w:szCs w:val="24"/>
              </w:rPr>
              <w:t>条款</w:t>
            </w:r>
          </w:p>
        </w:tc>
        <w:tc>
          <w:tcPr>
            <w:tcW w:w="1559" w:type="dxa"/>
            <w:vAlign w:val="center"/>
          </w:tcPr>
          <w:p w14:paraId="6652CB11">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938" w:type="dxa"/>
            <w:vAlign w:val="center"/>
          </w:tcPr>
          <w:p w14:paraId="08183253">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2031" w:type="dxa"/>
            <w:vAlign w:val="center"/>
          </w:tcPr>
          <w:p w14:paraId="10F51B55">
            <w:pPr>
              <w:spacing w:line="400" w:lineRule="exact"/>
              <w:rPr>
                <w:rFonts w:hint="eastAsia" w:asciiTheme="minorEastAsia" w:hAnsiTheme="minorEastAsia"/>
                <w:sz w:val="24"/>
                <w:szCs w:val="24"/>
              </w:rPr>
            </w:pPr>
            <w:r>
              <w:rPr>
                <w:rFonts w:hint="eastAsia" w:asciiTheme="minorEastAsia" w:hAnsiTheme="minorEastAsia"/>
                <w:sz w:val="24"/>
                <w:szCs w:val="24"/>
              </w:rPr>
              <w:t>偏离情况</w:t>
            </w:r>
          </w:p>
        </w:tc>
        <w:tc>
          <w:tcPr>
            <w:tcW w:w="1655" w:type="dxa"/>
            <w:vAlign w:val="center"/>
          </w:tcPr>
          <w:p w14:paraId="2AE8484B">
            <w:pPr>
              <w:spacing w:line="400" w:lineRule="exact"/>
              <w:rPr>
                <w:rFonts w:hint="eastAsia" w:asciiTheme="minorEastAsia" w:hAnsiTheme="minorEastAsia"/>
                <w:sz w:val="24"/>
                <w:szCs w:val="24"/>
              </w:rPr>
            </w:pPr>
            <w:r>
              <w:rPr>
                <w:rFonts w:hint="eastAsia" w:asciiTheme="minorEastAsia" w:hAnsiTheme="minorEastAsia"/>
                <w:sz w:val="24"/>
                <w:szCs w:val="24"/>
              </w:rPr>
              <w:t>偏离说明</w:t>
            </w:r>
          </w:p>
        </w:tc>
      </w:tr>
      <w:tr w14:paraId="1255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14:paraId="7F73C253">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1</w:t>
            </w:r>
          </w:p>
        </w:tc>
        <w:tc>
          <w:tcPr>
            <w:tcW w:w="1091" w:type="dxa"/>
          </w:tcPr>
          <w:p w14:paraId="21DE9583">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35E7EC83">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C1DF59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2FEC12E2">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3C926DA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5737A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14:paraId="3FD19D12">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2</w:t>
            </w:r>
          </w:p>
        </w:tc>
        <w:tc>
          <w:tcPr>
            <w:tcW w:w="1091" w:type="dxa"/>
          </w:tcPr>
          <w:p w14:paraId="6DCF4E57">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31B5C9DC">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1664759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3AD83DA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748F952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7080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14:paraId="50719F76">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3</w:t>
            </w:r>
          </w:p>
        </w:tc>
        <w:tc>
          <w:tcPr>
            <w:tcW w:w="1091" w:type="dxa"/>
          </w:tcPr>
          <w:p w14:paraId="1D5187B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4DB384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5BB2685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5D76A71C">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30CEC634">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3A0E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14:paraId="48F17B4A">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4</w:t>
            </w:r>
          </w:p>
        </w:tc>
        <w:tc>
          <w:tcPr>
            <w:tcW w:w="1091" w:type="dxa"/>
          </w:tcPr>
          <w:p w14:paraId="7A9EDE8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3F3C3B6">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94BAC6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440A1E4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5DC9D8A4">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6FCC8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14:paraId="0AB2ADA7">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5</w:t>
            </w:r>
          </w:p>
        </w:tc>
        <w:tc>
          <w:tcPr>
            <w:tcW w:w="1091" w:type="dxa"/>
          </w:tcPr>
          <w:p w14:paraId="005BE2B8">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152DA739">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D23446E">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1721821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7FFA19E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bl>
    <w:p w14:paraId="41219F86">
      <w:pPr>
        <w:spacing w:line="360" w:lineRule="auto"/>
        <w:ind w:firstLine="480" w:firstLineChars="200"/>
        <w:rPr>
          <w:rFonts w:hint="eastAsia" w:cs="Times New Roman" w:asciiTheme="minorEastAsia" w:hAnsiTheme="minorEastAsia"/>
          <w:color w:val="000000"/>
          <w:sz w:val="24"/>
          <w:szCs w:val="24"/>
        </w:rPr>
      </w:pPr>
    </w:p>
    <w:p w14:paraId="10E56AF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37EAE6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9D5010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177B392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6A168273">
      <w:pPr>
        <w:spacing w:line="600" w:lineRule="exact"/>
        <w:ind w:firstLine="420" w:firstLineChars="200"/>
        <w:rPr>
          <w:rFonts w:hint="eastAsia" w:cs="Times New Roman" w:asciiTheme="minorEastAsia" w:hAnsiTheme="minorEastAsia"/>
          <w:color w:val="000000"/>
          <w:szCs w:val="20"/>
        </w:rPr>
      </w:pPr>
    </w:p>
    <w:p w14:paraId="5F05980A">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2C4DD2FF">
      <w:pPr>
        <w:rPr>
          <w:rFonts w:hint="eastAsia" w:cs="宋体" w:asciiTheme="minorEastAsia" w:hAnsiTheme="minorEastAsia"/>
          <w:bCs/>
          <w:sz w:val="36"/>
          <w:szCs w:val="28"/>
        </w:rPr>
      </w:pP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1</w:t>
      </w:r>
      <w:r>
        <w:rPr>
          <w:rFonts w:hint="eastAsia" w:cs="Times New Roman" w:asciiTheme="minorEastAsia" w:hAnsiTheme="minorEastAsia"/>
          <w:color w:val="000000"/>
          <w:kern w:val="0"/>
          <w:sz w:val="24"/>
          <w:szCs w:val="24"/>
        </w:rPr>
        <w:t>、技术参数偏离表</w:t>
      </w:r>
    </w:p>
    <w:p w14:paraId="6B9C9E71">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技术参数</w:t>
      </w:r>
      <w:r>
        <w:rPr>
          <w:rFonts w:hint="eastAsia" w:cs="宋体" w:asciiTheme="minorEastAsia" w:hAnsiTheme="minorEastAsia"/>
          <w:bCs/>
          <w:sz w:val="36"/>
          <w:szCs w:val="28"/>
        </w:rPr>
        <w:t>偏离表</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66DEC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vAlign w:val="center"/>
          </w:tcPr>
          <w:p w14:paraId="1B79AAD6">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860" w:type="pct"/>
            <w:vAlign w:val="center"/>
          </w:tcPr>
          <w:p w14:paraId="2360B4E1">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技术参数要求（逐条填写）</w:t>
            </w:r>
          </w:p>
        </w:tc>
        <w:tc>
          <w:tcPr>
            <w:tcW w:w="965" w:type="pct"/>
            <w:vAlign w:val="center"/>
          </w:tcPr>
          <w:p w14:paraId="07B352B4">
            <w:pPr>
              <w:spacing w:line="40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投标实际参数</w:t>
            </w:r>
            <w:r>
              <w:rPr>
                <w:rFonts w:hint="eastAsia" w:cs="Times New Roman" w:asciiTheme="minorEastAsia" w:hAnsiTheme="minorEastAsia"/>
                <w:bCs/>
                <w:sz w:val="24"/>
                <w:szCs w:val="24"/>
              </w:rPr>
              <w:t>(投标人应按投标实际数据填写，不能照抄招标要求)</w:t>
            </w:r>
          </w:p>
        </w:tc>
        <w:tc>
          <w:tcPr>
            <w:tcW w:w="758" w:type="pct"/>
            <w:vAlign w:val="center"/>
          </w:tcPr>
          <w:p w14:paraId="55A27C3C">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950" w:type="pct"/>
            <w:vAlign w:val="center"/>
          </w:tcPr>
          <w:p w14:paraId="624F3CE3">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偏离说明</w:t>
            </w:r>
          </w:p>
        </w:tc>
        <w:tc>
          <w:tcPr>
            <w:tcW w:w="950" w:type="pct"/>
            <w:vAlign w:val="center"/>
          </w:tcPr>
          <w:p w14:paraId="078D9F39">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参数证明材料内容及所在位置</w:t>
            </w:r>
          </w:p>
        </w:tc>
      </w:tr>
      <w:tr w14:paraId="52F4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405C36B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44A1097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4DE74F57">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62B6DB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7FCCE56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579EA5C5">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6E82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3E7B0633">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559EB138">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226043F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E265854">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4301F84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0D67F920">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3DB8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6B5E534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04286B5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252E15F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5465FD4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668760D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4650A18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2A4F0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6A2D0C4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5AF28F0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6CBDCA1E">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415D2C38">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0710E39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18C8528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52327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tcPr>
          <w:p w14:paraId="14949C6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860" w:type="pct"/>
          </w:tcPr>
          <w:p w14:paraId="33C39BC6">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65" w:type="pct"/>
          </w:tcPr>
          <w:p w14:paraId="492629F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758" w:type="pct"/>
          </w:tcPr>
          <w:p w14:paraId="3BF91136">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1D2DADA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950" w:type="pct"/>
          </w:tcPr>
          <w:p w14:paraId="5FDDE577">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bl>
    <w:p w14:paraId="46450AD0">
      <w:pPr>
        <w:spacing w:line="360" w:lineRule="auto"/>
        <w:ind w:firstLine="480" w:firstLineChars="200"/>
        <w:rPr>
          <w:rFonts w:hint="eastAsia" w:cs="Times New Roman" w:asciiTheme="minorEastAsia" w:hAnsiTheme="minorEastAsia"/>
          <w:color w:val="000000"/>
          <w:sz w:val="24"/>
          <w:szCs w:val="24"/>
        </w:rPr>
      </w:pPr>
    </w:p>
    <w:p w14:paraId="5923605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4F1837D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652666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3D66361B">
      <w:pPr>
        <w:rPr>
          <w:rFonts w:hint="eastAsia" w:cs="Times New Roman" w:asciiTheme="minorEastAsia" w:hAnsiTheme="minorEastAsia"/>
          <w:b/>
          <w:color w:val="000000"/>
          <w:kern w:val="0"/>
          <w:sz w:val="28"/>
          <w:szCs w:val="21"/>
        </w:rPr>
      </w:pP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2</w:t>
      </w:r>
      <w:r>
        <w:rPr>
          <w:rFonts w:hint="eastAsia" w:cs="Times New Roman" w:asciiTheme="minorEastAsia" w:hAnsiTheme="minorEastAsia"/>
          <w:color w:val="000000"/>
          <w:kern w:val="0"/>
          <w:sz w:val="24"/>
          <w:szCs w:val="24"/>
        </w:rPr>
        <w:t>、售后服务承诺书</w:t>
      </w:r>
    </w:p>
    <w:p w14:paraId="36BABF6E">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售后服务承诺书</w:t>
      </w:r>
    </w:p>
    <w:p w14:paraId="3BA08F0D">
      <w:pPr>
        <w:spacing w:line="360" w:lineRule="auto"/>
        <w:ind w:firstLine="480" w:firstLineChars="20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22B6E3A2">
      <w:pPr>
        <w:widowControl/>
        <w:ind w:firstLine="482"/>
        <w:jc w:val="left"/>
        <w:rPr>
          <w:rFonts w:hint="eastAsia" w:cs="Times New Roman" w:asciiTheme="minorEastAsia" w:hAnsiTheme="minorEastAsia"/>
          <w:color w:val="000000"/>
          <w:kern w:val="0"/>
          <w:sz w:val="24"/>
          <w:szCs w:val="24"/>
        </w:rPr>
      </w:pPr>
    </w:p>
    <w:p w14:paraId="141FB6A3">
      <w:pPr>
        <w:spacing w:line="360" w:lineRule="auto"/>
        <w:ind w:firstLine="480" w:firstLineChars="200"/>
        <w:rPr>
          <w:rFonts w:hint="eastAsia" w:cs="Times New Roman" w:asciiTheme="minorEastAsia" w:hAnsiTheme="minorEastAsia"/>
          <w:color w:val="000000"/>
          <w:sz w:val="24"/>
          <w:szCs w:val="24"/>
        </w:rPr>
      </w:pPr>
    </w:p>
    <w:p w14:paraId="43C5545A">
      <w:pPr>
        <w:spacing w:line="360" w:lineRule="auto"/>
        <w:ind w:firstLine="480" w:firstLineChars="200"/>
        <w:rPr>
          <w:rFonts w:hint="eastAsia" w:cs="Times New Roman" w:asciiTheme="minorEastAsia" w:hAnsiTheme="minorEastAsia"/>
          <w:color w:val="000000"/>
          <w:sz w:val="24"/>
          <w:szCs w:val="24"/>
        </w:rPr>
      </w:pPr>
    </w:p>
    <w:p w14:paraId="12B5BE9A">
      <w:pPr>
        <w:spacing w:line="360" w:lineRule="auto"/>
        <w:ind w:firstLine="480" w:firstLineChars="200"/>
        <w:rPr>
          <w:rFonts w:hint="eastAsia" w:cs="Times New Roman" w:asciiTheme="minorEastAsia" w:hAnsiTheme="minorEastAsia"/>
          <w:color w:val="000000"/>
          <w:sz w:val="24"/>
          <w:szCs w:val="24"/>
        </w:rPr>
      </w:pPr>
    </w:p>
    <w:p w14:paraId="73D64A42">
      <w:pPr>
        <w:spacing w:line="360" w:lineRule="auto"/>
        <w:ind w:firstLine="480" w:firstLineChars="200"/>
        <w:rPr>
          <w:rFonts w:hint="eastAsia" w:cs="Times New Roman" w:asciiTheme="minorEastAsia" w:hAnsiTheme="minorEastAsia"/>
          <w:color w:val="000000"/>
          <w:sz w:val="24"/>
          <w:szCs w:val="24"/>
        </w:rPr>
      </w:pPr>
    </w:p>
    <w:p w14:paraId="13DC997A">
      <w:pPr>
        <w:spacing w:line="360" w:lineRule="auto"/>
        <w:ind w:firstLine="480" w:firstLineChars="200"/>
        <w:rPr>
          <w:rFonts w:hint="eastAsia" w:cs="Times New Roman" w:asciiTheme="minorEastAsia" w:hAnsiTheme="minorEastAsia"/>
          <w:color w:val="000000"/>
          <w:sz w:val="24"/>
          <w:szCs w:val="24"/>
        </w:rPr>
      </w:pPr>
    </w:p>
    <w:p w14:paraId="4B7874CA">
      <w:pPr>
        <w:spacing w:line="360" w:lineRule="auto"/>
        <w:ind w:firstLine="480" w:firstLineChars="200"/>
        <w:rPr>
          <w:rFonts w:hint="eastAsia" w:cs="Times New Roman" w:asciiTheme="minorEastAsia" w:hAnsiTheme="minorEastAsia"/>
          <w:color w:val="000000"/>
          <w:sz w:val="24"/>
          <w:szCs w:val="24"/>
        </w:rPr>
      </w:pPr>
    </w:p>
    <w:p w14:paraId="3683EC21">
      <w:pPr>
        <w:spacing w:line="360" w:lineRule="auto"/>
        <w:ind w:firstLine="480" w:firstLineChars="200"/>
        <w:rPr>
          <w:rFonts w:hint="eastAsia" w:cs="Times New Roman" w:asciiTheme="minorEastAsia" w:hAnsiTheme="minorEastAsia"/>
          <w:color w:val="000000"/>
          <w:sz w:val="24"/>
          <w:szCs w:val="24"/>
        </w:rPr>
      </w:pPr>
    </w:p>
    <w:p w14:paraId="4BFF8402">
      <w:pPr>
        <w:spacing w:line="360" w:lineRule="auto"/>
        <w:ind w:firstLine="480" w:firstLineChars="200"/>
        <w:rPr>
          <w:rFonts w:hint="eastAsia" w:cs="Times New Roman" w:asciiTheme="minorEastAsia" w:hAnsiTheme="minorEastAsia"/>
          <w:color w:val="000000"/>
          <w:sz w:val="24"/>
          <w:szCs w:val="24"/>
        </w:rPr>
      </w:pPr>
    </w:p>
    <w:p w14:paraId="554930DD">
      <w:pPr>
        <w:spacing w:line="360" w:lineRule="auto"/>
        <w:ind w:firstLine="480" w:firstLineChars="200"/>
        <w:rPr>
          <w:rFonts w:hint="eastAsia" w:cs="Times New Roman" w:asciiTheme="minorEastAsia" w:hAnsiTheme="minorEastAsia"/>
          <w:color w:val="000000"/>
          <w:sz w:val="24"/>
          <w:szCs w:val="24"/>
        </w:rPr>
      </w:pPr>
    </w:p>
    <w:p w14:paraId="03D50F58">
      <w:pPr>
        <w:spacing w:line="360" w:lineRule="auto"/>
        <w:ind w:firstLine="480" w:firstLineChars="200"/>
        <w:rPr>
          <w:rFonts w:hint="eastAsia" w:cs="Times New Roman" w:asciiTheme="minorEastAsia" w:hAnsiTheme="minorEastAsia"/>
          <w:color w:val="000000"/>
          <w:sz w:val="24"/>
          <w:szCs w:val="24"/>
        </w:rPr>
      </w:pPr>
    </w:p>
    <w:p w14:paraId="36D34DF0">
      <w:pPr>
        <w:spacing w:line="360" w:lineRule="auto"/>
        <w:ind w:firstLine="480" w:firstLineChars="200"/>
        <w:rPr>
          <w:rFonts w:hint="eastAsia" w:cs="Times New Roman" w:asciiTheme="minorEastAsia" w:hAnsiTheme="minorEastAsia"/>
          <w:color w:val="000000"/>
          <w:sz w:val="24"/>
          <w:szCs w:val="24"/>
        </w:rPr>
      </w:pPr>
    </w:p>
    <w:p w14:paraId="50A97DE6">
      <w:pPr>
        <w:spacing w:line="360" w:lineRule="auto"/>
        <w:ind w:firstLine="480" w:firstLineChars="200"/>
        <w:rPr>
          <w:rFonts w:hint="eastAsia" w:cs="Times New Roman" w:asciiTheme="minorEastAsia" w:hAnsiTheme="minorEastAsia"/>
          <w:color w:val="000000"/>
          <w:sz w:val="24"/>
          <w:szCs w:val="24"/>
        </w:rPr>
      </w:pPr>
    </w:p>
    <w:p w14:paraId="58B8C2C4">
      <w:pPr>
        <w:spacing w:line="360" w:lineRule="auto"/>
        <w:ind w:firstLine="480" w:firstLineChars="200"/>
        <w:rPr>
          <w:rFonts w:hint="eastAsia" w:cs="Times New Roman" w:asciiTheme="minorEastAsia" w:hAnsiTheme="minorEastAsia"/>
          <w:color w:val="000000"/>
          <w:sz w:val="24"/>
          <w:szCs w:val="24"/>
        </w:rPr>
      </w:pPr>
    </w:p>
    <w:p w14:paraId="792EF15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712913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7431183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2991480">
      <w:pPr>
        <w:widowControl/>
        <w:ind w:firstLine="482"/>
        <w:jc w:val="left"/>
        <w:rPr>
          <w:rFonts w:hint="eastAsia" w:cs="Times New Roman" w:asciiTheme="minorEastAsia" w:hAnsiTheme="minorEastAsia"/>
          <w:color w:val="000000"/>
          <w:kern w:val="0"/>
          <w:sz w:val="24"/>
          <w:szCs w:val="24"/>
        </w:rPr>
      </w:pPr>
    </w:p>
    <w:p w14:paraId="73A33C55">
      <w:pPr>
        <w:widowControl/>
        <w:ind w:firstLine="482"/>
        <w:jc w:val="left"/>
        <w:rPr>
          <w:rFonts w:hint="eastAsia" w:cs="Times New Roman" w:asciiTheme="minorEastAsia" w:hAnsiTheme="minorEastAsia"/>
          <w:color w:val="000000"/>
          <w:kern w:val="0"/>
          <w:sz w:val="24"/>
          <w:szCs w:val="24"/>
        </w:rPr>
      </w:pPr>
      <w:r>
        <w:rPr>
          <w:rFonts w:cs="Times New Roman" w:asciiTheme="minorEastAsia" w:hAnsiTheme="minorEastAsia"/>
          <w:color w:val="000000"/>
          <w:kern w:val="0"/>
          <w:sz w:val="24"/>
          <w:szCs w:val="24"/>
        </w:rPr>
        <w:br w:type="page"/>
      </w:r>
    </w:p>
    <w:p w14:paraId="23449169">
      <w:pPr>
        <w:rPr>
          <w:rFonts w:hint="eastAsia" w:cs="Times New Roman" w:asciiTheme="minorEastAsia" w:hAnsiTheme="minorEastAsia"/>
          <w:b/>
          <w:color w:val="000000"/>
          <w:kern w:val="0"/>
          <w:sz w:val="28"/>
          <w:szCs w:val="21"/>
        </w:rPr>
      </w:pP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3</w:t>
      </w:r>
      <w:r>
        <w:rPr>
          <w:rFonts w:hint="eastAsia" w:cs="Times New Roman" w:asciiTheme="minorEastAsia" w:hAnsiTheme="minorEastAsia"/>
          <w:color w:val="000000"/>
          <w:kern w:val="0"/>
          <w:sz w:val="24"/>
          <w:szCs w:val="24"/>
        </w:rPr>
        <w:t>、安装调试方案</w:t>
      </w:r>
    </w:p>
    <w:p w14:paraId="3BB6ACC4">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安装调试方案</w:t>
      </w:r>
    </w:p>
    <w:p w14:paraId="63915E8B">
      <w:pPr>
        <w:spacing w:line="360" w:lineRule="auto"/>
        <w:ind w:firstLine="480" w:firstLineChars="20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283D4165">
      <w:pPr>
        <w:ind w:firstLine="482"/>
        <w:rPr>
          <w:rFonts w:hint="eastAsia" w:cs="Times New Roman" w:asciiTheme="minorEastAsia" w:hAnsiTheme="minorEastAsia"/>
          <w:color w:val="000000"/>
          <w:sz w:val="24"/>
          <w:szCs w:val="24"/>
        </w:rPr>
      </w:pPr>
    </w:p>
    <w:p w14:paraId="60FE9B69">
      <w:pPr>
        <w:spacing w:line="360" w:lineRule="auto"/>
        <w:ind w:firstLine="480" w:firstLineChars="200"/>
        <w:rPr>
          <w:rFonts w:hint="eastAsia" w:cs="Times New Roman" w:asciiTheme="minorEastAsia" w:hAnsiTheme="minorEastAsia"/>
          <w:color w:val="000000"/>
          <w:sz w:val="24"/>
          <w:szCs w:val="24"/>
        </w:rPr>
      </w:pPr>
    </w:p>
    <w:p w14:paraId="3471E72D">
      <w:pPr>
        <w:spacing w:line="360" w:lineRule="auto"/>
        <w:ind w:firstLine="480" w:firstLineChars="200"/>
        <w:rPr>
          <w:rFonts w:hint="eastAsia" w:cs="Times New Roman" w:asciiTheme="minorEastAsia" w:hAnsiTheme="minorEastAsia"/>
          <w:color w:val="000000"/>
          <w:sz w:val="24"/>
          <w:szCs w:val="24"/>
        </w:rPr>
      </w:pPr>
    </w:p>
    <w:p w14:paraId="4D81F735">
      <w:pPr>
        <w:spacing w:line="360" w:lineRule="auto"/>
        <w:ind w:firstLine="480" w:firstLineChars="200"/>
        <w:rPr>
          <w:rFonts w:hint="eastAsia" w:cs="Times New Roman" w:asciiTheme="minorEastAsia" w:hAnsiTheme="minorEastAsia"/>
          <w:color w:val="000000"/>
          <w:sz w:val="24"/>
          <w:szCs w:val="24"/>
        </w:rPr>
      </w:pPr>
    </w:p>
    <w:p w14:paraId="5738D19F">
      <w:pPr>
        <w:spacing w:line="360" w:lineRule="auto"/>
        <w:ind w:firstLine="480" w:firstLineChars="200"/>
        <w:rPr>
          <w:rFonts w:hint="eastAsia" w:cs="Times New Roman" w:asciiTheme="minorEastAsia" w:hAnsiTheme="minorEastAsia"/>
          <w:color w:val="000000"/>
          <w:sz w:val="24"/>
          <w:szCs w:val="24"/>
        </w:rPr>
      </w:pPr>
    </w:p>
    <w:p w14:paraId="2793496E">
      <w:pPr>
        <w:spacing w:line="360" w:lineRule="auto"/>
        <w:ind w:firstLine="480" w:firstLineChars="200"/>
        <w:rPr>
          <w:rFonts w:hint="eastAsia" w:cs="Times New Roman" w:asciiTheme="minorEastAsia" w:hAnsiTheme="minorEastAsia"/>
          <w:color w:val="000000"/>
          <w:sz w:val="24"/>
          <w:szCs w:val="24"/>
        </w:rPr>
      </w:pPr>
    </w:p>
    <w:p w14:paraId="2882C539">
      <w:pPr>
        <w:spacing w:line="360" w:lineRule="auto"/>
        <w:ind w:firstLine="480" w:firstLineChars="200"/>
        <w:rPr>
          <w:rFonts w:hint="eastAsia" w:cs="Times New Roman" w:asciiTheme="minorEastAsia" w:hAnsiTheme="minorEastAsia"/>
          <w:color w:val="000000"/>
          <w:sz w:val="24"/>
          <w:szCs w:val="24"/>
        </w:rPr>
      </w:pPr>
    </w:p>
    <w:p w14:paraId="434D83C4">
      <w:pPr>
        <w:spacing w:line="360" w:lineRule="auto"/>
        <w:ind w:firstLine="480" w:firstLineChars="200"/>
        <w:rPr>
          <w:rFonts w:hint="eastAsia" w:cs="Times New Roman" w:asciiTheme="minorEastAsia" w:hAnsiTheme="minorEastAsia"/>
          <w:color w:val="000000"/>
          <w:sz w:val="24"/>
          <w:szCs w:val="24"/>
        </w:rPr>
      </w:pPr>
    </w:p>
    <w:p w14:paraId="10DBC3F0">
      <w:pPr>
        <w:spacing w:line="360" w:lineRule="auto"/>
        <w:ind w:firstLine="480" w:firstLineChars="200"/>
        <w:rPr>
          <w:rFonts w:hint="eastAsia" w:cs="Times New Roman" w:asciiTheme="minorEastAsia" w:hAnsiTheme="minorEastAsia"/>
          <w:color w:val="000000"/>
          <w:sz w:val="24"/>
          <w:szCs w:val="24"/>
        </w:rPr>
      </w:pPr>
    </w:p>
    <w:p w14:paraId="7FBDD469">
      <w:pPr>
        <w:spacing w:line="360" w:lineRule="auto"/>
        <w:ind w:firstLine="480" w:firstLineChars="200"/>
        <w:rPr>
          <w:rFonts w:hint="eastAsia" w:cs="Times New Roman" w:asciiTheme="minorEastAsia" w:hAnsiTheme="minorEastAsia"/>
          <w:color w:val="000000"/>
          <w:sz w:val="24"/>
          <w:szCs w:val="24"/>
        </w:rPr>
      </w:pPr>
    </w:p>
    <w:p w14:paraId="4905C585">
      <w:pPr>
        <w:spacing w:line="360" w:lineRule="auto"/>
        <w:ind w:firstLine="480" w:firstLineChars="200"/>
        <w:rPr>
          <w:rFonts w:hint="eastAsia" w:cs="Times New Roman" w:asciiTheme="minorEastAsia" w:hAnsiTheme="minorEastAsia"/>
          <w:color w:val="000000"/>
          <w:sz w:val="24"/>
          <w:szCs w:val="24"/>
        </w:rPr>
      </w:pPr>
    </w:p>
    <w:p w14:paraId="413F37FF">
      <w:pPr>
        <w:spacing w:line="360" w:lineRule="auto"/>
        <w:ind w:firstLine="480" w:firstLineChars="200"/>
        <w:rPr>
          <w:rFonts w:hint="eastAsia" w:cs="Times New Roman" w:asciiTheme="minorEastAsia" w:hAnsiTheme="minorEastAsia"/>
          <w:color w:val="000000"/>
          <w:sz w:val="24"/>
          <w:szCs w:val="24"/>
        </w:rPr>
      </w:pPr>
    </w:p>
    <w:p w14:paraId="0812BC66">
      <w:pPr>
        <w:spacing w:line="360" w:lineRule="auto"/>
        <w:ind w:firstLine="480" w:firstLineChars="200"/>
        <w:rPr>
          <w:rFonts w:hint="eastAsia" w:cs="Times New Roman" w:asciiTheme="minorEastAsia" w:hAnsiTheme="minorEastAsia"/>
          <w:color w:val="000000"/>
          <w:sz w:val="24"/>
          <w:szCs w:val="24"/>
        </w:rPr>
      </w:pPr>
    </w:p>
    <w:p w14:paraId="517B9877">
      <w:pPr>
        <w:spacing w:line="360" w:lineRule="auto"/>
        <w:ind w:firstLine="480" w:firstLineChars="200"/>
        <w:rPr>
          <w:rFonts w:hint="eastAsia" w:cs="Times New Roman" w:asciiTheme="minorEastAsia" w:hAnsiTheme="minorEastAsia"/>
          <w:color w:val="000000"/>
          <w:sz w:val="24"/>
          <w:szCs w:val="24"/>
        </w:rPr>
      </w:pPr>
    </w:p>
    <w:p w14:paraId="6FBDCC2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810C2C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1957C28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5D6DBC4E">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0AFC27F1">
      <w:pPr>
        <w:rPr>
          <w:rFonts w:hint="eastAsia" w:cs="Times New Roman" w:asciiTheme="minorEastAsia" w:hAnsiTheme="minorEastAsia"/>
          <w:b/>
          <w:color w:val="000000"/>
          <w:kern w:val="0"/>
          <w:sz w:val="28"/>
          <w:szCs w:val="21"/>
        </w:rPr>
      </w:pP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4</w:t>
      </w:r>
      <w:r>
        <w:rPr>
          <w:rFonts w:hint="eastAsia" w:cs="Times New Roman" w:asciiTheme="minorEastAsia" w:hAnsiTheme="minorEastAsia"/>
          <w:color w:val="000000"/>
          <w:kern w:val="0"/>
          <w:sz w:val="24"/>
          <w:szCs w:val="24"/>
        </w:rPr>
        <w:t>、培训方案</w:t>
      </w:r>
    </w:p>
    <w:p w14:paraId="726423CD">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培训方案</w:t>
      </w:r>
    </w:p>
    <w:p w14:paraId="3AC74119">
      <w:pPr>
        <w:spacing w:line="360" w:lineRule="auto"/>
        <w:ind w:firstLine="480" w:firstLineChars="20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786BFF6B">
      <w:pPr>
        <w:ind w:firstLine="482"/>
        <w:rPr>
          <w:rFonts w:hint="eastAsia" w:cs="Times New Roman" w:asciiTheme="minorEastAsia" w:hAnsiTheme="minorEastAsia"/>
          <w:color w:val="000000"/>
          <w:sz w:val="24"/>
          <w:szCs w:val="24"/>
        </w:rPr>
      </w:pPr>
    </w:p>
    <w:p w14:paraId="0BF68825">
      <w:pPr>
        <w:spacing w:line="360" w:lineRule="auto"/>
        <w:ind w:firstLine="480" w:firstLineChars="200"/>
        <w:rPr>
          <w:rFonts w:hint="eastAsia" w:cs="Times New Roman" w:asciiTheme="minorEastAsia" w:hAnsiTheme="minorEastAsia"/>
          <w:color w:val="000000"/>
          <w:sz w:val="24"/>
          <w:szCs w:val="24"/>
        </w:rPr>
      </w:pPr>
    </w:p>
    <w:p w14:paraId="02FC5CA2">
      <w:pPr>
        <w:spacing w:line="360" w:lineRule="auto"/>
        <w:ind w:firstLine="480" w:firstLineChars="200"/>
        <w:rPr>
          <w:rFonts w:hint="eastAsia" w:cs="Times New Roman" w:asciiTheme="minorEastAsia" w:hAnsiTheme="minorEastAsia"/>
          <w:color w:val="000000"/>
          <w:sz w:val="24"/>
          <w:szCs w:val="24"/>
        </w:rPr>
      </w:pPr>
    </w:p>
    <w:p w14:paraId="34E56849">
      <w:pPr>
        <w:spacing w:line="360" w:lineRule="auto"/>
        <w:ind w:firstLine="480" w:firstLineChars="200"/>
        <w:rPr>
          <w:rFonts w:hint="eastAsia" w:cs="Times New Roman" w:asciiTheme="minorEastAsia" w:hAnsiTheme="minorEastAsia"/>
          <w:color w:val="000000"/>
          <w:sz w:val="24"/>
          <w:szCs w:val="24"/>
        </w:rPr>
      </w:pPr>
    </w:p>
    <w:p w14:paraId="187E603C">
      <w:pPr>
        <w:spacing w:line="360" w:lineRule="auto"/>
        <w:ind w:firstLine="480" w:firstLineChars="200"/>
        <w:rPr>
          <w:rFonts w:hint="eastAsia" w:cs="Times New Roman" w:asciiTheme="minorEastAsia" w:hAnsiTheme="minorEastAsia"/>
          <w:color w:val="000000"/>
          <w:sz w:val="24"/>
          <w:szCs w:val="24"/>
        </w:rPr>
      </w:pPr>
    </w:p>
    <w:p w14:paraId="1A38E88D">
      <w:pPr>
        <w:spacing w:line="360" w:lineRule="auto"/>
        <w:ind w:firstLine="480" w:firstLineChars="200"/>
        <w:rPr>
          <w:rFonts w:hint="eastAsia" w:cs="Times New Roman" w:asciiTheme="minorEastAsia" w:hAnsiTheme="minorEastAsia"/>
          <w:color w:val="000000"/>
          <w:sz w:val="24"/>
          <w:szCs w:val="24"/>
        </w:rPr>
      </w:pPr>
    </w:p>
    <w:p w14:paraId="38D5C9E5">
      <w:pPr>
        <w:spacing w:line="360" w:lineRule="auto"/>
        <w:ind w:firstLine="480" w:firstLineChars="200"/>
        <w:rPr>
          <w:rFonts w:hint="eastAsia" w:cs="Times New Roman" w:asciiTheme="minorEastAsia" w:hAnsiTheme="minorEastAsia"/>
          <w:color w:val="000000"/>
          <w:sz w:val="24"/>
          <w:szCs w:val="24"/>
        </w:rPr>
      </w:pPr>
    </w:p>
    <w:p w14:paraId="122F2CF5">
      <w:pPr>
        <w:spacing w:line="360" w:lineRule="auto"/>
        <w:ind w:firstLine="480" w:firstLineChars="200"/>
        <w:rPr>
          <w:rFonts w:hint="eastAsia" w:cs="Times New Roman" w:asciiTheme="minorEastAsia" w:hAnsiTheme="minorEastAsia"/>
          <w:color w:val="000000"/>
          <w:sz w:val="24"/>
          <w:szCs w:val="24"/>
        </w:rPr>
      </w:pPr>
    </w:p>
    <w:p w14:paraId="53B0EDE4">
      <w:pPr>
        <w:spacing w:line="360" w:lineRule="auto"/>
        <w:ind w:firstLine="480" w:firstLineChars="200"/>
        <w:rPr>
          <w:rFonts w:hint="eastAsia" w:cs="Times New Roman" w:asciiTheme="minorEastAsia" w:hAnsiTheme="minorEastAsia"/>
          <w:color w:val="000000"/>
          <w:sz w:val="24"/>
          <w:szCs w:val="24"/>
        </w:rPr>
      </w:pPr>
    </w:p>
    <w:p w14:paraId="523A0825">
      <w:pPr>
        <w:spacing w:line="360" w:lineRule="auto"/>
        <w:ind w:firstLine="480" w:firstLineChars="200"/>
        <w:rPr>
          <w:rFonts w:hint="eastAsia" w:cs="Times New Roman" w:asciiTheme="minorEastAsia" w:hAnsiTheme="minorEastAsia"/>
          <w:color w:val="000000"/>
          <w:sz w:val="24"/>
          <w:szCs w:val="24"/>
        </w:rPr>
      </w:pPr>
    </w:p>
    <w:p w14:paraId="15B98D8C">
      <w:pPr>
        <w:spacing w:line="360" w:lineRule="auto"/>
        <w:ind w:firstLine="480" w:firstLineChars="200"/>
        <w:rPr>
          <w:rFonts w:hint="eastAsia" w:cs="Times New Roman" w:asciiTheme="minorEastAsia" w:hAnsiTheme="minorEastAsia"/>
          <w:color w:val="000000"/>
          <w:sz w:val="24"/>
          <w:szCs w:val="24"/>
        </w:rPr>
      </w:pPr>
    </w:p>
    <w:p w14:paraId="69B59204">
      <w:pPr>
        <w:spacing w:line="360" w:lineRule="auto"/>
        <w:ind w:firstLine="480" w:firstLineChars="200"/>
        <w:rPr>
          <w:rFonts w:hint="eastAsia" w:cs="Times New Roman" w:asciiTheme="minorEastAsia" w:hAnsiTheme="minorEastAsia"/>
          <w:color w:val="000000"/>
          <w:sz w:val="24"/>
          <w:szCs w:val="24"/>
        </w:rPr>
      </w:pPr>
    </w:p>
    <w:p w14:paraId="620C958F">
      <w:pPr>
        <w:spacing w:line="360" w:lineRule="auto"/>
        <w:ind w:firstLine="480" w:firstLineChars="200"/>
        <w:rPr>
          <w:rFonts w:hint="eastAsia" w:cs="Times New Roman" w:asciiTheme="minorEastAsia" w:hAnsiTheme="minorEastAsia"/>
          <w:color w:val="000000"/>
          <w:sz w:val="24"/>
          <w:szCs w:val="24"/>
        </w:rPr>
      </w:pPr>
    </w:p>
    <w:p w14:paraId="36D0646A">
      <w:pPr>
        <w:spacing w:line="360" w:lineRule="auto"/>
        <w:ind w:firstLine="480" w:firstLineChars="200"/>
        <w:rPr>
          <w:rFonts w:hint="eastAsia" w:cs="Times New Roman" w:asciiTheme="minorEastAsia" w:hAnsiTheme="minorEastAsia"/>
          <w:color w:val="000000"/>
          <w:sz w:val="24"/>
          <w:szCs w:val="24"/>
        </w:rPr>
      </w:pPr>
    </w:p>
    <w:p w14:paraId="1003214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2CE261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5D7FE1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6BA36E0">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56FD610F">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5</w:t>
      </w:r>
      <w:r>
        <w:rPr>
          <w:rFonts w:hint="eastAsia" w:asciiTheme="minorEastAsia" w:hAnsiTheme="minorEastAsia"/>
          <w:color w:val="000000"/>
          <w:sz w:val="24"/>
          <w:szCs w:val="24"/>
        </w:rPr>
        <w:t>、财务状况报告及税收、社会保障资金缴纳情况承诺函</w:t>
      </w:r>
    </w:p>
    <w:p w14:paraId="2F52B564">
      <w:pPr>
        <w:ind w:firstLine="723"/>
        <w:jc w:val="center"/>
        <w:rPr>
          <w:rFonts w:hint="eastAsia" w:cs="宋体" w:asciiTheme="minorEastAsia" w:hAnsiTheme="minorEastAsia"/>
          <w:bCs/>
          <w:sz w:val="36"/>
          <w:szCs w:val="28"/>
        </w:rPr>
      </w:pPr>
    </w:p>
    <w:p w14:paraId="58D21A85">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1F7B4CDB">
      <w:pPr>
        <w:pStyle w:val="63"/>
        <w:rPr>
          <w:rFonts w:hint="eastAsia" w:asciiTheme="minorEastAsia" w:hAnsiTheme="minorEastAsia" w:eastAsiaTheme="minorEastAsia"/>
        </w:rPr>
      </w:pPr>
    </w:p>
    <w:p w14:paraId="6DD743C2">
      <w:pPr>
        <w:snapToGrid w:val="0"/>
        <w:ind w:firstLine="482"/>
        <w:rPr>
          <w:rFonts w:hint="eastAsia" w:cs="Times New Roman" w:asciiTheme="minorEastAsia" w:hAnsiTheme="minorEastAsia"/>
          <w:sz w:val="24"/>
        </w:rPr>
      </w:pPr>
      <w:r>
        <w:rPr>
          <w:rFonts w:hint="eastAsia" w:cs="Times New Roman" w:asciiTheme="minorEastAsia" w:hAnsiTheme="minorEastAsia"/>
          <w:sz w:val="24"/>
        </w:rPr>
        <w:t>致：</w:t>
      </w:r>
      <w:r>
        <w:rPr>
          <w:rFonts w:hint="eastAsia" w:cs="Times New Roman" w:asciiTheme="minorEastAsia" w:hAnsiTheme="minorEastAsia"/>
          <w:i/>
          <w:sz w:val="24"/>
          <w:u w:val="single"/>
        </w:rPr>
        <w:t>【采购单位】</w:t>
      </w:r>
    </w:p>
    <w:p w14:paraId="43ABC314">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w:t>
      </w:r>
      <w:r>
        <w:rPr>
          <w:rFonts w:hint="eastAsia" w:cs="Times New Roman" w:asciiTheme="minorEastAsia" w:hAnsiTheme="minorEastAsia"/>
          <w:i/>
          <w:sz w:val="24"/>
          <w:u w:val="single"/>
        </w:rPr>
        <w:t>供应商名称</w:t>
      </w:r>
      <w:r>
        <w:rPr>
          <w:rFonts w:hint="eastAsia" w:cs="Times New Roman" w:asciiTheme="minorEastAsia" w:hAnsiTheme="minorEastAsia"/>
          <w:sz w:val="24"/>
        </w:rPr>
        <w:t>参加</w:t>
      </w:r>
      <w:r>
        <w:rPr>
          <w:rFonts w:hint="eastAsia" w:cs="Times New Roman" w:asciiTheme="minorEastAsia" w:hAnsiTheme="minorEastAsia"/>
          <w:i/>
          <w:sz w:val="24"/>
          <w:u w:val="single"/>
        </w:rPr>
        <w:t>【项目名称】</w:t>
      </w:r>
      <w:r>
        <w:rPr>
          <w:rFonts w:hint="eastAsia" w:cs="Times New Roman" w:asciiTheme="minorEastAsia" w:hAnsiTheme="minorEastAsia"/>
          <w:sz w:val="24"/>
        </w:rPr>
        <w:t>（项目编号：</w:t>
      </w:r>
      <w:r>
        <w:rPr>
          <w:rFonts w:hint="eastAsia" w:cs="Times New Roman" w:asciiTheme="minorEastAsia" w:hAnsiTheme="minorEastAsia"/>
          <w:i/>
          <w:sz w:val="24"/>
          <w:u w:val="single"/>
        </w:rPr>
        <w:t>【项目编号】</w:t>
      </w:r>
      <w:r>
        <w:rPr>
          <w:rFonts w:hint="eastAsia" w:cs="Times New Roman" w:asciiTheme="minorEastAsia" w:hAnsiTheme="minor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9567B6C">
      <w:pPr>
        <w:snapToGrid w:val="0"/>
        <w:ind w:firstLine="482"/>
        <w:rPr>
          <w:rFonts w:hint="eastAsia" w:cs="Times New Roman" w:asciiTheme="minorEastAsia" w:hAnsiTheme="minorEastAsia"/>
          <w:sz w:val="24"/>
        </w:rPr>
      </w:pPr>
      <w:r>
        <w:rPr>
          <w:rFonts w:hint="eastAsia" w:cs="Times New Roman" w:asciiTheme="minorEastAsia" w:hAnsiTheme="minorEastAsia"/>
          <w:sz w:val="24"/>
        </w:rPr>
        <w:t>（1）具有良好的商业信誉和健全的财务会计制度（财务状况报告）；</w:t>
      </w:r>
    </w:p>
    <w:p w14:paraId="05C4508E">
      <w:pPr>
        <w:snapToGrid w:val="0"/>
        <w:ind w:firstLine="482"/>
        <w:rPr>
          <w:rFonts w:hint="eastAsia" w:cs="Times New Roman" w:asciiTheme="minorEastAsia" w:hAnsiTheme="minorEastAsia"/>
          <w:sz w:val="24"/>
        </w:rPr>
      </w:pPr>
      <w:r>
        <w:rPr>
          <w:rFonts w:hint="eastAsia" w:cs="Times New Roman" w:asciiTheme="minorEastAsia" w:hAnsiTheme="minorEastAsia"/>
          <w:sz w:val="24"/>
        </w:rPr>
        <w:t>（2）有依法缴纳税收和社会保障资金的良好记录。</w:t>
      </w:r>
    </w:p>
    <w:p w14:paraId="7C185CBC">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我方对上述承诺的真实性负责，如有虚假，将依法承担提供虚假材料谋取中标、成交责任，同时同意有关主管部门将相关失信信息记入公共信用信息系统并在相关政府门户网站公开。</w:t>
      </w:r>
    </w:p>
    <w:p w14:paraId="2F1CCE8F">
      <w:pPr>
        <w:snapToGrid w:val="0"/>
        <w:ind w:firstLine="482"/>
        <w:rPr>
          <w:rFonts w:hint="eastAsia" w:cs="Times New Roman" w:asciiTheme="minorEastAsia" w:hAnsiTheme="minorEastAsia"/>
          <w:sz w:val="24"/>
        </w:rPr>
      </w:pPr>
      <w:r>
        <w:rPr>
          <w:rFonts w:hint="eastAsia" w:cs="Times New Roman" w:asciiTheme="minorEastAsia" w:hAnsiTheme="minorEastAsia"/>
          <w:sz w:val="24"/>
        </w:rPr>
        <w:t>特此承诺</w:t>
      </w:r>
    </w:p>
    <w:p w14:paraId="0FDE146C">
      <w:pPr>
        <w:snapToGrid w:val="0"/>
        <w:ind w:firstLine="482"/>
        <w:rPr>
          <w:rFonts w:hint="eastAsia" w:cs="Times New Roman" w:asciiTheme="minorEastAsia" w:hAnsiTheme="minorEastAsia"/>
          <w:sz w:val="24"/>
        </w:rPr>
      </w:pPr>
    </w:p>
    <w:p w14:paraId="0F571775">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1552B463">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33CE81F9">
      <w:pPr>
        <w:snapToGrid w:val="0"/>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日期：    年     月     日</w:t>
      </w:r>
    </w:p>
    <w:p w14:paraId="100DE8B8">
      <w:pPr>
        <w:spacing w:line="360" w:lineRule="auto"/>
        <w:ind w:firstLine="482" w:firstLineChars="200"/>
        <w:rPr>
          <w:rFonts w:hint="eastAsia" w:cs="Times New Roman" w:asciiTheme="minorEastAsia" w:hAnsiTheme="minorEastAsia"/>
          <w:b/>
          <w:color w:val="000000"/>
          <w:sz w:val="24"/>
          <w:szCs w:val="24"/>
        </w:rPr>
      </w:pPr>
    </w:p>
    <w:p w14:paraId="7AAC8AF5">
      <w:pPr>
        <w:rPr>
          <w:rFonts w:hint="eastAsia" w:asciiTheme="minorEastAsia" w:hAnsiTheme="minorEastAsia"/>
          <w:color w:val="000000"/>
          <w:sz w:val="24"/>
        </w:rPr>
      </w:pPr>
      <w:r>
        <w:rPr>
          <w:rFonts w:cs="Times New Roman" w:asciiTheme="minorEastAsia" w:hAnsiTheme="minorEastAsia"/>
          <w:b/>
          <w:color w:val="000000"/>
          <w:kern w:val="44"/>
          <w:sz w:val="36"/>
          <w:szCs w:val="20"/>
        </w:rPr>
        <w:br w:type="page"/>
      </w: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6</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4F2631A8">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1BBDECF5">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4392AA79">
      <w:pPr>
        <w:spacing w:line="520" w:lineRule="exact"/>
        <w:ind w:firstLine="482"/>
        <w:rPr>
          <w:rFonts w:hint="eastAsia" w:cs="Times New Roman" w:asciiTheme="minorEastAsia" w:hAnsiTheme="minorEastAsia"/>
          <w:color w:val="000000"/>
          <w:sz w:val="24"/>
          <w:szCs w:val="24"/>
        </w:rPr>
      </w:pPr>
    </w:p>
    <w:p w14:paraId="5B04161F">
      <w:pPr>
        <w:spacing w:line="520" w:lineRule="exact"/>
        <w:ind w:firstLine="482"/>
        <w:rPr>
          <w:rFonts w:hint="eastAsia" w:cs="Times New Roman" w:asciiTheme="minorEastAsia" w:hAnsiTheme="minorEastAsia"/>
          <w:color w:val="000000"/>
          <w:sz w:val="24"/>
          <w:szCs w:val="24"/>
        </w:rPr>
      </w:pPr>
    </w:p>
    <w:p w14:paraId="2D28524C">
      <w:pPr>
        <w:spacing w:line="520" w:lineRule="exact"/>
        <w:ind w:firstLine="482"/>
        <w:rPr>
          <w:rFonts w:hint="eastAsia" w:cs="Times New Roman" w:asciiTheme="minorEastAsia" w:hAnsiTheme="minorEastAsia"/>
          <w:color w:val="000000"/>
          <w:sz w:val="24"/>
          <w:szCs w:val="24"/>
        </w:rPr>
      </w:pPr>
    </w:p>
    <w:p w14:paraId="70BF06EE">
      <w:pPr>
        <w:spacing w:line="520" w:lineRule="exact"/>
        <w:ind w:firstLine="482"/>
        <w:rPr>
          <w:rFonts w:hint="eastAsia" w:cs="Times New Roman" w:asciiTheme="minorEastAsia" w:hAnsiTheme="minorEastAsia"/>
          <w:color w:val="000000"/>
          <w:sz w:val="24"/>
          <w:szCs w:val="24"/>
        </w:rPr>
      </w:pPr>
    </w:p>
    <w:p w14:paraId="5E5D4AA7">
      <w:pPr>
        <w:spacing w:line="520" w:lineRule="exact"/>
        <w:ind w:firstLine="482"/>
        <w:rPr>
          <w:rFonts w:hint="eastAsia" w:cs="Times New Roman" w:asciiTheme="minorEastAsia" w:hAnsiTheme="minorEastAsia"/>
          <w:color w:val="000000"/>
          <w:sz w:val="24"/>
          <w:szCs w:val="24"/>
        </w:rPr>
      </w:pPr>
    </w:p>
    <w:p w14:paraId="0255F1E6">
      <w:pPr>
        <w:spacing w:line="520" w:lineRule="exact"/>
        <w:ind w:firstLine="482"/>
        <w:rPr>
          <w:rFonts w:hint="eastAsia" w:cs="Times New Roman" w:asciiTheme="minorEastAsia" w:hAnsiTheme="minorEastAsia"/>
          <w:color w:val="000000"/>
          <w:sz w:val="24"/>
          <w:szCs w:val="24"/>
        </w:rPr>
      </w:pPr>
    </w:p>
    <w:p w14:paraId="02457EBC">
      <w:pPr>
        <w:spacing w:line="520" w:lineRule="exact"/>
        <w:ind w:firstLine="482"/>
        <w:rPr>
          <w:rFonts w:hint="eastAsia" w:cs="Times New Roman" w:asciiTheme="minorEastAsia" w:hAnsiTheme="minorEastAsia"/>
          <w:color w:val="000000"/>
          <w:sz w:val="24"/>
          <w:szCs w:val="24"/>
        </w:rPr>
      </w:pPr>
    </w:p>
    <w:p w14:paraId="604ACA23">
      <w:pPr>
        <w:spacing w:line="520" w:lineRule="exact"/>
        <w:ind w:firstLine="482"/>
        <w:rPr>
          <w:rFonts w:hint="eastAsia" w:cs="Times New Roman" w:asciiTheme="minorEastAsia" w:hAnsiTheme="minorEastAsia"/>
          <w:color w:val="000000"/>
          <w:sz w:val="24"/>
          <w:szCs w:val="24"/>
        </w:rPr>
      </w:pPr>
    </w:p>
    <w:p w14:paraId="522B64C2">
      <w:pPr>
        <w:spacing w:line="520" w:lineRule="exact"/>
        <w:ind w:firstLine="482"/>
        <w:rPr>
          <w:rFonts w:hint="eastAsia" w:cs="Times New Roman" w:asciiTheme="minorEastAsia" w:hAnsiTheme="minorEastAsia"/>
          <w:color w:val="000000"/>
          <w:sz w:val="24"/>
          <w:szCs w:val="24"/>
        </w:rPr>
      </w:pPr>
    </w:p>
    <w:p w14:paraId="2B9F3053">
      <w:pPr>
        <w:spacing w:line="520" w:lineRule="exact"/>
        <w:ind w:firstLine="482"/>
        <w:rPr>
          <w:rFonts w:hint="eastAsia" w:cs="Times New Roman" w:asciiTheme="minorEastAsia" w:hAnsiTheme="minorEastAsia"/>
          <w:color w:val="000000"/>
          <w:sz w:val="24"/>
          <w:szCs w:val="24"/>
        </w:rPr>
      </w:pPr>
    </w:p>
    <w:p w14:paraId="2D253F5E">
      <w:pPr>
        <w:spacing w:line="520" w:lineRule="exact"/>
        <w:ind w:firstLine="482"/>
        <w:rPr>
          <w:rFonts w:hint="eastAsia" w:cs="Times New Roman" w:asciiTheme="minorEastAsia" w:hAnsiTheme="minorEastAsia"/>
          <w:color w:val="000000"/>
          <w:sz w:val="24"/>
          <w:szCs w:val="24"/>
        </w:rPr>
      </w:pPr>
    </w:p>
    <w:p w14:paraId="5E56A5E1">
      <w:pPr>
        <w:spacing w:line="520" w:lineRule="exact"/>
        <w:ind w:firstLine="482"/>
        <w:rPr>
          <w:rFonts w:hint="eastAsia" w:cs="Times New Roman" w:asciiTheme="minorEastAsia" w:hAnsiTheme="minorEastAsia"/>
          <w:color w:val="000000"/>
          <w:sz w:val="24"/>
          <w:szCs w:val="24"/>
        </w:rPr>
      </w:pPr>
    </w:p>
    <w:p w14:paraId="7B3428B2">
      <w:pPr>
        <w:spacing w:line="520" w:lineRule="exact"/>
        <w:ind w:firstLine="482"/>
        <w:rPr>
          <w:rFonts w:hint="eastAsia" w:cs="Times New Roman" w:asciiTheme="minorEastAsia" w:hAnsiTheme="minorEastAsia"/>
          <w:color w:val="000000"/>
          <w:sz w:val="24"/>
          <w:szCs w:val="24"/>
        </w:rPr>
      </w:pPr>
    </w:p>
    <w:p w14:paraId="6A420075">
      <w:pPr>
        <w:spacing w:line="520" w:lineRule="exact"/>
        <w:ind w:firstLine="482"/>
        <w:rPr>
          <w:rFonts w:hint="eastAsia" w:cs="Times New Roman" w:asciiTheme="minorEastAsia" w:hAnsiTheme="minorEastAsia"/>
          <w:color w:val="000000"/>
          <w:sz w:val="24"/>
          <w:szCs w:val="24"/>
        </w:rPr>
      </w:pPr>
    </w:p>
    <w:p w14:paraId="69D55574">
      <w:pPr>
        <w:spacing w:line="520" w:lineRule="exact"/>
        <w:ind w:firstLine="482"/>
        <w:rPr>
          <w:rFonts w:hint="eastAsia" w:cs="Times New Roman" w:asciiTheme="minorEastAsia" w:hAnsiTheme="minorEastAsia"/>
          <w:color w:val="000000"/>
          <w:sz w:val="24"/>
          <w:szCs w:val="24"/>
        </w:rPr>
      </w:pPr>
    </w:p>
    <w:p w14:paraId="1B28C421">
      <w:pPr>
        <w:spacing w:line="520" w:lineRule="exact"/>
        <w:ind w:firstLine="482"/>
        <w:rPr>
          <w:rFonts w:hint="eastAsia" w:cs="Times New Roman" w:asciiTheme="minorEastAsia" w:hAnsiTheme="minorEastAsia"/>
          <w:color w:val="000000"/>
          <w:sz w:val="24"/>
          <w:szCs w:val="24"/>
        </w:rPr>
      </w:pPr>
    </w:p>
    <w:p w14:paraId="6D1FB931">
      <w:pPr>
        <w:spacing w:line="520" w:lineRule="exact"/>
        <w:ind w:firstLine="482"/>
        <w:rPr>
          <w:rFonts w:hint="eastAsia" w:cs="Times New Roman" w:asciiTheme="minorEastAsia" w:hAnsiTheme="minorEastAsia"/>
          <w:color w:val="000000"/>
          <w:sz w:val="24"/>
          <w:szCs w:val="24"/>
        </w:rPr>
      </w:pPr>
    </w:p>
    <w:p w14:paraId="15C75D9A">
      <w:pPr>
        <w:spacing w:line="400" w:lineRule="exact"/>
        <w:ind w:firstLine="560"/>
        <w:rPr>
          <w:rFonts w:hint="eastAsia" w:cs="Times New Roman" w:asciiTheme="minorEastAsia" w:hAnsiTheme="minorEastAsia"/>
          <w:b/>
          <w:color w:val="000000"/>
          <w:sz w:val="28"/>
          <w:szCs w:val="30"/>
        </w:rPr>
      </w:pPr>
    </w:p>
    <w:p w14:paraId="71AA7D0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477CCD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67B4D069">
      <w:pPr>
        <w:spacing w:line="360" w:lineRule="auto"/>
        <w:ind w:firstLine="480" w:firstLineChars="200"/>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日期：    年     月     日</w:t>
      </w:r>
    </w:p>
    <w:p w14:paraId="717963A5">
      <w:pPr>
        <w:widowControl/>
        <w:ind w:firstLine="720"/>
        <w:jc w:val="left"/>
        <w:rPr>
          <w:rFonts w:hint="eastAsia" w:cs="Times New Roman" w:asciiTheme="minorEastAsia" w:hAnsiTheme="minorEastAsia"/>
          <w:b/>
          <w:color w:val="000000"/>
          <w:kern w:val="44"/>
          <w:sz w:val="36"/>
          <w:szCs w:val="20"/>
        </w:rPr>
      </w:pPr>
    </w:p>
    <w:p w14:paraId="20C43DC4">
      <w:pPr>
        <w:widowControl/>
        <w:ind w:firstLine="723"/>
        <w:jc w:val="left"/>
        <w:rPr>
          <w:rFonts w:hint="eastAsia" w:cs="Times New Roman" w:asciiTheme="minorEastAsia" w:hAnsiTheme="minorEastAsia"/>
          <w:b/>
          <w:color w:val="000000"/>
          <w:kern w:val="44"/>
          <w:sz w:val="36"/>
          <w:szCs w:val="20"/>
        </w:rPr>
      </w:pPr>
      <w:r>
        <w:rPr>
          <w:rFonts w:cs="Times New Roman" w:asciiTheme="minorEastAsia" w:hAnsiTheme="minorEastAsia"/>
          <w:b/>
          <w:color w:val="000000"/>
          <w:kern w:val="44"/>
          <w:sz w:val="36"/>
          <w:szCs w:val="20"/>
        </w:rPr>
        <w:br w:type="page"/>
      </w:r>
    </w:p>
    <w:bookmarkEnd w:id="17"/>
    <w:bookmarkEnd w:id="18"/>
    <w:p w14:paraId="02E8849C">
      <w:pPr>
        <w:keepNext/>
        <w:keepLines/>
        <w:adjustRightInd w:val="0"/>
        <w:spacing w:line="360" w:lineRule="auto"/>
        <w:ind w:firstLine="723"/>
        <w:jc w:val="center"/>
        <w:textAlignment w:val="baseline"/>
        <w:outlineLvl w:val="0"/>
        <w:rPr>
          <w:rFonts w:hint="eastAsia" w:cs="Times New Roman" w:asciiTheme="minorEastAsia" w:hAnsiTheme="minorEastAsia"/>
          <w:color w:val="000000"/>
          <w:kern w:val="44"/>
          <w:sz w:val="36"/>
          <w:szCs w:val="20"/>
        </w:rPr>
      </w:pPr>
      <w:bookmarkStart w:id="19" w:name="_Toc513622230"/>
      <w:bookmarkStart w:id="20" w:name="_Toc151625260"/>
      <w:r>
        <w:rPr>
          <w:rFonts w:hint="eastAsia" w:cs="Times New Roman" w:asciiTheme="minorEastAsia" w:hAnsiTheme="minorEastAsia"/>
          <w:color w:val="000000"/>
          <w:kern w:val="44"/>
          <w:sz w:val="36"/>
          <w:szCs w:val="20"/>
        </w:rPr>
        <w:t>第</w:t>
      </w:r>
      <w:r>
        <w:rPr>
          <w:rFonts w:hint="eastAsia" w:cs="Times New Roman" w:asciiTheme="minorEastAsia" w:hAnsiTheme="minorEastAsia"/>
          <w:color w:val="000000"/>
          <w:kern w:val="44"/>
          <w:sz w:val="36"/>
          <w:szCs w:val="20"/>
          <w:lang w:eastAsia="zh-CN"/>
        </w:rPr>
        <w:t>五</w:t>
      </w:r>
      <w:r>
        <w:rPr>
          <w:rFonts w:hint="eastAsia" w:cs="Times New Roman" w:asciiTheme="minorEastAsia" w:hAnsiTheme="minorEastAsia"/>
          <w:color w:val="000000"/>
          <w:kern w:val="44"/>
          <w:sz w:val="36"/>
          <w:szCs w:val="20"/>
        </w:rPr>
        <w:t>章项目需求</w:t>
      </w:r>
      <w:bookmarkEnd w:id="19"/>
      <w:bookmarkEnd w:id="20"/>
    </w:p>
    <w:p w14:paraId="014D366B">
      <w:pPr>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说明：本项目属性为货物，</w:t>
      </w:r>
      <w:r>
        <w:rPr>
          <w:rFonts w:hint="eastAsia" w:cs="Times New Roman" w:asciiTheme="minorEastAsia" w:hAnsiTheme="minorEastAsia"/>
          <w:b/>
          <w:sz w:val="24"/>
          <w:szCs w:val="21"/>
        </w:rPr>
        <w:t>采购标的对应的中小企业划分标准所属行业为</w:t>
      </w:r>
      <w:r>
        <w:rPr>
          <w:rFonts w:hint="eastAsia" w:asciiTheme="minorEastAsia" w:hAnsiTheme="minorEastAsia"/>
          <w:b/>
          <w:color w:val="000000" w:themeColor="text1"/>
          <w:sz w:val="24"/>
          <w:szCs w:val="21"/>
          <w:u w:val="single"/>
        </w:rPr>
        <w:t>工业</w:t>
      </w:r>
      <w:r>
        <w:rPr>
          <w:rFonts w:hint="eastAsia" w:cs="Times New Roman" w:asciiTheme="minorEastAsia" w:hAnsiTheme="minorEastAsia"/>
          <w:b/>
          <w:sz w:val="24"/>
          <w:szCs w:val="21"/>
        </w:rPr>
        <w:t>。</w:t>
      </w:r>
    </w:p>
    <w:p w14:paraId="038150A0">
      <w:pPr>
        <w:autoSpaceDE w:val="0"/>
        <w:autoSpaceDN w:val="0"/>
        <w:adjustRightInd w:val="0"/>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1、</w:t>
      </w:r>
      <w:r>
        <w:rPr>
          <w:rFonts w:hint="eastAsia" w:cs="Times New Roman" w:asciiTheme="minorEastAsia" w:hAnsiTheme="minorEastAsia"/>
          <w:b/>
          <w:bCs/>
          <w:color w:val="000000"/>
          <w:sz w:val="24"/>
          <w:szCs w:val="24"/>
        </w:rPr>
        <w:t>本项目需求中标注★号的部分为实质性要求和条件（由采购人根据实际情况设置），投标人必须作出满足或者优于原要求和条件的响应，否则投标无效。</w:t>
      </w:r>
    </w:p>
    <w:p w14:paraId="36046992">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31966C35">
      <w:pPr>
        <w:spacing w:line="360" w:lineRule="auto"/>
        <w:ind w:firstLine="472" w:firstLineChars="196"/>
        <w:rPr>
          <w:rFonts w:hint="eastAsia" w:cs="宋体" w:asciiTheme="minorEastAsia" w:hAnsiTheme="minorEastAsia"/>
          <w:b/>
          <w:sz w:val="24"/>
          <w:szCs w:val="24"/>
        </w:rPr>
      </w:pPr>
      <w:bookmarkStart w:id="21" w:name="_Toc513622231"/>
      <w:bookmarkStart w:id="22" w:name="_Toc139966433"/>
      <w:bookmarkStart w:id="23" w:name="_Toc139967217"/>
      <w:r>
        <w:rPr>
          <w:rFonts w:hint="eastAsia" w:cs="宋体" w:asciiTheme="minorEastAsia" w:hAnsiTheme="minorEastAsia"/>
          <w:b/>
          <w:sz w:val="24"/>
          <w:szCs w:val="24"/>
        </w:rPr>
        <w:t>一、项目概述</w:t>
      </w:r>
    </w:p>
    <w:p w14:paraId="333FC0CB">
      <w:pPr>
        <w:spacing w:line="360" w:lineRule="auto"/>
        <w:ind w:firstLine="480" w:firstLineChars="20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w:t>
      </w:r>
      <w:r>
        <w:rPr>
          <w:rFonts w:hint="eastAsia" w:cs="宋体" w:asciiTheme="minorEastAsia" w:hAnsiTheme="minorEastAsia"/>
          <w:sz w:val="24"/>
          <w:szCs w:val="24"/>
          <w:lang w:eastAsia="zh-CN"/>
        </w:rPr>
        <w:t>连云港市立东方医院</w:t>
      </w:r>
      <w:r>
        <w:rPr>
          <w:rFonts w:hint="eastAsia" w:cs="宋体" w:asciiTheme="minorEastAsia" w:hAnsiTheme="minorEastAsia"/>
          <w:b/>
          <w:sz w:val="24"/>
          <w:szCs w:val="24"/>
          <w:lang w:eastAsia="zh-CN"/>
        </w:rPr>
        <w:t>直线加速器系统</w:t>
      </w:r>
      <w:r>
        <w:rPr>
          <w:rFonts w:hint="eastAsia" w:cs="宋体" w:asciiTheme="minorEastAsia" w:hAnsiTheme="minorEastAsia"/>
          <w:sz w:val="24"/>
          <w:szCs w:val="24"/>
        </w:rPr>
        <w:t>。卖方负责将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37"/>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3423"/>
        <w:gridCol w:w="1017"/>
        <w:gridCol w:w="900"/>
        <w:gridCol w:w="1673"/>
        <w:gridCol w:w="1927"/>
      </w:tblGrid>
      <w:tr w14:paraId="6E0E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91" w:type="dxa"/>
            <w:vAlign w:val="center"/>
          </w:tcPr>
          <w:p w14:paraId="1C161598">
            <w:pPr>
              <w:spacing w:line="360" w:lineRule="auto"/>
              <w:jc w:val="center"/>
              <w:rPr>
                <w:rFonts w:hint="eastAsia" w:eastAsia="宋体" w:cs="宋体" w:asciiTheme="minorEastAsia" w:hAnsiTheme="minorEastAsia"/>
                <w:b/>
                <w:bCs/>
                <w:kern w:val="0"/>
                <w:sz w:val="24"/>
                <w:szCs w:val="24"/>
              </w:rPr>
            </w:pPr>
            <w:r>
              <w:rPr>
                <w:rFonts w:hint="eastAsia" w:eastAsia="宋体" w:cs="宋体" w:asciiTheme="minorEastAsia" w:hAnsiTheme="minorEastAsia"/>
                <w:b/>
                <w:bCs/>
                <w:kern w:val="0"/>
                <w:sz w:val="24"/>
                <w:szCs w:val="24"/>
              </w:rPr>
              <w:t>序号</w:t>
            </w:r>
          </w:p>
        </w:tc>
        <w:tc>
          <w:tcPr>
            <w:tcW w:w="3423" w:type="dxa"/>
            <w:vAlign w:val="center"/>
          </w:tcPr>
          <w:p w14:paraId="0731B899">
            <w:pPr>
              <w:spacing w:line="360" w:lineRule="auto"/>
              <w:jc w:val="center"/>
              <w:rPr>
                <w:rFonts w:hint="eastAsia" w:eastAsia="宋体" w:cs="宋体" w:asciiTheme="minorEastAsia" w:hAnsiTheme="minorEastAsia"/>
                <w:b/>
                <w:bCs/>
                <w:kern w:val="0"/>
                <w:sz w:val="24"/>
                <w:szCs w:val="24"/>
              </w:rPr>
            </w:pPr>
            <w:r>
              <w:rPr>
                <w:rFonts w:hint="eastAsia" w:eastAsia="宋体" w:cs="宋体" w:asciiTheme="minorEastAsia" w:hAnsiTheme="minorEastAsia"/>
                <w:b/>
                <w:bCs/>
                <w:kern w:val="0"/>
                <w:sz w:val="24"/>
                <w:szCs w:val="24"/>
              </w:rPr>
              <w:t>名称</w:t>
            </w:r>
          </w:p>
        </w:tc>
        <w:tc>
          <w:tcPr>
            <w:tcW w:w="1017" w:type="dxa"/>
            <w:vAlign w:val="center"/>
          </w:tcPr>
          <w:p w14:paraId="43C3F0F7">
            <w:pPr>
              <w:spacing w:line="360" w:lineRule="auto"/>
              <w:jc w:val="center"/>
              <w:rPr>
                <w:rFonts w:hint="eastAsia" w:eastAsia="宋体" w:cs="宋体" w:asciiTheme="minorEastAsia" w:hAnsiTheme="minorEastAsia"/>
                <w:b/>
                <w:bCs/>
                <w:kern w:val="0"/>
                <w:sz w:val="24"/>
                <w:szCs w:val="24"/>
              </w:rPr>
            </w:pPr>
            <w:r>
              <w:rPr>
                <w:rFonts w:hint="eastAsia" w:eastAsia="宋体" w:cs="宋体" w:asciiTheme="minorEastAsia" w:hAnsiTheme="minorEastAsia"/>
                <w:b/>
                <w:bCs/>
                <w:kern w:val="0"/>
                <w:sz w:val="24"/>
                <w:szCs w:val="24"/>
              </w:rPr>
              <w:t>数量</w:t>
            </w:r>
          </w:p>
        </w:tc>
        <w:tc>
          <w:tcPr>
            <w:tcW w:w="900" w:type="dxa"/>
            <w:vAlign w:val="center"/>
          </w:tcPr>
          <w:p w14:paraId="590CFDFE">
            <w:pPr>
              <w:spacing w:line="360" w:lineRule="auto"/>
              <w:jc w:val="center"/>
              <w:rPr>
                <w:rFonts w:hint="eastAsia" w:eastAsia="宋体" w:cs="宋体" w:asciiTheme="minorEastAsia" w:hAnsiTheme="minorEastAsia"/>
                <w:b/>
                <w:bCs/>
                <w:kern w:val="0"/>
                <w:sz w:val="24"/>
                <w:szCs w:val="24"/>
              </w:rPr>
            </w:pPr>
            <w:r>
              <w:rPr>
                <w:rFonts w:hint="eastAsia" w:eastAsia="宋体" w:cs="宋体" w:asciiTheme="minorEastAsia" w:hAnsiTheme="minorEastAsia"/>
                <w:b/>
                <w:bCs/>
                <w:kern w:val="0"/>
                <w:sz w:val="24"/>
                <w:szCs w:val="24"/>
              </w:rPr>
              <w:t>单位</w:t>
            </w:r>
          </w:p>
        </w:tc>
        <w:tc>
          <w:tcPr>
            <w:tcW w:w="1673" w:type="dxa"/>
            <w:vAlign w:val="center"/>
          </w:tcPr>
          <w:p w14:paraId="05D8B135">
            <w:pPr>
              <w:spacing w:line="360" w:lineRule="auto"/>
              <w:jc w:val="center"/>
              <w:rPr>
                <w:rFonts w:hint="eastAsia" w:eastAsia="宋体" w:cs="宋体" w:asciiTheme="minorEastAsia" w:hAnsiTheme="minorEastAsia"/>
                <w:b/>
                <w:bCs/>
                <w:kern w:val="0"/>
                <w:sz w:val="24"/>
                <w:szCs w:val="24"/>
              </w:rPr>
            </w:pPr>
            <w:r>
              <w:rPr>
                <w:rFonts w:hint="eastAsia" w:eastAsia="宋体" w:cs="宋体" w:asciiTheme="minorEastAsia" w:hAnsiTheme="minorEastAsia"/>
                <w:b/>
                <w:bCs/>
                <w:kern w:val="0"/>
                <w:sz w:val="24"/>
                <w:szCs w:val="24"/>
              </w:rPr>
              <w:t>预算（万元）</w:t>
            </w:r>
          </w:p>
        </w:tc>
        <w:tc>
          <w:tcPr>
            <w:tcW w:w="1927" w:type="dxa"/>
            <w:vAlign w:val="center"/>
          </w:tcPr>
          <w:p w14:paraId="205B6F4B">
            <w:pPr>
              <w:spacing w:line="360" w:lineRule="auto"/>
              <w:jc w:val="center"/>
              <w:rPr>
                <w:rFonts w:hint="eastAsia" w:eastAsia="宋体" w:cs="宋体" w:asciiTheme="minorEastAsia" w:hAnsiTheme="minorEastAsia"/>
                <w:b/>
                <w:bCs/>
                <w:kern w:val="0"/>
                <w:sz w:val="24"/>
                <w:szCs w:val="24"/>
                <w:lang w:eastAsia="zh-CN"/>
              </w:rPr>
            </w:pPr>
            <w:r>
              <w:rPr>
                <w:rFonts w:hint="eastAsia" w:eastAsia="宋体" w:cs="宋体" w:asciiTheme="minorEastAsia" w:hAnsiTheme="minorEastAsia"/>
                <w:b/>
                <w:bCs/>
                <w:kern w:val="0"/>
                <w:sz w:val="24"/>
                <w:szCs w:val="24"/>
                <w:lang w:eastAsia="zh-CN"/>
              </w:rPr>
              <w:t>最高限价（万元）</w:t>
            </w:r>
          </w:p>
        </w:tc>
      </w:tr>
      <w:tr w14:paraId="75E9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1" w:type="dxa"/>
            <w:vAlign w:val="center"/>
          </w:tcPr>
          <w:p w14:paraId="70D6A91A">
            <w:pPr>
              <w:spacing w:line="360" w:lineRule="auto"/>
              <w:jc w:val="center"/>
              <w:rPr>
                <w:rFonts w:hint="eastAsia" w:eastAsia="宋体" w:cs="宋体" w:asciiTheme="minorEastAsia" w:hAnsiTheme="minorEastAsia"/>
                <w:kern w:val="0"/>
                <w:sz w:val="24"/>
                <w:szCs w:val="24"/>
              </w:rPr>
            </w:pPr>
            <w:r>
              <w:rPr>
                <w:rFonts w:hint="eastAsia" w:eastAsia="宋体" w:cs="宋体" w:asciiTheme="minorEastAsia" w:hAnsiTheme="minorEastAsia"/>
                <w:kern w:val="0"/>
                <w:sz w:val="24"/>
                <w:szCs w:val="24"/>
              </w:rPr>
              <w:t>1</w:t>
            </w:r>
          </w:p>
        </w:tc>
        <w:tc>
          <w:tcPr>
            <w:tcW w:w="3423" w:type="dxa"/>
            <w:vAlign w:val="center"/>
          </w:tcPr>
          <w:p w14:paraId="58409234">
            <w:pPr>
              <w:spacing w:line="360" w:lineRule="auto"/>
              <w:jc w:val="center"/>
              <w:rPr>
                <w:rFonts w:hint="eastAsia" w:eastAsia="宋体" w:cs="宋体" w:asciiTheme="minorEastAsia" w:hAnsiTheme="minorEastAsia"/>
                <w:kern w:val="0"/>
                <w:sz w:val="24"/>
                <w:szCs w:val="24"/>
                <w:lang w:eastAsia="zh-CN"/>
              </w:rPr>
            </w:pPr>
            <w:r>
              <w:rPr>
                <w:rFonts w:hint="eastAsia" w:eastAsia="宋体" w:cs="宋体" w:asciiTheme="minorEastAsia" w:hAnsiTheme="minorEastAsia"/>
                <w:b/>
                <w:kern w:val="0"/>
                <w:sz w:val="24"/>
                <w:szCs w:val="24"/>
                <w:lang w:eastAsia="zh-CN"/>
              </w:rPr>
              <w:t>直线加速器系统</w:t>
            </w:r>
          </w:p>
        </w:tc>
        <w:tc>
          <w:tcPr>
            <w:tcW w:w="1017" w:type="dxa"/>
            <w:vAlign w:val="center"/>
          </w:tcPr>
          <w:p w14:paraId="3156362D">
            <w:pPr>
              <w:spacing w:line="360" w:lineRule="auto"/>
              <w:jc w:val="center"/>
              <w:rPr>
                <w:rFonts w:hint="eastAsia" w:eastAsia="宋体" w:cs="宋体" w:asciiTheme="minorEastAsia" w:hAnsiTheme="minorEastAsia"/>
                <w:kern w:val="0"/>
                <w:sz w:val="24"/>
                <w:szCs w:val="24"/>
                <w:lang w:eastAsia="zh-CN"/>
              </w:rPr>
            </w:pPr>
            <w:r>
              <w:rPr>
                <w:rFonts w:hint="eastAsia" w:eastAsia="宋体" w:cs="宋体" w:asciiTheme="minorEastAsia" w:hAnsiTheme="minorEastAsia"/>
                <w:kern w:val="0"/>
                <w:sz w:val="24"/>
                <w:szCs w:val="24"/>
                <w:lang w:val="en-US" w:eastAsia="zh-CN"/>
              </w:rPr>
              <w:t>1</w:t>
            </w:r>
          </w:p>
        </w:tc>
        <w:tc>
          <w:tcPr>
            <w:tcW w:w="900" w:type="dxa"/>
            <w:vAlign w:val="center"/>
          </w:tcPr>
          <w:p w14:paraId="30EA9BC5">
            <w:pPr>
              <w:spacing w:line="360" w:lineRule="auto"/>
              <w:jc w:val="center"/>
              <w:rPr>
                <w:rFonts w:hint="eastAsia" w:eastAsia="宋体" w:cs="宋体" w:asciiTheme="minorEastAsia" w:hAnsiTheme="minorEastAsia"/>
                <w:kern w:val="0"/>
                <w:sz w:val="24"/>
                <w:szCs w:val="24"/>
              </w:rPr>
            </w:pPr>
            <w:r>
              <w:rPr>
                <w:rFonts w:hint="eastAsia" w:eastAsia="宋体" w:cs="宋体" w:asciiTheme="minorEastAsia" w:hAnsiTheme="minorEastAsia"/>
                <w:kern w:val="0"/>
                <w:sz w:val="24"/>
                <w:szCs w:val="24"/>
              </w:rPr>
              <w:t>台</w:t>
            </w:r>
          </w:p>
        </w:tc>
        <w:tc>
          <w:tcPr>
            <w:tcW w:w="1673" w:type="dxa"/>
            <w:vAlign w:val="center"/>
          </w:tcPr>
          <w:p w14:paraId="09F45F3B">
            <w:pPr>
              <w:spacing w:line="360" w:lineRule="auto"/>
              <w:jc w:val="center"/>
              <w:rPr>
                <w:rFonts w:hint="default" w:eastAsia="宋体" w:cs="宋体" w:asciiTheme="minorEastAsia" w:hAnsiTheme="minorEastAsia"/>
                <w:kern w:val="0"/>
                <w:sz w:val="24"/>
                <w:szCs w:val="24"/>
                <w:lang w:val="en-US" w:eastAsia="zh-CN"/>
              </w:rPr>
            </w:pPr>
            <w:r>
              <w:rPr>
                <w:rFonts w:hint="eastAsia" w:eastAsia="宋体" w:cs="宋体" w:asciiTheme="minorEastAsia" w:hAnsiTheme="minorEastAsia"/>
                <w:kern w:val="0"/>
                <w:sz w:val="24"/>
                <w:szCs w:val="24"/>
                <w:lang w:val="en-US" w:eastAsia="zh-CN"/>
              </w:rPr>
              <w:t>2000</w:t>
            </w:r>
          </w:p>
        </w:tc>
        <w:tc>
          <w:tcPr>
            <w:tcW w:w="1927" w:type="dxa"/>
            <w:vAlign w:val="center"/>
          </w:tcPr>
          <w:p w14:paraId="2F104986">
            <w:pPr>
              <w:spacing w:line="360" w:lineRule="auto"/>
              <w:jc w:val="center"/>
              <w:rPr>
                <w:rFonts w:hint="default" w:eastAsia="宋体" w:cs="宋体" w:asciiTheme="minorEastAsia" w:hAnsiTheme="minorEastAsia"/>
                <w:kern w:val="0"/>
                <w:sz w:val="24"/>
                <w:szCs w:val="24"/>
                <w:lang w:val="en-US" w:eastAsia="zh-CN"/>
              </w:rPr>
            </w:pPr>
            <w:r>
              <w:rPr>
                <w:rFonts w:hint="eastAsia" w:eastAsia="宋体" w:cs="宋体" w:asciiTheme="minorEastAsia" w:hAnsiTheme="minorEastAsia"/>
                <w:kern w:val="0"/>
                <w:sz w:val="24"/>
                <w:szCs w:val="24"/>
                <w:lang w:val="en-US" w:eastAsia="zh-CN"/>
              </w:rPr>
              <w:t>1800</w:t>
            </w:r>
          </w:p>
        </w:tc>
      </w:tr>
    </w:tbl>
    <w:p w14:paraId="15E0D72E">
      <w:pPr>
        <w:spacing w:line="360" w:lineRule="auto"/>
        <w:ind w:firstLine="472" w:firstLineChars="196"/>
        <w:rPr>
          <w:rFonts w:ascii="Calibri" w:hAnsi="Calibri" w:eastAsia="宋体" w:cs="宋体"/>
          <w:b/>
          <w:color w:val="000000" w:themeColor="text1"/>
          <w:sz w:val="24"/>
          <w:szCs w:val="24"/>
        </w:rPr>
      </w:pPr>
      <w:r>
        <w:rPr>
          <w:rFonts w:hint="eastAsia" w:ascii="Calibri" w:hAnsi="Calibri" w:eastAsia="宋体" w:cs="宋体"/>
          <w:b/>
          <w:sz w:val="24"/>
          <w:szCs w:val="24"/>
        </w:rPr>
        <w:t>二、技术要求</w:t>
      </w:r>
      <w:r>
        <w:rPr>
          <w:rFonts w:hint="eastAsia" w:cs="宋体" w:asciiTheme="minorEastAsia" w:hAnsiTheme="minorEastAsia"/>
          <w:b/>
          <w:color w:val="000000" w:themeColor="text1"/>
          <w:sz w:val="24"/>
          <w:szCs w:val="24"/>
        </w:rPr>
        <w:t>（加“★”项为实质性要求和条件，必须提供明确的佐证材料证明（例：产品说明书、彩页、检测报告等），不满足视为无效响应文件，自行承诺符合要求不予认可；</w:t>
      </w:r>
      <w:r>
        <w:rPr>
          <w:rFonts w:hint="eastAsia" w:ascii="宋体" w:hAnsi="宋体" w:eastAsia="宋体" w:cs="宋体"/>
          <w:b/>
          <w:bCs/>
          <w:sz w:val="24"/>
          <w:szCs w:val="24"/>
        </w:rPr>
        <w:t>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投标文件中提供的证明材料内容须自行标识注明对应参数条款（下划线或其他形式标注说明），未对证明材料标注或标注不明确视为未提供证明材料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，自行承诺符合要求不予认可。</w:t>
      </w:r>
      <w:r>
        <w:rPr>
          <w:rFonts w:hint="eastAsia" w:cs="宋体" w:asciiTheme="minorEastAsia" w:hAnsiTheme="minorEastAsia"/>
          <w:b/>
          <w:color w:val="000000" w:themeColor="text1"/>
          <w:sz w:val="24"/>
          <w:szCs w:val="24"/>
        </w:rPr>
        <w:t>)</w:t>
      </w:r>
    </w:p>
    <w:p w14:paraId="548E527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1、设备要求概述：</w:t>
      </w:r>
    </w:p>
    <w:p w14:paraId="3D1DFB48">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1）配置要求：一台医用直线加速器；一套放射治疗计划系统（包含至少两台物理师工作站、四台医生工作站，以及支持运行该系统所必需的软件和硬件）；一套肿瘤放射治疗信息化管理系统及支持该系统所需的软件和硬件。</w:t>
      </w:r>
    </w:p>
    <w:p w14:paraId="43A39C5D">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highlight w:val="none"/>
          <w:lang w:val="en-US" w:eastAsia="zh-CN"/>
        </w:rPr>
        <w:t>★（</w:t>
      </w:r>
      <w:r>
        <w:rPr>
          <w:rFonts w:hint="eastAsia" w:cs="宋体" w:asciiTheme="minorEastAsia" w:hAnsiTheme="minorEastAsia"/>
          <w:sz w:val="24"/>
          <w:szCs w:val="24"/>
          <w:lang w:val="en-US" w:eastAsia="zh-CN"/>
        </w:rPr>
        <w:t>2）功能要求：具备在线自适应放射治疗功能，静态调强及动态调强放疗、容积旋转调强放疗、三维适形放疗、图像引导放疗、立体定向放疗等在内的，可实现智能化的操控性能、自动勾画和自动计划设计模块，有完整的质控系统，设备可用于对人体适合接受放射治疗的病灶和肿瘤提供精确放射治疗和个体化的肿瘤放射治疗服务。</w:t>
      </w:r>
    </w:p>
    <w:p w14:paraId="76581F2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2、加速器主系统</w:t>
      </w:r>
    </w:p>
    <w:p w14:paraId="425114A6">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2.1机架结构：C型或环形</w:t>
      </w:r>
    </w:p>
    <w:p w14:paraId="2B95909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2.2机架孔径：≥70cm</w:t>
      </w:r>
    </w:p>
    <w:p w14:paraId="08B91722">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2.3加速管类型：行波或驻波</w:t>
      </w:r>
    </w:p>
    <w:p w14:paraId="08F1029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2.4微波功率装置：磁控管</w:t>
      </w:r>
    </w:p>
    <w:p w14:paraId="78EF10B2">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2.5射线类型：≥6MV X射线 </w:t>
      </w:r>
    </w:p>
    <w:p w14:paraId="4BE6724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▲2.6直线加速器具备在线自适应放疗功能，且功能软件为加速器设备生产商自研产品（提供相应证明材料）。</w:t>
      </w:r>
    </w:p>
    <w:p w14:paraId="37F7FEB2">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2.7机架旋转范围：环形机≥±180°，C型机≥360°</w:t>
      </w:r>
    </w:p>
    <w:p w14:paraId="0A716000">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2.8机架最大旋转速度：环形机≥4RPM；C型机≥360°/MIN</w:t>
      </w:r>
    </w:p>
    <w:p w14:paraId="409A12D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2.9等中心精度：≤1mm</w:t>
      </w:r>
    </w:p>
    <w:p w14:paraId="53D7156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2.10等中心高度：≤128cm</w:t>
      </w:r>
    </w:p>
    <w:p w14:paraId="0846CBB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▲2.11等中心到机头净空间≥48cm</w:t>
      </w:r>
    </w:p>
    <w:p w14:paraId="730FF237">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3、剂量系统结构：全封闭/开放式电离室结构</w:t>
      </w:r>
    </w:p>
    <w:p w14:paraId="359955E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3.1X射线应具备均整模式（FF）及非均整模式（FFF）</w:t>
      </w:r>
    </w:p>
    <w:p w14:paraId="4CBE09E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▲3.2均整模式最大剂量率≥600MU/min</w:t>
      </w:r>
    </w:p>
    <w:p w14:paraId="21B275E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3.3非均整模式最大剂量率≥1400MU/min</w:t>
      </w:r>
    </w:p>
    <w:p w14:paraId="089DBED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3.4剂量输出误差：≤1%或1MU</w:t>
      </w:r>
    </w:p>
    <w:p w14:paraId="384E21CD">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3.5剂量输出稳定性：≤1%</w:t>
      </w:r>
    </w:p>
    <w:p w14:paraId="6847AED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3.6具备安全联锁系统</w:t>
      </w:r>
    </w:p>
    <w:p w14:paraId="524DF1F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4、多叶准直系统</w:t>
      </w:r>
    </w:p>
    <w:p w14:paraId="028FB44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4.1准直器系统结构：钨门+多叶光栅结构或双层多叶光栅结构</w:t>
      </w:r>
    </w:p>
    <w:p w14:paraId="13534C5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4.2直线加速器多叶光栅系统叶片数：≥120片</w:t>
      </w:r>
    </w:p>
    <w:p w14:paraId="35F16A8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4.3叶片等中心投影最小厚度：≤5mm</w:t>
      </w:r>
    </w:p>
    <w:p w14:paraId="5AA1ED4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4.4叶片过中心最大距离：≥15cm</w:t>
      </w:r>
    </w:p>
    <w:p w14:paraId="044DCCB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4.5多叶光栅叶片等中心投影最小分辨率：≤5mm</w:t>
      </w:r>
    </w:p>
    <w:p w14:paraId="3DD3A28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4.6叶片到位精度：≤1mm</w:t>
      </w:r>
    </w:p>
    <w:p w14:paraId="44892D30">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4.7叶片运动速度：≥5.5cm/s</w:t>
      </w:r>
    </w:p>
    <w:p w14:paraId="2D5808E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4.8多叶光栅系统最大调强射野：环型机≥28cm×28cm，C型机≥40cm×40cm</w:t>
      </w:r>
    </w:p>
    <w:p w14:paraId="180739B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4.9多叶光栅与准直器对X射线的联合漏射率：≤0.02%</w:t>
      </w:r>
    </w:p>
    <w:p w14:paraId="70D2828E">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5、治疗床</w:t>
      </w:r>
    </w:p>
    <w:p w14:paraId="5B087FC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5.1治疗床为全碳纤维材料面板，可调速运动</w:t>
      </w:r>
    </w:p>
    <w:p w14:paraId="7E6978F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5.2最大承载患者体重：≥200kg</w:t>
      </w:r>
    </w:p>
    <w:p w14:paraId="2C2891E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5.3垂直移动范围；环形机≥45cm，C型机≥90cm</w:t>
      </w:r>
    </w:p>
    <w:p w14:paraId="17388A4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5.4前后移动范围：≥150cm </w:t>
      </w:r>
    </w:p>
    <w:p w14:paraId="67194E8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5.5左右移动范围：环形机≥20cm，C型机≥25cm</w:t>
      </w:r>
    </w:p>
    <w:p w14:paraId="4C0E3DA3">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5.6运动到位误差：≤0.1cm</w:t>
      </w:r>
    </w:p>
    <w:p w14:paraId="798EE54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5.7具有自动摆位辅助功能</w:t>
      </w:r>
    </w:p>
    <w:p w14:paraId="68B24DA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5.8自动从定位中心移动到治疗中心，无需进行复位</w:t>
      </w:r>
    </w:p>
    <w:p w14:paraId="655BCEC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6、图像引导系统</w:t>
      </w:r>
    </w:p>
    <w:p w14:paraId="061639BE">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6.1 图像引导系统能级为：KV或MV</w:t>
      </w:r>
    </w:p>
    <w:p w14:paraId="638FB7A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6.2成像方式：扇形束CT（FBCT）或锥形束CT（CBCT）</w:t>
      </w:r>
    </w:p>
    <w:p w14:paraId="7B34728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6.3探测器为非晶态硅平板型检测器</w:t>
      </w:r>
    </w:p>
    <w:p w14:paraId="5334762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6.4有效成像面积：≥41cm x 41cm</w:t>
      </w:r>
    </w:p>
    <w:p w14:paraId="0C30500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6.5像素灰度分辨率：≥16bit/pixel</w:t>
      </w:r>
    </w:p>
    <w:p w14:paraId="5212179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6.6影像引导所有的操作均可在控制室进行，操作人员无需进入机房进行操作</w:t>
      </w:r>
    </w:p>
    <w:p w14:paraId="7625422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6.7支持三维/四维图像引导功能</w:t>
      </w:r>
    </w:p>
    <w:p w14:paraId="52F1AF1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▲6.8具备呼吸门控采集系统</w:t>
      </w:r>
    </w:p>
    <w:p w14:paraId="1F0D0807">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6.9具备4D-CBCT或4D-CT技术</w:t>
      </w:r>
    </w:p>
    <w:p w14:paraId="4704369E">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6.10 要求KV影像系统成像的FOV≥50cm</w:t>
      </w:r>
    </w:p>
    <w:p w14:paraId="445CA60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7、质控及安全系统</w:t>
      </w:r>
    </w:p>
    <w:p w14:paraId="6D340560">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7.1直线加速器内置自动质控功能，可快速完成包括机架准直器到位精度、光野一致性精度、输出剂量稳定性等在内的日常质控检查。</w:t>
      </w:r>
    </w:p>
    <w:p w14:paraId="7175D66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7.2支持患者身份信息识别与摆位信息的确认功能</w:t>
      </w:r>
    </w:p>
    <w:p w14:paraId="51E94A9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7.3动态视频监控，治疗床与视频监控同步运动，确保病患安全</w:t>
      </w:r>
    </w:p>
    <w:p w14:paraId="2A8BB0F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7.4机身和治疗床传感器探测，探测到碰撞风险，立即停止运动，确保病患安全</w:t>
      </w:r>
    </w:p>
    <w:p w14:paraId="44F76F1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7.5可自由开启或关闭患者实时监控</w:t>
      </w:r>
    </w:p>
    <w:p w14:paraId="00573272">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7.6具备机械等中心精度检测</w:t>
      </w:r>
    </w:p>
    <w:p w14:paraId="355D5B8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7.7具备多叶准直器到位精度检测</w:t>
      </w:r>
    </w:p>
    <w:p w14:paraId="6E60A51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7.8具备叶片运动的重复性检测</w:t>
      </w:r>
    </w:p>
    <w:p w14:paraId="4905147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7.9具备准直器旋转精度检测</w:t>
      </w:r>
    </w:p>
    <w:p w14:paraId="36C1ACCA">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7.10具备机架旋转精度检测</w:t>
      </w:r>
    </w:p>
    <w:p w14:paraId="0383DE41">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7.11具备治疗床运动位置精度检测</w:t>
      </w:r>
    </w:p>
    <w:p w14:paraId="1C55A8D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7.12具备束流输出稳定性检测</w:t>
      </w:r>
    </w:p>
    <w:p w14:paraId="2119429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7.13具备束流输出均匀性检测</w:t>
      </w:r>
    </w:p>
    <w:p w14:paraId="14DA6BF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7.14可自动生成质控检测报告</w:t>
      </w:r>
    </w:p>
    <w:p w14:paraId="11C664AD">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7.15质控系统可根据所选参数自动生成趋势图，可自定义时间范围</w:t>
      </w:r>
    </w:p>
    <w:p w14:paraId="7565DE5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8、放射治疗计划系统</w:t>
      </w:r>
    </w:p>
    <w:p w14:paraId="2C41F31D">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8.1至少提供2台物理师工作站和4台医生工作站，以及支持运行该系统所必需的软件和硬件（报价中包含所有软件接入HIS/PACS等信息系统接口费用，直至满足采购人使用需求。）</w:t>
      </w:r>
    </w:p>
    <w:p w14:paraId="2061D9F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▲8.2提供与加速器配套的同品牌放疗计划系统，支持X射线和电子线的蒙特卡洛算法（需提供注册证或在NMPA官网查询证明截图并加盖投标单位公章）</w:t>
      </w:r>
    </w:p>
    <w:p w14:paraId="75788853">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8.3系统可用于制定三维适形、调强放射治疗计划、容积旋转调强计划、立体定向放射治疗计划</w:t>
      </w:r>
    </w:p>
    <w:p w14:paraId="2189A2C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8.4具备自动勾画功能</w:t>
      </w:r>
    </w:p>
    <w:p w14:paraId="1D3BDBE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8.5具备ART计划功能</w:t>
      </w:r>
    </w:p>
    <w:p w14:paraId="04F6BF3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8.6具备图像融合功能</w:t>
      </w:r>
    </w:p>
    <w:p w14:paraId="62EA5F76">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8.7具备计划评估功能</w:t>
      </w:r>
    </w:p>
    <w:p w14:paraId="2378210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9、自适应放疗</w:t>
      </w:r>
    </w:p>
    <w:p w14:paraId="5F5AFC1A">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9.1具备定位图像获取、自动勾画、自动计划、在线复位、计划评估、在线质控、治疗实施等</w:t>
      </w:r>
    </w:p>
    <w:p w14:paraId="6A60F37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9.2全流程耗时30分钟之内</w:t>
      </w:r>
    </w:p>
    <w:p w14:paraId="18D8EFA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10、放射治疗信息化管理系统</w:t>
      </w:r>
    </w:p>
    <w:p w14:paraId="61D92D97">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10.1提供肿瘤信息化管理系统（报价中包含所有软件接入HIS/PACS等信息系统接口费用，直至满足采购人使用需求）。</w:t>
      </w:r>
    </w:p>
    <w:p w14:paraId="6F5CC4B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10.2操作系统和数据库正版软件要求：所有运行于服务器和工作站的软件必须是正版软件</w:t>
      </w:r>
    </w:p>
    <w:p w14:paraId="698EB2FA">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10.3放疗数据库应用软件：要求建立和应用于服务器数据库系统平台上的应用软件和用户界面程序，所有的病人治疗数据，包括文字资料、图像资料、治疗计划数据和治疗过程中产生的图像和文字数据等，均应储存在服务器数据库中，以方便管理、备份和所有联网工作站的信息资源共享。</w:t>
      </w:r>
    </w:p>
    <w:p w14:paraId="4AD8D260">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10.4服务器软件可设置各工作站用户的使用权限。</w:t>
      </w:r>
    </w:p>
    <w:p w14:paraId="1C4AE38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10.5支持自动序列照射功能，在对一个病人进行多个照射野的连续治疗中，自动按照设定的次序设置加速器和多叶准直器的照射参数，并进行定位验证，中途不需技术员进出治疗室.</w:t>
      </w:r>
    </w:p>
    <w:p w14:paraId="0EE94A4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10.6支持主流治疗计划的导入、验证和批准，具有治疗参数的自动记录和验证功能，可调节设定误差允许范围</w:t>
      </w:r>
    </w:p>
    <w:p w14:paraId="6FCF71FC">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10.7提供基于ID、姓名等信息的快速影像检索功能</w:t>
      </w:r>
    </w:p>
    <w:p w14:paraId="2685AC97">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10.8系统需满足公安部三级安全等级保护</w:t>
      </w:r>
    </w:p>
    <w:p w14:paraId="2B5BE65F">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▲10.9提供加速器厂家注册且具备中华人民共和国三类医疗器械注册证的治疗验证和记录系统，并提供在NMPA（国家药品监督管理局）官网上查询截图或提供注册证并加盖投标单位公章</w:t>
      </w:r>
    </w:p>
    <w:p w14:paraId="5BF982E6">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11、配套三方设备</w:t>
      </w:r>
    </w:p>
    <w:p w14:paraId="7AA31D8D">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11.1参考级剂量仪1套；一维电动水箱1套，含主机1台，支持无线连接及中文模式，提供0.65cc和0.13cc电离室，提供18米延长线。</w:t>
      </w:r>
    </w:p>
    <w:p w14:paraId="399D0176">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11.2三维剂量验证系统（升级）</w:t>
      </w:r>
    </w:p>
    <w:p w14:paraId="7D3E6DD9">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11.3用于加速器周期性检测的含图像QA；MLC QA等项目的加速器质控设备1套</w:t>
      </w:r>
    </w:p>
    <w:p w14:paraId="374493F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11.4小野剂量验证系统1套，能满足SRS/SBRT剂量验证，电离室探头不少于1000个，探测器在三维空间内立体排布，射野不小于7cm*7cm，提供旋转模体及分析软件。</w:t>
      </w:r>
    </w:p>
    <w:p w14:paraId="3558C5E5">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11.5电子密度模体1套</w:t>
      </w:r>
    </w:p>
    <w:p w14:paraId="17064CB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11.6全身一体化底板2套；定位膜30张；真空垫10个，含头枕、抓杆、手臂支架、定位器、分腿器等配件，含真空泵。</w:t>
      </w:r>
    </w:p>
    <w:p w14:paraId="2E420EE2">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11.7电子防潮箱1套、恒温水箱/烤箱1台</w:t>
      </w:r>
    </w:p>
    <w:p w14:paraId="4687912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11.8巡检仪1台；个人剂量报警仪2套；固定式剂量报警仪1套</w:t>
      </w:r>
    </w:p>
    <w:p w14:paraId="61A59044">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11.9空气气压盒1个；示波器1台；维修工具1套</w:t>
      </w:r>
    </w:p>
    <w:p w14:paraId="3C5C23D0">
      <w:pPr>
        <w:pStyle w:val="63"/>
        <w:spacing w:line="360" w:lineRule="auto"/>
        <w:ind w:firstLine="482"/>
        <w:rPr>
          <w:rFonts w:hint="eastAsia" w:cs="宋体" w:asciiTheme="minorEastAsia" w:hAnsiTheme="minorEastAsia" w:eastAsiaTheme="minorEastAsia"/>
          <w:b/>
          <w:color w:val="auto"/>
          <w:sz w:val="24"/>
          <w:lang w:val="en-US" w:eastAsia="zh-CN"/>
        </w:rPr>
      </w:pPr>
      <w:r>
        <w:rPr>
          <w:rFonts w:hint="eastAsia" w:cs="宋体" w:asciiTheme="minorEastAsia" w:hAnsiTheme="minorEastAsia" w:eastAsiaTheme="minorEastAsia"/>
          <w:b/>
          <w:color w:val="auto"/>
          <w:sz w:val="24"/>
          <w:lang w:val="en-US" w:eastAsia="zh-CN"/>
        </w:rPr>
        <w:t>三、机房建设要求：</w:t>
      </w:r>
    </w:p>
    <w:p w14:paraId="7661EF4D">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1.中标人或委托具备相关资质的第三方机构负责建设符合设备使用环境的机房建设施工。机房建设主要涵盖主体建设、辐射防护、专业配套、装饰装修。需包含项目自立项至项目取得竣工验收投入使用、资料移交城建档案馆全部费用及政府相关部门要求的配套费缴纳。施工必须取得相关许可证后方可施工。项目施工包含地下全部管网（含供暖管道）改线及道路恢复。工程建设需满足国家相关标准规范要求。</w:t>
      </w:r>
    </w:p>
    <w:p w14:paraId="1F866DC1">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主体建设：两层；辐射防护工程：墙顶地、门窗、管线穿墙防护等满足直线加速器防辐射要求及国家相关强制标准；供应商负责项目建设所有辐射环境影响评价、环评竣工验收、职业病防护预控评等工作，直至取得相关行政主管部门批复许可。</w:t>
      </w:r>
    </w:p>
    <w:p w14:paraId="739957AA">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2.专业配套工程：①专用供电系统：从医院住院部配电间引专线电缆至新建建筑内，以及满足新建建筑使用的配套强弱电系统。②空调系统：机房安装独立恒温恒湿空调；其他功能用房配备中央空调系统；③通风系统：设置机械排风+自然进风；进风口做防辐射封堵。④给排水工程：满足功能用房及机房的给排水，涉及卫生间污水的需满足环保相关规范；⑤弱电与智能化系统。</w:t>
      </w:r>
    </w:p>
    <w:p w14:paraId="08ED0771">
      <w:pPr>
        <w:spacing w:line="360" w:lineRule="auto"/>
        <w:ind w:firstLine="482"/>
        <w:jc w:val="left"/>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★3.消防系统：消防设计及配置符合国家相关标准及验收要求，满足采购人使用需求。</w:t>
      </w:r>
    </w:p>
    <w:p w14:paraId="232CBEBE">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highlight w:val="none"/>
          <w:lang w:val="en-US" w:eastAsia="zh-CN"/>
        </w:rPr>
        <w:t>4.装饰装修：需按照所选设备型号要求对整栋机房建筑（含内装、外立面装修等）装修，</w:t>
      </w:r>
      <w:r>
        <w:rPr>
          <w:rFonts w:hint="eastAsia" w:cs="宋体" w:asciiTheme="minorEastAsia" w:hAnsiTheme="minorEastAsia"/>
          <w:sz w:val="24"/>
          <w:szCs w:val="24"/>
          <w:lang w:val="en-US" w:eastAsia="zh-CN"/>
        </w:rPr>
        <w:t>使其满足设备安装条件。装饰装修选材需满足环保、防火、耐磨、易清洁、防辐射、防静电等要求，符合国家相关规定。</w:t>
      </w:r>
    </w:p>
    <w:p w14:paraId="150CA7CB">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5.所有施工方案、施工图纸、效果图、工程清单等设计文件需报采购人审核认可后方可实施。</w:t>
      </w:r>
    </w:p>
    <w:p w14:paraId="65FF7AF8">
      <w:pPr>
        <w:spacing w:line="360" w:lineRule="auto"/>
        <w:ind w:firstLine="482"/>
        <w:jc w:val="left"/>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6.机房建设过程中涉及隐蔽工程，应报采购人验收合格后方可进行后续工序施工，建设完成后，辐射防护工程需取得第三方具有相关资质的检测机构出具的检测报告，工程整体进度需报采购人验收、并由采购人书面签字认可。</w:t>
      </w:r>
    </w:p>
    <w:p w14:paraId="1CC409DE">
      <w:pPr>
        <w:pStyle w:val="45"/>
        <w:rPr>
          <w:rFonts w:hint="default" w:cs="宋体" w:asciiTheme="minorEastAsia" w:hAnsiTheme="minorEastAsia" w:eastAsiaTheme="minorEastAsia"/>
          <w:b/>
          <w:color w:val="FF0000"/>
          <w:kern w:val="2"/>
          <w:sz w:val="24"/>
          <w:szCs w:val="24"/>
          <w:highlight w:val="none"/>
          <w:lang w:val="en-US" w:eastAsia="zh-CN" w:bidi="ar-SA"/>
        </w:rPr>
      </w:pPr>
      <w:r>
        <w:rPr>
          <w:rFonts w:hint="eastAsia" w:cs="宋体" w:asciiTheme="minorEastAsia" w:hAnsiTheme="minorEastAsia" w:eastAsiaTheme="minorEastAsia"/>
          <w:b/>
          <w:color w:val="FF0000"/>
          <w:kern w:val="2"/>
          <w:sz w:val="24"/>
          <w:szCs w:val="24"/>
          <w:highlight w:val="none"/>
          <w:lang w:val="en-US" w:eastAsia="zh-CN" w:bidi="ar-SA"/>
        </w:rPr>
        <w:t>注：投标人须承诺满足以上6款机房建设实施要求，提供承诺函（格式自拟）加盖公章。未提供承诺函或承诺函内容缺失视为不满足招标文件要求。</w:t>
      </w:r>
    </w:p>
    <w:p w14:paraId="6E53865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四</w:t>
      </w:r>
      <w:r>
        <w:rPr>
          <w:rFonts w:hint="eastAsia" w:cs="宋体" w:asciiTheme="minorEastAsia" w:hAnsiTheme="minorEastAsia" w:eastAsiaTheme="minorEastAsia"/>
          <w:b/>
          <w:color w:val="auto"/>
          <w:sz w:val="24"/>
        </w:rPr>
        <w:t>、供货要求</w:t>
      </w:r>
    </w:p>
    <w:p w14:paraId="42DB9F6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交货期：合同签订生效之日起5个月内交付采购人使用。</w:t>
      </w:r>
    </w:p>
    <w:p w14:paraId="5BAD392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设备包装、供货、保管过程中中标人应遵守安全操作制度，严格安全措施落实，承担安全责任。</w:t>
      </w:r>
    </w:p>
    <w:p w14:paraId="0CA7B7A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严格按国家规定的技术规范标准生产和安装，设备实行“三包”，并明确注明“三包”内容。质保期内的维护更换等费用全部由卖方承担，包括人工、更换配件等费用。</w:t>
      </w:r>
    </w:p>
    <w:p w14:paraId="45FCDB2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设备运输、仓储、保管过程中的费用由中标单位承担。</w:t>
      </w:r>
    </w:p>
    <w:p w14:paraId="79C7D9C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投标人须提供操作手册,维护手册等。</w:t>
      </w:r>
    </w:p>
    <w:p w14:paraId="475DFB96">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五</w:t>
      </w:r>
      <w:r>
        <w:rPr>
          <w:rFonts w:hint="eastAsia" w:cs="宋体" w:asciiTheme="minorEastAsia" w:hAnsiTheme="minorEastAsia" w:eastAsiaTheme="minorEastAsia"/>
          <w:b/>
          <w:color w:val="auto"/>
          <w:sz w:val="24"/>
        </w:rPr>
        <w:t>、安装调试要求</w:t>
      </w:r>
    </w:p>
    <w:p w14:paraId="2182B471">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所有货物的款式、设计、版型、颜色需经采购人认可后方可生产供货。</w:t>
      </w:r>
    </w:p>
    <w:p w14:paraId="3052663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货物（含配件）应是全新、未使用过的原装合格正品，并保证所提供货物的开箱合格率为100%，外观和内在质量都不得有任何问题。</w:t>
      </w:r>
    </w:p>
    <w:p w14:paraId="22A94DA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产品及主要部件均须非停产设备，并提供备件、附件和耗材的供应。</w:t>
      </w:r>
    </w:p>
    <w:p w14:paraId="01BFE74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产品及主要部件必须为成熟的产品，须充分考虑产品的使用者和使用环境。</w:t>
      </w:r>
    </w:p>
    <w:p w14:paraId="5D23540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供货时须向采购人提供详细材料一览表（各主要部分用料、规格及厚度、产地证明等），包括产品说明书或产品主要技术资料和性能的详细描述等。</w:t>
      </w:r>
    </w:p>
    <w:p w14:paraId="132269C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采购人使用货物的任何一部分，当受第三方提出的侵犯其专利权、商标权或工业设计权的投诉时，一切后果由中标人负责。</w:t>
      </w:r>
    </w:p>
    <w:p w14:paraId="0CC0605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应将货物送到采购人指定地点，并负责办理运输和装卸，费用由中标人负责。</w:t>
      </w:r>
    </w:p>
    <w:p w14:paraId="1505883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如未能达到合同要求，采购人有权退货并要求供应商赔偿损失。</w:t>
      </w:r>
    </w:p>
    <w:p w14:paraId="6CEFFBD7">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投标人须向采购人提供设备的运行,安装,使用环境要求等。</w:t>
      </w:r>
    </w:p>
    <w:p w14:paraId="4DDFDBFF">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10、</w:t>
      </w:r>
      <w:r>
        <w:rPr>
          <w:rFonts w:hint="eastAsia" w:cs="宋体" w:asciiTheme="minorEastAsia" w:hAnsiTheme="minorEastAsia"/>
          <w:sz w:val="24"/>
          <w:szCs w:val="24"/>
        </w:rPr>
        <w:t>在货物到达采购人指定地点后,投标人须在7天内派专业工程师到达现场,提供安装、调试等服务,协助采购人组织验收，并承担相关费用。</w:t>
      </w:r>
    </w:p>
    <w:p w14:paraId="3528FB3F">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六</w:t>
      </w:r>
      <w:r>
        <w:rPr>
          <w:rFonts w:hint="eastAsia" w:cs="宋体" w:asciiTheme="minorEastAsia" w:hAnsiTheme="minorEastAsia" w:eastAsiaTheme="minorEastAsia"/>
          <w:b/>
          <w:color w:val="auto"/>
          <w:sz w:val="24"/>
        </w:rPr>
        <w:t>、国家或行业相关规范标准</w:t>
      </w:r>
    </w:p>
    <w:p w14:paraId="188ED68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采用行业标准的不得低于国家标准；</w:t>
      </w:r>
    </w:p>
    <w:p w14:paraId="1582A6E2">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必须通过国家安装规范和验收规范。</w:t>
      </w:r>
    </w:p>
    <w:p w14:paraId="3E319624">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七</w:t>
      </w:r>
      <w:r>
        <w:rPr>
          <w:rFonts w:hint="eastAsia" w:cs="宋体" w:asciiTheme="minorEastAsia" w:hAnsiTheme="minorEastAsia" w:eastAsiaTheme="minorEastAsia"/>
          <w:b/>
          <w:color w:val="auto"/>
          <w:sz w:val="24"/>
        </w:rPr>
        <w:t>、人员配备要求</w:t>
      </w:r>
    </w:p>
    <w:p w14:paraId="75B5E4D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投标人须为本项目配备安装人员，投标人须为采购人免费提供人员培训，配备人员不得少于一人</w:t>
      </w:r>
      <w:r>
        <w:rPr>
          <w:rFonts w:hint="eastAsia" w:cs="宋体" w:asciiTheme="minorEastAsia" w:hAnsiTheme="minorEastAsia"/>
          <w:b/>
          <w:sz w:val="24"/>
          <w:szCs w:val="24"/>
        </w:rPr>
        <w:t>。</w:t>
      </w:r>
    </w:p>
    <w:p w14:paraId="57F33192">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八</w:t>
      </w:r>
      <w:r>
        <w:rPr>
          <w:rFonts w:hint="eastAsia" w:cs="宋体" w:asciiTheme="minorEastAsia" w:hAnsiTheme="minorEastAsia" w:eastAsiaTheme="minorEastAsia"/>
          <w:b/>
          <w:color w:val="auto"/>
          <w:sz w:val="24"/>
        </w:rPr>
        <w:t>、履约验收要求</w:t>
      </w:r>
    </w:p>
    <w:p w14:paraId="759F64D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76AEEA2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中标人交货前应对产品作出全面检查和对验收文件进行整理，并列出清单，作为采购人收货验收和使用的技术条件依据，检验的结果应随货物交采购人。</w:t>
      </w:r>
    </w:p>
    <w:p w14:paraId="288757A8">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采购人对中标人提供的货物在使用前，中标人需负责安装调试并培训采购人的使用操作人员，并协助采购人一起调试，直到符合技术要求。安装调试费用由中标人负责。</w:t>
      </w:r>
    </w:p>
    <w:p w14:paraId="10F12B68">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验收时中标人必须在现场，验收完毕后作出验收结果报告。对技术复杂的项目，采购人可组织有关部门和专家进行验收，相关费用由采购人和中标人双方协商解决。</w:t>
      </w:r>
    </w:p>
    <w:p w14:paraId="7EC2198A">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九</w:t>
      </w:r>
      <w:r>
        <w:rPr>
          <w:rFonts w:hint="eastAsia" w:cs="宋体" w:asciiTheme="minorEastAsia" w:hAnsiTheme="minorEastAsia" w:eastAsiaTheme="minorEastAsia"/>
          <w:b/>
          <w:color w:val="auto"/>
          <w:sz w:val="24"/>
        </w:rPr>
        <w:t>、培训要求</w:t>
      </w:r>
    </w:p>
    <w:p w14:paraId="1EFA648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投标单位须为采购人免费提供人员培训,保证操作人员正常使用设备各种功能。</w:t>
      </w:r>
    </w:p>
    <w:p w14:paraId="4E588CA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投标人在投标时须对产品质量及服务做出维保承诺，为采购人提供人员培训计划，所需费用含本次报价中。</w:t>
      </w:r>
    </w:p>
    <w:p w14:paraId="15A97970">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十</w:t>
      </w:r>
      <w:r>
        <w:rPr>
          <w:rFonts w:hint="eastAsia" w:cs="宋体" w:asciiTheme="minorEastAsia" w:hAnsiTheme="minorEastAsia" w:eastAsiaTheme="minorEastAsia"/>
          <w:b/>
          <w:color w:val="auto"/>
          <w:sz w:val="24"/>
        </w:rPr>
        <w:t>、售后服务要求</w:t>
      </w:r>
    </w:p>
    <w:p w14:paraId="7677DB24">
      <w:pPr>
        <w:spacing w:line="360" w:lineRule="auto"/>
        <w:ind w:firstLine="482"/>
        <w:rPr>
          <w:rFonts w:hint="eastAsia" w:cs="宋体" w:asciiTheme="minorEastAsia" w:hAnsiTheme="minorEastAsia"/>
          <w:sz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质保期：</w:t>
      </w: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设备原厂质保期不少于贰年；</w:t>
      </w: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机房建设主体结构工程为设计文件规定的合理使用年限，防水工程不少于伍年，其他专业工程不少于贰年，工程缺陷责任期为24个月</w:t>
      </w:r>
      <w:r>
        <w:rPr>
          <w:rFonts w:hint="eastAsia" w:cs="宋体" w:asciiTheme="minorEastAsia" w:hAnsiTheme="minorEastAsia"/>
          <w:sz w:val="24"/>
        </w:rPr>
        <w:t>。</w:t>
      </w:r>
    </w:p>
    <w:p w14:paraId="5E2E83C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中标人负责货物的供货、安装调试及验收合格。</w:t>
      </w:r>
    </w:p>
    <w:p w14:paraId="3162F44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所有产品质保服务方式均为上门维护，即由中标人派相关资质人员到采购人产品使用现场维修。</w:t>
      </w:r>
    </w:p>
    <w:p w14:paraId="1B30A7A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在质保期内，中标人应无条件提供产品维修及保养服务</w:t>
      </w:r>
      <w:r>
        <w:rPr>
          <w:rFonts w:hint="eastAsia" w:cs="宋体" w:asciiTheme="minorEastAsia" w:hAnsiTheme="minorEastAsia"/>
          <w:color w:val="auto"/>
          <w:sz w:val="24"/>
          <w:szCs w:val="24"/>
        </w:rPr>
        <w:t>。</w:t>
      </w:r>
      <w:r>
        <w:rPr>
          <w:rFonts w:hint="eastAsia" w:cs="宋体" w:asciiTheme="minorEastAsia" w:hAnsiTheme="minorEastAsia"/>
          <w:sz w:val="24"/>
          <w:szCs w:val="24"/>
        </w:rPr>
        <w:t>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3B5067C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477787B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在质保期内，如产品或零部件因非人为因素出现故障而造成短期停用时，应提供合格的同型号备用产品给采购人维持工作，质保期相应顺延；如停用时间累计超过60天则质保期重新计算。中标人两次维修仍不能达合同约上定的质量标准和厂家的质量标准，采购人有权退货，并依法追究中标人的违约责任。</w:t>
      </w:r>
    </w:p>
    <w:p w14:paraId="3207591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培训需使产品使用人充分了解产品构成、基本原理，并熟练掌握产品的安装、运行和维护等。</w:t>
      </w:r>
    </w:p>
    <w:p w14:paraId="7BC5D7DF">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投标人应在国内设有维修备件库,质保期满后，能根据采购人要求提供充足的备品、备件。</w:t>
      </w:r>
    </w:p>
    <w:p w14:paraId="380F67DE">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rPr>
        <w:t>在质保期内，中标人需对所提供的货物定期检查和保养，并且保证每年上门检修、保养一次，并出具报告，不再向采购人收取费用。</w:t>
      </w:r>
    </w:p>
    <w:p w14:paraId="708E60CD">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一</w:t>
      </w:r>
      <w:r>
        <w:rPr>
          <w:rFonts w:hint="eastAsia" w:cs="宋体" w:asciiTheme="minorEastAsia" w:hAnsiTheme="minorEastAsia" w:eastAsiaTheme="minorEastAsia"/>
          <w:b/>
          <w:color w:val="auto"/>
          <w:sz w:val="24"/>
        </w:rPr>
        <w:t>、投标报价要求</w:t>
      </w:r>
    </w:p>
    <w:p w14:paraId="1482B36B">
      <w:pPr>
        <w:pStyle w:val="63"/>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费</w:t>
      </w:r>
      <w:r>
        <w:rPr>
          <w:rFonts w:hint="eastAsia" w:cs="宋体" w:asciiTheme="minorEastAsia" w:hAnsiTheme="minorEastAsia" w:eastAsiaTheme="minorEastAsia"/>
          <w:color w:val="auto"/>
          <w:sz w:val="24"/>
        </w:rPr>
        <w:t>用、管理费、利润、规费、满足验收规范、税金</w:t>
      </w:r>
      <w:r>
        <w:rPr>
          <w:rFonts w:hint="eastAsia" w:cs="宋体" w:asciiTheme="minorEastAsia" w:hAnsiTheme="minorEastAsia" w:eastAsiaTheme="minorEastAsia"/>
          <w:color w:val="auto"/>
          <w:sz w:val="24"/>
          <w:lang w:eastAsia="zh-CN"/>
        </w:rPr>
        <w:t>等</w:t>
      </w:r>
      <w:r>
        <w:rPr>
          <w:rFonts w:hint="eastAsia" w:cs="宋体" w:asciiTheme="minorEastAsia" w:hAnsiTheme="minorEastAsia" w:eastAsiaTheme="minorEastAsia"/>
          <w:color w:val="auto"/>
          <w:sz w:val="24"/>
        </w:rPr>
        <w:t>其他相关所有费用，除合同价款外，采购人不支付其他任何费用。</w:t>
      </w:r>
    </w:p>
    <w:p w14:paraId="29147EC3">
      <w:pPr>
        <w:pStyle w:val="63"/>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w:t>
      </w:r>
      <w:r>
        <w:rPr>
          <w:rFonts w:hint="eastAsia" w:cs="宋体" w:asciiTheme="minorEastAsia" w:hAnsiTheme="minorEastAsia" w:eastAsiaTheme="minorEastAsia"/>
          <w:b/>
          <w:color w:val="auto"/>
          <w:sz w:val="24"/>
          <w:lang w:eastAsia="zh-CN"/>
        </w:rPr>
        <w:t>二</w:t>
      </w:r>
      <w:r>
        <w:rPr>
          <w:rFonts w:hint="eastAsia" w:cs="宋体" w:asciiTheme="minorEastAsia" w:hAnsiTheme="minorEastAsia" w:eastAsiaTheme="minorEastAsia"/>
          <w:b/>
          <w:color w:val="auto"/>
          <w:sz w:val="24"/>
        </w:rPr>
        <w:t>、其他</w:t>
      </w:r>
    </w:p>
    <w:p w14:paraId="5C1537BD">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履约保证金:本项目不收取履约保证金。</w:t>
      </w:r>
    </w:p>
    <w:p w14:paraId="45F5EB29">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付款方式：（1）取得相关审批材料、设备到货后，乙方应向甲方提供真实、合法的全额销售发票，甲方应向乙方支付合同总价的30％；（2）设备验收合格，且无质量问题情况下，甲方支付至合同总价的60％；（3）设备验收合格、取得竣工验收报告并公示合格后，甲方支付至合同总价的100％。</w:t>
      </w:r>
    </w:p>
    <w:p w14:paraId="0CEF8BDC">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79A7E56D">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本项目涉及商品包装和快递包装的，中标人提供产品及相关快递服务的要满足《商品包装政府采购需求标准(试行)》、《快递包装政府采购需求标准(试行)》的相关要求。</w:t>
      </w:r>
    </w:p>
    <w:p w14:paraId="7EA08097">
      <w:pPr>
        <w:pStyle w:val="2"/>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r>
      <w:bookmarkStart w:id="24" w:name="_Toc151625261"/>
      <w:r>
        <w:rPr>
          <w:rFonts w:hint="eastAsia" w:asciiTheme="minorEastAsia" w:hAnsiTheme="minorEastAsia" w:eastAsiaTheme="minorEastAsia"/>
          <w:color w:val="000000"/>
        </w:rPr>
        <w:t>第</w:t>
      </w:r>
      <w:r>
        <w:rPr>
          <w:rFonts w:hint="eastAsia" w:asciiTheme="minorEastAsia" w:hAnsiTheme="minorEastAsia" w:eastAsiaTheme="minorEastAsia"/>
          <w:color w:val="000000"/>
          <w:lang w:eastAsia="zh-CN"/>
        </w:rPr>
        <w:t>六</w:t>
      </w:r>
      <w:r>
        <w:rPr>
          <w:rFonts w:hint="eastAsia" w:asciiTheme="minorEastAsia" w:hAnsiTheme="minorEastAsia" w:eastAsiaTheme="minorEastAsia"/>
          <w:color w:val="000000"/>
        </w:rPr>
        <w:t>章评标办法</w:t>
      </w:r>
      <w:bookmarkEnd w:id="21"/>
      <w:bookmarkEnd w:id="24"/>
    </w:p>
    <w:p w14:paraId="135E5F44">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一、</w:t>
      </w:r>
      <w:r>
        <w:rPr>
          <w:rFonts w:hint="eastAsia" w:cs="Times New Roman" w:asciiTheme="minorEastAsia" w:hAnsiTheme="minorEastAsia"/>
          <w:b/>
          <w:bCs/>
          <w:color w:val="000000"/>
          <w:sz w:val="24"/>
          <w:szCs w:val="24"/>
        </w:rPr>
        <w:t>评标委员会构成</w:t>
      </w:r>
      <w:r>
        <w:rPr>
          <w:rFonts w:hint="eastAsia" w:cs="Times New Roman" w:asciiTheme="minorEastAsia" w:hAnsiTheme="minorEastAsia"/>
          <w:b/>
          <w:color w:val="000000"/>
          <w:sz w:val="24"/>
          <w:szCs w:val="24"/>
        </w:rPr>
        <w:t>：</w:t>
      </w:r>
    </w:p>
    <w:p w14:paraId="02FA16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本采购项目评标委员会的评委由采购人代表、相关专家组成。</w:t>
      </w:r>
    </w:p>
    <w:p w14:paraId="6851515A">
      <w:pPr>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二、</w:t>
      </w:r>
      <w:r>
        <w:rPr>
          <w:rFonts w:hint="eastAsia" w:cs="Times New Roman" w:asciiTheme="minorEastAsia" w:hAnsiTheme="minorEastAsia"/>
          <w:b/>
          <w:bCs/>
          <w:color w:val="000000"/>
          <w:sz w:val="24"/>
          <w:szCs w:val="24"/>
        </w:rPr>
        <w:t>评标方法</w:t>
      </w:r>
      <w:r>
        <w:rPr>
          <w:rFonts w:hint="eastAsia" w:cs="Times New Roman" w:asciiTheme="minorEastAsia" w:hAnsiTheme="minorEastAsia"/>
          <w:b/>
          <w:color w:val="000000"/>
          <w:sz w:val="24"/>
          <w:szCs w:val="24"/>
        </w:rPr>
        <w:t>：</w:t>
      </w:r>
    </w:p>
    <w:p w14:paraId="73D63A6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26AE250A">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三、</w:t>
      </w:r>
      <w:r>
        <w:rPr>
          <w:rFonts w:hint="eastAsia" w:cs="Times New Roman" w:asciiTheme="minorEastAsia" w:hAnsiTheme="minorEastAsia"/>
          <w:b/>
          <w:bCs/>
          <w:color w:val="000000"/>
          <w:sz w:val="24"/>
          <w:szCs w:val="24"/>
        </w:rPr>
        <w:t>评标原则</w:t>
      </w:r>
      <w:r>
        <w:rPr>
          <w:rFonts w:hint="eastAsia" w:cs="Times New Roman" w:asciiTheme="minorEastAsia" w:hAnsiTheme="minorEastAsia"/>
          <w:b/>
          <w:color w:val="000000"/>
          <w:sz w:val="24"/>
          <w:szCs w:val="24"/>
        </w:rPr>
        <w:t>：</w:t>
      </w:r>
    </w:p>
    <w:p w14:paraId="5713637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0D39A390">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四、</w:t>
      </w:r>
      <w:r>
        <w:rPr>
          <w:rFonts w:hint="eastAsia" w:cs="Times New Roman" w:asciiTheme="minorEastAsia" w:hAnsiTheme="minorEastAsia"/>
          <w:b/>
          <w:bCs/>
          <w:color w:val="000000"/>
          <w:sz w:val="24"/>
          <w:szCs w:val="24"/>
        </w:rPr>
        <w:t>评标标准</w:t>
      </w:r>
      <w:r>
        <w:rPr>
          <w:rFonts w:hint="eastAsia" w:cs="Times New Roman" w:asciiTheme="minorEastAsia" w:hAnsiTheme="minorEastAsia"/>
          <w:b/>
          <w:color w:val="000000"/>
          <w:sz w:val="24"/>
          <w:szCs w:val="24"/>
        </w:rPr>
        <w:t>：</w:t>
      </w:r>
    </w:p>
    <w:p w14:paraId="4A5B642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（一）评标时，评标委员会以招标文件为评标依据，评标委员会各成员独立对每个投标人的投标文件进行评价，并汇总每个投标人的得分。</w:t>
      </w:r>
    </w:p>
    <w:p w14:paraId="5138872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（二）本项目评分总分为100分，按四舍五入取至小数点后两位。</w:t>
      </w:r>
    </w:p>
    <w:p w14:paraId="77FBE32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p>
    <w:p w14:paraId="27D850F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BBAE9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综合评分法</w:t>
      </w:r>
    </w:p>
    <w:bookmarkEnd w:id="22"/>
    <w:bookmarkEnd w:id="23"/>
    <w:tbl>
      <w:tblPr>
        <w:tblStyle w:val="36"/>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2"/>
        <w:gridCol w:w="875"/>
        <w:gridCol w:w="7785"/>
        <w:gridCol w:w="652"/>
      </w:tblGrid>
      <w:tr w14:paraId="1155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blHeader/>
          <w:jc w:val="center"/>
        </w:trPr>
        <w:tc>
          <w:tcPr>
            <w:tcW w:w="592" w:type="dxa"/>
            <w:tcBorders>
              <w:top w:val="single" w:color="auto" w:sz="4" w:space="0"/>
              <w:left w:val="single" w:color="auto" w:sz="4" w:space="0"/>
              <w:bottom w:val="single" w:color="auto" w:sz="4" w:space="0"/>
              <w:right w:val="single" w:color="auto" w:sz="4" w:space="0"/>
              <w:tl2br w:val="nil"/>
              <w:tr2bl w:val="nil"/>
            </w:tcBorders>
            <w:shd w:val="clear" w:color="auto" w:fill="D8D8D8"/>
            <w:noWrap w:val="0"/>
            <w:vAlign w:val="center"/>
          </w:tcPr>
          <w:p w14:paraId="27568358">
            <w:pPr>
              <w:spacing w:beforeLines="0" w:afterLines="0" w:line="240" w:lineRule="auto"/>
              <w:ind w:left="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75" w:type="dxa"/>
            <w:tcBorders>
              <w:top w:val="single" w:color="auto" w:sz="4" w:space="0"/>
              <w:left w:val="single" w:color="auto" w:sz="4" w:space="0"/>
              <w:bottom w:val="single" w:color="auto" w:sz="4" w:space="0"/>
              <w:right w:val="single" w:color="auto" w:sz="4" w:space="0"/>
              <w:tl2br w:val="nil"/>
              <w:tr2bl w:val="nil"/>
            </w:tcBorders>
            <w:shd w:val="clear" w:color="auto" w:fill="D8D8D8"/>
            <w:noWrap w:val="0"/>
            <w:vAlign w:val="center"/>
          </w:tcPr>
          <w:p w14:paraId="70F4EAA5">
            <w:pPr>
              <w:spacing w:beforeLines="0" w:afterLines="0" w:line="240" w:lineRule="auto"/>
              <w:ind w:left="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7785" w:type="dxa"/>
            <w:tcBorders>
              <w:top w:val="single" w:color="auto" w:sz="4" w:space="0"/>
              <w:left w:val="single" w:color="auto" w:sz="4" w:space="0"/>
              <w:bottom w:val="single" w:color="auto" w:sz="4" w:space="0"/>
              <w:right w:val="single" w:color="auto" w:sz="4" w:space="0"/>
              <w:tl2br w:val="nil"/>
              <w:tr2bl w:val="nil"/>
            </w:tcBorders>
            <w:shd w:val="clear" w:color="auto" w:fill="D8D8D8"/>
            <w:noWrap w:val="0"/>
            <w:vAlign w:val="center"/>
          </w:tcPr>
          <w:p w14:paraId="79F71341">
            <w:pPr>
              <w:spacing w:beforeLines="0" w:afterLines="0" w:line="240" w:lineRule="auto"/>
              <w:ind w:left="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评审细则</w:t>
            </w:r>
          </w:p>
        </w:tc>
        <w:tc>
          <w:tcPr>
            <w:tcW w:w="652" w:type="dxa"/>
            <w:tcBorders>
              <w:top w:val="single" w:color="auto" w:sz="4" w:space="0"/>
              <w:left w:val="single" w:color="auto" w:sz="4" w:space="0"/>
              <w:bottom w:val="single" w:color="auto" w:sz="4" w:space="0"/>
              <w:right w:val="single" w:color="auto" w:sz="4" w:space="0"/>
              <w:tl2br w:val="nil"/>
              <w:tr2bl w:val="nil"/>
            </w:tcBorders>
            <w:shd w:val="clear" w:color="auto" w:fill="D8D8D8"/>
            <w:noWrap w:val="0"/>
            <w:vAlign w:val="center"/>
          </w:tcPr>
          <w:p w14:paraId="1C9AB084">
            <w:pPr>
              <w:spacing w:beforeLines="0" w:afterLines="0" w:line="240" w:lineRule="auto"/>
              <w:ind w:left="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0B8C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4"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2818A1">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1</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005E30">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价格</w:t>
            </w:r>
          </w:p>
        </w:tc>
        <w:tc>
          <w:tcPr>
            <w:tcW w:w="778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3437AB">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满足</w:t>
            </w:r>
            <w:r>
              <w:rPr>
                <w:rFonts w:hint="eastAsia" w:cs="Times New Roman" w:asciiTheme="minorEastAsia" w:hAnsiTheme="minorEastAsia"/>
                <w:color w:val="000000"/>
                <w:sz w:val="24"/>
                <w:szCs w:val="24"/>
                <w:lang w:val="en-US" w:eastAsia="zh-CN"/>
              </w:rPr>
              <w:t>招标</w:t>
            </w:r>
            <w:r>
              <w:rPr>
                <w:rFonts w:hint="eastAsia" w:cs="Times New Roman" w:asciiTheme="minorEastAsia" w:hAnsiTheme="minorEastAsia"/>
                <w:color w:val="000000"/>
                <w:sz w:val="24"/>
                <w:szCs w:val="24"/>
              </w:rPr>
              <w:t>文件要求且最终报价最低的</w:t>
            </w:r>
            <w:r>
              <w:rPr>
                <w:rFonts w:hint="eastAsia" w:cs="Times New Roman" w:asciiTheme="minorEastAsia" w:hAnsiTheme="minorEastAsia"/>
                <w:color w:val="000000"/>
                <w:sz w:val="24"/>
                <w:szCs w:val="24"/>
                <w:lang w:val="en-US" w:eastAsia="zh-CN"/>
              </w:rPr>
              <w:t>投标</w:t>
            </w:r>
            <w:r>
              <w:rPr>
                <w:rFonts w:hint="eastAsia" w:cs="Times New Roman" w:asciiTheme="minorEastAsia" w:hAnsiTheme="minorEastAsia"/>
                <w:color w:val="000000"/>
                <w:sz w:val="24"/>
                <w:szCs w:val="24"/>
              </w:rPr>
              <w:t>报价为评审基准价，其价格分为满分</w:t>
            </w:r>
            <w:r>
              <w:rPr>
                <w:rFonts w:hint="eastAsia" w:cs="Times New Roman" w:asciiTheme="minorEastAsia" w:hAnsiTheme="minorEastAsia"/>
                <w:color w:val="000000"/>
                <w:sz w:val="24"/>
                <w:szCs w:val="24"/>
                <w:lang w:val="en-US" w:eastAsia="zh-CN"/>
              </w:rPr>
              <w:t>30</w:t>
            </w:r>
            <w:r>
              <w:rPr>
                <w:rFonts w:hint="eastAsia" w:cs="Times New Roman" w:asciiTheme="minorEastAsia" w:hAnsiTheme="minorEastAsia"/>
                <w:color w:val="000000"/>
                <w:sz w:val="24"/>
                <w:szCs w:val="24"/>
              </w:rPr>
              <w:t>分，其他</w:t>
            </w:r>
            <w:r>
              <w:rPr>
                <w:rFonts w:hint="eastAsia" w:cs="Times New Roman" w:asciiTheme="minorEastAsia" w:hAnsiTheme="minorEastAsia"/>
                <w:color w:val="000000"/>
                <w:sz w:val="24"/>
                <w:szCs w:val="24"/>
                <w:lang w:val="en-US" w:eastAsia="zh-CN"/>
              </w:rPr>
              <w:t>投标</w:t>
            </w:r>
            <w:r>
              <w:rPr>
                <w:rFonts w:hint="eastAsia" w:cs="Times New Roman" w:asciiTheme="minorEastAsia" w:hAnsiTheme="minorEastAsia"/>
                <w:color w:val="000000"/>
                <w:sz w:val="24"/>
                <w:szCs w:val="24"/>
              </w:rPr>
              <w:t>单位的价格分按照下列公式计算：报价得分=（评审基准价/最终报价）×</w:t>
            </w:r>
            <w:r>
              <w:rPr>
                <w:rFonts w:hint="eastAsia" w:cs="Times New Roman" w:asciiTheme="minorEastAsia" w:hAnsiTheme="minorEastAsia"/>
                <w:color w:val="000000"/>
                <w:sz w:val="24"/>
                <w:szCs w:val="24"/>
                <w:lang w:val="en-US" w:eastAsia="zh-CN"/>
              </w:rPr>
              <w:t>30</w:t>
            </w:r>
            <w:r>
              <w:rPr>
                <w:rFonts w:hint="eastAsia" w:cs="Times New Roman" w:asciiTheme="minorEastAsia" w:hAnsiTheme="minorEastAsia"/>
                <w:color w:val="000000"/>
                <w:sz w:val="24"/>
                <w:szCs w:val="24"/>
              </w:rPr>
              <w:t>。</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B9AC2D">
            <w:pPr>
              <w:spacing w:beforeLines="0" w:afterLines="0" w:line="240" w:lineRule="auto"/>
              <w:ind w:left="2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30分</w:t>
            </w:r>
          </w:p>
        </w:tc>
      </w:tr>
      <w:tr w14:paraId="75D0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6"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4F430C">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2</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1DEA09">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业绩</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250B1636">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投标人提供2023年1月1日至今，所投产品的实施案例（以提供合同或有效税务发票或验收合格证明等文件原件扫描件为准），根据案例情况进行评分。</w:t>
            </w:r>
          </w:p>
          <w:p w14:paraId="13FBD674">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每提供一份经评委认可的实施案例得1分，最高得3分。</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C273C9">
            <w:pPr>
              <w:spacing w:beforeLines="0" w:afterLines="0" w:line="240" w:lineRule="auto"/>
              <w:ind w:left="2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3分</w:t>
            </w:r>
          </w:p>
        </w:tc>
      </w:tr>
      <w:tr w14:paraId="4303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093A2E">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3</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87012F">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技术配置及参数指标</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2571A44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能够响应招标文件技术要求得基准分37分；带▲标记参数每有一项负偏离减2分，其他参数每有一项负偏离减1分。</w:t>
            </w:r>
          </w:p>
          <w:p w14:paraId="13FA06FD">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注：①带★的参数要求为实质性要求，不得产生负偏离，否则做无效文件处理。</w:t>
            </w:r>
          </w:p>
          <w:p w14:paraId="6F1C26D0">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②供应商需在技术规格偏离表内逐一列出技术参数性能等偏离情况，提供相关证明材料，包括但不限于医疗器械注册证、产品说明书、宣传彩页、国家认可的检测机构证明文件等扫描件并加盖公章，并在评分索引表中注明佐证材料页码。</w:t>
            </w:r>
          </w:p>
          <w:p w14:paraId="01BC88F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③未提供技术规格偏离表及证明材料，视为负偏离。</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3DCCF6">
            <w:pPr>
              <w:spacing w:line="360" w:lineRule="auto"/>
              <w:jc w:val="center"/>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37分</w:t>
            </w:r>
          </w:p>
        </w:tc>
      </w:tr>
      <w:tr w14:paraId="5960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711194">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4</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2397C8">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项目实施进度计划方案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521D0596">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投标人提供本项目实施进度计划方案,包括但不限于机房建设、供货、安装、调试等工作计划安排。评委进行综合评价：</w:t>
            </w:r>
          </w:p>
          <w:p w14:paraId="333277C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项目实施进度计划方案详细具体，可行性高，满足本项目实际需求的得3分；</w:t>
            </w:r>
          </w:p>
          <w:p w14:paraId="151A711E">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上述方案有一项内容缺陷或一项明显错误或一项内容不能满足本项目实际需求的得2分。</w:t>
            </w:r>
          </w:p>
          <w:p w14:paraId="1D2E189D">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27F40D4E">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16638C">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3分</w:t>
            </w:r>
          </w:p>
        </w:tc>
      </w:tr>
      <w:tr w14:paraId="44F1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8F612B">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6</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8D5EA5">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设备安装调试方案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76493E64">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投标人提供本项目设备安装调试方案,包括但不限于设备运输吊装方案、安装流程、调试方案、相关保障措施等。评委进行综合评价：</w:t>
            </w:r>
          </w:p>
          <w:p w14:paraId="2DD6E759">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设备安装调试方案详细具体，可行性高，满足本项目实际需求的得5分；</w:t>
            </w:r>
          </w:p>
          <w:p w14:paraId="6500C6EC">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上述方案有一项内容缺陷或一项明显错误或一项内容不能满足本项目实际需求的得3分。</w:t>
            </w:r>
          </w:p>
          <w:p w14:paraId="3AE4F6C8">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3A4C9A06">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F61B08">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5分</w:t>
            </w:r>
          </w:p>
        </w:tc>
      </w:tr>
      <w:tr w14:paraId="7C81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FB4E1">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7</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41B5A8">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项目验收方案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16DC87C8">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投标人提供本项目验收方案,包括但不限于隐蔽工程验收流程、设备安装及调试验收流程、验收方式、验收内容等。评委进行综合评价：</w:t>
            </w:r>
          </w:p>
          <w:p w14:paraId="137725BD">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项目验收方案详细具体，可行性高，满足本项目实际需求的得5分；</w:t>
            </w:r>
          </w:p>
          <w:p w14:paraId="1792253D">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上述方案有一项内容缺陷或一项明显错误或一项内容不能满足本项目实际需求的得3分。</w:t>
            </w:r>
          </w:p>
          <w:p w14:paraId="06FA37DA">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0F9B8FCC">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5785E4">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5分</w:t>
            </w:r>
          </w:p>
        </w:tc>
      </w:tr>
      <w:tr w14:paraId="1CC1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563C59">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8</w:t>
            </w:r>
          </w:p>
        </w:tc>
        <w:tc>
          <w:tcPr>
            <w:tcW w:w="8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0A1DBD">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设备质保</w:t>
            </w:r>
          </w:p>
        </w:tc>
        <w:tc>
          <w:tcPr>
            <w:tcW w:w="7785" w:type="dxa"/>
            <w:tcBorders>
              <w:top w:val="single" w:color="auto" w:sz="4" w:space="0"/>
              <w:left w:val="single" w:color="auto" w:sz="4" w:space="0"/>
              <w:bottom w:val="single" w:color="auto" w:sz="4" w:space="0"/>
              <w:right w:val="single" w:color="auto" w:sz="4" w:space="0"/>
              <w:tl2br w:val="nil"/>
              <w:tr2bl w:val="nil"/>
            </w:tcBorders>
            <w:noWrap w:val="0"/>
            <w:tcMar>
              <w:top w:w="0" w:type="dxa"/>
              <w:left w:w="0" w:type="dxa"/>
              <w:bottom w:w="0" w:type="dxa"/>
              <w:right w:w="0" w:type="dxa"/>
            </w:tcMar>
            <w:vAlign w:val="center"/>
          </w:tcPr>
          <w:p w14:paraId="4338E18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投标人针对本项目给出设备质保承诺。</w:t>
            </w:r>
          </w:p>
          <w:p w14:paraId="3A88A244">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评委根据质保承诺内容进行评价：</w:t>
            </w:r>
          </w:p>
          <w:p w14:paraId="3D82BE95">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设备质保期在满足项目需求基础上，原厂质保每延长一年加2分，最高得6分。</w:t>
            </w:r>
          </w:p>
        </w:tc>
        <w:tc>
          <w:tcPr>
            <w:tcW w:w="6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892478">
            <w:pPr>
              <w:spacing w:line="360" w:lineRule="auto"/>
              <w:jc w:val="center"/>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6分</w:t>
            </w:r>
          </w:p>
        </w:tc>
      </w:tr>
      <w:tr w14:paraId="07A8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1" w:hRule="atLeast"/>
          <w:jc w:val="center"/>
        </w:trPr>
        <w:tc>
          <w:tcPr>
            <w:tcW w:w="592" w:type="dxa"/>
            <w:tcBorders>
              <w:top w:val="single" w:color="auto" w:sz="4" w:space="0"/>
              <w:left w:val="single" w:color="auto" w:sz="4" w:space="0"/>
              <w:right w:val="single" w:color="auto" w:sz="4" w:space="0"/>
              <w:tl2br w:val="nil"/>
              <w:tr2bl w:val="nil"/>
            </w:tcBorders>
            <w:noWrap w:val="0"/>
            <w:vAlign w:val="center"/>
          </w:tcPr>
          <w:p w14:paraId="505F6108">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9</w:t>
            </w:r>
          </w:p>
        </w:tc>
        <w:tc>
          <w:tcPr>
            <w:tcW w:w="875" w:type="dxa"/>
            <w:tcBorders>
              <w:top w:val="single" w:color="auto" w:sz="4" w:space="0"/>
              <w:left w:val="single" w:color="auto" w:sz="4" w:space="0"/>
              <w:right w:val="single" w:color="auto" w:sz="4" w:space="0"/>
              <w:tl2br w:val="nil"/>
              <w:tr2bl w:val="nil"/>
            </w:tcBorders>
            <w:noWrap w:val="0"/>
            <w:vAlign w:val="center"/>
          </w:tcPr>
          <w:p w14:paraId="393C9AC3">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售后服务方案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497F15">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投标人提供项目售后服务方案,包括售后服务内容、响应方式、响应时间、响应流程、售后保障措施等。评委进行综合评价：</w:t>
            </w:r>
          </w:p>
          <w:p w14:paraId="77318AB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售后服务方案详细具体，可行性高，满足本项目实际需求的得3分；</w:t>
            </w:r>
          </w:p>
          <w:p w14:paraId="2AB1319B">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上述方案有一项内容缺陷或一项明显错误或一项内容不能满足本项目实际需求的得2分。</w:t>
            </w:r>
          </w:p>
          <w:p w14:paraId="48C5954F">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39BA312C">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top w:val="single" w:color="auto" w:sz="4" w:space="0"/>
              <w:left w:val="single" w:color="auto" w:sz="4" w:space="0"/>
              <w:right w:val="single" w:color="auto" w:sz="4" w:space="0"/>
              <w:tl2br w:val="nil"/>
              <w:tr2bl w:val="nil"/>
            </w:tcBorders>
            <w:noWrap w:val="0"/>
            <w:vAlign w:val="center"/>
          </w:tcPr>
          <w:p w14:paraId="45AB35FD">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3分</w:t>
            </w:r>
          </w:p>
        </w:tc>
      </w:tr>
      <w:tr w14:paraId="72D3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1" w:hRule="atLeast"/>
          <w:jc w:val="center"/>
        </w:trPr>
        <w:tc>
          <w:tcPr>
            <w:tcW w:w="592" w:type="dxa"/>
            <w:tcBorders>
              <w:left w:val="single" w:color="auto" w:sz="4" w:space="0"/>
              <w:right w:val="single" w:color="auto" w:sz="4" w:space="0"/>
              <w:tl2br w:val="nil"/>
              <w:tr2bl w:val="nil"/>
            </w:tcBorders>
            <w:noWrap w:val="0"/>
            <w:vAlign w:val="center"/>
          </w:tcPr>
          <w:p w14:paraId="1F0C92E4">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10</w:t>
            </w:r>
          </w:p>
        </w:tc>
        <w:tc>
          <w:tcPr>
            <w:tcW w:w="875" w:type="dxa"/>
            <w:tcBorders>
              <w:left w:val="single" w:color="auto" w:sz="4" w:space="0"/>
              <w:right w:val="single" w:color="auto" w:sz="4" w:space="0"/>
              <w:tl2br w:val="nil"/>
              <w:tr2bl w:val="nil"/>
            </w:tcBorders>
            <w:noWrap w:val="0"/>
            <w:vAlign w:val="center"/>
          </w:tcPr>
          <w:p w14:paraId="6E1974EB">
            <w:pPr>
              <w:spacing w:line="360" w:lineRule="auto"/>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lang w:val="en-US" w:eastAsia="zh-CN"/>
              </w:rPr>
              <w:t>培训服务方案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181983">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投标人提供项目培训服务方案，包括但不限于培训人员安排、时间安排、课程安排、培训形式及主要培训内容等。评委进行综合评价：</w:t>
            </w:r>
          </w:p>
          <w:p w14:paraId="0638C7C2">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培训服务方案详细具体，可行性高，满足本项目实际需求的得3分；</w:t>
            </w:r>
          </w:p>
          <w:p w14:paraId="77CEB766">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上述方案有一项内容缺陷或一项明显错误或一项内容不能满足本项目实际需求的得2分。</w:t>
            </w:r>
          </w:p>
          <w:p w14:paraId="7DB6B939">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015BB161">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left w:val="single" w:color="auto" w:sz="4" w:space="0"/>
              <w:right w:val="single" w:color="auto" w:sz="4" w:space="0"/>
              <w:tl2br w:val="nil"/>
              <w:tr2bl w:val="nil"/>
            </w:tcBorders>
            <w:noWrap w:val="0"/>
            <w:vAlign w:val="center"/>
          </w:tcPr>
          <w:p w14:paraId="1A6C556E">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3分</w:t>
            </w:r>
          </w:p>
        </w:tc>
      </w:tr>
      <w:tr w14:paraId="47E8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1" w:hRule="atLeast"/>
          <w:jc w:val="center"/>
        </w:trPr>
        <w:tc>
          <w:tcPr>
            <w:tcW w:w="592" w:type="dxa"/>
            <w:tcBorders>
              <w:left w:val="single" w:color="auto" w:sz="4" w:space="0"/>
              <w:bottom w:val="single" w:color="auto" w:sz="4" w:space="0"/>
              <w:right w:val="single" w:color="auto" w:sz="4" w:space="0"/>
              <w:tl2br w:val="nil"/>
              <w:tr2bl w:val="nil"/>
            </w:tcBorders>
            <w:noWrap w:val="0"/>
            <w:vAlign w:val="center"/>
          </w:tcPr>
          <w:p w14:paraId="4856D2BF">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11</w:t>
            </w:r>
          </w:p>
        </w:tc>
        <w:tc>
          <w:tcPr>
            <w:tcW w:w="875" w:type="dxa"/>
            <w:tcBorders>
              <w:left w:val="single" w:color="auto" w:sz="4" w:space="0"/>
              <w:bottom w:val="single" w:color="auto" w:sz="4" w:space="0"/>
              <w:right w:val="single" w:color="auto" w:sz="4" w:space="0"/>
              <w:tl2br w:val="nil"/>
              <w:tr2bl w:val="nil"/>
            </w:tcBorders>
            <w:noWrap w:val="0"/>
            <w:vAlign w:val="center"/>
          </w:tcPr>
          <w:p w14:paraId="40611B2D">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延伸服务方案</w:t>
            </w:r>
          </w:p>
        </w:tc>
        <w:tc>
          <w:tcPr>
            <w:tcW w:w="778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510FB0">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投标人提供延伸服务方案，包括但不限于在满足设备原有功能基础上进行功能升级、配置增加等，在方案中需提供承诺函（格式自拟）等相关证明材料，延伸服务内容需得到评委认可。评委进行综合评价：</w:t>
            </w:r>
          </w:p>
          <w:p w14:paraId="79F22719">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延伸服务方案详细具体，可行性高，满足本项目实际需求的得5分；</w:t>
            </w:r>
          </w:p>
          <w:p w14:paraId="7045FAF8">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上述方案有一项内容缺陷或一项明显错误或一项内容不能满足本项目实际需求的得3分。</w:t>
            </w:r>
          </w:p>
          <w:p w14:paraId="37CD097A">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上述方案有两处及以上内容缺陷或非专门针对本项目，或部分内容不能满足本项目实际需求的得1分。</w:t>
            </w:r>
          </w:p>
          <w:p w14:paraId="7DBB0C2F">
            <w:pPr>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其余情况不得分。</w:t>
            </w:r>
          </w:p>
        </w:tc>
        <w:tc>
          <w:tcPr>
            <w:tcW w:w="652" w:type="dxa"/>
            <w:tcBorders>
              <w:left w:val="single" w:color="auto" w:sz="4" w:space="0"/>
              <w:bottom w:val="single" w:color="auto" w:sz="4" w:space="0"/>
              <w:right w:val="single" w:color="auto" w:sz="4" w:space="0"/>
              <w:tl2br w:val="nil"/>
              <w:tr2bl w:val="nil"/>
            </w:tcBorders>
            <w:noWrap w:val="0"/>
            <w:vAlign w:val="center"/>
          </w:tcPr>
          <w:p w14:paraId="50440B31">
            <w:pPr>
              <w:spacing w:line="360" w:lineRule="auto"/>
              <w:jc w:val="center"/>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5分</w:t>
            </w:r>
          </w:p>
        </w:tc>
      </w:tr>
    </w:tbl>
    <w:p w14:paraId="7DA1448E">
      <w:pPr>
        <w:pStyle w:val="35"/>
        <w:rPr>
          <w:rFonts w:hint="eastAsia"/>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1" w:fontKey="{6DEE7B70-84CA-460C-8755-1004AB57241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6F885F65-5DED-45AF-B068-C03E3CE186E9}"/>
  </w:font>
  <w:font w:name="Cambria">
    <w:panose1 w:val="02040503050406030204"/>
    <w:charset w:val="00"/>
    <w:family w:val="roman"/>
    <w:pitch w:val="default"/>
    <w:sig w:usb0="E00002FF" w:usb1="400004FF" w:usb2="00000000" w:usb3="00000000" w:csb0="2000019F" w:csb1="00000000"/>
  </w:font>
  <w:font w:name="金山简黑体">
    <w:altName w:val="SimSun-ExtB"/>
    <w:panose1 w:val="00000000000000000000"/>
    <w:charset w:val="86"/>
    <w:family w:val="modern"/>
    <w:pitch w:val="default"/>
    <w:sig w:usb0="00000000" w:usb1="00000000" w:usb2="00000010" w:usb3="00000000" w:csb0="00040000" w:csb1="00000000"/>
    <w:embedRegular r:id="rId3" w:fontKey="{FC9363C4-CD75-4D59-AFBF-0703BF15C7F2}"/>
  </w:font>
  <w:font w:name="SimSun-ExtB">
    <w:panose1 w:val="02010609060101010101"/>
    <w:charset w:val="86"/>
    <w:family w:val="auto"/>
    <w:pitch w:val="default"/>
    <w:sig w:usb0="00000001" w:usb1="02000000" w:usb2="00000000"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4" w:fontKey="{75F5583B-03BA-448B-A641-0B5062550D56}"/>
  </w:font>
  <w:font w:name="Verdana">
    <w:panose1 w:val="020B0604030504040204"/>
    <w:charset w:val="00"/>
    <w:family w:val="swiss"/>
    <w:pitch w:val="default"/>
    <w:sig w:usb0="A10006FF" w:usb1="4000205B" w:usb2="00000010" w:usb3="00000000" w:csb0="2000019F" w:csb1="00000000"/>
  </w:font>
  <w:font w:name="MS Mincho">
    <w:panose1 w:val="02020609040205080304"/>
    <w:charset w:val="80"/>
    <w:family w:val="modern"/>
    <w:pitch w:val="default"/>
    <w:sig w:usb0="E00002FF" w:usb1="6AC7FDFB" w:usb2="00000012" w:usb3="00000000" w:csb0="4002009F" w:csb1="DFD70000"/>
  </w:font>
  <w:font w:name="方正仿宋_GBK">
    <w:panose1 w:val="02000000000000000000"/>
    <w:charset w:val="86"/>
    <w:family w:val="script"/>
    <w:pitch w:val="default"/>
    <w:sig w:usb0="A00002BF" w:usb1="38CF7CFA" w:usb2="00082016" w:usb3="00000000" w:csb0="00040001" w:csb1="00000000"/>
    <w:embedRegular r:id="rId5" w:fontKey="{E16956CE-E703-4A63-9B73-679697AC3699}"/>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BFBDE">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DC125">
    <w:pPr>
      <w:framePr w:wrap="around" w:vAnchor="text" w:hAnchor="margin" w:xAlign="center" w:y="1"/>
      <w:ind w:firstLine="482"/>
    </w:pPr>
    <w:r>
      <w:fldChar w:fldCharType="begin"/>
    </w:r>
    <w:r>
      <w:instrText xml:space="preserve">PAGE  </w:instrText>
    </w:r>
    <w:r>
      <w:fldChar w:fldCharType="separate"/>
    </w:r>
    <w:r>
      <w:t>34</w:t>
    </w:r>
    <w:r>
      <w:fldChar w:fldCharType="end"/>
    </w:r>
  </w:p>
  <w:p w14:paraId="70CF10E5">
    <w:pPr>
      <w:ind w:firstLine="482"/>
    </w:pPr>
  </w:p>
  <w:p w14:paraId="39B58552"/>
  <w:p w14:paraId="4A6EEA30"/>
  <w:p w14:paraId="43D307B9"/>
  <w:p w14:paraId="40053868"/>
  <w:p w14:paraId="44B5EE8C"/>
  <w:p w14:paraId="18E2ADCE"/>
  <w:p w14:paraId="6A4BF7F4"/>
  <w:p w14:paraId="2007D234"/>
  <w:p w14:paraId="0436DDF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4185A">
    <w:pPr>
      <w:ind w:firstLine="48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92998">
    <w:pPr>
      <w:pBdr>
        <w:bottom w:val="single" w:color="auto" w:sz="6" w:space="1"/>
      </w:pBdr>
    </w:pPr>
    <w:r>
      <w:rPr>
        <w:rFonts w:hint="eastAsia"/>
      </w:rPr>
      <w:t>江苏中际招标代理有限公司公开招标文件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5BB53">
    <w:pPr>
      <w:ind w:firstLine="482"/>
    </w:pPr>
  </w:p>
  <w:p w14:paraId="512C4B34"/>
  <w:p w14:paraId="043BF561"/>
  <w:p w14:paraId="0D67E2D8"/>
  <w:p w14:paraId="5AAEABA8"/>
  <w:p w14:paraId="33D6227F"/>
  <w:p w14:paraId="21F9AE24"/>
  <w:p w14:paraId="5DA00924"/>
  <w:p w14:paraId="42647D9C"/>
  <w:p w14:paraId="72517A3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DC1A6">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zQ0NTUxMGIxM2VhMzBjMDQzNjE0MGQ4OTA3MjhiNTYifQ=="/>
  </w:docVars>
  <w:rsids>
    <w:rsidRoot w:val="005863F4"/>
    <w:rsid w:val="000014C1"/>
    <w:rsid w:val="0000586C"/>
    <w:rsid w:val="0000686B"/>
    <w:rsid w:val="000072F8"/>
    <w:rsid w:val="00012530"/>
    <w:rsid w:val="0001565E"/>
    <w:rsid w:val="00015995"/>
    <w:rsid w:val="0001753F"/>
    <w:rsid w:val="00017762"/>
    <w:rsid w:val="00026302"/>
    <w:rsid w:val="00026A2B"/>
    <w:rsid w:val="00030BEB"/>
    <w:rsid w:val="00031B0A"/>
    <w:rsid w:val="00033CA1"/>
    <w:rsid w:val="000358CC"/>
    <w:rsid w:val="0003611C"/>
    <w:rsid w:val="00037720"/>
    <w:rsid w:val="00041913"/>
    <w:rsid w:val="00041E61"/>
    <w:rsid w:val="00041F4E"/>
    <w:rsid w:val="00043A68"/>
    <w:rsid w:val="00044317"/>
    <w:rsid w:val="00045551"/>
    <w:rsid w:val="00046975"/>
    <w:rsid w:val="0004699C"/>
    <w:rsid w:val="00053E4E"/>
    <w:rsid w:val="0005419B"/>
    <w:rsid w:val="000561BC"/>
    <w:rsid w:val="00056E04"/>
    <w:rsid w:val="00056FB6"/>
    <w:rsid w:val="000603D0"/>
    <w:rsid w:val="00060E47"/>
    <w:rsid w:val="00061EC2"/>
    <w:rsid w:val="000656F6"/>
    <w:rsid w:val="00065DDA"/>
    <w:rsid w:val="000661A8"/>
    <w:rsid w:val="0007588E"/>
    <w:rsid w:val="000758A4"/>
    <w:rsid w:val="00075AB4"/>
    <w:rsid w:val="00077AA8"/>
    <w:rsid w:val="00081E66"/>
    <w:rsid w:val="00082224"/>
    <w:rsid w:val="00083BE8"/>
    <w:rsid w:val="000861D7"/>
    <w:rsid w:val="0009112A"/>
    <w:rsid w:val="0009143F"/>
    <w:rsid w:val="000917EE"/>
    <w:rsid w:val="0009221B"/>
    <w:rsid w:val="000941E7"/>
    <w:rsid w:val="00094D7F"/>
    <w:rsid w:val="000959E5"/>
    <w:rsid w:val="000A0D6F"/>
    <w:rsid w:val="000A1321"/>
    <w:rsid w:val="000A345B"/>
    <w:rsid w:val="000A4D14"/>
    <w:rsid w:val="000A72C6"/>
    <w:rsid w:val="000B0029"/>
    <w:rsid w:val="000B14D7"/>
    <w:rsid w:val="000B2B5F"/>
    <w:rsid w:val="000B650F"/>
    <w:rsid w:val="000B7119"/>
    <w:rsid w:val="000B797A"/>
    <w:rsid w:val="000C0918"/>
    <w:rsid w:val="000C1DE5"/>
    <w:rsid w:val="000C368E"/>
    <w:rsid w:val="000C4FD3"/>
    <w:rsid w:val="000C6B46"/>
    <w:rsid w:val="000C7CEC"/>
    <w:rsid w:val="000D180D"/>
    <w:rsid w:val="000D1D49"/>
    <w:rsid w:val="000D4798"/>
    <w:rsid w:val="000D5BBC"/>
    <w:rsid w:val="000D64DA"/>
    <w:rsid w:val="000D7D5C"/>
    <w:rsid w:val="000F1E7B"/>
    <w:rsid w:val="000F2D18"/>
    <w:rsid w:val="000F2FC0"/>
    <w:rsid w:val="000F3221"/>
    <w:rsid w:val="000F7588"/>
    <w:rsid w:val="001001FD"/>
    <w:rsid w:val="00100FB8"/>
    <w:rsid w:val="001040B6"/>
    <w:rsid w:val="00107969"/>
    <w:rsid w:val="00110F12"/>
    <w:rsid w:val="001130E3"/>
    <w:rsid w:val="001141BD"/>
    <w:rsid w:val="001147DA"/>
    <w:rsid w:val="00116539"/>
    <w:rsid w:val="00116FF4"/>
    <w:rsid w:val="00117B84"/>
    <w:rsid w:val="00117D1B"/>
    <w:rsid w:val="00121A57"/>
    <w:rsid w:val="00122686"/>
    <w:rsid w:val="00122CAD"/>
    <w:rsid w:val="001244D6"/>
    <w:rsid w:val="00124ECC"/>
    <w:rsid w:val="0013027D"/>
    <w:rsid w:val="0013290F"/>
    <w:rsid w:val="00133167"/>
    <w:rsid w:val="00134CCD"/>
    <w:rsid w:val="00134D82"/>
    <w:rsid w:val="00147398"/>
    <w:rsid w:val="00147ABD"/>
    <w:rsid w:val="00150AB8"/>
    <w:rsid w:val="00150EAD"/>
    <w:rsid w:val="00151C10"/>
    <w:rsid w:val="00153D7E"/>
    <w:rsid w:val="0015483C"/>
    <w:rsid w:val="00156DEF"/>
    <w:rsid w:val="00160C4E"/>
    <w:rsid w:val="001610C9"/>
    <w:rsid w:val="0016542D"/>
    <w:rsid w:val="00174B75"/>
    <w:rsid w:val="00175A99"/>
    <w:rsid w:val="00175EA0"/>
    <w:rsid w:val="00180ACB"/>
    <w:rsid w:val="00181CD6"/>
    <w:rsid w:val="0018434C"/>
    <w:rsid w:val="00186207"/>
    <w:rsid w:val="00186E5E"/>
    <w:rsid w:val="00187E75"/>
    <w:rsid w:val="001937C3"/>
    <w:rsid w:val="001A083C"/>
    <w:rsid w:val="001A1756"/>
    <w:rsid w:val="001A4B2C"/>
    <w:rsid w:val="001A5527"/>
    <w:rsid w:val="001A5FCA"/>
    <w:rsid w:val="001A6550"/>
    <w:rsid w:val="001B2A9A"/>
    <w:rsid w:val="001B5E4C"/>
    <w:rsid w:val="001C0245"/>
    <w:rsid w:val="001C1265"/>
    <w:rsid w:val="001C45D2"/>
    <w:rsid w:val="001C4CB0"/>
    <w:rsid w:val="001D19E3"/>
    <w:rsid w:val="001D25BD"/>
    <w:rsid w:val="001D29F2"/>
    <w:rsid w:val="001D3061"/>
    <w:rsid w:val="001E258F"/>
    <w:rsid w:val="001E439B"/>
    <w:rsid w:val="001E4D66"/>
    <w:rsid w:val="001F0283"/>
    <w:rsid w:val="001F1DE7"/>
    <w:rsid w:val="001F353D"/>
    <w:rsid w:val="001F4D3A"/>
    <w:rsid w:val="002023F0"/>
    <w:rsid w:val="0020250B"/>
    <w:rsid w:val="00203656"/>
    <w:rsid w:val="002139B4"/>
    <w:rsid w:val="0022201C"/>
    <w:rsid w:val="002225F4"/>
    <w:rsid w:val="002226D9"/>
    <w:rsid w:val="0022311B"/>
    <w:rsid w:val="00233ED8"/>
    <w:rsid w:val="0023666B"/>
    <w:rsid w:val="00236C2A"/>
    <w:rsid w:val="0024374E"/>
    <w:rsid w:val="002439DC"/>
    <w:rsid w:val="00243B0F"/>
    <w:rsid w:val="00244348"/>
    <w:rsid w:val="002458B7"/>
    <w:rsid w:val="00245EC0"/>
    <w:rsid w:val="00247FA2"/>
    <w:rsid w:val="002528C1"/>
    <w:rsid w:val="00253D4B"/>
    <w:rsid w:val="00255637"/>
    <w:rsid w:val="00255B25"/>
    <w:rsid w:val="00262FBA"/>
    <w:rsid w:val="0026521B"/>
    <w:rsid w:val="00274D35"/>
    <w:rsid w:val="00290AD1"/>
    <w:rsid w:val="002955C8"/>
    <w:rsid w:val="00297F6C"/>
    <w:rsid w:val="002A009A"/>
    <w:rsid w:val="002A1437"/>
    <w:rsid w:val="002B0494"/>
    <w:rsid w:val="002B3000"/>
    <w:rsid w:val="002B56FD"/>
    <w:rsid w:val="002B727A"/>
    <w:rsid w:val="002C14F9"/>
    <w:rsid w:val="002C561F"/>
    <w:rsid w:val="002C5EE3"/>
    <w:rsid w:val="002C6BBE"/>
    <w:rsid w:val="002D0474"/>
    <w:rsid w:val="002D2971"/>
    <w:rsid w:val="002D5C30"/>
    <w:rsid w:val="002D6605"/>
    <w:rsid w:val="002E086E"/>
    <w:rsid w:val="002E1F29"/>
    <w:rsid w:val="002E32A5"/>
    <w:rsid w:val="002E382E"/>
    <w:rsid w:val="002E47EF"/>
    <w:rsid w:val="002E73D3"/>
    <w:rsid w:val="002F0A5E"/>
    <w:rsid w:val="002F0DA0"/>
    <w:rsid w:val="002F5574"/>
    <w:rsid w:val="002F578B"/>
    <w:rsid w:val="002F7ADE"/>
    <w:rsid w:val="003021BC"/>
    <w:rsid w:val="00303564"/>
    <w:rsid w:val="00304183"/>
    <w:rsid w:val="00304FD8"/>
    <w:rsid w:val="003051A0"/>
    <w:rsid w:val="00311075"/>
    <w:rsid w:val="00313CAD"/>
    <w:rsid w:val="0031614D"/>
    <w:rsid w:val="00321C1B"/>
    <w:rsid w:val="00322DF7"/>
    <w:rsid w:val="00323CC2"/>
    <w:rsid w:val="00324C9E"/>
    <w:rsid w:val="00325728"/>
    <w:rsid w:val="00325F1B"/>
    <w:rsid w:val="00333C59"/>
    <w:rsid w:val="00334078"/>
    <w:rsid w:val="00334A51"/>
    <w:rsid w:val="003371DF"/>
    <w:rsid w:val="00347E83"/>
    <w:rsid w:val="003548DE"/>
    <w:rsid w:val="00354D63"/>
    <w:rsid w:val="00357036"/>
    <w:rsid w:val="003621A9"/>
    <w:rsid w:val="0036275C"/>
    <w:rsid w:val="003703EF"/>
    <w:rsid w:val="003706DA"/>
    <w:rsid w:val="00372C32"/>
    <w:rsid w:val="00375F02"/>
    <w:rsid w:val="00376690"/>
    <w:rsid w:val="0037742C"/>
    <w:rsid w:val="00385527"/>
    <w:rsid w:val="00391AE8"/>
    <w:rsid w:val="003922D4"/>
    <w:rsid w:val="003931CE"/>
    <w:rsid w:val="00396E45"/>
    <w:rsid w:val="003970D3"/>
    <w:rsid w:val="0039738B"/>
    <w:rsid w:val="003A00F8"/>
    <w:rsid w:val="003A1282"/>
    <w:rsid w:val="003A3A45"/>
    <w:rsid w:val="003A3B8C"/>
    <w:rsid w:val="003A628D"/>
    <w:rsid w:val="003B5908"/>
    <w:rsid w:val="003B6BD2"/>
    <w:rsid w:val="003C1F6A"/>
    <w:rsid w:val="003C4085"/>
    <w:rsid w:val="003C51E4"/>
    <w:rsid w:val="003C62CF"/>
    <w:rsid w:val="003C6E4A"/>
    <w:rsid w:val="003D5E08"/>
    <w:rsid w:val="003D6154"/>
    <w:rsid w:val="003D622D"/>
    <w:rsid w:val="003E6401"/>
    <w:rsid w:val="003E6994"/>
    <w:rsid w:val="003F0C13"/>
    <w:rsid w:val="003F130B"/>
    <w:rsid w:val="003F2F36"/>
    <w:rsid w:val="003F458A"/>
    <w:rsid w:val="003F4913"/>
    <w:rsid w:val="003F699E"/>
    <w:rsid w:val="003F6F30"/>
    <w:rsid w:val="003F7C4B"/>
    <w:rsid w:val="00405B5E"/>
    <w:rsid w:val="00411FB0"/>
    <w:rsid w:val="00413279"/>
    <w:rsid w:val="0041449C"/>
    <w:rsid w:val="00415B1F"/>
    <w:rsid w:val="00416941"/>
    <w:rsid w:val="0043047D"/>
    <w:rsid w:val="00431F4A"/>
    <w:rsid w:val="00432AEE"/>
    <w:rsid w:val="00435D3A"/>
    <w:rsid w:val="0043763D"/>
    <w:rsid w:val="00440FB0"/>
    <w:rsid w:val="004425AB"/>
    <w:rsid w:val="004426BD"/>
    <w:rsid w:val="00444678"/>
    <w:rsid w:val="00444937"/>
    <w:rsid w:val="00447C49"/>
    <w:rsid w:val="00451DBA"/>
    <w:rsid w:val="00451F9D"/>
    <w:rsid w:val="00456752"/>
    <w:rsid w:val="004576A6"/>
    <w:rsid w:val="00462CF9"/>
    <w:rsid w:val="004727E5"/>
    <w:rsid w:val="00476D8E"/>
    <w:rsid w:val="00480FC0"/>
    <w:rsid w:val="004846C5"/>
    <w:rsid w:val="004862A2"/>
    <w:rsid w:val="0048646F"/>
    <w:rsid w:val="00487214"/>
    <w:rsid w:val="004905E0"/>
    <w:rsid w:val="00490FE5"/>
    <w:rsid w:val="004931B9"/>
    <w:rsid w:val="00497F72"/>
    <w:rsid w:val="004A07BD"/>
    <w:rsid w:val="004A20BF"/>
    <w:rsid w:val="004A4001"/>
    <w:rsid w:val="004A575B"/>
    <w:rsid w:val="004A674B"/>
    <w:rsid w:val="004A6A46"/>
    <w:rsid w:val="004A7806"/>
    <w:rsid w:val="004B0019"/>
    <w:rsid w:val="004B17FF"/>
    <w:rsid w:val="004B63F4"/>
    <w:rsid w:val="004B6869"/>
    <w:rsid w:val="004C28B5"/>
    <w:rsid w:val="004C48A7"/>
    <w:rsid w:val="004C4DF4"/>
    <w:rsid w:val="004C65B1"/>
    <w:rsid w:val="004D186A"/>
    <w:rsid w:val="004D18E6"/>
    <w:rsid w:val="004D3BDC"/>
    <w:rsid w:val="004D3D07"/>
    <w:rsid w:val="004D6189"/>
    <w:rsid w:val="004D62AA"/>
    <w:rsid w:val="004D7B66"/>
    <w:rsid w:val="004E3001"/>
    <w:rsid w:val="004E7FCC"/>
    <w:rsid w:val="004F23AF"/>
    <w:rsid w:val="005005FC"/>
    <w:rsid w:val="005031FA"/>
    <w:rsid w:val="00506DFB"/>
    <w:rsid w:val="0051127A"/>
    <w:rsid w:val="0051280B"/>
    <w:rsid w:val="0051346D"/>
    <w:rsid w:val="00515445"/>
    <w:rsid w:val="00516724"/>
    <w:rsid w:val="0052050E"/>
    <w:rsid w:val="005209EB"/>
    <w:rsid w:val="00524519"/>
    <w:rsid w:val="00527703"/>
    <w:rsid w:val="00535349"/>
    <w:rsid w:val="00535864"/>
    <w:rsid w:val="00537217"/>
    <w:rsid w:val="005406DD"/>
    <w:rsid w:val="00542A61"/>
    <w:rsid w:val="0054396A"/>
    <w:rsid w:val="00544475"/>
    <w:rsid w:val="00547EBD"/>
    <w:rsid w:val="00550711"/>
    <w:rsid w:val="005532B0"/>
    <w:rsid w:val="005564E8"/>
    <w:rsid w:val="00560D2F"/>
    <w:rsid w:val="00563057"/>
    <w:rsid w:val="005644D2"/>
    <w:rsid w:val="00565579"/>
    <w:rsid w:val="00570355"/>
    <w:rsid w:val="00570542"/>
    <w:rsid w:val="005707D8"/>
    <w:rsid w:val="0057426F"/>
    <w:rsid w:val="00574A72"/>
    <w:rsid w:val="00574CE5"/>
    <w:rsid w:val="0058194A"/>
    <w:rsid w:val="005823F6"/>
    <w:rsid w:val="0058428D"/>
    <w:rsid w:val="0058561E"/>
    <w:rsid w:val="005863F4"/>
    <w:rsid w:val="00587063"/>
    <w:rsid w:val="0058735F"/>
    <w:rsid w:val="0059005B"/>
    <w:rsid w:val="00590AEF"/>
    <w:rsid w:val="00591135"/>
    <w:rsid w:val="00593057"/>
    <w:rsid w:val="005937DF"/>
    <w:rsid w:val="00597311"/>
    <w:rsid w:val="005A57B1"/>
    <w:rsid w:val="005B1D15"/>
    <w:rsid w:val="005B252B"/>
    <w:rsid w:val="005B6735"/>
    <w:rsid w:val="005B6FC4"/>
    <w:rsid w:val="005C04C7"/>
    <w:rsid w:val="005C1ADB"/>
    <w:rsid w:val="005C40B2"/>
    <w:rsid w:val="005C7C23"/>
    <w:rsid w:val="005D04DC"/>
    <w:rsid w:val="005D222F"/>
    <w:rsid w:val="005D2A36"/>
    <w:rsid w:val="005D6DF2"/>
    <w:rsid w:val="005E6ED2"/>
    <w:rsid w:val="005E7FC6"/>
    <w:rsid w:val="005F56D7"/>
    <w:rsid w:val="005F7282"/>
    <w:rsid w:val="00601A49"/>
    <w:rsid w:val="00603DE7"/>
    <w:rsid w:val="00607CCE"/>
    <w:rsid w:val="00607D17"/>
    <w:rsid w:val="006126C0"/>
    <w:rsid w:val="00620C2B"/>
    <w:rsid w:val="00620CBE"/>
    <w:rsid w:val="00621535"/>
    <w:rsid w:val="00622A2A"/>
    <w:rsid w:val="006238C0"/>
    <w:rsid w:val="00633BF9"/>
    <w:rsid w:val="00635CF4"/>
    <w:rsid w:val="00636647"/>
    <w:rsid w:val="00643641"/>
    <w:rsid w:val="006440D6"/>
    <w:rsid w:val="0064422C"/>
    <w:rsid w:val="006462C9"/>
    <w:rsid w:val="00646BCE"/>
    <w:rsid w:val="0065043B"/>
    <w:rsid w:val="00650824"/>
    <w:rsid w:val="006543C0"/>
    <w:rsid w:val="006564AA"/>
    <w:rsid w:val="00656DC6"/>
    <w:rsid w:val="006609CC"/>
    <w:rsid w:val="006652F6"/>
    <w:rsid w:val="00672843"/>
    <w:rsid w:val="00672C60"/>
    <w:rsid w:val="006739E7"/>
    <w:rsid w:val="0067462A"/>
    <w:rsid w:val="0067534D"/>
    <w:rsid w:val="00675524"/>
    <w:rsid w:val="006764C3"/>
    <w:rsid w:val="006766A0"/>
    <w:rsid w:val="006775E4"/>
    <w:rsid w:val="00684EF6"/>
    <w:rsid w:val="00686BE8"/>
    <w:rsid w:val="0068741A"/>
    <w:rsid w:val="00690F93"/>
    <w:rsid w:val="006A20E3"/>
    <w:rsid w:val="006A4600"/>
    <w:rsid w:val="006A53C9"/>
    <w:rsid w:val="006B00A9"/>
    <w:rsid w:val="006B104B"/>
    <w:rsid w:val="006B5434"/>
    <w:rsid w:val="006B5AD3"/>
    <w:rsid w:val="006B611D"/>
    <w:rsid w:val="006B7D17"/>
    <w:rsid w:val="006C1945"/>
    <w:rsid w:val="006C1983"/>
    <w:rsid w:val="006C4634"/>
    <w:rsid w:val="006C7B3F"/>
    <w:rsid w:val="006D088A"/>
    <w:rsid w:val="006D0E6A"/>
    <w:rsid w:val="006D15AF"/>
    <w:rsid w:val="006D5662"/>
    <w:rsid w:val="006E340D"/>
    <w:rsid w:val="006E604B"/>
    <w:rsid w:val="006F3E6B"/>
    <w:rsid w:val="006F4345"/>
    <w:rsid w:val="006F607E"/>
    <w:rsid w:val="007002EB"/>
    <w:rsid w:val="0070247D"/>
    <w:rsid w:val="007030D2"/>
    <w:rsid w:val="00704B35"/>
    <w:rsid w:val="007066E5"/>
    <w:rsid w:val="0070686E"/>
    <w:rsid w:val="00706D30"/>
    <w:rsid w:val="00707B67"/>
    <w:rsid w:val="00710BB2"/>
    <w:rsid w:val="00712AFD"/>
    <w:rsid w:val="00712C55"/>
    <w:rsid w:val="00713DF0"/>
    <w:rsid w:val="00720AB5"/>
    <w:rsid w:val="00721D5A"/>
    <w:rsid w:val="00722FE5"/>
    <w:rsid w:val="00725377"/>
    <w:rsid w:val="00725CBA"/>
    <w:rsid w:val="007319EA"/>
    <w:rsid w:val="00733B58"/>
    <w:rsid w:val="007348CF"/>
    <w:rsid w:val="00737128"/>
    <w:rsid w:val="0074407F"/>
    <w:rsid w:val="007459D8"/>
    <w:rsid w:val="00746AB5"/>
    <w:rsid w:val="00750403"/>
    <w:rsid w:val="0075192A"/>
    <w:rsid w:val="00752877"/>
    <w:rsid w:val="007532E1"/>
    <w:rsid w:val="0075444E"/>
    <w:rsid w:val="007571D6"/>
    <w:rsid w:val="00757369"/>
    <w:rsid w:val="00761290"/>
    <w:rsid w:val="00763239"/>
    <w:rsid w:val="007664FF"/>
    <w:rsid w:val="00766749"/>
    <w:rsid w:val="00767FDD"/>
    <w:rsid w:val="007705F7"/>
    <w:rsid w:val="00772AFF"/>
    <w:rsid w:val="00774BED"/>
    <w:rsid w:val="00775980"/>
    <w:rsid w:val="007838E0"/>
    <w:rsid w:val="007846DF"/>
    <w:rsid w:val="00784B0C"/>
    <w:rsid w:val="00786A77"/>
    <w:rsid w:val="00791833"/>
    <w:rsid w:val="007937BD"/>
    <w:rsid w:val="007949B8"/>
    <w:rsid w:val="00795745"/>
    <w:rsid w:val="007959A3"/>
    <w:rsid w:val="007A5106"/>
    <w:rsid w:val="007A562D"/>
    <w:rsid w:val="007A5931"/>
    <w:rsid w:val="007B08CF"/>
    <w:rsid w:val="007B2181"/>
    <w:rsid w:val="007B3A24"/>
    <w:rsid w:val="007B44C6"/>
    <w:rsid w:val="007B6CF9"/>
    <w:rsid w:val="007B72FD"/>
    <w:rsid w:val="007B7978"/>
    <w:rsid w:val="007B79E2"/>
    <w:rsid w:val="007C033B"/>
    <w:rsid w:val="007C0827"/>
    <w:rsid w:val="007C22E2"/>
    <w:rsid w:val="007C4AF1"/>
    <w:rsid w:val="007E0190"/>
    <w:rsid w:val="007E0720"/>
    <w:rsid w:val="007E0FBB"/>
    <w:rsid w:val="007E173D"/>
    <w:rsid w:val="007E5A18"/>
    <w:rsid w:val="007E689A"/>
    <w:rsid w:val="007F114D"/>
    <w:rsid w:val="007F2E89"/>
    <w:rsid w:val="007F39A3"/>
    <w:rsid w:val="007F50E2"/>
    <w:rsid w:val="007F64DC"/>
    <w:rsid w:val="007F650F"/>
    <w:rsid w:val="00801D17"/>
    <w:rsid w:val="008029B4"/>
    <w:rsid w:val="00804C07"/>
    <w:rsid w:val="00807B61"/>
    <w:rsid w:val="00810BA1"/>
    <w:rsid w:val="008114B6"/>
    <w:rsid w:val="008121D9"/>
    <w:rsid w:val="00812D4F"/>
    <w:rsid w:val="00813DD8"/>
    <w:rsid w:val="008258C3"/>
    <w:rsid w:val="00827997"/>
    <w:rsid w:val="0083281E"/>
    <w:rsid w:val="0083535B"/>
    <w:rsid w:val="008413C9"/>
    <w:rsid w:val="0084151A"/>
    <w:rsid w:val="008474AA"/>
    <w:rsid w:val="0085371C"/>
    <w:rsid w:val="00860026"/>
    <w:rsid w:val="0086110D"/>
    <w:rsid w:val="00861BE4"/>
    <w:rsid w:val="00866D36"/>
    <w:rsid w:val="008735C5"/>
    <w:rsid w:val="00873921"/>
    <w:rsid w:val="00873B39"/>
    <w:rsid w:val="008751EC"/>
    <w:rsid w:val="0087746B"/>
    <w:rsid w:val="008809DF"/>
    <w:rsid w:val="0088392A"/>
    <w:rsid w:val="00884E44"/>
    <w:rsid w:val="0088703C"/>
    <w:rsid w:val="00887473"/>
    <w:rsid w:val="00887BC3"/>
    <w:rsid w:val="00890FB4"/>
    <w:rsid w:val="00891BBB"/>
    <w:rsid w:val="00894926"/>
    <w:rsid w:val="00894DD8"/>
    <w:rsid w:val="00895A54"/>
    <w:rsid w:val="008A1921"/>
    <w:rsid w:val="008A4766"/>
    <w:rsid w:val="008B0868"/>
    <w:rsid w:val="008B0D0F"/>
    <w:rsid w:val="008B16DC"/>
    <w:rsid w:val="008B1BAD"/>
    <w:rsid w:val="008C3A6B"/>
    <w:rsid w:val="008C7167"/>
    <w:rsid w:val="008C7189"/>
    <w:rsid w:val="008D0D6D"/>
    <w:rsid w:val="008D505F"/>
    <w:rsid w:val="008D76FD"/>
    <w:rsid w:val="008E31FE"/>
    <w:rsid w:val="008F2EC4"/>
    <w:rsid w:val="008F4DD3"/>
    <w:rsid w:val="00900E3C"/>
    <w:rsid w:val="009015C2"/>
    <w:rsid w:val="00901DDE"/>
    <w:rsid w:val="009030F1"/>
    <w:rsid w:val="00905A10"/>
    <w:rsid w:val="00906842"/>
    <w:rsid w:val="0091557E"/>
    <w:rsid w:val="009250B3"/>
    <w:rsid w:val="009266E0"/>
    <w:rsid w:val="009277C4"/>
    <w:rsid w:val="009304C0"/>
    <w:rsid w:val="00930FAF"/>
    <w:rsid w:val="009368A8"/>
    <w:rsid w:val="009406A3"/>
    <w:rsid w:val="00942FC9"/>
    <w:rsid w:val="00942FEE"/>
    <w:rsid w:val="0094460E"/>
    <w:rsid w:val="00947E2C"/>
    <w:rsid w:val="00952112"/>
    <w:rsid w:val="00952B66"/>
    <w:rsid w:val="00954803"/>
    <w:rsid w:val="009563C8"/>
    <w:rsid w:val="00962012"/>
    <w:rsid w:val="0096202D"/>
    <w:rsid w:val="009635EF"/>
    <w:rsid w:val="00965DCC"/>
    <w:rsid w:val="00966D08"/>
    <w:rsid w:val="00970B40"/>
    <w:rsid w:val="0097148B"/>
    <w:rsid w:val="009715F5"/>
    <w:rsid w:val="00973647"/>
    <w:rsid w:val="009769C3"/>
    <w:rsid w:val="00976AE5"/>
    <w:rsid w:val="009825A2"/>
    <w:rsid w:val="00985B06"/>
    <w:rsid w:val="00987783"/>
    <w:rsid w:val="00990821"/>
    <w:rsid w:val="009927BE"/>
    <w:rsid w:val="00993A7E"/>
    <w:rsid w:val="00993D73"/>
    <w:rsid w:val="00995A6D"/>
    <w:rsid w:val="009A0AB9"/>
    <w:rsid w:val="009A43C6"/>
    <w:rsid w:val="009A4A2A"/>
    <w:rsid w:val="009B0096"/>
    <w:rsid w:val="009B16D8"/>
    <w:rsid w:val="009B21B4"/>
    <w:rsid w:val="009C412D"/>
    <w:rsid w:val="009C6197"/>
    <w:rsid w:val="009D0366"/>
    <w:rsid w:val="009D131F"/>
    <w:rsid w:val="009D2FA7"/>
    <w:rsid w:val="009D5E0F"/>
    <w:rsid w:val="009E2CAE"/>
    <w:rsid w:val="009E544D"/>
    <w:rsid w:val="009E5A7E"/>
    <w:rsid w:val="009F1C1B"/>
    <w:rsid w:val="009F218F"/>
    <w:rsid w:val="009F3AD9"/>
    <w:rsid w:val="00A03D4C"/>
    <w:rsid w:val="00A04F58"/>
    <w:rsid w:val="00A10346"/>
    <w:rsid w:val="00A135BA"/>
    <w:rsid w:val="00A14363"/>
    <w:rsid w:val="00A1496F"/>
    <w:rsid w:val="00A17974"/>
    <w:rsid w:val="00A179EF"/>
    <w:rsid w:val="00A234F1"/>
    <w:rsid w:val="00A24325"/>
    <w:rsid w:val="00A26B8E"/>
    <w:rsid w:val="00A30315"/>
    <w:rsid w:val="00A325A1"/>
    <w:rsid w:val="00A349AD"/>
    <w:rsid w:val="00A3562E"/>
    <w:rsid w:val="00A35AF2"/>
    <w:rsid w:val="00A36462"/>
    <w:rsid w:val="00A371EF"/>
    <w:rsid w:val="00A37BF0"/>
    <w:rsid w:val="00A40727"/>
    <w:rsid w:val="00A40CB7"/>
    <w:rsid w:val="00A40DF9"/>
    <w:rsid w:val="00A41765"/>
    <w:rsid w:val="00A4177A"/>
    <w:rsid w:val="00A42C27"/>
    <w:rsid w:val="00A43ABE"/>
    <w:rsid w:val="00A46532"/>
    <w:rsid w:val="00A47D9F"/>
    <w:rsid w:val="00A50433"/>
    <w:rsid w:val="00A507D3"/>
    <w:rsid w:val="00A50D0B"/>
    <w:rsid w:val="00A531F5"/>
    <w:rsid w:val="00A54BE6"/>
    <w:rsid w:val="00A54C68"/>
    <w:rsid w:val="00A56F6F"/>
    <w:rsid w:val="00A57269"/>
    <w:rsid w:val="00A6412C"/>
    <w:rsid w:val="00A65219"/>
    <w:rsid w:val="00A65A37"/>
    <w:rsid w:val="00A65E92"/>
    <w:rsid w:val="00A6760B"/>
    <w:rsid w:val="00A70CB6"/>
    <w:rsid w:val="00A7136A"/>
    <w:rsid w:val="00A71A15"/>
    <w:rsid w:val="00A842C9"/>
    <w:rsid w:val="00A845F8"/>
    <w:rsid w:val="00A87A41"/>
    <w:rsid w:val="00A95737"/>
    <w:rsid w:val="00A95E3D"/>
    <w:rsid w:val="00AA4968"/>
    <w:rsid w:val="00AA6479"/>
    <w:rsid w:val="00AB2581"/>
    <w:rsid w:val="00AB2C5C"/>
    <w:rsid w:val="00AB3025"/>
    <w:rsid w:val="00AB5043"/>
    <w:rsid w:val="00AB6753"/>
    <w:rsid w:val="00AB7893"/>
    <w:rsid w:val="00AC3B31"/>
    <w:rsid w:val="00AC5992"/>
    <w:rsid w:val="00AC5F1F"/>
    <w:rsid w:val="00AD04F1"/>
    <w:rsid w:val="00AD12B0"/>
    <w:rsid w:val="00AD1747"/>
    <w:rsid w:val="00AD2C7D"/>
    <w:rsid w:val="00AD4880"/>
    <w:rsid w:val="00AD5AA2"/>
    <w:rsid w:val="00AD7600"/>
    <w:rsid w:val="00AD7A30"/>
    <w:rsid w:val="00AE0CE1"/>
    <w:rsid w:val="00AF00C3"/>
    <w:rsid w:val="00AF111D"/>
    <w:rsid w:val="00AF17C4"/>
    <w:rsid w:val="00AF1A79"/>
    <w:rsid w:val="00AF7CAE"/>
    <w:rsid w:val="00B01758"/>
    <w:rsid w:val="00B0379E"/>
    <w:rsid w:val="00B04FE1"/>
    <w:rsid w:val="00B05C2B"/>
    <w:rsid w:val="00B06848"/>
    <w:rsid w:val="00B07707"/>
    <w:rsid w:val="00B14CA5"/>
    <w:rsid w:val="00B16BCF"/>
    <w:rsid w:val="00B173F9"/>
    <w:rsid w:val="00B210B7"/>
    <w:rsid w:val="00B21AEF"/>
    <w:rsid w:val="00B223BC"/>
    <w:rsid w:val="00B25987"/>
    <w:rsid w:val="00B26360"/>
    <w:rsid w:val="00B34919"/>
    <w:rsid w:val="00B37FB5"/>
    <w:rsid w:val="00B424CC"/>
    <w:rsid w:val="00B43468"/>
    <w:rsid w:val="00B442C5"/>
    <w:rsid w:val="00B47730"/>
    <w:rsid w:val="00B5162F"/>
    <w:rsid w:val="00B53738"/>
    <w:rsid w:val="00B554F4"/>
    <w:rsid w:val="00B558E8"/>
    <w:rsid w:val="00B639B0"/>
    <w:rsid w:val="00B63F25"/>
    <w:rsid w:val="00B667C9"/>
    <w:rsid w:val="00B67850"/>
    <w:rsid w:val="00B71735"/>
    <w:rsid w:val="00B72B6C"/>
    <w:rsid w:val="00B75A62"/>
    <w:rsid w:val="00B75EA3"/>
    <w:rsid w:val="00B84DCF"/>
    <w:rsid w:val="00B8561B"/>
    <w:rsid w:val="00B94E19"/>
    <w:rsid w:val="00B9651F"/>
    <w:rsid w:val="00B96EE9"/>
    <w:rsid w:val="00BA039B"/>
    <w:rsid w:val="00BA2037"/>
    <w:rsid w:val="00BB20A5"/>
    <w:rsid w:val="00BB2F68"/>
    <w:rsid w:val="00BB787E"/>
    <w:rsid w:val="00BC1777"/>
    <w:rsid w:val="00BC206F"/>
    <w:rsid w:val="00BC2142"/>
    <w:rsid w:val="00BC3C6D"/>
    <w:rsid w:val="00BC447A"/>
    <w:rsid w:val="00BC6350"/>
    <w:rsid w:val="00BD016C"/>
    <w:rsid w:val="00BD3D89"/>
    <w:rsid w:val="00BD7247"/>
    <w:rsid w:val="00BE1604"/>
    <w:rsid w:val="00BE18C8"/>
    <w:rsid w:val="00BE377E"/>
    <w:rsid w:val="00BE4995"/>
    <w:rsid w:val="00BE50B0"/>
    <w:rsid w:val="00BE58C2"/>
    <w:rsid w:val="00BF049E"/>
    <w:rsid w:val="00BF1D4D"/>
    <w:rsid w:val="00BF20E0"/>
    <w:rsid w:val="00BF250A"/>
    <w:rsid w:val="00BF26F2"/>
    <w:rsid w:val="00BF2D29"/>
    <w:rsid w:val="00BF58E3"/>
    <w:rsid w:val="00C024AE"/>
    <w:rsid w:val="00C05570"/>
    <w:rsid w:val="00C06088"/>
    <w:rsid w:val="00C122DB"/>
    <w:rsid w:val="00C14FEE"/>
    <w:rsid w:val="00C217E3"/>
    <w:rsid w:val="00C30827"/>
    <w:rsid w:val="00C3091E"/>
    <w:rsid w:val="00C32168"/>
    <w:rsid w:val="00C34A9B"/>
    <w:rsid w:val="00C4521D"/>
    <w:rsid w:val="00C46C55"/>
    <w:rsid w:val="00C473E5"/>
    <w:rsid w:val="00C47FCD"/>
    <w:rsid w:val="00C53874"/>
    <w:rsid w:val="00C538A1"/>
    <w:rsid w:val="00C539F7"/>
    <w:rsid w:val="00C54826"/>
    <w:rsid w:val="00C565F3"/>
    <w:rsid w:val="00C61A94"/>
    <w:rsid w:val="00C66878"/>
    <w:rsid w:val="00C83524"/>
    <w:rsid w:val="00C8408C"/>
    <w:rsid w:val="00C8598F"/>
    <w:rsid w:val="00C9008A"/>
    <w:rsid w:val="00C9241A"/>
    <w:rsid w:val="00C94143"/>
    <w:rsid w:val="00C95932"/>
    <w:rsid w:val="00CA434F"/>
    <w:rsid w:val="00CA754D"/>
    <w:rsid w:val="00CB0A4E"/>
    <w:rsid w:val="00CC1F84"/>
    <w:rsid w:val="00CC3462"/>
    <w:rsid w:val="00CD4880"/>
    <w:rsid w:val="00CD6331"/>
    <w:rsid w:val="00CD77DA"/>
    <w:rsid w:val="00CE2F89"/>
    <w:rsid w:val="00CE473B"/>
    <w:rsid w:val="00CE65C1"/>
    <w:rsid w:val="00CE6D76"/>
    <w:rsid w:val="00CE75B3"/>
    <w:rsid w:val="00CE7792"/>
    <w:rsid w:val="00CF04B9"/>
    <w:rsid w:val="00CF33B7"/>
    <w:rsid w:val="00D00122"/>
    <w:rsid w:val="00D02A78"/>
    <w:rsid w:val="00D05D47"/>
    <w:rsid w:val="00D100E7"/>
    <w:rsid w:val="00D1163D"/>
    <w:rsid w:val="00D12808"/>
    <w:rsid w:val="00D1411E"/>
    <w:rsid w:val="00D15B7F"/>
    <w:rsid w:val="00D1640A"/>
    <w:rsid w:val="00D20301"/>
    <w:rsid w:val="00D20314"/>
    <w:rsid w:val="00D212D6"/>
    <w:rsid w:val="00D2656D"/>
    <w:rsid w:val="00D32234"/>
    <w:rsid w:val="00D36351"/>
    <w:rsid w:val="00D37412"/>
    <w:rsid w:val="00D451AA"/>
    <w:rsid w:val="00D5220D"/>
    <w:rsid w:val="00D52872"/>
    <w:rsid w:val="00D54D6F"/>
    <w:rsid w:val="00D569E8"/>
    <w:rsid w:val="00D60C2A"/>
    <w:rsid w:val="00D63DA2"/>
    <w:rsid w:val="00D658E2"/>
    <w:rsid w:val="00D705D6"/>
    <w:rsid w:val="00D7079F"/>
    <w:rsid w:val="00D718D5"/>
    <w:rsid w:val="00D74687"/>
    <w:rsid w:val="00D74D06"/>
    <w:rsid w:val="00D7755F"/>
    <w:rsid w:val="00D83DFB"/>
    <w:rsid w:val="00D87FEB"/>
    <w:rsid w:val="00D911D6"/>
    <w:rsid w:val="00D91CC6"/>
    <w:rsid w:val="00D92D4C"/>
    <w:rsid w:val="00D93645"/>
    <w:rsid w:val="00D95647"/>
    <w:rsid w:val="00D9754F"/>
    <w:rsid w:val="00D97DB1"/>
    <w:rsid w:val="00DA2AFB"/>
    <w:rsid w:val="00DA6C80"/>
    <w:rsid w:val="00DA77CF"/>
    <w:rsid w:val="00DB00D6"/>
    <w:rsid w:val="00DB0834"/>
    <w:rsid w:val="00DB12A3"/>
    <w:rsid w:val="00DB17F0"/>
    <w:rsid w:val="00DB3A37"/>
    <w:rsid w:val="00DB3D37"/>
    <w:rsid w:val="00DB68E0"/>
    <w:rsid w:val="00DB7076"/>
    <w:rsid w:val="00DB7972"/>
    <w:rsid w:val="00DC26DE"/>
    <w:rsid w:val="00DC2AB6"/>
    <w:rsid w:val="00DC3A52"/>
    <w:rsid w:val="00DC4C79"/>
    <w:rsid w:val="00DC594E"/>
    <w:rsid w:val="00DD1410"/>
    <w:rsid w:val="00DD3CF8"/>
    <w:rsid w:val="00DD41CC"/>
    <w:rsid w:val="00DE217E"/>
    <w:rsid w:val="00DE321A"/>
    <w:rsid w:val="00DE34BF"/>
    <w:rsid w:val="00DE3524"/>
    <w:rsid w:val="00DE3C3C"/>
    <w:rsid w:val="00DE3DD8"/>
    <w:rsid w:val="00DE3DF8"/>
    <w:rsid w:val="00DE478E"/>
    <w:rsid w:val="00DE6460"/>
    <w:rsid w:val="00DE64F3"/>
    <w:rsid w:val="00DF06E8"/>
    <w:rsid w:val="00DF0B66"/>
    <w:rsid w:val="00DF0B8A"/>
    <w:rsid w:val="00DF497C"/>
    <w:rsid w:val="00E04975"/>
    <w:rsid w:val="00E07838"/>
    <w:rsid w:val="00E12DA0"/>
    <w:rsid w:val="00E16858"/>
    <w:rsid w:val="00E21BAD"/>
    <w:rsid w:val="00E2225A"/>
    <w:rsid w:val="00E22BBE"/>
    <w:rsid w:val="00E2521A"/>
    <w:rsid w:val="00E265FF"/>
    <w:rsid w:val="00E30027"/>
    <w:rsid w:val="00E302F6"/>
    <w:rsid w:val="00E31D95"/>
    <w:rsid w:val="00E345B1"/>
    <w:rsid w:val="00E34FB2"/>
    <w:rsid w:val="00E379AD"/>
    <w:rsid w:val="00E40A22"/>
    <w:rsid w:val="00E41EC2"/>
    <w:rsid w:val="00E5284A"/>
    <w:rsid w:val="00E54DA4"/>
    <w:rsid w:val="00E618C8"/>
    <w:rsid w:val="00E630FF"/>
    <w:rsid w:val="00E677EE"/>
    <w:rsid w:val="00E7088A"/>
    <w:rsid w:val="00E710D8"/>
    <w:rsid w:val="00E71908"/>
    <w:rsid w:val="00E721B3"/>
    <w:rsid w:val="00E7391F"/>
    <w:rsid w:val="00E73932"/>
    <w:rsid w:val="00E76ABD"/>
    <w:rsid w:val="00E77218"/>
    <w:rsid w:val="00E8092E"/>
    <w:rsid w:val="00E834F4"/>
    <w:rsid w:val="00E86400"/>
    <w:rsid w:val="00E925DD"/>
    <w:rsid w:val="00E93A21"/>
    <w:rsid w:val="00EA49CE"/>
    <w:rsid w:val="00EB701D"/>
    <w:rsid w:val="00EC098E"/>
    <w:rsid w:val="00EC29D8"/>
    <w:rsid w:val="00EC2B3C"/>
    <w:rsid w:val="00EC4309"/>
    <w:rsid w:val="00EC70A4"/>
    <w:rsid w:val="00ED12C8"/>
    <w:rsid w:val="00ED1F55"/>
    <w:rsid w:val="00ED425B"/>
    <w:rsid w:val="00ED6665"/>
    <w:rsid w:val="00EE0452"/>
    <w:rsid w:val="00EE0B99"/>
    <w:rsid w:val="00EE28F7"/>
    <w:rsid w:val="00EE3EDE"/>
    <w:rsid w:val="00EE41BE"/>
    <w:rsid w:val="00EE6107"/>
    <w:rsid w:val="00EE656E"/>
    <w:rsid w:val="00EE74EF"/>
    <w:rsid w:val="00EF097A"/>
    <w:rsid w:val="00EF1C63"/>
    <w:rsid w:val="00EF3291"/>
    <w:rsid w:val="00EF6403"/>
    <w:rsid w:val="00EF67D3"/>
    <w:rsid w:val="00EF778B"/>
    <w:rsid w:val="00F007B8"/>
    <w:rsid w:val="00F03B65"/>
    <w:rsid w:val="00F05100"/>
    <w:rsid w:val="00F0607B"/>
    <w:rsid w:val="00F10ED4"/>
    <w:rsid w:val="00F13BE2"/>
    <w:rsid w:val="00F1424B"/>
    <w:rsid w:val="00F1564B"/>
    <w:rsid w:val="00F164BE"/>
    <w:rsid w:val="00F20324"/>
    <w:rsid w:val="00F2034A"/>
    <w:rsid w:val="00F242C1"/>
    <w:rsid w:val="00F263C6"/>
    <w:rsid w:val="00F26B38"/>
    <w:rsid w:val="00F26D82"/>
    <w:rsid w:val="00F30576"/>
    <w:rsid w:val="00F33822"/>
    <w:rsid w:val="00F36410"/>
    <w:rsid w:val="00F37032"/>
    <w:rsid w:val="00F378D4"/>
    <w:rsid w:val="00F40873"/>
    <w:rsid w:val="00F40885"/>
    <w:rsid w:val="00F424AD"/>
    <w:rsid w:val="00F444ED"/>
    <w:rsid w:val="00F45964"/>
    <w:rsid w:val="00F469CD"/>
    <w:rsid w:val="00F54F41"/>
    <w:rsid w:val="00F55CDF"/>
    <w:rsid w:val="00F562D5"/>
    <w:rsid w:val="00F57291"/>
    <w:rsid w:val="00F6198A"/>
    <w:rsid w:val="00F67DFA"/>
    <w:rsid w:val="00F67F52"/>
    <w:rsid w:val="00F71422"/>
    <w:rsid w:val="00F714A0"/>
    <w:rsid w:val="00F719E0"/>
    <w:rsid w:val="00F770B7"/>
    <w:rsid w:val="00F77728"/>
    <w:rsid w:val="00F77A57"/>
    <w:rsid w:val="00F77C8E"/>
    <w:rsid w:val="00F80902"/>
    <w:rsid w:val="00F82011"/>
    <w:rsid w:val="00F834CA"/>
    <w:rsid w:val="00F83A26"/>
    <w:rsid w:val="00F84CCB"/>
    <w:rsid w:val="00F84E28"/>
    <w:rsid w:val="00FA2009"/>
    <w:rsid w:val="00FA343D"/>
    <w:rsid w:val="00FA58FF"/>
    <w:rsid w:val="00FB252D"/>
    <w:rsid w:val="00FB2ECA"/>
    <w:rsid w:val="00FB3333"/>
    <w:rsid w:val="00FB3EFB"/>
    <w:rsid w:val="00FB4DCF"/>
    <w:rsid w:val="00FB5167"/>
    <w:rsid w:val="00FB7198"/>
    <w:rsid w:val="00FB71C3"/>
    <w:rsid w:val="00FB725A"/>
    <w:rsid w:val="00FC1277"/>
    <w:rsid w:val="00FC350A"/>
    <w:rsid w:val="00FC4CFB"/>
    <w:rsid w:val="00FC573B"/>
    <w:rsid w:val="00FC7893"/>
    <w:rsid w:val="00FC7CF2"/>
    <w:rsid w:val="00FD143B"/>
    <w:rsid w:val="00FD7430"/>
    <w:rsid w:val="00FE0EEE"/>
    <w:rsid w:val="00FE1FE8"/>
    <w:rsid w:val="00FE4B88"/>
    <w:rsid w:val="00FE5220"/>
    <w:rsid w:val="00FF1331"/>
    <w:rsid w:val="00FF3533"/>
    <w:rsid w:val="00FF412E"/>
    <w:rsid w:val="0102159D"/>
    <w:rsid w:val="017D31AE"/>
    <w:rsid w:val="018C1643"/>
    <w:rsid w:val="01B85F94"/>
    <w:rsid w:val="01D167A1"/>
    <w:rsid w:val="01E925F2"/>
    <w:rsid w:val="01EC5D4B"/>
    <w:rsid w:val="02193FD9"/>
    <w:rsid w:val="02C8111D"/>
    <w:rsid w:val="030D0562"/>
    <w:rsid w:val="037C7D73"/>
    <w:rsid w:val="04161698"/>
    <w:rsid w:val="045D72C7"/>
    <w:rsid w:val="04DB1571"/>
    <w:rsid w:val="061B5C3A"/>
    <w:rsid w:val="069845E6"/>
    <w:rsid w:val="069D7E4F"/>
    <w:rsid w:val="06B30D0E"/>
    <w:rsid w:val="06DD21AF"/>
    <w:rsid w:val="07494305"/>
    <w:rsid w:val="074B1659"/>
    <w:rsid w:val="074E4E7E"/>
    <w:rsid w:val="0768045D"/>
    <w:rsid w:val="08281AF3"/>
    <w:rsid w:val="08495614"/>
    <w:rsid w:val="088458B2"/>
    <w:rsid w:val="08E12275"/>
    <w:rsid w:val="09AB3088"/>
    <w:rsid w:val="09F04EC7"/>
    <w:rsid w:val="0A0866C1"/>
    <w:rsid w:val="0A4F320E"/>
    <w:rsid w:val="0A5D3B7D"/>
    <w:rsid w:val="0A940090"/>
    <w:rsid w:val="0AA25A34"/>
    <w:rsid w:val="0AA768EC"/>
    <w:rsid w:val="0AD1573A"/>
    <w:rsid w:val="0AFC6572"/>
    <w:rsid w:val="0B246449"/>
    <w:rsid w:val="0BE502CE"/>
    <w:rsid w:val="0C134FA0"/>
    <w:rsid w:val="0C8E2259"/>
    <w:rsid w:val="0CAA5073"/>
    <w:rsid w:val="0D2512B6"/>
    <w:rsid w:val="0D447EB9"/>
    <w:rsid w:val="0D786450"/>
    <w:rsid w:val="0DA25E98"/>
    <w:rsid w:val="0E511C4A"/>
    <w:rsid w:val="0E980A13"/>
    <w:rsid w:val="0F8C6CB2"/>
    <w:rsid w:val="0FB12275"/>
    <w:rsid w:val="10433367"/>
    <w:rsid w:val="10625C40"/>
    <w:rsid w:val="11456651"/>
    <w:rsid w:val="114B682E"/>
    <w:rsid w:val="124C619D"/>
    <w:rsid w:val="133B575C"/>
    <w:rsid w:val="13CA6A1A"/>
    <w:rsid w:val="140B63F8"/>
    <w:rsid w:val="14B56060"/>
    <w:rsid w:val="14FC0436"/>
    <w:rsid w:val="1568787A"/>
    <w:rsid w:val="159D4B97"/>
    <w:rsid w:val="15AA64D6"/>
    <w:rsid w:val="15E47333"/>
    <w:rsid w:val="16114E4F"/>
    <w:rsid w:val="163B6DFE"/>
    <w:rsid w:val="1672275E"/>
    <w:rsid w:val="17635E11"/>
    <w:rsid w:val="178A237C"/>
    <w:rsid w:val="17A857FA"/>
    <w:rsid w:val="17FB49D5"/>
    <w:rsid w:val="1831553E"/>
    <w:rsid w:val="18316649"/>
    <w:rsid w:val="18E07330"/>
    <w:rsid w:val="195B42C4"/>
    <w:rsid w:val="199B1FCC"/>
    <w:rsid w:val="19E97D05"/>
    <w:rsid w:val="19FB2A6A"/>
    <w:rsid w:val="1A174C76"/>
    <w:rsid w:val="1A1A3838"/>
    <w:rsid w:val="1ADB7C95"/>
    <w:rsid w:val="1B1A33C4"/>
    <w:rsid w:val="1B3A3A66"/>
    <w:rsid w:val="1C1524E3"/>
    <w:rsid w:val="1C395ACC"/>
    <w:rsid w:val="1D5C5F16"/>
    <w:rsid w:val="1E42510C"/>
    <w:rsid w:val="1EA41352"/>
    <w:rsid w:val="1EEC1623"/>
    <w:rsid w:val="1F2C36C6"/>
    <w:rsid w:val="1FB064A6"/>
    <w:rsid w:val="20582F84"/>
    <w:rsid w:val="20F326ED"/>
    <w:rsid w:val="211469B4"/>
    <w:rsid w:val="21451F5F"/>
    <w:rsid w:val="216D100A"/>
    <w:rsid w:val="216D6528"/>
    <w:rsid w:val="217557F8"/>
    <w:rsid w:val="21AB746C"/>
    <w:rsid w:val="21C35326"/>
    <w:rsid w:val="21F77FBB"/>
    <w:rsid w:val="226B2757"/>
    <w:rsid w:val="22D4654E"/>
    <w:rsid w:val="22D622C7"/>
    <w:rsid w:val="22E42C35"/>
    <w:rsid w:val="23621DAC"/>
    <w:rsid w:val="240F3CE2"/>
    <w:rsid w:val="24472792"/>
    <w:rsid w:val="245711E5"/>
    <w:rsid w:val="249A209A"/>
    <w:rsid w:val="25920B1C"/>
    <w:rsid w:val="25B83F05"/>
    <w:rsid w:val="25BC1C48"/>
    <w:rsid w:val="25C7239A"/>
    <w:rsid w:val="26C62652"/>
    <w:rsid w:val="26DF6C89"/>
    <w:rsid w:val="28996270"/>
    <w:rsid w:val="28B560BE"/>
    <w:rsid w:val="28E62266"/>
    <w:rsid w:val="29804D3A"/>
    <w:rsid w:val="29977D32"/>
    <w:rsid w:val="29A46C7B"/>
    <w:rsid w:val="29D532D8"/>
    <w:rsid w:val="2A984622"/>
    <w:rsid w:val="2AC62C21"/>
    <w:rsid w:val="2AD25A69"/>
    <w:rsid w:val="2B30064C"/>
    <w:rsid w:val="2B763644"/>
    <w:rsid w:val="2B966A97"/>
    <w:rsid w:val="2BA333F6"/>
    <w:rsid w:val="2C0C6D59"/>
    <w:rsid w:val="2C4472B1"/>
    <w:rsid w:val="2CBD52E1"/>
    <w:rsid w:val="2DBB27E5"/>
    <w:rsid w:val="2EB86423"/>
    <w:rsid w:val="2F394CAA"/>
    <w:rsid w:val="2FBC578D"/>
    <w:rsid w:val="30BD4AC6"/>
    <w:rsid w:val="31215055"/>
    <w:rsid w:val="3192385D"/>
    <w:rsid w:val="31FB3AF8"/>
    <w:rsid w:val="322F57FA"/>
    <w:rsid w:val="32F80037"/>
    <w:rsid w:val="330B7D6A"/>
    <w:rsid w:val="33576B0C"/>
    <w:rsid w:val="33A81036"/>
    <w:rsid w:val="34732CD1"/>
    <w:rsid w:val="348A2F11"/>
    <w:rsid w:val="34A14C58"/>
    <w:rsid w:val="34C40ED9"/>
    <w:rsid w:val="35643762"/>
    <w:rsid w:val="35E022B4"/>
    <w:rsid w:val="35FB40C6"/>
    <w:rsid w:val="35FF348B"/>
    <w:rsid w:val="36050AA1"/>
    <w:rsid w:val="36546006"/>
    <w:rsid w:val="373952F5"/>
    <w:rsid w:val="375B6622"/>
    <w:rsid w:val="37A70E90"/>
    <w:rsid w:val="37AB6929"/>
    <w:rsid w:val="38A74091"/>
    <w:rsid w:val="39263F7F"/>
    <w:rsid w:val="393D2C48"/>
    <w:rsid w:val="39574BC0"/>
    <w:rsid w:val="39601A8F"/>
    <w:rsid w:val="397204BA"/>
    <w:rsid w:val="39A03EED"/>
    <w:rsid w:val="39A20CFD"/>
    <w:rsid w:val="39C02B76"/>
    <w:rsid w:val="39FA4695"/>
    <w:rsid w:val="3A406600"/>
    <w:rsid w:val="3A9D66C5"/>
    <w:rsid w:val="3AED3BD1"/>
    <w:rsid w:val="3B1B0D67"/>
    <w:rsid w:val="3B2B650B"/>
    <w:rsid w:val="3BD86796"/>
    <w:rsid w:val="3BDA477E"/>
    <w:rsid w:val="3C430092"/>
    <w:rsid w:val="3D1B1793"/>
    <w:rsid w:val="3D4C15EC"/>
    <w:rsid w:val="3DB657B3"/>
    <w:rsid w:val="3E126451"/>
    <w:rsid w:val="3EFF265E"/>
    <w:rsid w:val="3F21764F"/>
    <w:rsid w:val="3F43088C"/>
    <w:rsid w:val="3F570D47"/>
    <w:rsid w:val="3F7C4444"/>
    <w:rsid w:val="3F9561C4"/>
    <w:rsid w:val="3F9D7F9C"/>
    <w:rsid w:val="3FC36F46"/>
    <w:rsid w:val="40041DC9"/>
    <w:rsid w:val="402F193D"/>
    <w:rsid w:val="40353A25"/>
    <w:rsid w:val="40646D0C"/>
    <w:rsid w:val="41322966"/>
    <w:rsid w:val="4189001E"/>
    <w:rsid w:val="419B675D"/>
    <w:rsid w:val="41CF4659"/>
    <w:rsid w:val="422E5823"/>
    <w:rsid w:val="438003D7"/>
    <w:rsid w:val="43D01FDE"/>
    <w:rsid w:val="44522FD6"/>
    <w:rsid w:val="44780FD8"/>
    <w:rsid w:val="44A46D96"/>
    <w:rsid w:val="458A7B93"/>
    <w:rsid w:val="46032E10"/>
    <w:rsid w:val="46364E41"/>
    <w:rsid w:val="46777BE5"/>
    <w:rsid w:val="46844414"/>
    <w:rsid w:val="46DC1E07"/>
    <w:rsid w:val="471825FE"/>
    <w:rsid w:val="472B23A9"/>
    <w:rsid w:val="47354F5E"/>
    <w:rsid w:val="476B4E24"/>
    <w:rsid w:val="47DE73A4"/>
    <w:rsid w:val="484A6616"/>
    <w:rsid w:val="49783701"/>
    <w:rsid w:val="4A002C5E"/>
    <w:rsid w:val="4A27183D"/>
    <w:rsid w:val="4A7E0095"/>
    <w:rsid w:val="4A895CED"/>
    <w:rsid w:val="4AB80380"/>
    <w:rsid w:val="4B21533E"/>
    <w:rsid w:val="4B7103C2"/>
    <w:rsid w:val="4B920BD1"/>
    <w:rsid w:val="4BEA5160"/>
    <w:rsid w:val="4CD54926"/>
    <w:rsid w:val="4D926C66"/>
    <w:rsid w:val="4E402B66"/>
    <w:rsid w:val="4E406CC8"/>
    <w:rsid w:val="4E88393A"/>
    <w:rsid w:val="4FD5108C"/>
    <w:rsid w:val="4FDE588E"/>
    <w:rsid w:val="4FFB0C3F"/>
    <w:rsid w:val="501871E4"/>
    <w:rsid w:val="50357D7D"/>
    <w:rsid w:val="50756B57"/>
    <w:rsid w:val="50846748"/>
    <w:rsid w:val="509539FD"/>
    <w:rsid w:val="50EE1CF2"/>
    <w:rsid w:val="51BA020E"/>
    <w:rsid w:val="52016EBD"/>
    <w:rsid w:val="52D7511B"/>
    <w:rsid w:val="534959D8"/>
    <w:rsid w:val="534D4F99"/>
    <w:rsid w:val="53A962E2"/>
    <w:rsid w:val="54382594"/>
    <w:rsid w:val="55EA21A0"/>
    <w:rsid w:val="55EB1088"/>
    <w:rsid w:val="55FA0B35"/>
    <w:rsid w:val="567F7702"/>
    <w:rsid w:val="56D75D7C"/>
    <w:rsid w:val="56EA5A26"/>
    <w:rsid w:val="570220EA"/>
    <w:rsid w:val="570404A9"/>
    <w:rsid w:val="572B436A"/>
    <w:rsid w:val="5739721D"/>
    <w:rsid w:val="57473C36"/>
    <w:rsid w:val="578853C6"/>
    <w:rsid w:val="57D83E10"/>
    <w:rsid w:val="57FA42BC"/>
    <w:rsid w:val="583D1787"/>
    <w:rsid w:val="585C4B03"/>
    <w:rsid w:val="58F92290"/>
    <w:rsid w:val="596B480F"/>
    <w:rsid w:val="59E00D5A"/>
    <w:rsid w:val="5A4F5EDF"/>
    <w:rsid w:val="5B144A6A"/>
    <w:rsid w:val="5B7F5F8E"/>
    <w:rsid w:val="5B9E3E1C"/>
    <w:rsid w:val="5BCA21F7"/>
    <w:rsid w:val="5BF91E4D"/>
    <w:rsid w:val="5C06537A"/>
    <w:rsid w:val="5C2F5561"/>
    <w:rsid w:val="5C36264F"/>
    <w:rsid w:val="5C537F09"/>
    <w:rsid w:val="5CAF2C65"/>
    <w:rsid w:val="5CDA6DDA"/>
    <w:rsid w:val="5CFF528F"/>
    <w:rsid w:val="5D9061DC"/>
    <w:rsid w:val="5D997B9D"/>
    <w:rsid w:val="5EE27322"/>
    <w:rsid w:val="5F4B7D0C"/>
    <w:rsid w:val="5FBE1B3D"/>
    <w:rsid w:val="60E21325"/>
    <w:rsid w:val="60F33A68"/>
    <w:rsid w:val="6145071A"/>
    <w:rsid w:val="614F5AAA"/>
    <w:rsid w:val="623460E6"/>
    <w:rsid w:val="62764A6F"/>
    <w:rsid w:val="636B2D04"/>
    <w:rsid w:val="637D1D0F"/>
    <w:rsid w:val="63F40271"/>
    <w:rsid w:val="64414AEB"/>
    <w:rsid w:val="645A5F57"/>
    <w:rsid w:val="64BE5FF1"/>
    <w:rsid w:val="65B05292"/>
    <w:rsid w:val="661C582C"/>
    <w:rsid w:val="661D0C3C"/>
    <w:rsid w:val="667752EC"/>
    <w:rsid w:val="66863F9A"/>
    <w:rsid w:val="66AD6206"/>
    <w:rsid w:val="66F21B12"/>
    <w:rsid w:val="67950D4C"/>
    <w:rsid w:val="67FF4367"/>
    <w:rsid w:val="68012F0F"/>
    <w:rsid w:val="683519F6"/>
    <w:rsid w:val="69146C72"/>
    <w:rsid w:val="69306473"/>
    <w:rsid w:val="693F6D5B"/>
    <w:rsid w:val="695D4726"/>
    <w:rsid w:val="6985191D"/>
    <w:rsid w:val="69AD1ECC"/>
    <w:rsid w:val="69FF664D"/>
    <w:rsid w:val="6AF530C4"/>
    <w:rsid w:val="6AFC79BD"/>
    <w:rsid w:val="6B6712DB"/>
    <w:rsid w:val="6BB564B9"/>
    <w:rsid w:val="6BD23DDA"/>
    <w:rsid w:val="6BD4493D"/>
    <w:rsid w:val="6BD9528D"/>
    <w:rsid w:val="6BFA214F"/>
    <w:rsid w:val="6C2076DB"/>
    <w:rsid w:val="6C733294"/>
    <w:rsid w:val="6C9600A2"/>
    <w:rsid w:val="6CD429A0"/>
    <w:rsid w:val="6CD94028"/>
    <w:rsid w:val="6D662648"/>
    <w:rsid w:val="6D970E1E"/>
    <w:rsid w:val="6D992021"/>
    <w:rsid w:val="6E4C47B8"/>
    <w:rsid w:val="6E6564EF"/>
    <w:rsid w:val="6E6E472E"/>
    <w:rsid w:val="6E9C129B"/>
    <w:rsid w:val="6F0F51F6"/>
    <w:rsid w:val="6FC14B95"/>
    <w:rsid w:val="6FC91CD8"/>
    <w:rsid w:val="700F3CEF"/>
    <w:rsid w:val="70476A93"/>
    <w:rsid w:val="704E0CBB"/>
    <w:rsid w:val="710060DB"/>
    <w:rsid w:val="7167548B"/>
    <w:rsid w:val="72095541"/>
    <w:rsid w:val="728C73A4"/>
    <w:rsid w:val="72962597"/>
    <w:rsid w:val="72AC3379"/>
    <w:rsid w:val="72E24E92"/>
    <w:rsid w:val="73167AB9"/>
    <w:rsid w:val="73D47729"/>
    <w:rsid w:val="74312486"/>
    <w:rsid w:val="7458681A"/>
    <w:rsid w:val="745E5245"/>
    <w:rsid w:val="754B57C9"/>
    <w:rsid w:val="75705230"/>
    <w:rsid w:val="75A03D67"/>
    <w:rsid w:val="75D06891"/>
    <w:rsid w:val="763D3505"/>
    <w:rsid w:val="76A61D40"/>
    <w:rsid w:val="76C75323"/>
    <w:rsid w:val="77170059"/>
    <w:rsid w:val="772B7660"/>
    <w:rsid w:val="77892370"/>
    <w:rsid w:val="788A2AAC"/>
    <w:rsid w:val="7893651F"/>
    <w:rsid w:val="78B5117D"/>
    <w:rsid w:val="78B67C13"/>
    <w:rsid w:val="78C805A7"/>
    <w:rsid w:val="78CC09CF"/>
    <w:rsid w:val="78CE7EFA"/>
    <w:rsid w:val="79E41250"/>
    <w:rsid w:val="79F37D30"/>
    <w:rsid w:val="7A7255A6"/>
    <w:rsid w:val="7B7B492E"/>
    <w:rsid w:val="7BA93EB5"/>
    <w:rsid w:val="7BB538E3"/>
    <w:rsid w:val="7C7C5114"/>
    <w:rsid w:val="7CD30F1E"/>
    <w:rsid w:val="7D056BA5"/>
    <w:rsid w:val="7D225061"/>
    <w:rsid w:val="7D2D5DF4"/>
    <w:rsid w:val="7EC64112"/>
    <w:rsid w:val="7EE1361A"/>
    <w:rsid w:val="7F1D64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0"/>
    <w:autoRedefine/>
    <w:qFormat/>
    <w:uiPriority w:val="0"/>
    <w:pPr>
      <w:keepNext/>
      <w:keepLines/>
      <w:numPr>
        <w:ilvl w:val="0"/>
        <w:numId w:val="1"/>
      </w:numPr>
      <w:adjustRightInd w:val="0"/>
      <w:spacing w:line="360" w:lineRule="auto"/>
      <w:ind w:left="0" w:firstLine="0"/>
      <w:jc w:val="center"/>
      <w:textAlignment w:val="baseline"/>
      <w:outlineLvl w:val="0"/>
    </w:pPr>
    <w:rPr>
      <w:rFonts w:ascii="Times New Roman" w:hAnsi="Times New Roman" w:eastAsia="黑体" w:cs="Times New Roman"/>
      <w:b/>
      <w:kern w:val="44"/>
      <w:sz w:val="36"/>
      <w:szCs w:val="20"/>
    </w:rPr>
  </w:style>
  <w:style w:type="paragraph" w:styleId="3">
    <w:name w:val="heading 2"/>
    <w:basedOn w:val="1"/>
    <w:next w:val="1"/>
    <w:link w:val="51"/>
    <w:autoRedefine/>
    <w:qFormat/>
    <w:uiPriority w:val="0"/>
    <w:pPr>
      <w:keepNext/>
      <w:numPr>
        <w:ilvl w:val="1"/>
        <w:numId w:val="1"/>
      </w:numPr>
      <w:spacing w:line="360" w:lineRule="auto"/>
      <w:textAlignment w:val="baseline"/>
      <w:outlineLvl w:val="1"/>
    </w:pPr>
    <w:rPr>
      <w:rFonts w:ascii="Times New Roman" w:hAnsi="Times New Roman" w:eastAsia="黑体" w:cs="Times New Roman"/>
      <w:b/>
      <w:kern w:val="0"/>
      <w:sz w:val="28"/>
      <w:szCs w:val="20"/>
    </w:rPr>
  </w:style>
  <w:style w:type="paragraph" w:styleId="4">
    <w:name w:val="heading 3"/>
    <w:basedOn w:val="1"/>
    <w:next w:val="1"/>
    <w:link w:val="52"/>
    <w:autoRedefine/>
    <w:qFormat/>
    <w:uiPriority w:val="0"/>
    <w:pPr>
      <w:numPr>
        <w:ilvl w:val="2"/>
        <w:numId w:val="1"/>
      </w:numPr>
      <w:tabs>
        <w:tab w:val="left" w:pos="900"/>
      </w:tabs>
      <w:adjustRightInd w:val="0"/>
      <w:spacing w:before="120" w:line="360" w:lineRule="auto"/>
      <w:ind w:firstLine="200" w:firstLineChars="200"/>
      <w:textAlignment w:val="baseline"/>
      <w:outlineLvl w:val="2"/>
    </w:pPr>
    <w:rPr>
      <w:rFonts w:ascii="Times New Roman" w:hAnsi="Times New Roman" w:eastAsia="黑体" w:cs="Times New Roman"/>
      <w:b/>
      <w:kern w:val="0"/>
      <w:sz w:val="28"/>
      <w:szCs w:val="20"/>
    </w:rPr>
  </w:style>
  <w:style w:type="paragraph" w:styleId="5">
    <w:name w:val="heading 4"/>
    <w:basedOn w:val="1"/>
    <w:next w:val="1"/>
    <w:link w:val="53"/>
    <w:autoRedefine/>
    <w:qFormat/>
    <w:uiPriority w:val="0"/>
    <w:pPr>
      <w:numPr>
        <w:ilvl w:val="3"/>
        <w:numId w:val="1"/>
      </w:numPr>
      <w:tabs>
        <w:tab w:val="left" w:pos="360"/>
        <w:tab w:val="clear" w:pos="2155"/>
      </w:tabs>
      <w:adjustRightInd w:val="0"/>
      <w:spacing w:before="120" w:line="360" w:lineRule="auto"/>
      <w:ind w:left="0" w:firstLine="200" w:firstLineChars="200"/>
      <w:textAlignment w:val="baseline"/>
      <w:outlineLvl w:val="3"/>
    </w:pPr>
    <w:rPr>
      <w:rFonts w:ascii="Arial" w:hAnsi="Times New Roman" w:eastAsia="黑体" w:cs="Times New Roman"/>
      <w:kern w:val="0"/>
      <w:sz w:val="28"/>
      <w:szCs w:val="20"/>
    </w:rPr>
  </w:style>
  <w:style w:type="paragraph" w:styleId="6">
    <w:name w:val="heading 5"/>
    <w:basedOn w:val="1"/>
    <w:next w:val="1"/>
    <w:link w:val="58"/>
    <w:semiHidden/>
    <w:unhideWhenUsed/>
    <w:qFormat/>
    <w:uiPriority w:val="0"/>
    <w:pPr>
      <w:keepNext/>
      <w:keepLines/>
      <w:spacing w:before="280" w:after="290" w:line="376" w:lineRule="auto"/>
      <w:ind w:firstLine="922" w:firstLineChars="200"/>
      <w:outlineLvl w:val="4"/>
    </w:pPr>
    <w:rPr>
      <w:rFonts w:ascii="Times New Roman" w:hAnsi="Times New Roman" w:eastAsia="宋体" w:cs="Times New Roman"/>
      <w:b/>
      <w:bCs/>
      <w:sz w:val="28"/>
      <w:szCs w:val="28"/>
    </w:rPr>
  </w:style>
  <w:style w:type="paragraph" w:styleId="7">
    <w:name w:val="heading 6"/>
    <w:basedOn w:val="1"/>
    <w:next w:val="1"/>
    <w:link w:val="59"/>
    <w:autoRedefine/>
    <w:semiHidden/>
    <w:unhideWhenUsed/>
    <w:qFormat/>
    <w:uiPriority w:val="0"/>
    <w:pPr>
      <w:keepNext/>
      <w:keepLines/>
      <w:spacing w:before="240" w:after="64" w:line="320" w:lineRule="auto"/>
      <w:ind w:firstLine="922" w:firstLineChars="200"/>
      <w:outlineLvl w:val="5"/>
    </w:pPr>
    <w:rPr>
      <w:rFonts w:ascii="Cambria" w:hAnsi="Cambria" w:eastAsia="宋体" w:cs="Times New Roman"/>
      <w:b/>
      <w:bCs/>
      <w:sz w:val="24"/>
      <w:szCs w:val="24"/>
    </w:rPr>
  </w:style>
  <w:style w:type="paragraph" w:styleId="8">
    <w:name w:val="heading 7"/>
    <w:basedOn w:val="1"/>
    <w:next w:val="1"/>
    <w:link w:val="60"/>
    <w:autoRedefine/>
    <w:semiHidden/>
    <w:unhideWhenUsed/>
    <w:qFormat/>
    <w:uiPriority w:val="0"/>
    <w:pPr>
      <w:keepNext/>
      <w:keepLines/>
      <w:spacing w:before="240" w:after="64" w:line="320" w:lineRule="auto"/>
      <w:ind w:firstLine="922" w:firstLineChars="200"/>
      <w:outlineLvl w:val="6"/>
    </w:pPr>
    <w:rPr>
      <w:rFonts w:ascii="Times New Roman" w:hAnsi="Times New Roman" w:eastAsia="宋体" w:cs="Times New Roman"/>
      <w:b/>
      <w:bCs/>
      <w:sz w:val="24"/>
      <w:szCs w:val="24"/>
    </w:rPr>
  </w:style>
  <w:style w:type="paragraph" w:styleId="9">
    <w:name w:val="heading 8"/>
    <w:basedOn w:val="1"/>
    <w:next w:val="1"/>
    <w:link w:val="61"/>
    <w:autoRedefine/>
    <w:semiHidden/>
    <w:unhideWhenUsed/>
    <w:qFormat/>
    <w:uiPriority w:val="0"/>
    <w:pPr>
      <w:keepNext/>
      <w:keepLines/>
      <w:spacing w:before="240" w:after="64" w:line="320" w:lineRule="auto"/>
      <w:ind w:firstLine="922" w:firstLineChars="200"/>
      <w:outlineLvl w:val="7"/>
    </w:pPr>
    <w:rPr>
      <w:rFonts w:ascii="Cambria" w:hAnsi="Cambria" w:eastAsia="宋体" w:cs="Times New Roman"/>
      <w:sz w:val="24"/>
      <w:szCs w:val="24"/>
    </w:rPr>
  </w:style>
  <w:style w:type="paragraph" w:styleId="10">
    <w:name w:val="heading 9"/>
    <w:basedOn w:val="1"/>
    <w:next w:val="1"/>
    <w:link w:val="62"/>
    <w:autoRedefine/>
    <w:semiHidden/>
    <w:unhideWhenUsed/>
    <w:qFormat/>
    <w:uiPriority w:val="0"/>
    <w:pPr>
      <w:keepNext/>
      <w:keepLines/>
      <w:spacing w:before="240" w:after="64" w:line="320" w:lineRule="auto"/>
      <w:ind w:firstLine="922" w:firstLineChars="200"/>
      <w:outlineLvl w:val="8"/>
    </w:pPr>
    <w:rPr>
      <w:rFonts w:ascii="Cambria" w:hAnsi="Cambria" w:eastAsia="宋体" w:cs="Times New Roman"/>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jc w:val="left"/>
    </w:pPr>
    <w:rPr>
      <w:rFonts w:ascii="Times New Roman" w:hAnsi="Times New Roman" w:eastAsia="宋体" w:cs="Times New Roman"/>
      <w:spacing w:val="-35"/>
      <w:szCs w:val="24"/>
    </w:rPr>
  </w:style>
  <w:style w:type="paragraph" w:styleId="12">
    <w:name w:val="Document Map"/>
    <w:basedOn w:val="1"/>
    <w:link w:val="73"/>
    <w:autoRedefine/>
    <w:semiHidden/>
    <w:unhideWhenUsed/>
    <w:qFormat/>
    <w:uiPriority w:val="99"/>
    <w:rPr>
      <w:rFonts w:ascii="宋体" w:eastAsia="宋体"/>
      <w:sz w:val="18"/>
      <w:szCs w:val="18"/>
    </w:rPr>
  </w:style>
  <w:style w:type="paragraph" w:styleId="13">
    <w:name w:val="annotation text"/>
    <w:basedOn w:val="1"/>
    <w:link w:val="65"/>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14">
    <w:name w:val="Body Text 3"/>
    <w:basedOn w:val="1"/>
    <w:link w:val="76"/>
    <w:autoRedefine/>
    <w:qFormat/>
    <w:uiPriority w:val="0"/>
    <w:pPr>
      <w:spacing w:after="120"/>
    </w:pPr>
    <w:rPr>
      <w:rFonts w:ascii="Times New Roman" w:hAnsi="Times New Roman" w:eastAsia="宋体" w:cs="Times New Roman"/>
      <w:sz w:val="16"/>
      <w:szCs w:val="16"/>
    </w:rPr>
  </w:style>
  <w:style w:type="paragraph" w:styleId="15">
    <w:name w:val="Body Text"/>
    <w:basedOn w:val="1"/>
    <w:next w:val="1"/>
    <w:qFormat/>
    <w:uiPriority w:val="0"/>
    <w:rPr>
      <w:rFonts w:ascii="金山简黑体" w:hAnsi="Courier New" w:eastAsia="金山简黑体"/>
      <w:b/>
      <w:spacing w:val="-8"/>
      <w:sz w:val="44"/>
      <w:szCs w:val="20"/>
    </w:rPr>
  </w:style>
  <w:style w:type="paragraph" w:styleId="16">
    <w:name w:val="Body Text Indent"/>
    <w:basedOn w:val="1"/>
    <w:link w:val="77"/>
    <w:autoRedefine/>
    <w:qFormat/>
    <w:uiPriority w:val="0"/>
    <w:pPr>
      <w:tabs>
        <w:tab w:val="left" w:pos="675"/>
      </w:tabs>
      <w:spacing w:line="500" w:lineRule="exact"/>
      <w:ind w:firstLine="640" w:firstLineChars="200"/>
    </w:pPr>
    <w:rPr>
      <w:rFonts w:ascii="仿宋_GB2312" w:hAnsi="Times New Roman" w:eastAsia="仿宋_GB2312" w:cs="Times New Roman"/>
      <w:sz w:val="32"/>
      <w:szCs w:val="24"/>
    </w:rPr>
  </w:style>
  <w:style w:type="paragraph" w:styleId="17">
    <w:name w:val="List 2"/>
    <w:basedOn w:val="1"/>
    <w:autoRedefine/>
    <w:qFormat/>
    <w:uiPriority w:val="0"/>
    <w:pPr>
      <w:ind w:left="840" w:hanging="420"/>
    </w:pPr>
    <w:rPr>
      <w:rFonts w:ascii="隶书" w:hAnsi="Times New Roman" w:eastAsia="仿宋_GB2312" w:cs="Times New Roman"/>
      <w:color w:val="000000"/>
      <w:sz w:val="32"/>
      <w:szCs w:val="20"/>
    </w:rPr>
  </w:style>
  <w:style w:type="paragraph" w:styleId="18">
    <w:name w:val="toc 3"/>
    <w:basedOn w:val="1"/>
    <w:next w:val="1"/>
    <w:autoRedefine/>
    <w:unhideWhenUsed/>
    <w:qFormat/>
    <w:uiPriority w:val="39"/>
    <w:pPr>
      <w:spacing w:line="360" w:lineRule="auto"/>
      <w:ind w:left="420" w:firstLine="922" w:firstLineChars="200"/>
      <w:jc w:val="left"/>
    </w:pPr>
    <w:rPr>
      <w:rFonts w:ascii="Calibri" w:hAnsi="Calibri" w:eastAsia="宋体" w:cs="Times New Roman"/>
      <w:sz w:val="20"/>
      <w:szCs w:val="20"/>
    </w:rPr>
  </w:style>
  <w:style w:type="paragraph" w:styleId="19">
    <w:name w:val="Plain Text"/>
    <w:basedOn w:val="1"/>
    <w:link w:val="55"/>
    <w:autoRedefine/>
    <w:qFormat/>
    <w:uiPriority w:val="0"/>
    <w:pPr>
      <w:spacing w:line="360" w:lineRule="auto"/>
      <w:ind w:firstLine="922" w:firstLineChars="200"/>
    </w:pPr>
    <w:rPr>
      <w:rFonts w:ascii="宋体" w:hAnsi="Courier New"/>
    </w:rPr>
  </w:style>
  <w:style w:type="paragraph" w:styleId="20">
    <w:name w:val="Date"/>
    <w:basedOn w:val="1"/>
    <w:next w:val="1"/>
    <w:link w:val="78"/>
    <w:autoRedefine/>
    <w:qFormat/>
    <w:uiPriority w:val="0"/>
    <w:pPr>
      <w:ind w:left="100" w:leftChars="2500"/>
    </w:pPr>
    <w:rPr>
      <w:rFonts w:ascii="仿宋_GB2312" w:hAnsi="Times New Roman" w:eastAsia="仿宋_GB2312" w:cs="Times New Roman"/>
      <w:sz w:val="32"/>
      <w:szCs w:val="24"/>
    </w:rPr>
  </w:style>
  <w:style w:type="paragraph" w:styleId="21">
    <w:name w:val="Body Text Indent 2"/>
    <w:basedOn w:val="1"/>
    <w:link w:val="79"/>
    <w:autoRedefine/>
    <w:qFormat/>
    <w:uiPriority w:val="0"/>
    <w:pPr>
      <w:spacing w:line="440" w:lineRule="exact"/>
      <w:ind w:firstLine="645"/>
    </w:pPr>
    <w:rPr>
      <w:rFonts w:ascii="Times New Roman" w:hAnsi="Times New Roman" w:eastAsia="仿宋_GB2312" w:cs="Times New Roman"/>
      <w:sz w:val="32"/>
      <w:szCs w:val="24"/>
    </w:rPr>
  </w:style>
  <w:style w:type="paragraph" w:styleId="22">
    <w:name w:val="Balloon Text"/>
    <w:basedOn w:val="1"/>
    <w:link w:val="66"/>
    <w:autoRedefine/>
    <w:semiHidden/>
    <w:qFormat/>
    <w:uiPriority w:val="0"/>
    <w:pPr>
      <w:ind w:firstLine="922" w:firstLineChars="200"/>
    </w:pPr>
    <w:rPr>
      <w:rFonts w:ascii="Times New Roman" w:hAnsi="Times New Roman" w:eastAsia="宋体" w:cs="Times New Roman"/>
      <w:sz w:val="18"/>
      <w:szCs w:val="18"/>
    </w:rPr>
  </w:style>
  <w:style w:type="paragraph" w:styleId="23">
    <w:name w:val="footer"/>
    <w:basedOn w:val="1"/>
    <w:link w:val="81"/>
    <w:autoRedefine/>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24">
    <w:name w:val="header"/>
    <w:basedOn w:val="1"/>
    <w:link w:val="82"/>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5">
    <w:name w:val="toc 1"/>
    <w:basedOn w:val="1"/>
    <w:next w:val="1"/>
    <w:autoRedefine/>
    <w:qFormat/>
    <w:uiPriority w:val="39"/>
    <w:pPr>
      <w:spacing w:before="120" w:line="360" w:lineRule="auto"/>
      <w:ind w:firstLine="922" w:firstLineChars="200"/>
      <w:jc w:val="left"/>
    </w:pPr>
    <w:rPr>
      <w:rFonts w:ascii="Calibri" w:hAnsi="Calibri" w:eastAsia="宋体" w:cs="Times New Roman"/>
      <w:b/>
      <w:bCs/>
      <w:i/>
      <w:iCs/>
      <w:sz w:val="24"/>
      <w:szCs w:val="24"/>
    </w:rPr>
  </w:style>
  <w:style w:type="paragraph" w:styleId="26">
    <w:name w:val="Subtitle"/>
    <w:basedOn w:val="1"/>
    <w:next w:val="1"/>
    <w:link w:val="54"/>
    <w:autoRedefine/>
    <w:qFormat/>
    <w:uiPriority w:val="0"/>
    <w:pPr>
      <w:spacing w:before="240" w:after="60" w:line="312" w:lineRule="auto"/>
      <w:ind w:firstLine="922" w:firstLineChars="200"/>
      <w:jc w:val="center"/>
      <w:outlineLvl w:val="1"/>
    </w:pPr>
    <w:rPr>
      <w:rFonts w:ascii="Cambria" w:hAnsi="Cambria"/>
      <w:b/>
      <w:bCs/>
      <w:kern w:val="28"/>
      <w:sz w:val="32"/>
      <w:szCs w:val="32"/>
    </w:rPr>
  </w:style>
  <w:style w:type="paragraph" w:styleId="27">
    <w:name w:val="Body Text Indent 3"/>
    <w:basedOn w:val="1"/>
    <w:link w:val="83"/>
    <w:autoRedefine/>
    <w:qFormat/>
    <w:uiPriority w:val="0"/>
    <w:pPr>
      <w:spacing w:line="360" w:lineRule="auto"/>
      <w:ind w:firstLine="800" w:firstLineChars="250"/>
    </w:pPr>
    <w:rPr>
      <w:rFonts w:ascii="仿宋_GB2312" w:hAnsi="华文中宋" w:eastAsia="仿宋_GB2312" w:cs="Times New Roman"/>
      <w:sz w:val="32"/>
      <w:szCs w:val="32"/>
    </w:rPr>
  </w:style>
  <w:style w:type="paragraph" w:styleId="28">
    <w:name w:val="toc 2"/>
    <w:basedOn w:val="1"/>
    <w:next w:val="1"/>
    <w:autoRedefine/>
    <w:unhideWhenUsed/>
    <w:qFormat/>
    <w:uiPriority w:val="39"/>
    <w:pPr>
      <w:spacing w:before="120" w:line="360" w:lineRule="auto"/>
      <w:ind w:left="210" w:firstLine="922" w:firstLineChars="200"/>
      <w:jc w:val="left"/>
    </w:pPr>
    <w:rPr>
      <w:rFonts w:ascii="Calibri" w:hAnsi="Calibri" w:eastAsia="宋体" w:cs="Times New Roman"/>
      <w:b/>
      <w:bCs/>
      <w:sz w:val="22"/>
    </w:rPr>
  </w:style>
  <w:style w:type="paragraph" w:styleId="29">
    <w:name w:val="Body Text 2"/>
    <w:basedOn w:val="1"/>
    <w:link w:val="84"/>
    <w:autoRedefine/>
    <w:qFormat/>
    <w:uiPriority w:val="0"/>
    <w:pPr>
      <w:jc w:val="center"/>
    </w:pPr>
    <w:rPr>
      <w:rFonts w:ascii="Times New Roman" w:hAnsi="Times New Roman" w:eastAsia="宋体" w:cs="Times New Roman"/>
      <w:szCs w:val="24"/>
    </w:rPr>
  </w:style>
  <w:style w:type="paragraph" w:styleId="30">
    <w:name w:val="HTML Preformatted"/>
    <w:basedOn w:val="1"/>
    <w:link w:val="6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firstLineChars="200"/>
      <w:jc w:val="left"/>
    </w:pPr>
    <w:rPr>
      <w:rFonts w:ascii="宋体" w:hAnsi="宋体" w:cs="宋体"/>
      <w:sz w:val="24"/>
      <w:szCs w:val="24"/>
    </w:rPr>
  </w:style>
  <w:style w:type="paragraph" w:styleId="31">
    <w:name w:val="Normal (Web)"/>
    <w:basedOn w:val="1"/>
    <w:autoRedefine/>
    <w:qFormat/>
    <w:uiPriority w:val="99"/>
    <w:pPr>
      <w:widowControl/>
      <w:spacing w:before="100" w:beforeAutospacing="1" w:after="100" w:afterAutospacing="1"/>
      <w:ind w:firstLine="480"/>
      <w:jc w:val="left"/>
    </w:pPr>
    <w:rPr>
      <w:rFonts w:ascii="宋体" w:hAnsi="宋体" w:eastAsia="宋体" w:cs="Times New Roman"/>
      <w:kern w:val="0"/>
      <w:sz w:val="24"/>
      <w:szCs w:val="24"/>
    </w:rPr>
  </w:style>
  <w:style w:type="paragraph" w:styleId="32">
    <w:name w:val="index 1"/>
    <w:basedOn w:val="1"/>
    <w:next w:val="1"/>
    <w:autoRedefine/>
    <w:qFormat/>
    <w:uiPriority w:val="0"/>
    <w:pPr>
      <w:spacing w:line="360" w:lineRule="auto"/>
      <w:ind w:firstLine="200" w:firstLineChars="200"/>
    </w:pPr>
    <w:rPr>
      <w:rFonts w:ascii="Times New Roman" w:hAnsi="Times New Roman" w:eastAsia="宋体" w:cs="Times New Roman"/>
      <w:szCs w:val="24"/>
    </w:rPr>
  </w:style>
  <w:style w:type="paragraph" w:styleId="33">
    <w:name w:val="Title"/>
    <w:basedOn w:val="1"/>
    <w:next w:val="1"/>
    <w:qFormat/>
    <w:uiPriority w:val="0"/>
    <w:pPr>
      <w:spacing w:after="80" w:line="240" w:lineRule="auto"/>
      <w:contextualSpacing/>
    </w:pPr>
    <w:rPr>
      <w:rFonts w:asciiTheme="majorHAnsi" w:hAnsiTheme="majorHAnsi" w:eastAsiaTheme="majorEastAsia" w:cstheme="majorBidi"/>
      <w:spacing w:val="-10"/>
      <w:kern w:val="28"/>
      <w:sz w:val="56"/>
      <w:szCs w:val="56"/>
    </w:rPr>
  </w:style>
  <w:style w:type="paragraph" w:styleId="34">
    <w:name w:val="annotation subject"/>
    <w:basedOn w:val="13"/>
    <w:next w:val="13"/>
    <w:link w:val="72"/>
    <w:autoRedefine/>
    <w:semiHidden/>
    <w:unhideWhenUsed/>
    <w:qFormat/>
    <w:uiPriority w:val="0"/>
    <w:pPr>
      <w:spacing w:line="240" w:lineRule="auto"/>
      <w:ind w:firstLine="0" w:firstLineChars="0"/>
    </w:pPr>
    <w:rPr>
      <w:rFonts w:asciiTheme="minorHAnsi" w:hAnsiTheme="minorHAnsi" w:eastAsiaTheme="minorEastAsia" w:cstheme="minorBidi"/>
      <w:b/>
      <w:bCs/>
      <w:szCs w:val="22"/>
    </w:rPr>
  </w:style>
  <w:style w:type="paragraph" w:styleId="35">
    <w:name w:val="Body Text First Indent 2"/>
    <w:qFormat/>
    <w:uiPriority w:val="0"/>
    <w:pPr>
      <w:widowControl w:val="0"/>
      <w:snapToGrid w:val="0"/>
      <w:spacing w:after="120"/>
      <w:ind w:left="420" w:leftChars="200" w:firstLine="210"/>
      <w:jc w:val="both"/>
    </w:pPr>
    <w:rPr>
      <w:rFonts w:ascii="等线" w:hAnsi="等线" w:eastAsia="等线" w:cs="等线"/>
      <w:kern w:val="2"/>
      <w:sz w:val="24"/>
      <w:szCs w:val="21"/>
      <w:lang w:val="en-US" w:eastAsia="zh-CN" w:bidi="ar-SA"/>
    </w:rPr>
  </w:style>
  <w:style w:type="table" w:styleId="37">
    <w:name w:val="Table Grid"/>
    <w:basedOn w:val="36"/>
    <w:autoRedefine/>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unhideWhenUsed/>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99"/>
    <w:rPr>
      <w:color w:val="0000FF"/>
      <w:u w:val="single"/>
    </w:rPr>
  </w:style>
  <w:style w:type="character" w:styleId="44">
    <w:name w:val="annotation reference"/>
    <w:autoRedefine/>
    <w:qFormat/>
    <w:uiPriority w:val="0"/>
    <w:rPr>
      <w:sz w:val="21"/>
      <w:szCs w:val="21"/>
    </w:rPr>
  </w:style>
  <w:style w:type="paragraph" w:customStyle="1" w:styleId="45">
    <w:name w:val="正文缩进1"/>
    <w:basedOn w:val="1"/>
    <w:unhideWhenUsed/>
    <w:qFormat/>
    <w:uiPriority w:val="0"/>
    <w:pPr>
      <w:ind w:firstLine="420"/>
      <w:jc w:val="left"/>
    </w:pPr>
    <w:rPr>
      <w:rFonts w:ascii="楷体_GB2312" w:eastAsia="楷体_GB2312"/>
      <w:sz w:val="24"/>
      <w:szCs w:val="20"/>
    </w:rPr>
  </w:style>
  <w:style w:type="paragraph" w:customStyle="1" w:styleId="46">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Char"/>
    <w:basedOn w:val="1"/>
    <w:autoRedefine/>
    <w:qFormat/>
    <w:uiPriority w:val="0"/>
    <w:pPr>
      <w:widowControl/>
      <w:spacing w:after="160" w:line="240" w:lineRule="exact"/>
      <w:ind w:firstLine="922" w:firstLineChars="200"/>
      <w:jc w:val="left"/>
    </w:pPr>
    <w:rPr>
      <w:rFonts w:ascii="Arial" w:hAnsi="Arial" w:eastAsia="Times New Roman" w:cs="Verdana"/>
      <w:b/>
      <w:kern w:val="0"/>
      <w:sz w:val="24"/>
      <w:szCs w:val="20"/>
      <w:lang w:eastAsia="en-US"/>
    </w:rPr>
  </w:style>
  <w:style w:type="paragraph" w:customStyle="1" w:styleId="48">
    <w:name w:val="1"/>
    <w:basedOn w:val="1"/>
    <w:link w:val="49"/>
    <w:autoRedefine/>
    <w:qFormat/>
    <w:uiPriority w:val="0"/>
    <w:pPr>
      <w:spacing w:line="360" w:lineRule="auto"/>
      <w:jc w:val="left"/>
    </w:pPr>
    <w:rPr>
      <w:szCs w:val="24"/>
    </w:rPr>
  </w:style>
  <w:style w:type="character" w:customStyle="1" w:styleId="49">
    <w:name w:val="1 Char"/>
    <w:link w:val="48"/>
    <w:autoRedefine/>
    <w:qFormat/>
    <w:uiPriority w:val="0"/>
    <w:rPr>
      <w:szCs w:val="24"/>
    </w:rPr>
  </w:style>
  <w:style w:type="character" w:customStyle="1" w:styleId="50">
    <w:name w:val="标题 1 字符"/>
    <w:basedOn w:val="38"/>
    <w:link w:val="2"/>
    <w:autoRedefine/>
    <w:qFormat/>
    <w:uiPriority w:val="0"/>
    <w:rPr>
      <w:rFonts w:ascii="Times New Roman" w:hAnsi="Times New Roman" w:eastAsia="黑体" w:cs="Times New Roman"/>
      <w:b/>
      <w:kern w:val="44"/>
      <w:sz w:val="36"/>
      <w:szCs w:val="20"/>
    </w:rPr>
  </w:style>
  <w:style w:type="character" w:customStyle="1" w:styleId="51">
    <w:name w:val="标题 2 字符"/>
    <w:basedOn w:val="38"/>
    <w:link w:val="3"/>
    <w:autoRedefine/>
    <w:qFormat/>
    <w:uiPriority w:val="0"/>
    <w:rPr>
      <w:rFonts w:ascii="Times New Roman" w:hAnsi="Times New Roman" w:eastAsia="黑体" w:cs="Times New Roman"/>
      <w:b/>
      <w:kern w:val="0"/>
      <w:sz w:val="28"/>
      <w:szCs w:val="20"/>
    </w:rPr>
  </w:style>
  <w:style w:type="character" w:customStyle="1" w:styleId="52">
    <w:name w:val="标题 3 字符"/>
    <w:basedOn w:val="38"/>
    <w:link w:val="4"/>
    <w:autoRedefine/>
    <w:qFormat/>
    <w:uiPriority w:val="0"/>
    <w:rPr>
      <w:rFonts w:ascii="Times New Roman" w:hAnsi="Times New Roman" w:eastAsia="黑体" w:cs="Times New Roman"/>
      <w:b/>
      <w:kern w:val="0"/>
      <w:sz w:val="28"/>
      <w:szCs w:val="20"/>
    </w:rPr>
  </w:style>
  <w:style w:type="character" w:customStyle="1" w:styleId="53">
    <w:name w:val="标题 4 字符"/>
    <w:basedOn w:val="38"/>
    <w:link w:val="5"/>
    <w:autoRedefine/>
    <w:qFormat/>
    <w:uiPriority w:val="0"/>
    <w:rPr>
      <w:rFonts w:ascii="Arial" w:hAnsi="Times New Roman" w:eastAsia="黑体" w:cs="Times New Roman"/>
      <w:kern w:val="0"/>
      <w:sz w:val="28"/>
      <w:szCs w:val="20"/>
    </w:rPr>
  </w:style>
  <w:style w:type="character" w:customStyle="1" w:styleId="54">
    <w:name w:val="副标题 字符"/>
    <w:link w:val="26"/>
    <w:autoRedefine/>
    <w:qFormat/>
    <w:uiPriority w:val="0"/>
    <w:rPr>
      <w:rFonts w:ascii="Cambria" w:hAnsi="Cambria"/>
      <w:b/>
      <w:bCs/>
      <w:kern w:val="28"/>
      <w:sz w:val="32"/>
      <w:szCs w:val="32"/>
    </w:rPr>
  </w:style>
  <w:style w:type="character" w:customStyle="1" w:styleId="55">
    <w:name w:val="纯文本 字符"/>
    <w:link w:val="19"/>
    <w:autoRedefine/>
    <w:qFormat/>
    <w:uiPriority w:val="0"/>
    <w:rPr>
      <w:rFonts w:ascii="宋体" w:hAnsi="Courier New"/>
    </w:rPr>
  </w:style>
  <w:style w:type="paragraph" w:styleId="56">
    <w:name w:val="List Paragraph"/>
    <w:basedOn w:val="1"/>
    <w:autoRedefine/>
    <w:qFormat/>
    <w:uiPriority w:val="0"/>
    <w:pPr>
      <w:spacing w:line="360" w:lineRule="auto"/>
      <w:ind w:firstLine="420" w:firstLineChars="200"/>
    </w:pPr>
    <w:rPr>
      <w:rFonts w:ascii="Times New Roman" w:hAnsi="Times New Roman" w:eastAsia="宋体" w:cs="Times New Roman"/>
      <w:szCs w:val="24"/>
    </w:rPr>
  </w:style>
  <w:style w:type="paragraph" w:customStyle="1" w:styleId="57">
    <w:name w:val="TOC 标题1"/>
    <w:basedOn w:val="2"/>
    <w:next w:val="1"/>
    <w:autoRedefine/>
    <w:qFormat/>
    <w:uiPriority w:val="39"/>
    <w:pPr>
      <w:widowControl/>
      <w:numPr>
        <w:numId w:val="0"/>
      </w:numPr>
      <w:tabs>
        <w:tab w:val="clear" w:pos="360"/>
      </w:tabs>
      <w:adjustRightInd/>
      <w:spacing w:before="480" w:line="276" w:lineRule="auto"/>
      <w:jc w:val="left"/>
      <w:textAlignment w:val="auto"/>
      <w:outlineLvl w:val="9"/>
    </w:pPr>
    <w:rPr>
      <w:rFonts w:ascii="Cambria" w:hAnsi="Cambria" w:eastAsia="宋体"/>
      <w:bCs/>
      <w:color w:val="365F91"/>
      <w:kern w:val="0"/>
      <w:szCs w:val="28"/>
    </w:rPr>
  </w:style>
  <w:style w:type="character" w:customStyle="1" w:styleId="58">
    <w:name w:val="标题 5 字符"/>
    <w:basedOn w:val="38"/>
    <w:link w:val="6"/>
    <w:autoRedefine/>
    <w:semiHidden/>
    <w:qFormat/>
    <w:uiPriority w:val="0"/>
    <w:rPr>
      <w:rFonts w:ascii="Times New Roman" w:hAnsi="Times New Roman" w:eastAsia="宋体" w:cs="Times New Roman"/>
      <w:b/>
      <w:bCs/>
      <w:sz w:val="28"/>
      <w:szCs w:val="28"/>
    </w:rPr>
  </w:style>
  <w:style w:type="character" w:customStyle="1" w:styleId="59">
    <w:name w:val="标题 6 字符"/>
    <w:basedOn w:val="38"/>
    <w:link w:val="7"/>
    <w:autoRedefine/>
    <w:semiHidden/>
    <w:qFormat/>
    <w:uiPriority w:val="0"/>
    <w:rPr>
      <w:rFonts w:ascii="Cambria" w:hAnsi="Cambria" w:eastAsia="宋体" w:cs="Times New Roman"/>
      <w:b/>
      <w:bCs/>
      <w:sz w:val="24"/>
      <w:szCs w:val="24"/>
    </w:rPr>
  </w:style>
  <w:style w:type="character" w:customStyle="1" w:styleId="60">
    <w:name w:val="标题 7 字符"/>
    <w:basedOn w:val="38"/>
    <w:link w:val="8"/>
    <w:autoRedefine/>
    <w:semiHidden/>
    <w:qFormat/>
    <w:uiPriority w:val="0"/>
    <w:rPr>
      <w:rFonts w:ascii="Times New Roman" w:hAnsi="Times New Roman" w:eastAsia="宋体" w:cs="Times New Roman"/>
      <w:b/>
      <w:bCs/>
      <w:sz w:val="24"/>
      <w:szCs w:val="24"/>
    </w:rPr>
  </w:style>
  <w:style w:type="character" w:customStyle="1" w:styleId="61">
    <w:name w:val="标题 8 字符"/>
    <w:basedOn w:val="38"/>
    <w:link w:val="9"/>
    <w:autoRedefine/>
    <w:semiHidden/>
    <w:qFormat/>
    <w:uiPriority w:val="0"/>
    <w:rPr>
      <w:rFonts w:ascii="Cambria" w:hAnsi="Cambria" w:eastAsia="宋体" w:cs="Times New Roman"/>
      <w:sz w:val="24"/>
      <w:szCs w:val="24"/>
    </w:rPr>
  </w:style>
  <w:style w:type="character" w:customStyle="1" w:styleId="62">
    <w:name w:val="标题 9 字符"/>
    <w:basedOn w:val="38"/>
    <w:link w:val="10"/>
    <w:autoRedefine/>
    <w:semiHidden/>
    <w:qFormat/>
    <w:uiPriority w:val="0"/>
    <w:rPr>
      <w:rFonts w:ascii="Cambria" w:hAnsi="Cambria" w:eastAsia="宋体" w:cs="Times New Roman"/>
      <w:szCs w:val="21"/>
    </w:rPr>
  </w:style>
  <w:style w:type="paragraph" w:customStyle="1" w:styleId="63">
    <w:name w:val="Default"/>
    <w:link w:val="64"/>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64">
    <w:name w:val="Default Char"/>
    <w:link w:val="63"/>
    <w:autoRedefine/>
    <w:qFormat/>
    <w:locked/>
    <w:uiPriority w:val="99"/>
    <w:rPr>
      <w:rFonts w:ascii="MS Mincho" w:hAnsi="Calibri" w:eastAsia="宋体" w:cs="Times New Roman"/>
      <w:color w:val="000000"/>
      <w:szCs w:val="24"/>
    </w:rPr>
  </w:style>
  <w:style w:type="character" w:customStyle="1" w:styleId="65">
    <w:name w:val="批注文字 字符"/>
    <w:basedOn w:val="38"/>
    <w:link w:val="13"/>
    <w:autoRedefine/>
    <w:qFormat/>
    <w:uiPriority w:val="0"/>
    <w:rPr>
      <w:rFonts w:ascii="Times New Roman" w:hAnsi="Times New Roman" w:eastAsia="宋体" w:cs="Times New Roman"/>
      <w:szCs w:val="24"/>
    </w:rPr>
  </w:style>
  <w:style w:type="character" w:customStyle="1" w:styleId="66">
    <w:name w:val="批注框文本 字符"/>
    <w:basedOn w:val="38"/>
    <w:link w:val="22"/>
    <w:autoRedefine/>
    <w:semiHidden/>
    <w:qFormat/>
    <w:uiPriority w:val="0"/>
    <w:rPr>
      <w:rFonts w:ascii="Times New Roman" w:hAnsi="Times New Roman" w:eastAsia="宋体" w:cs="Times New Roman"/>
      <w:sz w:val="18"/>
      <w:szCs w:val="18"/>
    </w:rPr>
  </w:style>
  <w:style w:type="character" w:customStyle="1" w:styleId="67">
    <w:name w:val="HTML 预设格式 字符"/>
    <w:link w:val="30"/>
    <w:autoRedefine/>
    <w:qFormat/>
    <w:uiPriority w:val="0"/>
    <w:rPr>
      <w:rFonts w:ascii="宋体" w:hAnsi="宋体" w:cs="宋体"/>
      <w:sz w:val="24"/>
      <w:szCs w:val="24"/>
    </w:rPr>
  </w:style>
  <w:style w:type="character" w:customStyle="1" w:styleId="68">
    <w:name w:val="HTML 预设格式 Char1"/>
    <w:basedOn w:val="38"/>
    <w:autoRedefine/>
    <w:semiHidden/>
    <w:qFormat/>
    <w:uiPriority w:val="99"/>
    <w:rPr>
      <w:rFonts w:ascii="Courier New" w:hAnsi="Courier New" w:cs="Courier New"/>
      <w:sz w:val="20"/>
      <w:szCs w:val="20"/>
    </w:rPr>
  </w:style>
  <w:style w:type="character" w:customStyle="1" w:styleId="69">
    <w:name w:val="普通正文 Char"/>
    <w:link w:val="70"/>
    <w:autoRedefine/>
    <w:qFormat/>
    <w:uiPriority w:val="0"/>
    <w:rPr>
      <w:rFonts w:ascii="Arial" w:hAnsi="Arial"/>
      <w:sz w:val="24"/>
      <w:szCs w:val="24"/>
    </w:rPr>
  </w:style>
  <w:style w:type="paragraph" w:customStyle="1" w:styleId="70">
    <w:name w:val="普通正文"/>
    <w:basedOn w:val="1"/>
    <w:link w:val="69"/>
    <w:autoRedefine/>
    <w:qFormat/>
    <w:uiPriority w:val="0"/>
    <w:pPr>
      <w:adjustRightInd w:val="0"/>
      <w:spacing w:before="120" w:after="120" w:line="360" w:lineRule="auto"/>
      <w:ind w:firstLine="480" w:firstLineChars="200"/>
      <w:jc w:val="left"/>
      <w:textAlignment w:val="baseline"/>
    </w:pPr>
    <w:rPr>
      <w:rFonts w:ascii="Arial" w:hAnsi="Arial"/>
      <w:sz w:val="24"/>
      <w:szCs w:val="24"/>
    </w:rPr>
  </w:style>
  <w:style w:type="paragraph" w:customStyle="1" w:styleId="71">
    <w:name w:val="Char1"/>
    <w:basedOn w:val="1"/>
    <w:autoRedefine/>
    <w:qFormat/>
    <w:uiPriority w:val="0"/>
    <w:pPr>
      <w:tabs>
        <w:tab w:val="left" w:pos="360"/>
      </w:tabs>
      <w:spacing w:line="360" w:lineRule="auto"/>
      <w:ind w:firstLine="922" w:firstLineChars="200"/>
    </w:pPr>
    <w:rPr>
      <w:rFonts w:ascii="Times New Roman" w:hAnsi="Times New Roman" w:eastAsia="宋体" w:cs="Times New Roman"/>
      <w:sz w:val="24"/>
      <w:szCs w:val="24"/>
    </w:rPr>
  </w:style>
  <w:style w:type="character" w:customStyle="1" w:styleId="72">
    <w:name w:val="批注主题 字符"/>
    <w:basedOn w:val="65"/>
    <w:link w:val="34"/>
    <w:autoRedefine/>
    <w:semiHidden/>
    <w:qFormat/>
    <w:uiPriority w:val="99"/>
    <w:rPr>
      <w:rFonts w:ascii="Times New Roman" w:hAnsi="Times New Roman" w:eastAsia="宋体" w:cs="Times New Roman"/>
      <w:b/>
      <w:bCs/>
      <w:szCs w:val="24"/>
    </w:rPr>
  </w:style>
  <w:style w:type="character" w:customStyle="1" w:styleId="73">
    <w:name w:val="文档结构图 字符"/>
    <w:basedOn w:val="38"/>
    <w:link w:val="12"/>
    <w:autoRedefine/>
    <w:semiHidden/>
    <w:qFormat/>
    <w:uiPriority w:val="99"/>
    <w:rPr>
      <w:rFonts w:ascii="宋体" w:eastAsia="宋体"/>
      <w:sz w:val="18"/>
      <w:szCs w:val="18"/>
    </w:rPr>
  </w:style>
  <w:style w:type="paragraph" w:customStyle="1" w:styleId="74">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76">
    <w:name w:val="正文文本 3 字符"/>
    <w:basedOn w:val="38"/>
    <w:link w:val="14"/>
    <w:autoRedefine/>
    <w:qFormat/>
    <w:uiPriority w:val="0"/>
    <w:rPr>
      <w:rFonts w:ascii="Times New Roman" w:hAnsi="Times New Roman" w:eastAsia="宋体" w:cs="Times New Roman"/>
      <w:kern w:val="2"/>
      <w:sz w:val="16"/>
      <w:szCs w:val="16"/>
    </w:rPr>
  </w:style>
  <w:style w:type="character" w:customStyle="1" w:styleId="77">
    <w:name w:val="正文文本缩进 字符"/>
    <w:basedOn w:val="38"/>
    <w:link w:val="16"/>
    <w:autoRedefine/>
    <w:qFormat/>
    <w:uiPriority w:val="0"/>
    <w:rPr>
      <w:rFonts w:ascii="仿宋_GB2312" w:hAnsi="Times New Roman" w:eastAsia="仿宋_GB2312" w:cs="Times New Roman"/>
      <w:kern w:val="2"/>
      <w:sz w:val="32"/>
      <w:szCs w:val="24"/>
    </w:rPr>
  </w:style>
  <w:style w:type="character" w:customStyle="1" w:styleId="78">
    <w:name w:val="日期 字符"/>
    <w:basedOn w:val="38"/>
    <w:link w:val="20"/>
    <w:autoRedefine/>
    <w:qFormat/>
    <w:uiPriority w:val="0"/>
    <w:rPr>
      <w:rFonts w:ascii="仿宋_GB2312" w:hAnsi="Times New Roman" w:eastAsia="仿宋_GB2312" w:cs="Times New Roman"/>
      <w:kern w:val="2"/>
      <w:sz w:val="32"/>
      <w:szCs w:val="24"/>
    </w:rPr>
  </w:style>
  <w:style w:type="character" w:customStyle="1" w:styleId="79">
    <w:name w:val="正文文本缩进 2 字符"/>
    <w:basedOn w:val="38"/>
    <w:link w:val="21"/>
    <w:autoRedefine/>
    <w:qFormat/>
    <w:uiPriority w:val="0"/>
    <w:rPr>
      <w:rFonts w:ascii="Times New Roman" w:hAnsi="Times New Roman" w:eastAsia="仿宋_GB2312" w:cs="Times New Roman"/>
      <w:kern w:val="2"/>
      <w:sz w:val="32"/>
      <w:szCs w:val="24"/>
    </w:rPr>
  </w:style>
  <w:style w:type="character" w:customStyle="1" w:styleId="80">
    <w:name w:val="页脚 Char"/>
    <w:basedOn w:val="38"/>
    <w:autoRedefine/>
    <w:qFormat/>
    <w:uiPriority w:val="0"/>
    <w:rPr>
      <w:kern w:val="2"/>
      <w:sz w:val="18"/>
      <w:szCs w:val="18"/>
    </w:rPr>
  </w:style>
  <w:style w:type="character" w:customStyle="1" w:styleId="81">
    <w:name w:val="页脚 字符"/>
    <w:link w:val="23"/>
    <w:autoRedefine/>
    <w:qFormat/>
    <w:locked/>
    <w:uiPriority w:val="0"/>
    <w:rPr>
      <w:rFonts w:ascii="Times New Roman" w:hAnsi="Times New Roman" w:eastAsia="宋体" w:cs="Times New Roman"/>
      <w:kern w:val="2"/>
      <w:sz w:val="18"/>
      <w:szCs w:val="18"/>
    </w:rPr>
  </w:style>
  <w:style w:type="character" w:customStyle="1" w:styleId="82">
    <w:name w:val="页眉 字符"/>
    <w:basedOn w:val="38"/>
    <w:link w:val="24"/>
    <w:autoRedefine/>
    <w:qFormat/>
    <w:uiPriority w:val="0"/>
    <w:rPr>
      <w:rFonts w:ascii="Times New Roman" w:hAnsi="Times New Roman" w:eastAsia="宋体" w:cs="Times New Roman"/>
      <w:kern w:val="2"/>
      <w:sz w:val="18"/>
      <w:szCs w:val="18"/>
    </w:rPr>
  </w:style>
  <w:style w:type="character" w:customStyle="1" w:styleId="83">
    <w:name w:val="正文文本缩进 3 字符"/>
    <w:basedOn w:val="38"/>
    <w:link w:val="27"/>
    <w:autoRedefine/>
    <w:qFormat/>
    <w:uiPriority w:val="0"/>
    <w:rPr>
      <w:rFonts w:ascii="仿宋_GB2312" w:hAnsi="华文中宋" w:eastAsia="仿宋_GB2312" w:cs="Times New Roman"/>
      <w:kern w:val="2"/>
      <w:sz w:val="32"/>
      <w:szCs w:val="32"/>
    </w:rPr>
  </w:style>
  <w:style w:type="character" w:customStyle="1" w:styleId="84">
    <w:name w:val="正文文本 2 字符"/>
    <w:basedOn w:val="38"/>
    <w:link w:val="29"/>
    <w:autoRedefine/>
    <w:qFormat/>
    <w:uiPriority w:val="0"/>
    <w:rPr>
      <w:rFonts w:ascii="Times New Roman" w:hAnsi="Times New Roman" w:eastAsia="宋体" w:cs="Times New Roman"/>
      <w:kern w:val="2"/>
      <w:sz w:val="21"/>
      <w:szCs w:val="24"/>
    </w:rPr>
  </w:style>
  <w:style w:type="table" w:customStyle="1" w:styleId="85">
    <w:name w:val="网格型1"/>
    <w:basedOn w:val="36"/>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6">
    <w:name w:val="Header Char"/>
    <w:autoRedefine/>
    <w:qFormat/>
    <w:locked/>
    <w:uiPriority w:val="0"/>
    <w:rPr>
      <w:rFonts w:cs="Times New Roman"/>
      <w:sz w:val="18"/>
      <w:szCs w:val="18"/>
    </w:rPr>
  </w:style>
  <w:style w:type="character" w:customStyle="1" w:styleId="87">
    <w:name w:val="style341"/>
    <w:autoRedefine/>
    <w:qFormat/>
    <w:uiPriority w:val="0"/>
  </w:style>
  <w:style w:type="paragraph" w:customStyle="1" w:styleId="88">
    <w:name w:val="p0"/>
    <w:basedOn w:val="1"/>
    <w:autoRedefine/>
    <w:qFormat/>
    <w:uiPriority w:val="0"/>
    <w:pPr>
      <w:widowControl/>
    </w:pPr>
    <w:rPr>
      <w:rFonts w:ascii="Calibri" w:hAnsi="Calibri" w:eastAsia="宋体" w:cs="宋体"/>
      <w:kern w:val="0"/>
      <w:szCs w:val="21"/>
    </w:rPr>
  </w:style>
  <w:style w:type="paragraph" w:customStyle="1" w:styleId="89">
    <w:name w:val="Char Char Char Char Char1 Char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90">
    <w:name w:val="p15"/>
    <w:basedOn w:val="1"/>
    <w:autoRedefine/>
    <w:qFormat/>
    <w:uiPriority w:val="0"/>
    <w:pPr>
      <w:widowControl/>
      <w:ind w:firstLine="420"/>
    </w:pPr>
    <w:rPr>
      <w:rFonts w:ascii="Calibri" w:hAnsi="Calibri" w:eastAsia="宋体" w:cs="宋体"/>
      <w:kern w:val="0"/>
      <w:szCs w:val="21"/>
    </w:rPr>
  </w:style>
  <w:style w:type="paragraph" w:customStyle="1" w:styleId="91">
    <w:name w:val="_Style 31"/>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2">
    <w:name w:val="_Style 3"/>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3">
    <w:name w:val="Char2"/>
    <w:basedOn w:val="1"/>
    <w:autoRedefine/>
    <w:qFormat/>
    <w:uiPriority w:val="0"/>
    <w:pPr>
      <w:tabs>
        <w:tab w:val="left" w:pos="360"/>
      </w:tabs>
    </w:pPr>
    <w:rPr>
      <w:rFonts w:ascii="Times New Roman" w:hAnsi="Times New Roman" w:eastAsia="宋体" w:cs="Times New Roman"/>
      <w:sz w:val="24"/>
      <w:szCs w:val="24"/>
    </w:rPr>
  </w:style>
  <w:style w:type="paragraph" w:customStyle="1" w:styleId="94">
    <w:name w:val="Char Char Char Char Char Char Char 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95">
    <w:name w:val="font01"/>
    <w:autoRedefine/>
    <w:qFormat/>
    <w:uiPriority w:val="0"/>
    <w:rPr>
      <w:rFonts w:hint="eastAsia" w:ascii="宋体" w:hAnsi="宋体" w:eastAsia="宋体" w:cs="宋体"/>
      <w:color w:val="000000"/>
      <w:sz w:val="22"/>
      <w:szCs w:val="22"/>
      <w:u w:val="none"/>
    </w:rPr>
  </w:style>
  <w:style w:type="character" w:customStyle="1" w:styleId="96">
    <w:name w:val="font11"/>
    <w:autoRedefine/>
    <w:qFormat/>
    <w:uiPriority w:val="0"/>
    <w:rPr>
      <w:rFonts w:hint="eastAsia" w:ascii="宋体" w:hAnsi="宋体" w:eastAsia="宋体" w:cs="宋体"/>
      <w:color w:val="FF0000"/>
      <w:sz w:val="22"/>
      <w:szCs w:val="22"/>
      <w:u w:val="none"/>
    </w:rPr>
  </w:style>
  <w:style w:type="character" w:customStyle="1" w:styleId="97">
    <w:name w:val="font31"/>
    <w:basedOn w:val="38"/>
    <w:autoRedefine/>
    <w:qFormat/>
    <w:uiPriority w:val="0"/>
    <w:rPr>
      <w:rFonts w:hint="eastAsia" w:ascii="仿宋" w:hAnsi="仿宋" w:eastAsia="仿宋" w:cs="仿宋"/>
      <w:b/>
      <w:bCs/>
      <w:color w:val="000000"/>
      <w:sz w:val="16"/>
      <w:szCs w:val="16"/>
      <w:u w:val="none"/>
    </w:rPr>
  </w:style>
  <w:style w:type="character" w:customStyle="1" w:styleId="98">
    <w:name w:val="font21"/>
    <w:basedOn w:val="38"/>
    <w:autoRedefine/>
    <w:qFormat/>
    <w:uiPriority w:val="0"/>
    <w:rPr>
      <w:rFonts w:hint="eastAsia" w:ascii="仿宋" w:hAnsi="仿宋" w:eastAsia="仿宋" w:cs="仿宋"/>
      <w:color w:val="000000"/>
      <w:sz w:val="16"/>
      <w:szCs w:val="16"/>
      <w:u w:val="none"/>
    </w:rPr>
  </w:style>
  <w:style w:type="character" w:customStyle="1" w:styleId="99">
    <w:name w:val="font41"/>
    <w:basedOn w:val="38"/>
    <w:autoRedefine/>
    <w:qFormat/>
    <w:uiPriority w:val="0"/>
    <w:rPr>
      <w:rFonts w:hint="eastAsia" w:ascii="仿宋" w:hAnsi="仿宋" w:eastAsia="仿宋" w:cs="仿宋"/>
      <w:b/>
      <w:bCs/>
      <w:color w:val="FF0000"/>
      <w:sz w:val="16"/>
      <w:szCs w:val="16"/>
      <w:u w:val="none"/>
    </w:rPr>
  </w:style>
  <w:style w:type="paragraph" w:customStyle="1" w:styleId="100">
    <w:name w:val="列出段落1"/>
    <w:basedOn w:val="1"/>
    <w:autoRedefine/>
    <w:qFormat/>
    <w:uiPriority w:val="99"/>
    <w:pPr>
      <w:ind w:firstLine="420" w:firstLineChars="200"/>
    </w:pPr>
    <w:rPr>
      <w:rFonts w:ascii="Calibri" w:hAnsi="Calibri" w:eastAsia="宋体" w:cs="Times New Roman"/>
    </w:rPr>
  </w:style>
  <w:style w:type="paragraph" w:customStyle="1" w:styleId="101">
    <w:name w:val="paragraph"/>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2">
    <w:name w:val="Preistext2"/>
    <w:basedOn w:val="1"/>
    <w:autoRedefine/>
    <w:qFormat/>
    <w:uiPriority w:val="0"/>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103">
    <w:name w:val="正文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table" w:customStyle="1" w:styleId="104">
    <w:name w:val="网格型2"/>
    <w:basedOn w:val="36"/>
    <w:autoRedefine/>
    <w:unhideWhenUsed/>
    <w:qFormat/>
    <w:uiPriority w:val="9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Body text|1"/>
    <w:basedOn w:val="1"/>
    <w:qFormat/>
    <w:uiPriority w:val="0"/>
    <w:pPr>
      <w:spacing w:line="420" w:lineRule="auto"/>
      <w:jc w:val="left"/>
    </w:pPr>
    <w:rPr>
      <w:rFonts w:ascii="宋体" w:hAnsi="宋体" w:eastAsia="宋体" w:cs="宋体"/>
      <w:color w:val="000000"/>
      <w:kern w:val="0"/>
      <w:sz w:val="20"/>
      <w:szCs w:val="20"/>
      <w:lang w:val="zh-TW" w:eastAsia="zh-TW" w:bidi="zh-TW"/>
    </w:rPr>
  </w:style>
  <w:style w:type="character" w:customStyle="1" w:styleId="106">
    <w:name w:val="mark"/>
    <w:basedOn w:val="38"/>
    <w:qFormat/>
    <w:uiPriority w:val="0"/>
  </w:style>
  <w:style w:type="table" w:customStyle="1" w:styleId="107">
    <w:name w:val="Table Normal"/>
    <w:semiHidden/>
    <w:unhideWhenUsed/>
    <w:qFormat/>
    <w:uiPriority w:val="0"/>
    <w:rPr>
      <w:rFonts w:ascii="Calibri" w:hAnsi="Calibri" w:cs="Calibr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60</Pages>
  <Words>10189</Words>
  <Characters>10786</Characters>
  <Lines>214</Lines>
  <Paragraphs>60</Paragraphs>
  <TotalTime>19</TotalTime>
  <ScaleCrop>false</ScaleCrop>
  <LinksUpToDate>false</LinksUpToDate>
  <CharactersWithSpaces>10929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cp:lastModifiedBy>
  <cp:lastPrinted>2024-07-08T08:38:00Z</cp:lastPrinted>
  <dcterms:modified xsi:type="dcterms:W3CDTF">2026-06-16T14:27:22Z</dcterms:modified>
  <cp:revision>914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B0C54C1C8E6A4FE7AE7F4182F6E3EB61_13</vt:lpwstr>
  </property>
  <property fmtid="{D5CDD505-2E9C-101B-9397-08002B2CF9AE}" pid="4" name="KSOTemplateDocerSaveRecord">
    <vt:lpwstr>eyJoZGlkIjoiOTJlNzJiMjZjNjI3NjdiNTMyMDFhYWMzM2E1ZDAwNWEiLCJ1c2VySWQiOiI3MDAwMTgxOTMifQ==</vt:lpwstr>
  </property>
</Properties>
</file>