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bookmarkStart w:id="42" w:name="_GoBack"/>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before="240" w:after="240" w:line="85" w:lineRule="atLeast"/>
        <w:rPr>
          <w:rFonts w:hint="eastAsia" w:ascii="宋体" w:hAnsi="宋体" w:eastAsia="宋体" w:cs="宋体"/>
          <w:b/>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南京信息工程大学2026年毕业生宿舍出新</w:t>
      </w:r>
      <w:r/>
    </w:p>
    <w:p>
      <w:pPr>
        <w:jc w:val="center"/>
        <w:spacing w:before="240" w:after="240" w:line="85" w:lineRule="atLeast"/>
        <w:rPr>
          <w:rFonts w:hint="eastAsia" w:ascii="宋体" w:hAnsi="宋体" w:eastAsia="宋体" w:cs="宋体"/>
          <w:b/>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r>
      <w:r/>
    </w:p>
    <w:p>
      <w:pPr>
        <w:jc w:val="center"/>
        <w:spacing w:before="240" w:after="240" w:line="85" w:lineRule="atLeast"/>
        <w:rPr>
          <w:rFonts w:hint="eastAsia" w:ascii="宋体" w:hAnsi="宋体" w:eastAsia="宋体" w:cs="宋体"/>
          <w:b/>
          <w:color w:val="auto"/>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项目</w:t>
      </w:r>
      <w:r>
        <w:rPr>
          <w:rFonts w:ascii="宋体" w:hAnsi="宋体" w:eastAsia="宋体" w:cs="宋体"/>
          <w:b/>
          <w:color w:val="auto"/>
          <w:sz w:val="48"/>
          <w:highlight w:val="none"/>
        </w:rPr>
        <w:t xml:space="preserve">招标文件</w:t>
      </w:r>
      <w:r/>
    </w:p>
    <w:p>
      <w:pPr>
        <w:jc w:val="center"/>
        <w:spacing w:before="240" w:after="240" w:line="85" w:lineRule="atLeast"/>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firstLine="2249"/>
        <w:jc w:val="both"/>
        <w:spacing w:before="240" w:after="240" w:line="85" w:lineRule="atLeast"/>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招标编号：</w:t>
      </w:r>
      <w:r>
        <w:rPr>
          <w:rFonts w:hint="eastAsia" w:ascii="宋体" w:hAnsi="宋体" w:eastAsia="宋体" w:cs="宋体"/>
          <w:b/>
          <w:color w:val="auto"/>
          <w:sz w:val="32"/>
          <w:szCs w:val="32"/>
          <w:highlight w:val="none"/>
        </w:rPr>
        <w:t xml:space="preserve">JSZC-320000-NJJC-G2026-0066</w:t>
      </w:r>
      <w:r>
        <w:rPr>
          <w:rFonts w:ascii="宋体" w:hAnsi="宋体" w:eastAsia="宋体" w:cs="宋体"/>
          <w:b/>
          <w:color w:val="auto"/>
          <w:sz w:val="32"/>
          <w:szCs w:val="32"/>
          <w:highlight w:val="none"/>
        </w:rPr>
        <w:t xml:space="preserve"> </w:t>
      </w:r>
      <w:r/>
    </w:p>
    <w:p>
      <w:pPr>
        <w:ind w:firstLine="2249"/>
        <w:jc w:val="both"/>
        <w:spacing w:before="240" w:after="240" w:line="85" w:lineRule="atLeast"/>
        <w:rPr>
          <w:rFonts w:hint="eastAsia" w:ascii="宋体" w:hAnsi="宋体" w:eastAsia="宋体" w:cs="宋体"/>
          <w:b/>
          <w:color w:val="auto"/>
          <w:sz w:val="36"/>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val="zh-CN"/>
        </w:rPr>
        <w:t xml:space="preserve">项目类别：</w:t>
      </w:r>
      <w:r>
        <w:rPr>
          <w:rFonts w:hint="eastAsia" w:ascii="宋体" w:hAnsi="宋体" w:eastAsia="宋体" w:cs="宋体"/>
          <w:b/>
          <w:color w:val="auto"/>
          <w:sz w:val="32"/>
          <w:szCs w:val="32"/>
          <w:highlight w:val="none"/>
        </w:rPr>
        <w:t xml:space="preserve">工程</w:t>
      </w:r>
      <w:r>
        <w:rPr>
          <w:rFonts w:hint="eastAsia" w:ascii="宋体" w:hAnsi="宋体" w:eastAsia="宋体" w:cs="宋体"/>
          <w:b/>
          <w:color w:val="auto"/>
          <w:sz w:val="32"/>
          <w:szCs w:val="32"/>
          <w:highlight w:val="none"/>
          <w:lang w:val="zh-CN"/>
        </w:rPr>
        <w:t xml:space="preserve">类</w:t>
      </w:r>
      <w:r/>
    </w:p>
    <w:p>
      <w:pPr>
        <w:pStyle w:val="879"/>
        <w:ind w:firstLine="640"/>
        <w:spacing w:line="360" w:lineRule="auto"/>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879"/>
        <w:ind w:firstLine="640"/>
        <w:spacing w:line="360" w:lineRule="auto"/>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879"/>
        <w:ind w:firstLine="640"/>
        <w:spacing w:line="360" w:lineRule="auto"/>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879"/>
        <w:ind w:firstLine="640"/>
        <w:spacing w:line="360" w:lineRule="auto"/>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879"/>
        <w:ind w:firstLine="640"/>
        <w:spacing w:line="360" w:lineRule="auto"/>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rPr>
          <w:color w:val="auto"/>
          <w:highlight w:val="none"/>
          <w:lang w:val="zh-CN"/>
        </w:rPr>
      </w:pPr>
      <w:r>
        <w:rPr>
          <w:color w:val="auto"/>
          <w:highlight w:val="none"/>
          <w:lang w:val="zh-CN"/>
        </w:rPr>
      </w:r>
      <w:r/>
    </w:p>
    <w:p>
      <w:pPr>
        <w:jc w:val="center"/>
        <w:spacing w:before="240" w:after="240" w:line="85" w:lineRule="atLeast"/>
        <w:rPr>
          <w:rFonts w:hint="eastAsia" w:ascii="宋体" w:hAnsi="宋体" w:eastAsia="宋体" w:cs="宋体"/>
          <w:b/>
          <w:color w:val="auto"/>
          <w:sz w:val="32"/>
          <w:szCs w:val="3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zh-CN"/>
        </w:rPr>
        <w:t xml:space="preserve">采 购 人: 南京信息工程大学</w:t>
      </w:r>
      <w:r/>
    </w:p>
    <w:p>
      <w:pPr>
        <w:jc w:val="center"/>
        <w:spacing w:before="240" w:after="240" w:line="85" w:lineRule="atLeast"/>
        <w:rPr>
          <w:rFonts w:hint="eastAsia" w:ascii="宋体" w:hAnsi="宋体" w:eastAsia="宋体" w:cs="宋体"/>
          <w:b/>
          <w:color w:val="auto"/>
          <w:sz w:val="32"/>
          <w:szCs w:val="3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val="zh-CN"/>
        </w:rPr>
        <w:t xml:space="preserve">代理机构: 南京江城工程项目管理有限公司</w:t>
      </w:r>
      <w:r/>
    </w:p>
    <w:p>
      <w:pPr>
        <w:jc w:val="center"/>
        <w:spacing w:before="240" w:after="240" w:line="85" w:lineRule="atLeast"/>
        <w:rPr>
          <w:rFonts w:hint="eastAsia" w:ascii="宋体" w:hAnsi="宋体" w:eastAsia="宋体" w:cs="宋体"/>
          <w:b/>
          <w:color w:val="auto"/>
          <w:sz w:val="32"/>
          <w:szCs w:val="32"/>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val="zh-CN"/>
        </w:rPr>
        <w:t xml:space="preserve">二Ｏ二六年</w:t>
      </w:r>
      <w:r>
        <w:rPr>
          <w:rFonts w:hint="eastAsia" w:ascii="宋体" w:hAnsi="宋体" w:eastAsia="宋体" w:cs="宋体"/>
          <w:b/>
          <w:color w:val="auto"/>
          <w:sz w:val="32"/>
          <w:szCs w:val="32"/>
          <w:highlight w:val="none"/>
        </w:rPr>
        <w:t xml:space="preserve">六</w:t>
      </w:r>
      <w:r>
        <w:rPr>
          <w:rFonts w:hint="eastAsia" w:ascii="宋体" w:hAnsi="宋体" w:eastAsia="宋体" w:cs="宋体"/>
          <w:b/>
          <w:color w:val="auto"/>
          <w:sz w:val="32"/>
          <w:szCs w:val="32"/>
          <w:highlight w:val="none"/>
          <w:lang w:val="zh-CN"/>
        </w:rPr>
        <w:t xml:space="preserve">月</w:t>
      </w:r>
      <w:r/>
    </w:p>
    <w:p>
      <w:pPr>
        <w:ind w:right="1933" w:firstLine="1366"/>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1933" w:firstLine="1366"/>
        <w:jc w:val="center"/>
        <w:spacing w:line="85" w:lineRule="atLeast"/>
        <w:rPr>
          <w:rFonts w:hint="eastAsia" w:ascii="宋体" w:hAnsi="宋体" w:eastAsia="宋体" w:cs="宋体"/>
          <w:color w:val="auto"/>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4"/>
          <w:highlight w:val="none"/>
        </w:rPr>
        <w:t xml:space="preserve">目 录</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招标公告</w:t>
      </w:r>
      <w:r/>
    </w:p>
    <w:p>
      <w:pPr>
        <w:spacing w:line="360" w:lineRule="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color w:val="auto"/>
          <w:highlight w:val="none"/>
        </w:rPr>
        <w:fldChar w:fldCharType="separate"/>
      </w:r>
      <w:r>
        <w:rPr>
          <w:rFonts w:hint="eastAsia" w:ascii="宋体" w:hAnsi="宋体" w:eastAsia="宋体" w:cs="宋体"/>
          <w:color w:val="auto"/>
          <w:sz w:val="28"/>
          <w:szCs w:val="28"/>
          <w:highlight w:val="none"/>
        </w:rPr>
        <w:t xml:space="preserve">第二章  投标供应商须知</w:t>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color w:val="auto"/>
          <w:highlight w:val="none"/>
        </w:rPr>
        <w:fldChar w:fldCharType="separate"/>
      </w:r>
      <w:r>
        <w:rPr>
          <w:rFonts w:hint="eastAsia" w:ascii="宋体" w:hAnsi="宋体" w:eastAsia="宋体" w:cs="宋体"/>
          <w:color w:val="auto"/>
          <w:sz w:val="28"/>
          <w:szCs w:val="28"/>
          <w:highlight w:val="none"/>
        </w:rPr>
        <w:t xml:space="preserve">第三章 评标标准</w:t>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color w:val="auto"/>
          <w:highlight w:val="none"/>
        </w:rPr>
        <w:fldChar w:fldCharType="separate"/>
      </w:r>
      <w:r>
        <w:rPr>
          <w:rFonts w:hint="eastAsia" w:ascii="宋体" w:hAnsi="宋体" w:eastAsia="宋体" w:cs="宋体"/>
          <w:color w:val="auto"/>
          <w:sz w:val="28"/>
          <w:szCs w:val="28"/>
          <w:highlight w:val="none"/>
        </w:rPr>
        <w:t xml:space="preserve">第四章 招标项目的技术规格、要求和数量等</w:t>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color w:val="auto"/>
          <w:highlight w:val="none"/>
        </w:rPr>
        <w:fldChar w:fldCharType="separate"/>
      </w:r>
      <w:r>
        <w:rPr>
          <w:rFonts w:hint="eastAsia" w:ascii="宋体" w:hAnsi="宋体" w:eastAsia="宋体" w:cs="宋体"/>
          <w:color w:val="auto"/>
          <w:sz w:val="28"/>
          <w:szCs w:val="28"/>
          <w:highlight w:val="none"/>
        </w:rPr>
        <w:t xml:space="preserve">第五章 合同草案条款及格式</w:t>
      </w: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color w:val="auto"/>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fldChar w:fldCharType="end"/>
      </w:r>
      <w:r/>
    </w:p>
    <w:p>
      <w:pPr>
        <w:jc w:val="center"/>
        <w:spacing w:line="85"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auto"/>
          <w:sz w:val="32"/>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第一章 招标公告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u w:val="single"/>
        </w:rPr>
        <w:t xml:space="preserve">南京信息工程大学2026年毕业生宿舍出新项目</w:t>
      </w:r>
      <w:r>
        <w:rPr>
          <w:rFonts w:hint="eastAsia" w:ascii="宋体" w:hAnsi="宋体" w:eastAsia="宋体" w:cs="宋体"/>
          <w:color w:val="auto"/>
          <w:szCs w:val="21"/>
          <w:highlight w:val="none"/>
        </w:rPr>
        <w:t xml:space="preserve">的潜在供应商应在</w:t>
      </w:r>
      <w:r>
        <w:rPr>
          <w:rFonts w:hint="eastAsia" w:ascii="宋体" w:hAnsi="宋体" w:eastAsia="宋体" w:cs="宋体"/>
          <w:color w:val="auto"/>
          <w:szCs w:val="21"/>
          <w:highlight w:val="none"/>
          <w:u w:val="single"/>
        </w:rPr>
        <w:t xml:space="preserve">“苏采云”系统内免费下载</w:t>
      </w:r>
      <w:r>
        <w:rPr>
          <w:rFonts w:hint="eastAsia" w:ascii="宋体" w:hAnsi="宋体" w:eastAsia="宋体" w:cs="宋体"/>
          <w:color w:val="auto"/>
          <w:szCs w:val="21"/>
          <w:highlight w:val="none"/>
        </w:rPr>
        <w:t xml:space="preserve">招标文件，并于</w:t>
      </w:r>
      <w:r>
        <w:rPr>
          <w:rFonts w:hint="eastAsia" w:ascii="宋体" w:hAnsi="宋体" w:eastAsia="宋体" w:cs="宋体"/>
          <w:color w:val="auto"/>
          <w:szCs w:val="21"/>
          <w:highlight w:val="none"/>
          <w:u w:val="single"/>
        </w:rPr>
        <w:t xml:space="preserve"> 2026年</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 日</w:t>
      </w: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点30分</w:t>
      </w:r>
      <w:r>
        <w:rPr>
          <w:rFonts w:hint="eastAsia" w:ascii="宋体" w:hAnsi="宋体" w:eastAsia="宋体" w:cs="宋体"/>
          <w:color w:val="auto"/>
          <w:szCs w:val="21"/>
          <w:highlight w:val="none"/>
        </w:rPr>
        <w:t xml:space="preserve">（北京时间）前递交投标文件。</w:t>
      </w:r>
      <w:r/>
    </w:p>
    <w:p>
      <w:p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一、项目基本情况</w:t>
      </w:r>
      <w:r/>
    </w:p>
    <w:p>
      <w:pPr>
        <w:ind w:firstLine="48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1.1项目编号：JSZC-320000-NJJC-G2026-0066</w:t>
      </w:r>
      <w:r>
        <w:rPr>
          <w:rFonts w:hint="eastAsia" w:ascii="宋体" w:hAnsi="宋体" w:eastAsia="宋体" w:cs="宋体"/>
          <w:color w:val="auto"/>
          <w:szCs w:val="21"/>
          <w:highlight w:val="none"/>
          <w:lang w:val="en-US" w:eastAsia="zh-CN"/>
        </w:rPr>
        <w:t xml:space="preserve"> </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1.2项目名称：</w:t>
      </w:r>
      <w:r>
        <w:rPr>
          <w:rFonts w:hint="eastAsia" w:ascii="Arial" w:hAnsi="Arial" w:eastAsia="宋体" w:cs="Arial"/>
          <w:color w:val="auto"/>
          <w:highlight w:val="none"/>
        </w:rPr>
        <w:t xml:space="preserve">南京信息工程大学2026年毕业生宿舍出新项目</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1.3采购方式：公开招标 </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1.4预算金额：</w:t>
      </w:r>
      <w:r>
        <w:rPr>
          <w:rFonts w:hint="eastAsia" w:ascii="宋体" w:hAnsi="宋体" w:cs="宋体"/>
          <w:color w:val="auto"/>
          <w:szCs w:val="21"/>
          <w:highlight w:val="none"/>
        </w:rPr>
        <w:t xml:space="preserve">人民币</w:t>
      </w:r>
      <w:r>
        <w:rPr>
          <w:rFonts w:hint="eastAsia" w:ascii="宋体" w:hAnsi="宋体" w:eastAsia="宋体" w:cs="宋体"/>
          <w:color w:val="auto"/>
          <w:szCs w:val="21"/>
          <w:highlight w:val="none"/>
        </w:rPr>
        <w:t xml:space="preserve">190万元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1.5最高限价：</w:t>
      </w:r>
      <w:r>
        <w:rPr>
          <w:rFonts w:hint="eastAsia" w:ascii="宋体" w:hAnsi="宋体" w:cs="宋体"/>
          <w:color w:val="auto"/>
          <w:szCs w:val="21"/>
          <w:highlight w:val="none"/>
        </w:rPr>
        <w:t xml:space="preserve">人民币</w:t>
      </w:r>
      <w:r>
        <w:rPr>
          <w:rFonts w:hint="eastAsia" w:ascii="宋体" w:hAnsi="宋体" w:eastAsia="宋体" w:cs="宋体"/>
          <w:color w:val="auto"/>
          <w:szCs w:val="21"/>
          <w:highlight w:val="none"/>
        </w:rPr>
        <w:t xml:space="preserve">189.663306</w:t>
      </w:r>
      <w:r>
        <w:rPr>
          <w:rFonts w:hint="eastAsia" w:ascii="宋体" w:hAnsi="宋体" w:cs="宋体"/>
          <w:color w:val="auto"/>
          <w:szCs w:val="21"/>
          <w:highlight w:val="none"/>
        </w:rPr>
        <w:t xml:space="preserve">万元</w:t>
      </w:r>
      <w:r>
        <w:rPr>
          <w:rFonts w:hint="eastAsia" w:ascii="宋体" w:hAnsi="宋体" w:eastAsia="宋体" w:cs="宋体"/>
          <w:color w:val="auto"/>
          <w:szCs w:val="21"/>
          <w:highlight w:val="none"/>
        </w:rPr>
        <w:t xml:space="preserve">，超过最高限价为无效投标。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1.6采购需求：墙、顶面乳胶漆出新、吊顶更换、门窗换纱、隐形纱窗、普通金属纱窗、窗帘杆、轨道更换、窗帘布更换、护墙板、灯具更换等，具体详见工程量清单及招标文件。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cs="宋体"/>
          <w:color w:val="auto"/>
          <w:highlight w:val="none"/>
        </w:rPr>
        <w:t xml:space="preserve">合同履行期限：40日历天。</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Microsoft New Tai Lue"/>
          <w:bCs/>
          <w:color w:val="auto"/>
          <w:szCs w:val="21"/>
          <w:highlight w:val="none"/>
        </w:rPr>
        <w:t xml:space="preserve">1.8</w:t>
      </w:r>
      <w:r>
        <w:rPr>
          <w:rFonts w:hint="eastAsia" w:ascii="宋体" w:hAnsi="宋体" w:eastAsia="宋体" w:cs="宋体"/>
          <w:color w:val="auto"/>
          <w:szCs w:val="21"/>
          <w:highlight w:val="none"/>
        </w:rPr>
        <w:t xml:space="preserve">本项目不接受联合体投标</w:t>
      </w:r>
      <w:r/>
    </w:p>
    <w:p>
      <w:p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二、申请人的资格要求</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2.1满足《中华人民共和国政府采购法》第二十二条规定：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（1）具有独立承担民事责任的能力（提供法人或者其他组织的营业执照或自然人的身份证明扫描件加盖电子公章）；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（2）具有良好的商业信誉和健全的财务会计制度（提供经审计的2024或2025年度财务报告扫描件加盖电子公章，或提供投标截止时间前6个月内</w:t>
      </w:r>
      <w:bookmarkStart w:id="0" w:name="_Hlk212586715"/>
      <w:r>
        <w:rPr>
          <w:rFonts w:hint="eastAsia" w:ascii="宋体" w:hAnsi="宋体" w:eastAsia="宋体" w:cs="宋体"/>
          <w:color w:val="auto"/>
          <w:szCs w:val="21"/>
          <w:highlight w:val="none"/>
        </w:rPr>
        <w:t xml:space="preserve">（</w:t>
      </w:r>
      <w:bookmarkEnd w:id="0"/>
      <w:r>
        <w:rPr>
          <w:rFonts w:hint="eastAsia" w:ascii="宋体" w:hAnsi="宋体" w:eastAsia="宋体" w:cs="宋体"/>
          <w:color w:val="auto"/>
          <w:szCs w:val="21"/>
          <w:highlight w:val="none"/>
        </w:rPr>
        <w:t xml:space="preserve">即2025年12月以来）任意一个月的财务报表（至少包含利润表和资产负债表）扫描件加盖电子公章，</w:t>
      </w:r>
      <w:r>
        <w:rPr>
          <w:rFonts w:hint="eastAsia" w:ascii="宋体" w:hAnsi="宋体" w:eastAsia="宋体" w:cs="宋体"/>
          <w:color w:val="auto"/>
          <w:szCs w:val="21"/>
          <w:highlight w:val="none"/>
          <w:lang w:val="zh-TW"/>
        </w:rPr>
        <w:t xml:space="preserve">或银行出具的投标截止时间前6个月</w:t>
      </w:r>
      <w:r>
        <w:rPr>
          <w:rFonts w:hint="eastAsia" w:ascii="宋体" w:hAnsi="宋体" w:eastAsia="宋体" w:cs="宋体"/>
          <w:color w:val="auto"/>
          <w:szCs w:val="21"/>
          <w:highlight w:val="none"/>
        </w:rPr>
        <w:t xml:space="preserve">（即2025年12月以来）</w:t>
      </w:r>
      <w:r>
        <w:rPr>
          <w:rFonts w:hint="eastAsia" w:ascii="宋体" w:hAnsi="宋体" w:eastAsia="宋体" w:cs="宋体"/>
          <w:color w:val="auto"/>
          <w:szCs w:val="21"/>
          <w:highlight w:val="none"/>
          <w:lang w:val="zh-TW"/>
        </w:rPr>
        <w:t xml:space="preserve">内资信证书</w:t>
      </w:r>
      <w:r>
        <w:rPr>
          <w:rFonts w:hint="eastAsia" w:ascii="宋体" w:hAnsi="宋体" w:eastAsia="宋体" w:cs="宋体"/>
          <w:color w:val="auto"/>
          <w:szCs w:val="21"/>
          <w:highlight w:val="none"/>
        </w:rPr>
        <w:t xml:space="preserve">扫描</w:t>
      </w:r>
      <w:r>
        <w:rPr>
          <w:rFonts w:hint="eastAsia" w:ascii="宋体" w:hAnsi="宋体" w:eastAsia="宋体" w:cs="宋体"/>
          <w:color w:val="auto"/>
          <w:szCs w:val="21"/>
          <w:highlight w:val="none"/>
          <w:lang w:val="zh-TW"/>
        </w:rPr>
        <w:t xml:space="preserve">件加盖</w:t>
      </w:r>
      <w:r>
        <w:rPr>
          <w:rFonts w:hint="eastAsia" w:ascii="宋体" w:hAnsi="宋体" w:eastAsia="宋体" w:cs="宋体"/>
          <w:color w:val="auto"/>
          <w:szCs w:val="21"/>
          <w:highlight w:val="none"/>
        </w:rPr>
        <w:t xml:space="preserve">电子</w:t>
      </w:r>
      <w:r>
        <w:rPr>
          <w:rFonts w:hint="eastAsia" w:ascii="宋体" w:hAnsi="宋体" w:eastAsia="宋体" w:cs="宋体"/>
          <w:color w:val="auto"/>
          <w:szCs w:val="21"/>
          <w:highlight w:val="none"/>
          <w:lang w:val="zh-TW"/>
        </w:rPr>
        <w:t xml:space="preserve">公章，</w:t>
      </w:r>
      <w:r>
        <w:rPr>
          <w:rFonts w:hint="eastAsia" w:ascii="宋体" w:hAnsi="宋体" w:eastAsia="宋体" w:cs="宋体"/>
          <w:color w:val="auto"/>
          <w:szCs w:val="21"/>
          <w:highlight w:val="none"/>
        </w:rPr>
        <w:t xml:space="preserve">或财政部门认可的政府采购专业担保机构出具的投标担保函加盖电子公章）；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（6）法律、行政法规规定的其他条件。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2.2落实政府采购政策需要满足的资格条件：</w:t>
      </w:r>
      <w:r>
        <w:rPr>
          <w:rFonts w:hint="eastAsia" w:ascii="宋体" w:hAnsi="宋体" w:eastAsia="宋体" w:cs="宋体"/>
          <w:b/>
          <w:bCs/>
          <w:color w:val="auto"/>
          <w:szCs w:val="21"/>
          <w:highlight w:val="none"/>
        </w:rPr>
        <w:t xml:space="preserve">本项目采购金额是专门面向中小微企业，仅接受中小微企业供应商投标，非中小微企业供应商投标为无效投标。（提供中小微承诺函加盖公章，未提供视为无效投标）。</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2.3采购人根据项目的特殊要求规定的特定条件：</w:t>
      </w:r>
      <w:r>
        <w:rPr>
          <w:rFonts w:hint="eastAsia" w:ascii="宋体" w:hAnsi="宋体" w:eastAsia="宋体" w:cs="宋体"/>
          <w:b/>
          <w:color w:val="auto"/>
          <w:szCs w:val="21"/>
          <w:highlight w:val="none"/>
        </w:rPr>
        <w:t xml:space="preserve">（1）供应商具备建筑工程施工总承包三级（含）以上资质或建筑装修装饰工程专业承包二级(含)以上资质且同时具有有效期内的安全生产许可证（提供有效证书加盖公章）</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（2）项目负责人具备注册建造师证建筑工程二级(含)以上；并且具有有效的安全生产考核合格证书（B类证）（提供有效证书加盖公章）</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（3）项目负责人提供社保机构出具近六个月(</w:t>
      </w:r>
      <w:r>
        <w:rPr>
          <w:rFonts w:hint="eastAsia" w:ascii="宋体" w:hAnsi="宋体" w:eastAsia="宋体" w:cs="宋体"/>
          <w:b/>
          <w:color w:val="auto"/>
          <w:szCs w:val="21"/>
          <w:highlight w:val="none"/>
          <w:lang w:eastAsia="zh-CN"/>
        </w:rPr>
        <w:t xml:space="preserve">2026年1月至2026年6月</w:t>
      </w:r>
      <w:r>
        <w:rPr>
          <w:rFonts w:hint="eastAsia" w:ascii="宋体" w:hAnsi="宋体" w:eastAsia="宋体" w:cs="宋体"/>
          <w:b/>
          <w:color w:val="auto"/>
          <w:szCs w:val="21"/>
          <w:highlight w:val="none"/>
        </w:rPr>
        <w:t xml:space="preserve"> )任意一个月供应商为其缴纳的养老保险金缴费证明材料(并加盖社保中心章或社保中心参保缴费证明电子专用章)。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2.4拒绝下述供应商参加本次招标活动：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（2）凡为采购项目提供整体设计、规范编制或者项目管理、监理、检测等服务的供应商，不得再参加本项目的采购活动。</w:t>
      </w:r>
      <w:r/>
    </w:p>
    <w:p>
      <w:pPr>
        <w:ind w:firstLine="480"/>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（3）供应商被“信用中国”网站（www.creditchina.gov.cn）、“中国政府采购网”（www.ccgp.gov.cn） 列入失信被执行人、重大税收违法失信主体名单、政府采购严重违法失信行为记录名单。</w:t>
      </w:r>
      <w:r/>
    </w:p>
    <w:p>
      <w:p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三、获取招标文件</w:t>
      </w:r>
      <w:r/>
    </w:p>
    <w:p>
      <w:pPr>
        <w:ind w:firstLine="42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3.1时间：</w:t>
      </w:r>
      <w:r>
        <w:rPr>
          <w:rFonts w:hint="eastAsia" w:ascii="宋体" w:hAnsi="Arial" w:cs="宋体"/>
          <w:bCs/>
          <w:color w:val="auto"/>
          <w:szCs w:val="21"/>
          <w:highlight w:val="none"/>
        </w:rPr>
        <w:t xml:space="preserve">自招标文件公告发布之日起5个工作日。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3.2地点：“苏采云”系统内免费下载（投标人必须在苏采云系统中获取采购文件，方能参与本次政府采购项目）</w:t>
      </w:r>
      <w:r/>
    </w:p>
    <w:p>
      <w:pPr>
        <w:ind w:firstLine="420"/>
        <w:keepLines/>
        <w:keepNext/>
        <w:spacing w:before="20" w:after="20" w:line="360" w:lineRule="auto"/>
        <w:rPr>
          <w:rFonts w:ascii="宋体" w:hAnsi="Arial" w:cs="宋体"/>
          <w:bCs/>
          <w:color w:val="auto"/>
          <w:szCs w:val="21"/>
          <w:highlight w:val="none"/>
        </w:rPr>
      </w:pPr>
      <w:r>
        <w:rPr>
          <w:rFonts w:hint="eastAsia" w:ascii="宋体" w:hAnsi="宋体" w:eastAsia="宋体" w:cs="宋体"/>
          <w:color w:val="auto"/>
          <w:szCs w:val="21"/>
          <w:highlight w:val="none"/>
        </w:rPr>
        <w:t xml:space="preserve">3.3</w:t>
      </w:r>
      <w:r>
        <w:rPr>
          <w:rFonts w:hint="eastAsia" w:ascii="宋体" w:hAnsi="Arial" w:cs="宋体"/>
          <w:bCs/>
          <w:color w:val="auto"/>
          <w:szCs w:val="21"/>
          <w:highlight w:val="none"/>
        </w:rPr>
        <w:t xml:space="preserve">方式：苏采云系统注册登记成功后系统内免费下载。</w:t>
      </w:r>
      <w:r/>
    </w:p>
    <w:p>
      <w:pPr>
        <w:ind w:firstLine="420"/>
        <w:keepLines/>
        <w:keepNext/>
        <w:spacing w:before="20" w:after="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w:t>
      </w:r>
      <w:r>
        <w:rPr>
          <w:rFonts w:hint="eastAsia" w:ascii="宋体" w:hAnsi="Arial" w:cs="宋体"/>
          <w:bCs/>
          <w:color w:val="auto"/>
          <w:szCs w:val="21"/>
          <w:highlight w:val="none"/>
        </w:rPr>
        <w:t xml:space="preserve">售价：0元。</w:t>
      </w:r>
      <w:r/>
    </w:p>
    <w:p>
      <w:p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四、提交投标文件截止时间、开标时间和地点</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投标文件截止时间、开标时间：2026年7月9 日9点30分（北京时间）</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地点：</w:t>
      </w:r>
      <w:r>
        <w:rPr>
          <w:rFonts w:hint="eastAsia" w:ascii="宋体" w:hAnsi="Arial" w:eastAsia="宋体" w:cs="宋体"/>
          <w:bCs/>
          <w:color w:val="auto"/>
          <w:szCs w:val="21"/>
          <w:highlight w:val="none"/>
        </w:rPr>
        <w:t xml:space="preserve">“苏采云”系统（网址：http://jszfcg.jsczt.cn/）“开标大厅”</w:t>
      </w:r>
      <w:r/>
    </w:p>
    <w:p>
      <w:pPr>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五、公告期限</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自本公告发布之日起5个工作日</w:t>
      </w:r>
      <w:r/>
    </w:p>
    <w:p>
      <w:pPr>
        <w:numPr>
          <w:ilvl w:val="0"/>
          <w:numId w:val="2"/>
        </w:num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其他补充事宜</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w:t>
      </w:r>
      <w:r>
        <w:rPr>
          <w:rFonts w:hint="eastAsia" w:ascii="宋体" w:hAnsi="宋体" w:eastAsia="宋体" w:cs="宋体"/>
          <w:b/>
          <w:bCs/>
          <w:color w:val="auto"/>
          <w:szCs w:val="21"/>
          <w:highlight w:val="none"/>
        </w:rPr>
        <w:t xml:space="preserve">本项目采购标的对应的中小企业划分标准所属行业为：建筑业</w:t>
      </w:r>
      <w:r>
        <w:rPr>
          <w:rFonts w:hint="eastAsia" w:ascii="宋体" w:hAnsi="宋体" w:eastAsia="宋体" w:cs="宋体"/>
          <w:color w:val="auto"/>
          <w:szCs w:val="21"/>
          <w:highlight w:val="none"/>
        </w:rPr>
        <w:t xml:space="preserve">。</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6.2本次招标不收取投标保证金。</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6.3落实政府采购政策需满足：</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（1）《关于进一步加大政府采购支持中小企业力度的通知》</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（2）《关于政府采购支持监狱企业发展有关问题的通知》</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（3）《关于促进残疾人就业政府采购政策的通知》</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（4）《关于调整优化节能产品、环境标志产品政府采购执行机制的通知》</w:t>
      </w:r>
      <w:r/>
    </w:p>
    <w:p>
      <w:pPr>
        <w:ind w:firstLine="48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（5）《国务院办公厅关于在政府采购中实施本国产品标准及相关政策的通知》</w:t>
      </w:r>
      <w:r/>
    </w:p>
    <w:p>
      <w:pPr>
        <w:ind w:firstLine="420"/>
        <w:jc w:val="both"/>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6.4集中现场考察或答疑：本项目不组织。</w:t>
      </w:r>
      <w:r/>
    </w:p>
    <w:p>
      <w:pPr>
        <w:ind w:firstLine="420"/>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jc w:val="both"/>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七、对本次招标提出询问，请按以下方式联系</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7.1采购人</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名称：南京信息工程大学</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地址：南京市宁六路219号</w:t>
      </w:r>
      <w:r/>
    </w:p>
    <w:p>
      <w:pPr>
        <w:ind w:firstLine="420"/>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联系电话：025-58731127</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7.2招标代理机构</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名称：南京江城工程项目管理有限公司</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地址：南京市建邺区云龙山路89号龙湖时代1栋29楼</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联系人：曹雪</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电话：025-58066836</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7.3项目联系方式</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项目联系人：曹雪</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电　话： 025-58066836</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spacing w:before="240" w:after="240"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numPr>
          <w:ilvl w:val="0"/>
          <w:numId w:val="3"/>
        </w:numPr>
        <w:jc w:val="center"/>
        <w:spacing w:line="85"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 xml:space="preserve">投标供应商</w:t>
      </w:r>
      <w:r>
        <w:rPr>
          <w:rFonts w:ascii="宋体" w:hAnsi="宋体" w:eastAsia="宋体" w:cs="宋体"/>
          <w:b/>
          <w:color w:val="auto"/>
          <w:sz w:val="32"/>
          <w:highlight w:val="none"/>
        </w:rPr>
        <w:t xml:space="preserve">须知</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前附表</w:t>
      </w:r>
      <w:r/>
    </w:p>
    <w:tbl>
      <w:tblPr>
        <w:tblStyle w:val="877"/>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857"/>
        <w:gridCol w:w="6235"/>
      </w:tblGrid>
      <w:tr>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序号</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名称</w:t>
            </w:r>
            <w:r/>
          </w:p>
        </w:tc>
        <w:tc>
          <w:tcPr>
            <w:tcMar>
              <w:left w:w="108" w:type="dxa"/>
              <w:top w:w="0" w:type="dxa"/>
              <w:right w:w="108" w:type="dxa"/>
              <w:bottom w:w="0" w:type="dxa"/>
            </w:tcMar>
            <w:tcW w:w="664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内容</w:t>
            </w:r>
            <w:r/>
          </w:p>
        </w:tc>
      </w:tr>
      <w:tr>
        <w:trPr>
          <w:trHeight w:val="1285"/>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采购人</w:t>
            </w:r>
            <w:r/>
          </w:p>
        </w:tc>
        <w:tc>
          <w:tcPr>
            <w:tcMar>
              <w:left w:w="108" w:type="dxa"/>
              <w:top w:w="0" w:type="dxa"/>
              <w:right w:w="108" w:type="dxa"/>
              <w:bottom w:w="0" w:type="dxa"/>
            </w:tcMar>
            <w:tcW w:w="6643" w:type="dxa"/>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名称：南京信息工程大学</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地址：南京市宁六路219号</w:t>
            </w:r>
            <w:r/>
          </w:p>
          <w:p>
            <w:pPr>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联系电话：025-58731127</w:t>
            </w:r>
            <w:r/>
          </w:p>
        </w:tc>
      </w:tr>
      <w:tr>
        <w:trPr>
          <w:trHeight w:val="1383"/>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采购代理机构</w:t>
            </w:r>
            <w:r/>
          </w:p>
        </w:tc>
        <w:tc>
          <w:tcPr>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 称：南京江城工程项目管理有限公司　</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址：南京市建邺区云龙山路89号龙湖时代1栋29楼</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项目联系人：曹雪  </w:t>
            </w:r>
            <w:r/>
          </w:p>
          <w:p>
            <w:pPr>
              <w:spacing w:line="36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联系方式：025-58066836</w:t>
            </w:r>
            <w:r/>
          </w:p>
        </w:tc>
      </w:tr>
      <w:tr>
        <w:trPr>
          <w:trHeight w:val="610"/>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采购项目名称</w:t>
            </w:r>
            <w:r/>
          </w:p>
        </w:tc>
        <w:tc>
          <w:tcPr>
            <w:tcMar>
              <w:left w:w="108" w:type="dxa"/>
              <w:top w:w="0" w:type="dxa"/>
              <w:right w:w="108" w:type="dxa"/>
              <w:bottom w:w="0" w:type="dxa"/>
            </w:tcMar>
            <w:tcW w:w="6643" w:type="dxa"/>
            <w:vAlign w:val="center"/>
            <w:textDirection w:val="lrTb"/>
            <w:noWrap w:val="false"/>
          </w:tcPr>
          <w:p>
            <w:pPr>
              <w:jc w:val="both"/>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Arial"/>
                <w:color w:val="auto"/>
                <w:highlight w:val="none"/>
              </w:rPr>
              <w:t xml:space="preserve">南京信息工程大学2026年毕业生宿舍出新项目</w:t>
            </w:r>
            <w:r/>
          </w:p>
        </w:tc>
      </w:tr>
      <w:tr>
        <w:trPr>
          <w:trHeight w:val="490"/>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供货</w:t>
            </w:r>
            <w:r>
              <w:rPr>
                <w:rFonts w:ascii="宋体" w:hAnsi="宋体" w:eastAsia="宋体" w:cs="宋体"/>
                <w:color w:val="auto"/>
                <w:highlight w:val="none"/>
              </w:rPr>
              <w:t xml:space="preserve">地点</w:t>
            </w:r>
            <w:r/>
          </w:p>
        </w:tc>
        <w:tc>
          <w:tcPr>
            <w:tcMar>
              <w:left w:w="108" w:type="dxa"/>
              <w:top w:w="0" w:type="dxa"/>
              <w:right w:w="108" w:type="dxa"/>
              <w:bottom w:w="0" w:type="dxa"/>
            </w:tcMar>
            <w:tcW w:w="6643" w:type="dxa"/>
            <w:vAlign w:val="center"/>
            <w:textDirection w:val="lrTb"/>
            <w:noWrap w:val="false"/>
          </w:tcPr>
          <w:p>
            <w:pPr>
              <w:jc w:val="both"/>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eastAsia="宋体"/>
                <w:color w:val="auto"/>
                <w:highlight w:val="none"/>
              </w:rPr>
              <w:t xml:space="preserve">采购人指定地点</w:t>
            </w:r>
            <w:r/>
          </w:p>
        </w:tc>
      </w:tr>
      <w:tr>
        <w:trPr>
          <w:trHeight w:val="611"/>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资金来源</w:t>
            </w:r>
            <w:r/>
          </w:p>
        </w:tc>
        <w:tc>
          <w:tcPr>
            <w:tcMar>
              <w:left w:w="108" w:type="dxa"/>
              <w:top w:w="0" w:type="dxa"/>
              <w:right w:w="108" w:type="dxa"/>
              <w:bottom w:w="0" w:type="dxa"/>
            </w:tcMar>
            <w:tcW w:w="6643" w:type="dxa"/>
            <w:vAlign w:val="center"/>
            <w:textDirection w:val="lrTb"/>
            <w:noWrap w:val="false"/>
          </w:tcPr>
          <w:p>
            <w:pPr>
              <w:jc w:val="both"/>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财政资金</w:t>
            </w:r>
            <w:r/>
          </w:p>
        </w:tc>
      </w:tr>
      <w:tr>
        <w:trPr>
          <w:trHeight w:val="479"/>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评审方法</w:t>
            </w:r>
            <w:r/>
          </w:p>
        </w:tc>
        <w:tc>
          <w:tcPr>
            <w:tcMar>
              <w:left w:w="108" w:type="dxa"/>
              <w:top w:w="0" w:type="dxa"/>
              <w:right w:w="108" w:type="dxa"/>
              <w:bottom w:w="0" w:type="dxa"/>
            </w:tcMar>
            <w:tcW w:w="6643" w:type="dxa"/>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综合评分法</w:t>
            </w:r>
            <w:r/>
          </w:p>
        </w:tc>
      </w:tr>
      <w:tr>
        <w:trPr>
          <w:trHeight w:val="588"/>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投标有效期</w:t>
            </w:r>
            <w:r/>
          </w:p>
        </w:tc>
        <w:tc>
          <w:tcPr>
            <w:tcMar>
              <w:left w:w="108" w:type="dxa"/>
              <w:top w:w="0" w:type="dxa"/>
              <w:right w:w="108" w:type="dxa"/>
              <w:bottom w:w="0" w:type="dxa"/>
            </w:tcMar>
            <w:tcW w:w="6643" w:type="dxa"/>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提交投标文件截止之日起90日</w:t>
            </w:r>
            <w:r/>
          </w:p>
        </w:tc>
      </w:tr>
      <w:tr>
        <w:trPr>
          <w:trHeight w:val="601"/>
        </w:trPr>
        <w:tc>
          <w:tcPr>
            <w:tcMar>
              <w:left w:w="108" w:type="dxa"/>
              <w:top w:w="0" w:type="dxa"/>
              <w:right w:w="108" w:type="dxa"/>
              <w:bottom w:w="0" w:type="dxa"/>
            </w:tcMar>
            <w:tcW w:w="6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8</w:t>
            </w:r>
            <w:r/>
          </w:p>
        </w:tc>
        <w:tc>
          <w:tcPr>
            <w:tcMar>
              <w:left w:w="108" w:type="dxa"/>
              <w:top w:w="0" w:type="dxa"/>
              <w:right w:w="108" w:type="dxa"/>
              <w:bottom w:w="0" w:type="dxa"/>
            </w:tcMar>
            <w:tcW w:w="203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供应商资质要求</w:t>
            </w:r>
            <w:r/>
          </w:p>
        </w:tc>
        <w:tc>
          <w:tcPr>
            <w:tcMar>
              <w:left w:w="108" w:type="dxa"/>
              <w:top w:w="0" w:type="dxa"/>
              <w:right w:w="108" w:type="dxa"/>
              <w:bottom w:w="0" w:type="dxa"/>
            </w:tcMar>
            <w:tcW w:w="6643" w:type="dxa"/>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详见第一章 招标公告</w:t>
            </w:r>
            <w:r/>
          </w:p>
        </w:tc>
      </w:tr>
      <w:tr>
        <w:trPr>
          <w:trHeight w:val="601"/>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Cs w:val="21"/>
                <w:highlight w:val="none"/>
              </w:rPr>
              <w:t xml:space="preserve">信用信息</w:t>
            </w:r>
            <w:r/>
          </w:p>
        </w:tc>
        <w:tc>
          <w:tcPr>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1）信用信息查询渠道：“信用中国”网站、中国政府采购网等。</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3）信用信息查询记录和证据留存的具体方式：信用信息查询记录将以网站截图打印稿形式与采购文件一并保存。</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trHeight w:val="621"/>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投标文件份数</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电子投标文件一份(通过系统提交)；纸质投标文件正本一份，副本三份（</w:t>
            </w:r>
            <w:r>
              <w:rPr>
                <w:rFonts w:hint="eastAsia" w:ascii="宋体" w:hAnsi="宋体" w:eastAsia="宋体" w:cs="宋体"/>
                <w:b/>
                <w:bCs/>
                <w:color w:val="auto"/>
                <w:highlight w:val="none"/>
              </w:rPr>
              <w:t xml:space="preserve">评审结束后由中标人邮寄至采购代理机构，未中标单位不需要提供</w:t>
            </w:r>
            <w:r>
              <w:rPr>
                <w:rFonts w:hint="eastAsia" w:ascii="宋体" w:hAnsi="宋体" w:eastAsia="宋体" w:cs="宋体"/>
                <w:color w:val="auto"/>
                <w:highlight w:val="none"/>
              </w:rPr>
              <w:t xml:space="preserve">）。</w:t>
            </w:r>
            <w:r/>
          </w:p>
        </w:tc>
      </w:tr>
      <w:tr>
        <w:trPr>
          <w:trHeight w:val="90"/>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关于异常低价审查</w:t>
            </w:r>
            <w:r/>
          </w:p>
        </w:tc>
        <w:tc>
          <w:tcPr>
            <w:tcMar>
              <w:left w:w="108" w:type="dxa"/>
              <w:top w:w="0" w:type="dxa"/>
              <w:right w:w="108" w:type="dxa"/>
              <w:bottom w:w="0" w:type="dxa"/>
            </w:tcMar>
            <w:tcW w:w="6643" w:type="dxa"/>
            <w:vAlign w:val="center"/>
            <w:textDirection w:val="lrTb"/>
            <w:noWrap w:val="false"/>
          </w:tcPr>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根据《财政部关于推动解决政府采购异常低价问题的通知》（财库〔2026〕2 号）要求：</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评标过程中出现下列情形之一的，评标委员会应当启动异常低价投标（响应）审查程序：</w:t>
            </w:r>
            <w:r/>
          </w:p>
          <w:p>
            <w:pPr>
              <w:pStyle w:val="1147"/>
              <w:ind w:firstLine="0"/>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③投标（响应）报价低于采购项目最高限价45%的，即投标（响应）报价&lt;采购项目最高限价×45%；</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④评标委员会基于专业判断，认为供应商报价过低，有可能影响产品质量或者不能诚信履约的其他情形。</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47"/>
              <w:ind w:firstLine="0"/>
              <w:rPr>
                <w:rFonts w:hint="eastAsia" w:eastAsia="宋体" w:cs="宋体"/>
                <w:color w:val="auto"/>
                <w:szCs w:val="21"/>
                <w:highlight w:val="none"/>
              </w:rPr>
            </w:pPr>
            <w:r>
              <w:rPr>
                <w:rFonts w:hint="eastAsia" w:eastAsia="宋体" w:cs="宋体"/>
                <w:color w:val="auto"/>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tc>
      </w:tr>
      <w:tr>
        <w:trPr>
          <w:trHeight w:val="90"/>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w:t>
            </w:r>
            <w:r/>
          </w:p>
        </w:tc>
        <w:tc>
          <w:tcPr>
            <w:tcMar>
              <w:left w:w="108" w:type="dxa"/>
              <w:top w:w="0" w:type="dxa"/>
              <w:right w:w="108" w:type="dxa"/>
              <w:bottom w:w="0" w:type="dxa"/>
            </w:tcMar>
            <w:tcW w:w="2031" w:type="dxa"/>
            <w:vAlign w:val="center"/>
            <w:textDirection w:val="lrTb"/>
            <w:noWrap w:val="false"/>
          </w:tcPr>
          <w:p>
            <w:pPr>
              <w:pStyle w:val="1147"/>
              <w:ind w:firstLine="0"/>
              <w:jc w:val="center"/>
              <w:rPr>
                <w:rFonts w:hint="eastAsia" w:eastAsia="宋体" w:cs="宋体"/>
                <w:color w:val="auto"/>
                <w:sz w:val="21"/>
                <w:szCs w:val="21"/>
                <w:highlight w:val="none"/>
              </w:rPr>
            </w:pPr>
            <w:r>
              <w:rPr>
                <w:rFonts w:hint="eastAsia" w:eastAsia="宋体" w:cs="宋体"/>
                <w:color w:val="auto"/>
                <w:sz w:val="21"/>
                <w:szCs w:val="21"/>
                <w:highlight w:val="none"/>
              </w:rPr>
              <w:t xml:space="preserve">关于“苏采云”系统的提示说明</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6643" w:type="dxa"/>
            <w:vAlign w:val="center"/>
            <w:textDirection w:val="lrTb"/>
            <w:noWrap w:val="false"/>
          </w:tcPr>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1.潜在供应商访问电子招标响应交易平台的网络地址和方法：</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2.潜在供应商访问“苏采云”系统的网络地址和方法：“苏采云”系统的网址：http://jszfcg.jsczt.cn/。</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3.“CA数字证书”的获取：</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供应商需办理“CA数字证书”，CA办理指南及“苏采云”操作手册可至江苏省政府采购网―办事指南-资料下载中心下载。</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4.采购文件（后缀名为“.kedt”）、供应商操作手册及政府采购客户端工具可通过“苏采云”系统--已报名项目--报名详情页面内相应链接进行下载。</w:t>
            </w:r>
            <w:r/>
          </w:p>
          <w:p>
            <w:pPr>
              <w:pStyle w:val="1147"/>
              <w:ind w:firstLine="0"/>
              <w:rPr>
                <w:rFonts w:hint="eastAsia" w:eastAsia="宋体" w:cs="宋体"/>
                <w:color w:val="auto"/>
                <w:sz w:val="21"/>
                <w:szCs w:val="21"/>
                <w:highlight w:val="none"/>
              </w:rPr>
            </w:pPr>
            <w:r>
              <w:rPr>
                <w:rFonts w:hint="eastAsia" w:eastAsia="宋体" w:cs="宋体"/>
                <w:color w:val="auto"/>
                <w:sz w:val="21"/>
                <w:szCs w:val="21"/>
                <w:highlight w:val="none"/>
              </w:rPr>
              <w:t xml:space="preserve">5.请潜在供应商提前安装相应的控件（详见《江苏省政府采购管理交易系统（苏采云）供应商操作手册》）并使用谷歌浏览器登录“苏采云”系统参与不见面开评标。</w:t>
            </w:r>
            <w:r/>
          </w:p>
          <w:p>
            <w:pPr>
              <w:pStyle w:val="1147"/>
              <w:ind w:firstLine="0"/>
              <w:rPr>
                <w:rFonts w:hint="eastAsia" w:eastAsia="宋体" w:cs="宋体"/>
                <w:color w:val="auto"/>
                <w:sz w:val="21"/>
                <w:szCs w:val="21"/>
                <w:highlight w:val="none"/>
              </w:rPr>
            </w:pPr>
            <w:r>
              <w:rPr>
                <w:rFonts w:hint="eastAsia" w:eastAsia="宋体" w:cs="宋体"/>
                <w:b/>
                <w:bCs/>
                <w:color w:val="auto"/>
                <w:sz w:val="21"/>
                <w:szCs w:val="21"/>
                <w:highlight w:val="none"/>
              </w:rPr>
              <w:t xml:space="preserve">注：如潜在供应商未按上述要求操作，将自行承担所产生的风险。</w:t>
            </w:r>
            <w:r/>
          </w:p>
        </w:tc>
      </w:tr>
    </w:tbl>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一、总 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1.适用法律</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 《中华人民共和国政府采购法》等有关法律、规章和规定等。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2.供应商定义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 “供应商”是指参加投标竞争，并符合招标文件规定资格条件的法人、其他组织或者自然人。</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3.货物和服务、用户或使用单位定义。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“货物和服务”指本招标文件中所述产品及相关服务。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 “用户或使用单位”是指使用货物及接受服务的单位。</w:t>
      </w:r>
      <w:r/>
    </w:p>
    <w:p>
      <w:pPr>
        <w:ind w:firstLine="48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4.政策功能（本项目不执行）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4.1 中小企业政策</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（2）本项目非专门面向中小企业或小型、微型企业的项目，对符合规定的小微企业报价给予5%的扣除，用扣除后的价格参加评审。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4.2 </w:t>
      </w:r>
      <w:r>
        <w:rPr>
          <w:rFonts w:hint="eastAsia" w:ascii="宋体" w:hAnsi="宋体" w:eastAsia="宋体" w:cs="宋体"/>
          <w:color w:val="auto"/>
          <w:szCs w:val="21"/>
          <w:highlight w:val="none"/>
          <w:lang w:val="zh-CN"/>
        </w:rPr>
        <w:t xml:space="preserve">节能产品政策</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auto"/>
          <w:szCs w:val="21"/>
          <w:highlight w:val="none"/>
        </w:rPr>
        <w:t xml:space="preserve">评标标准</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4.3 </w:t>
      </w:r>
      <w:r>
        <w:rPr>
          <w:rFonts w:hint="eastAsia" w:ascii="宋体" w:hAnsi="宋体" w:eastAsia="宋体" w:cs="宋体"/>
          <w:color w:val="auto"/>
          <w:szCs w:val="21"/>
          <w:highlight w:val="none"/>
          <w:lang w:val="zh-CN"/>
        </w:rPr>
        <w:t xml:space="preserve">环境标志产品政策</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auto"/>
          <w:szCs w:val="21"/>
          <w:highlight w:val="none"/>
        </w:rPr>
        <w:t xml:space="preserve">评标标准</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4.4 进口产品政策</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（2）允许进口产品参加的，满足需求的国内产品可以参加。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二、招标文件构成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 招标文件由以下部分组成：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第一章 招标公告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color w:val="auto"/>
          <w:highlight w:val="none"/>
        </w:rPr>
        <w:fldChar w:fldCharType="separate"/>
      </w:r>
      <w:r>
        <w:rPr>
          <w:rFonts w:hint="eastAsia" w:ascii="宋体" w:hAnsi="宋体" w:eastAsia="宋体" w:cs="宋体"/>
          <w:color w:val="auto"/>
          <w:szCs w:val="21"/>
          <w:highlight w:val="none"/>
        </w:rPr>
        <w:t xml:space="preserve">第二章  投标供应商须知</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color w:val="auto"/>
          <w:highlight w:val="none"/>
        </w:rPr>
        <w:fldChar w:fldCharType="separate"/>
      </w:r>
      <w:r>
        <w:rPr>
          <w:rFonts w:hint="eastAsia" w:ascii="宋体" w:hAnsi="宋体" w:eastAsia="宋体" w:cs="宋体"/>
          <w:color w:val="auto"/>
          <w:szCs w:val="21"/>
          <w:highlight w:val="none"/>
        </w:rPr>
        <w:t xml:space="preserve">第三章 评标标准</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color w:val="auto"/>
          <w:highlight w:val="none"/>
        </w:rPr>
        <w:fldChar w:fldCharType="separate"/>
      </w:r>
      <w:r>
        <w:rPr>
          <w:rFonts w:hint="eastAsia" w:ascii="宋体" w:hAnsi="宋体" w:eastAsia="宋体" w:cs="宋体"/>
          <w:color w:val="auto"/>
          <w:szCs w:val="21"/>
          <w:highlight w:val="none"/>
        </w:rPr>
        <w:t xml:space="preserve">第四章 招标项目的技术规格、要求和数量等</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color w:val="auto"/>
          <w:highlight w:val="none"/>
        </w:rPr>
        <w:fldChar w:fldCharType="separate"/>
      </w:r>
      <w:r>
        <w:rPr>
          <w:rFonts w:hint="eastAsia" w:ascii="宋体" w:hAnsi="宋体" w:eastAsia="宋体" w:cs="宋体"/>
          <w:color w:val="auto"/>
          <w:szCs w:val="21"/>
          <w:highlight w:val="none"/>
        </w:rPr>
        <w:t xml:space="preserve">第五章 合同草案条款及格式</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color w:val="auto"/>
          <w:highlight w:val="none"/>
        </w:rPr>
        <w:fldChar w:fldCharType="separate"/>
      </w:r>
      <w:r>
        <w:rPr>
          <w:rFonts w:hint="eastAsia" w:ascii="宋体" w:hAnsi="宋体" w:eastAsia="宋体" w:cs="宋体"/>
          <w:color w:val="auto"/>
          <w:szCs w:val="21"/>
          <w:highlight w:val="none"/>
        </w:rPr>
        <w:t xml:space="preserve">第六章 投标文件格式</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5.3 代理机构如果要求供应商按照招标文件规定提交备选供应商方案的，供应商可以提交备选方案；否则，备选方案将被拒绝。</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6.招标文件的澄清、补充或修改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三、投标文件的编制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7.投标文件的语言、计量单位、货币和编制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 供应商所使用的计量单位应为国家法定计量单位。</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7.3 供应商应用人民币报价。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8.投标文件的组成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8.2投标文件由商务部分、技术部分、价格部分以及其他部分组成。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9.投标文件的商务部分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（1）★投标函（投标申请及声明）；</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（2）★法定代表人授权委托书及委托代理人的身份证明文件的扫描件；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（3）★第一章投标邀请书中《中华人民共和国政府采购法》规定的资格条件证明文件；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（4）第一章投标邀请书中采购人根据采购项目的特殊要求规定的特定条件证明文件；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（5）★《开标一览表》；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（6）★工程量清单；</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（7）★《商务条款偏离表》；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（8）合同草案条款；</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（9）供应商认为需要提供的其他资格证明文件和商务资料。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10.投标文件的技术部分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（1）技术说明和服务方案；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（2）★《技术条款偏离表》；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（3）服务承诺；</w:t>
      </w:r>
      <w:r/>
    </w:p>
    <w:p>
      <w:pPr>
        <w:ind w:firstLine="688"/>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（4）供应商拟投入本项目的设备、人员情况一览表；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（5）供应商认为需要提供的其他技术资料。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11.投标文件的价格部分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11.3 供应商的任何错漏、优惠、竞争性报价不得作为减轻责任、减少货物/服务、增加收费、降低质量的理由。</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11.6 本项目预算及</w:t>
      </w:r>
      <w:r>
        <w:rPr>
          <w:rFonts w:hint="eastAsia" w:ascii="宋体" w:hAnsi="宋体" w:eastAsia="宋体" w:cs="宋体"/>
          <w:b/>
          <w:bCs/>
          <w:color w:val="auto"/>
          <w:szCs w:val="21"/>
          <w:highlight w:val="none"/>
        </w:rPr>
        <w:t xml:space="preserve">最高限价</w:t>
      </w:r>
      <w:r>
        <w:rPr>
          <w:rFonts w:hint="eastAsia" w:ascii="宋体" w:hAnsi="宋体" w:eastAsia="宋体" w:cs="宋体"/>
          <w:color w:val="auto"/>
          <w:szCs w:val="21"/>
          <w:highlight w:val="none"/>
        </w:rPr>
        <w:t xml:space="preserve">详见招标公告，供应商的投标报价不得超过预算或</w:t>
      </w:r>
      <w:r>
        <w:rPr>
          <w:rFonts w:hint="eastAsia" w:ascii="宋体" w:hAnsi="宋体" w:eastAsia="宋体" w:cs="宋体"/>
          <w:b/>
          <w:bCs/>
          <w:color w:val="auto"/>
          <w:szCs w:val="21"/>
          <w:highlight w:val="none"/>
        </w:rPr>
        <w:t xml:space="preserve">最高限价</w:t>
      </w:r>
      <w:r>
        <w:rPr>
          <w:rFonts w:hint="eastAsia" w:ascii="宋体" w:hAnsi="宋体" w:eastAsia="宋体" w:cs="宋体"/>
          <w:color w:val="auto"/>
          <w:szCs w:val="21"/>
          <w:highlight w:val="none"/>
        </w:rPr>
        <w:t xml:space="preserve">。超过预算或</w:t>
      </w:r>
      <w:r>
        <w:rPr>
          <w:rFonts w:hint="eastAsia" w:ascii="宋体" w:hAnsi="宋体" w:eastAsia="宋体" w:cs="宋体"/>
          <w:b/>
          <w:bCs/>
          <w:color w:val="auto"/>
          <w:szCs w:val="21"/>
          <w:highlight w:val="none"/>
        </w:rPr>
        <w:t xml:space="preserve">最高限价</w:t>
      </w:r>
      <w:r>
        <w:rPr>
          <w:rFonts w:hint="eastAsia" w:ascii="宋体" w:hAnsi="宋体" w:eastAsia="宋体" w:cs="宋体"/>
          <w:color w:val="auto"/>
          <w:szCs w:val="21"/>
          <w:highlight w:val="none"/>
        </w:rPr>
        <w:t xml:space="preserve">的投标文件，按无效投标处理。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12.投标文件的其他部分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12.1 其他部分由供应商根据编制投标文件需要提供的其他相关文件。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13.投标保证金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本项目无需缴纳投标保证金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14.投标有效期</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 自开标之日起90天内投标有效。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15.投标文件签署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 投标文件由投标供应商法定代表人或经正式授权并对投标供应商有约束力的委托代理人签字。</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16.投标费用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 供应商应承担所有与准备和参加投标有关的费用，无论采购结果如何，代理机构和采购人在任何情况下均无义务和责任承担这些费用。</w:t>
      </w:r>
      <w:r/>
    </w:p>
    <w:p>
      <w:pPr>
        <w:ind w:firstLine="48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16.2 《政府采购代理机构管理暂行办法》（财库[2018】2号）第十五条规定；为提高采购效率、简化资金支付流程、符合行业惯例、不增加财政预算负担，招标代理服务费参照《招标代理服务费管理暂行办法》（国家发展计划委员会计价格【2002】1980号）代理服务招标收费基准优惠率50%计算；以上费用由中标供应商在领取中标通知书前一次性向招标代理机构支付招标服务费，不足3000元按3000元计取，以上费用请在投标报价中考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四、投标文件的递交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17.投标文件的递交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 电子投标文件的递交：投标人应当按照《操作手册》规定，在投标截止时间前制作并上传电子投标文件。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18.有下列情形的投标文件将拒收：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 采购人（代理机构）拒绝接收在其规定的投标截止时间后上传的任何投标文件。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19.投标文件的修改和撤回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 投标文件的撤回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19.1.1 电子投标文件的撤回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19.1.2 投标人撤回电子投标文件，则认为其不再参与本项目投标活动。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 投标文件的修改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19.2.2 在投标截止时间之后，投标人不得对其电子投标文件作任何修改。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19.3 在投标截止时间至招标文件中规定的投标有效期满之间的这段时间内，投标人不得撤回其投标文件。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20.诚实信用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 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20.2 投标供应商不得以向代理机构工作人员、评标委员会成员行贿或者采取其他不正当手段谋取中标。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五、开标、评标与定标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21.开标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21.2 开标仪式由代理机构组织。苏采云系统将自动对项目进行开标，并宣布各投标人名称和投标价格。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21.5 开标时，《开标一览表》内容与投标文件中明细表内容不一致的，以《开标一览表》为准。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21.7 投标截止时间结束后参加投标的供应商不足三家的，不得开标。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22.评标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 评标组织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22.1.1 评标工作由代理机构负责组织，具体评标事务由依法组建的评标委员会负责，并独立履行下列职责：</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（1）审查投标文件是否符合招标文件要求，并作出评价；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（2）要求投标供应商对投标文件有关事项作出解释或者澄清；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（3）推荐中标候选供应商名单，或者按照招标文件规定直接确定中标供应商；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（4）向代理机构或者有关部门报告非法干预评标工作的行为。</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22.1.2 评标委员会由采购人代表和有关技术方面的专家组成，独立开展评审工作。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 评标程序</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（1）不具备招标文件中规定的资格条件的；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（2）未按照招标文件规定要求签署、盖章的 ；</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（3）供应商被“信用中国”网站（www.creditchina.gov.cn）、“中国政府采购网”（www.ccgp.gov.cn）列入失信被执行人、重大税收违法失信主体名单、政府采购严重违法失信行为记录名单的。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（4）未实质性响应招标要求的；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（5）提供虚假材料的（包括营业执照、财务报表、资格证明文件等）；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（7）改变采购文件提供的项目工程量清单中的计量单位、数量、特征描述、不可竞争费；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（8）响应文件载明的采购项目完成期限超过采购文件规定的期限；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（9）明显不符合技术规范、技术标准的要求；</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（10）不同投标人的投标文件以及投标文件制作过程出现了评标委员会认为不应当雷同的情况的。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（11）法律法规和招标文件规定的其他无效情形。</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（12）不符合法律法规和采购文件规定的其他实质性要求的。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22.2.2.1 实质性要求是指：本招标文件第二章投标供应商须知中加“★”项要求、第四章中加“★”项内容。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22.2.2.2有下列情形之一的予以废标，同时将废标理由通知所有供应商：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（1）符合专业条件的供应商或者对招标文件做实质性响应的供应商不足三家的；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（2）出现影响采购公正的违法、违规行为的；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（3）供应商的报价均超过了采购预算或者最高限价的，采购人不能支付的；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（4）因重大变故，采购任务取消的。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（5）投标文件存在歧义、重大缺陷，或者招标文件内容违反国家有关强制性规定的。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22.2.2.3 在评标期间，出现符合专业条件的供应商或者对招标文件作出实质性响应的供应商不足三家情形的，不得继续进行评标。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22.2.3 澄清有关问题。对投标文件中含义不明确</w:t>
      </w:r>
      <w:r>
        <w:rPr>
          <w:rFonts w:hint="eastAsia" w:ascii="宋体" w:hAnsi="宋体" w:eastAsia="宋体" w:cs="宋体"/>
          <w:color w:val="auto"/>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22.2.4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 评标方法和标准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供应商的最终得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22.3.2 综合评分的主要因素是：价格、商务部分、技术部分等；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22.3.3 评分标准详见第三章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 中标候选人确定后，默认按照以下第（2）种方式确定中标供应商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（1）评标委员会直接确定排名第一的中标候选人为中标供应商；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（2）采购人在评标报告确定的中标候选人名单中按顺序确定中标供应商。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23.4 中标通知书对采购人和中标供应商具有同等法律效力。</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23.7 代理机构对未中标的投标供应商不作未中标原因的解释。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23.8 所有投标文件都将作为档案保存，不论中标与否，代理机构均不退回。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24.编写评标报告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 评标委员会根据全体评标成员签字的原始评标记录和评标结果编写评标报告。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25.评标过程的保密性</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 代理机构将采取必要措施，保证评标在严格保密的情况下进行。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 任何单位和个人不得非法干预、影响评标办法的确定，以及评标过程和结果。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 凡是与审查、澄清、评价和比较投标的有关资料等，均不向投标供应商及与评标无关的其他人员透露。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六、签订合同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26.签订合同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 中标供应商因不可抗力或者自身原因不能履行政府采购合同的，采购人可以重新招标。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七、质疑和投诉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27.质疑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上述应知其权益受到损害之日，是指：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（2）对采购过程提出质疑的，为各采购程序环节结束之日；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质疑文件接收信息：</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（1）接收单位：采购代理机构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（2）联 系 人：曹雪  </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（3）联系电话：025-58066836</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（4）联系邮箱：274365730@qq.com</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（5）接收地址：南京市建邺区云龙山路89号龙湖时代1栋29楼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（6）邮  编：210019</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（1）质疑项目名称、项目编号、招标公告发布时间、开标时间；</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（2）具体的质疑事项及法律依据（具体条款）；</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（3）质疑相关证明文件或证明材料，如果涉及产品功能或技术指标的，应出具相关制造商的证明文件；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（4）质疑供应商名称、地址、联系方式（包括手机、传真号码）；</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28.投诉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 质疑投标供应商对代理机构的答复不满意，或代理机构未在规定的时间内作出答复的，可以在答复期满后十五个工作日内向采购人同级财政部门投诉。</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28"/>
        <w:jc w:val="center"/>
        <w:spacing w:before="0" w:after="0" w:line="85"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第三章评标标准</w:t>
      </w:r>
      <w:r/>
    </w:p>
    <w:p>
      <w:pPr>
        <w:ind w:firstLine="420"/>
        <w:spacing w:line="360" w:lineRule="auto"/>
        <w:rPr>
          <w:color w:val="auto"/>
          <w:highlight w:val="none"/>
        </w:rPr>
      </w:pPr>
      <w:r>
        <w:rPr>
          <w:rFonts w:hint="eastAsia"/>
          <w:color w:val="auto"/>
          <w:highlight w:val="none"/>
        </w:rPr>
        <w:t xml:space="preserve">本</w:t>
      </w:r>
      <w:r>
        <w:rPr>
          <w:rFonts w:hint="eastAsia" w:eastAsia="宋体"/>
          <w:color w:val="auto"/>
          <w:highlight w:val="none"/>
        </w:rPr>
        <w:t xml:space="preserve">项目采用综合评分法，</w:t>
      </w:r>
      <w:r>
        <w:rPr>
          <w:rFonts w:hint="eastAsia"/>
          <w:color w:val="auto"/>
          <w:highlight w:val="none"/>
        </w:rPr>
        <w:t xml:space="preserve">评标委员会按照招标文件中规定的各项因素进行综合评审，由采购人代表及评委各自独立打分，取评标委员会所有成员打分的平均值；汇总上述分值后为每一家</w:t>
      </w:r>
      <w:r>
        <w:rPr>
          <w:rFonts w:hint="eastAsia" w:eastAsia="宋体"/>
          <w:color w:val="auto"/>
          <w:highlight w:val="none"/>
        </w:rPr>
        <w:t xml:space="preserve">供应商</w:t>
      </w:r>
      <w:r>
        <w:rPr>
          <w:rFonts w:hint="eastAsia"/>
          <w:color w:val="auto"/>
          <w:highlight w:val="none"/>
        </w:rPr>
        <w:t xml:space="preserve">的最终得分。</w:t>
      </w:r>
      <w:r/>
    </w:p>
    <w:p>
      <w:pPr>
        <w:ind w:firstLine="420"/>
        <w:spacing w:line="360" w:lineRule="auto"/>
        <w:rPr>
          <w:rFonts w:hint="eastAsia" w:ascii="宋体" w:hAnsi="宋体" w:eastAsia="宋体" w:cs="宋体"/>
          <w:color w:val="auto"/>
          <w:szCs w:val="21"/>
          <w:highlight w:val="none"/>
        </w:rPr>
      </w:pPr>
      <w:r>
        <w:rPr>
          <w:rFonts w:hint="eastAsia"/>
          <w:color w:val="auto"/>
          <w:highlight w:val="none"/>
          <w:lang w:val="zh-TW"/>
        </w:rPr>
        <w:t xml:space="preserve">根据各</w:t>
      </w:r>
      <w:r>
        <w:rPr>
          <w:rFonts w:hint="eastAsia" w:eastAsia="宋体"/>
          <w:color w:val="auto"/>
          <w:highlight w:val="none"/>
        </w:rPr>
        <w:t xml:space="preserve">供应商</w:t>
      </w:r>
      <w:r>
        <w:rPr>
          <w:rFonts w:hint="eastAsia"/>
          <w:color w:val="auto"/>
          <w:highlight w:val="none"/>
          <w:lang w:val="zh-TW"/>
        </w:rPr>
        <w:t xml:space="preserve">最终得分由高到低进行排名，得分相同的，按投标报价由低到高顺序排列</w:t>
      </w:r>
      <w:r>
        <w:rPr>
          <w:rFonts w:hint="eastAsia" w:eastAsia="宋体"/>
          <w:color w:val="auto"/>
          <w:highlight w:val="none"/>
          <w:lang w:val="zh-TW"/>
        </w:rPr>
        <w:t xml:space="preserve">；</w:t>
      </w:r>
      <w:r>
        <w:rPr>
          <w:rFonts w:hint="eastAsia"/>
          <w:color w:val="auto"/>
          <w:highlight w:val="none"/>
          <w:lang w:val="zh-TW"/>
        </w:rPr>
        <w:t xml:space="preserve">得分且投标报价相同的，按</w:t>
      </w:r>
      <w:r>
        <w:rPr>
          <w:rFonts w:hint="eastAsia" w:eastAsia="宋体"/>
          <w:color w:val="auto"/>
          <w:highlight w:val="none"/>
        </w:rPr>
        <w:t xml:space="preserve">技术响应部分</w:t>
      </w:r>
      <w:r>
        <w:rPr>
          <w:rFonts w:hint="eastAsia"/>
          <w:color w:val="auto"/>
          <w:highlight w:val="none"/>
          <w:lang w:val="zh-TW"/>
        </w:rPr>
        <w:t xml:space="preserve">优劣顺序排列。评标委员会将</w:t>
      </w:r>
      <w:r>
        <w:rPr>
          <w:rFonts w:hint="eastAsia" w:ascii="宋体" w:hAnsi="宋体" w:eastAsia="宋体" w:cs="宋体"/>
          <w:color w:val="auto"/>
          <w:szCs w:val="21"/>
          <w:highlight w:val="none"/>
        </w:rPr>
        <w:t xml:space="preserve">推荐三名中标候选人。</w:t>
      </w:r>
      <w:r/>
    </w:p>
    <w:tbl>
      <w:tblPr>
        <w:tblStyle w:val="877"/>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851"/>
        <w:gridCol w:w="6931"/>
        <w:gridCol w:w="793"/>
      </w:tblGrid>
      <w:tr>
        <w:trPr>
          <w:jc w:val="center"/>
          <w:trHeight w:val="478"/>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spacing w:before="88" w:after="120" w:line="360" w:lineRule="auto"/>
              <w:widowControl w:val="off"/>
              <w:rPr>
                <w:rFonts w:ascii="宋体" w:cs="宋体"/>
                <w:color w:val="auto"/>
                <w:szCs w:val="21"/>
                <w:highlight w:val="none"/>
              </w:rPr>
            </w:pPr>
            <w:r>
              <w:rPr>
                <w:rFonts w:hint="eastAsia" w:asci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before="88" w:after="120" w:line="360" w:lineRule="auto"/>
              <w:widowControl w:val="off"/>
              <w:rPr>
                <w:rFonts w:ascii="宋体" w:cs="宋体"/>
                <w:color w:val="auto"/>
                <w:szCs w:val="21"/>
                <w:highlight w:val="none"/>
              </w:rPr>
            </w:pPr>
            <w:r>
              <w:rPr>
                <w:rFonts w:hint="eastAsia" w:ascii="宋体" w:cs="宋体"/>
                <w:color w:val="auto"/>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ind w:right="34"/>
              <w:jc w:val="center"/>
              <w:spacing w:before="88" w:after="120" w:line="360" w:lineRule="auto"/>
              <w:widowControl w:val="off"/>
              <w:rPr>
                <w:rFonts w:ascii="宋体" w:cs="宋体"/>
                <w:color w:val="auto"/>
                <w:szCs w:val="21"/>
                <w:highlight w:val="none"/>
              </w:rPr>
            </w:pPr>
            <w:r>
              <w:rPr>
                <w:rFonts w:hint="eastAsia" w:ascii="宋体" w:cs="宋体"/>
                <w:color w:val="auto"/>
                <w:szCs w:val="21"/>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both"/>
              <w:spacing w:before="88" w:after="120" w:line="360" w:lineRule="auto"/>
              <w:widowControl w:val="off"/>
              <w:rPr>
                <w:rFonts w:ascii="宋体" w:cs="宋体"/>
                <w:color w:val="auto"/>
                <w:szCs w:val="21"/>
                <w:highlight w:val="none"/>
              </w:rPr>
            </w:pPr>
            <w:r>
              <w:rPr>
                <w:rFonts w:hint="eastAsia" w:ascii="宋体" w:cs="宋体"/>
                <w:color w:val="auto"/>
                <w:szCs w:val="21"/>
                <w:highlight w:val="none"/>
              </w:rPr>
              <w:t xml:space="preserve">分值</w:t>
            </w:r>
            <w:r/>
          </w:p>
        </w:tc>
      </w:tr>
      <w:tr>
        <w:trPr>
          <w:jc w:val="center"/>
          <w:trHeight w:val="341"/>
        </w:trPr>
        <w:tc>
          <w:tcPr>
            <w:gridSpan w:val="4"/>
            <w:tcBorders>
              <w:top w:val="single" w:color="000000" w:sz="4" w:space="0"/>
              <w:left w:val="single" w:color="000000" w:sz="4" w:space="0"/>
              <w:bottom w:val="single" w:color="000000" w:sz="4" w:space="0"/>
              <w:right w:val="single" w:color="000000" w:sz="4" w:space="0"/>
            </w:tcBorders>
            <w:tcW w:w="9194" w:type="dxa"/>
            <w:vAlign w:val="center"/>
            <w:textDirection w:val="lrTb"/>
            <w:noWrap w:val="false"/>
          </w:tcPr>
          <w:p>
            <w:pPr>
              <w:jc w:val="both"/>
              <w:spacing w:line="360" w:lineRule="auto"/>
              <w:widowControl w:val="off"/>
              <w:rPr>
                <w:rFonts w:ascii="宋体" w:cs="宋体"/>
                <w:color w:val="auto"/>
                <w:szCs w:val="21"/>
                <w:highlight w:val="none"/>
              </w:rPr>
            </w:pPr>
            <w:r>
              <w:rPr>
                <w:rFonts w:hint="eastAsia" w:ascii="宋体" w:cs="宋体"/>
                <w:color w:val="auto"/>
                <w:szCs w:val="21"/>
                <w:highlight w:val="none"/>
              </w:rPr>
              <w:t xml:space="preserve">1、价格部分</w:t>
            </w:r>
            <w:r/>
          </w:p>
        </w:tc>
      </w:tr>
      <w:tr>
        <w:trPr>
          <w:jc w:val="center"/>
          <w:trHeight w:val="1159"/>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spacing w:after="120" w:line="360" w:lineRule="auto"/>
              <w:widowControl w:val="off"/>
              <w:rPr>
                <w:rFonts w:ascii="宋体" w:cs="宋体"/>
                <w:color w:val="auto"/>
                <w:szCs w:val="21"/>
                <w:highlight w:val="none"/>
              </w:rPr>
            </w:pPr>
            <w:r>
              <w:rPr>
                <w:rFonts w:hint="eastAsia" w:asci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right="155"/>
              <w:jc w:val="center"/>
              <w:spacing w:after="120" w:line="360" w:lineRule="auto"/>
              <w:widowControl w:val="off"/>
              <w:rPr>
                <w:rFonts w:ascii="宋体" w:cs="宋体"/>
                <w:color w:val="auto"/>
                <w:szCs w:val="21"/>
                <w:highlight w:val="none"/>
              </w:rPr>
            </w:pPr>
            <w:r>
              <w:rPr>
                <w:rFonts w:hint="eastAsia" w:asci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jc w:val="both"/>
              <w:spacing w:line="360" w:lineRule="auto"/>
              <w:widowControl w:val="off"/>
              <w:rPr>
                <w:rFonts w:ascii="宋体" w:cs="宋体"/>
                <w:color w:val="auto"/>
                <w:szCs w:val="21"/>
                <w:highlight w:val="none"/>
              </w:rPr>
            </w:pPr>
            <w:r>
              <w:rPr>
                <w:rFonts w:hint="eastAsia" w:ascii="宋体" w:cs="宋体"/>
                <w:color w:val="auto"/>
                <w:szCs w:val="21"/>
                <w:highlight w:val="none"/>
              </w:rPr>
              <w:t xml:space="preserve">价格分采用低价优先法计算，即满足招标文件要求且投标价格最低的投标报价为评标基准价，其价格分为满分55分。其他供应商的价格分按照下列公式计算：</w:t>
            </w:r>
            <w:r/>
          </w:p>
          <w:p>
            <w:pPr>
              <w:jc w:val="both"/>
              <w:spacing w:line="360" w:lineRule="auto"/>
              <w:widowControl w:val="off"/>
              <w:rPr>
                <w:rFonts w:ascii="宋体" w:cs="宋体"/>
                <w:color w:val="auto"/>
                <w:szCs w:val="21"/>
                <w:highlight w:val="none"/>
              </w:rPr>
            </w:pPr>
            <w:r>
              <w:rPr>
                <w:rFonts w:hint="eastAsia" w:ascii="宋体" w:cs="宋体"/>
                <w:color w:val="auto"/>
                <w:szCs w:val="21"/>
                <w:highlight w:val="none"/>
              </w:rPr>
              <w:t xml:space="preserve">投标报价得分=（评标基准价／投标报价）×55（精确到小数点后两位）</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widowControl w:val="off"/>
              <w:rPr>
                <w:rFonts w:ascii="宋体" w:cs="宋体"/>
                <w:color w:val="auto"/>
                <w:szCs w:val="21"/>
                <w:highlight w:val="none"/>
              </w:rPr>
            </w:pPr>
            <w:r>
              <w:rPr>
                <w:rFonts w:hint="eastAsia" w:ascii="宋体" w:cs="宋体"/>
                <w:color w:val="auto"/>
                <w:szCs w:val="21"/>
                <w:highlight w:val="none"/>
              </w:rPr>
              <w:t xml:space="preserve">55</w:t>
            </w:r>
            <w:r/>
          </w:p>
        </w:tc>
      </w:tr>
      <w:tr>
        <w:trPr>
          <w:jc w:val="center"/>
          <w:trHeight w:val="411"/>
        </w:trPr>
        <w:tc>
          <w:tcPr>
            <w:gridSpan w:val="4"/>
            <w:tcBorders>
              <w:top w:val="single" w:color="000000" w:sz="4" w:space="0"/>
              <w:left w:val="single" w:color="000000" w:sz="4" w:space="0"/>
              <w:bottom w:val="single" w:color="000000" w:sz="4" w:space="0"/>
              <w:right w:val="single" w:color="000000" w:sz="4" w:space="0"/>
            </w:tcBorders>
            <w:tcW w:w="9194" w:type="dxa"/>
            <w:vAlign w:val="center"/>
            <w:textDirection w:val="lrTb"/>
            <w:noWrap w:val="false"/>
          </w:tcPr>
          <w:p>
            <w:pPr>
              <w:jc w:val="both"/>
              <w:spacing w:line="360" w:lineRule="auto"/>
              <w:widowControl w:val="off"/>
              <w:rPr>
                <w:rFonts w:ascii="宋体" w:cs="宋体"/>
                <w:color w:val="auto"/>
                <w:szCs w:val="21"/>
                <w:highlight w:val="none"/>
              </w:rPr>
            </w:pPr>
            <w:r>
              <w:rPr>
                <w:rFonts w:hint="eastAsia" w:ascii="宋体" w:cs="宋体"/>
                <w:color w:val="auto"/>
                <w:szCs w:val="21"/>
                <w:highlight w:val="none"/>
              </w:rPr>
              <w:t xml:space="preserve">2、技术部分</w:t>
            </w:r>
            <w:r/>
          </w:p>
        </w:tc>
      </w:tr>
      <w:tr>
        <w:trPr>
          <w:jc w:val="center"/>
          <w:trHeight w:val="1060"/>
        </w:trPr>
        <w:tc>
          <w:tcPr>
            <w:tcBorders>
              <w:top w:val="single" w:color="000000" w:sz="4" w:space="0"/>
              <w:left w:val="single" w:color="000000" w:sz="4" w:space="0"/>
              <w:right w:val="single" w:color="000000" w:sz="4" w:space="0"/>
            </w:tcBorders>
            <w:tcW w:w="619" w:type="dxa"/>
            <w:vAlign w:val="center"/>
            <w:vMerge w:val="restart"/>
            <w:textDirection w:val="lrTb"/>
            <w:noWrap w:val="false"/>
          </w:tcPr>
          <w:p>
            <w:pPr>
              <w:jc w:val="center"/>
              <w:spacing w:line="360" w:lineRule="auto"/>
              <w:widowControl w:val="off"/>
              <w:rPr>
                <w:rFonts w:ascii="宋体" w:hAnsi="宋体" w:cs="宋体"/>
                <w:color w:val="auto"/>
                <w:szCs w:val="21"/>
                <w:highlight w:val="none"/>
                <w:lang w:val="zh-TW"/>
              </w:rPr>
            </w:pPr>
            <w:r/>
            <w:bookmarkStart w:id="1" w:name="_Hlk71297050"/>
            <w:r>
              <w:rPr>
                <w:rFonts w:hint="eastAsia" w:ascii="宋体" w:hAnsi="宋体" w:cs="宋体"/>
                <w:color w:val="auto"/>
                <w:szCs w:val="21"/>
                <w:highlight w:val="none"/>
                <w:lang w:val="zh-TW"/>
              </w:rPr>
              <w:t xml:space="preserve">2.1</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spacing w:line="360" w:lineRule="auto"/>
              <w:widowControl w:val="off"/>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施工组织设计</w:t>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总体概述：根据施工组织总体设想、方案针对性进行打分。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施工组织总体设想完整、方案针对性强得</w:t>
            </w: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施工组织总体设想较完整、方案针对性较强得</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施工组织总体设想一般、方案针对性一般得</w:t>
            </w:r>
            <w:r>
              <w:rPr>
                <w:rFonts w:ascii="宋体" w:hAnsi="宋体" w:cs="宋体"/>
                <w:color w:val="auto"/>
                <w:szCs w:val="21"/>
                <w:highlight w:val="none"/>
                <w:lang w:val="zh-TW"/>
              </w:rPr>
              <w:t xml:space="preserve">1</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w:t>
            </w:r>
            <w:bookmarkEnd w:id="1"/>
            <w:r/>
            <w:r/>
          </w:p>
        </w:tc>
      </w:tr>
      <w:tr>
        <w:trPr>
          <w:jc w:val="center"/>
          <w:trHeight w:val="1060"/>
        </w:trPr>
        <w:tc>
          <w:tcPr>
            <w:tcBorders>
              <w:left w:val="single" w:color="000000" w:sz="4" w:space="0"/>
              <w:right w:val="single" w:color="000000" w:sz="4" w:space="0"/>
            </w:tcBorders>
            <w:tcW w:w="619" w:type="dxa"/>
            <w:vAlign w:val="center"/>
            <w:vMerge w:val="continue"/>
            <w:textDirection w:val="lrTb"/>
            <w:noWrap w:val="false"/>
          </w:tcPr>
          <w:p>
            <w:pPr>
              <w:jc w:val="both"/>
              <w:spacing w:line="360" w:lineRule="auto"/>
              <w:widowControl w:val="off"/>
              <w:rPr>
                <w:rFonts w:ascii="宋体" w:cs="宋体"/>
                <w:color w:val="auto"/>
                <w:szCs w:val="21"/>
                <w:highlight w:val="none"/>
              </w:rPr>
            </w:pPr>
            <w:r>
              <w:rPr>
                <w:rFonts w:ascii="宋体" w:cs="宋体"/>
                <w:color w:val="auto"/>
                <w:szCs w:val="21"/>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pacing w:line="360" w:lineRule="auto"/>
              <w:widowControl w:val="off"/>
              <w:rPr>
                <w:rFonts w:ascii="宋体" w:cs="宋体"/>
                <w:color w:val="auto"/>
                <w:szCs w:val="21"/>
                <w:highlight w:val="none"/>
              </w:rPr>
            </w:pPr>
            <w:r>
              <w:rPr>
                <w:rFonts w:asci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施工进度计划和各阶段进度的保证措施：</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施工进度计划和各阶段进度的保证措施合理、针对性强得</w:t>
            </w:r>
            <w:r>
              <w:rPr>
                <w:rFonts w:hint="eastAsia" w:ascii="宋体" w:hAnsi="宋体" w:cs="宋体"/>
                <w:color w:val="auto"/>
                <w:szCs w:val="21"/>
                <w:highlight w:val="none"/>
              </w:rPr>
              <w:t xml:space="preserve">6</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施工进度计划和各阶段进度的保证措施较合理、针对性较强得</w:t>
            </w: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施工进度计划和各阶段进度的保证措施一般、针对性一般得</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6</w:t>
            </w:r>
            <w:r/>
          </w:p>
        </w:tc>
      </w:tr>
      <w:tr>
        <w:trPr>
          <w:jc w:val="center"/>
          <w:trHeight w:val="1060"/>
        </w:trPr>
        <w:tc>
          <w:tcPr>
            <w:tcBorders>
              <w:left w:val="single" w:color="000000" w:sz="4" w:space="0"/>
              <w:right w:val="single" w:color="000000" w:sz="4" w:space="0"/>
            </w:tcBorders>
            <w:tcW w:w="619" w:type="dxa"/>
            <w:vAlign w:val="center"/>
            <w:vMerge w:val="continue"/>
            <w:textDirection w:val="lrTb"/>
            <w:noWrap w:val="false"/>
          </w:tcPr>
          <w:p>
            <w:pPr>
              <w:jc w:val="both"/>
              <w:spacing w:line="360" w:lineRule="auto"/>
              <w:widowControl w:val="off"/>
              <w:rPr>
                <w:rFonts w:ascii="宋体" w:cs="宋体"/>
                <w:color w:val="auto"/>
                <w:szCs w:val="21"/>
                <w:highlight w:val="none"/>
              </w:rPr>
            </w:pPr>
            <w:r>
              <w:rPr>
                <w:rFonts w:ascii="宋体" w:cs="宋体"/>
                <w:color w:val="auto"/>
                <w:szCs w:val="21"/>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pacing w:line="360" w:lineRule="auto"/>
              <w:widowControl w:val="off"/>
              <w:rPr>
                <w:rFonts w:ascii="宋体" w:cs="宋体"/>
                <w:color w:val="auto"/>
                <w:szCs w:val="21"/>
                <w:highlight w:val="none"/>
              </w:rPr>
            </w:pPr>
            <w:r>
              <w:rPr>
                <w:rFonts w:asci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各分部分项工程的施工方案及质量保证措施：</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各分部分项工程的施工方案及质量保证措施合理、针对性强得</w:t>
            </w: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各分部分项工程的施工方案及质量保证措施较合理、针对性较强得</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各分部分项工程的施工方案及质量保证措施一般、针对性一般得</w:t>
            </w:r>
            <w:r>
              <w:rPr>
                <w:rFonts w:ascii="宋体" w:hAnsi="宋体" w:cs="宋体"/>
                <w:color w:val="auto"/>
                <w:szCs w:val="21"/>
                <w:highlight w:val="none"/>
                <w:lang w:val="zh-TW"/>
              </w:rPr>
              <w:t xml:space="preserve">1</w:t>
            </w:r>
            <w:r>
              <w:rPr>
                <w:rFonts w:hint="eastAsia" w:ascii="宋体" w:hAnsi="宋体" w:cs="宋体"/>
                <w:color w:val="auto"/>
                <w:szCs w:val="21"/>
                <w:highlight w:val="none"/>
                <w:lang w:val="zh-TW"/>
              </w:rPr>
              <w:t xml:space="preserve">分；无方案不得分。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w:t>
            </w:r>
            <w:r/>
          </w:p>
        </w:tc>
      </w:tr>
      <w:tr>
        <w:trPr>
          <w:jc w:val="center"/>
          <w:trHeight w:val="365"/>
        </w:trPr>
        <w:tc>
          <w:tcPr>
            <w:tcBorders>
              <w:left w:val="single" w:color="000000" w:sz="4" w:space="0"/>
              <w:right w:val="single" w:color="000000" w:sz="4" w:space="0"/>
            </w:tcBorders>
            <w:tcW w:w="619" w:type="dxa"/>
            <w:vAlign w:val="center"/>
            <w:vMerge w:val="continue"/>
            <w:textDirection w:val="lrTb"/>
            <w:noWrap w:val="false"/>
          </w:tcPr>
          <w:p>
            <w:pPr>
              <w:jc w:val="both"/>
              <w:spacing w:line="360" w:lineRule="auto"/>
              <w:widowControl w:val="off"/>
              <w:rPr>
                <w:rFonts w:ascii="宋体" w:cs="宋体"/>
                <w:color w:val="auto"/>
                <w:szCs w:val="21"/>
                <w:highlight w:val="none"/>
              </w:rPr>
            </w:pPr>
            <w:r>
              <w:rPr>
                <w:rFonts w:ascii="宋体" w:cs="宋体"/>
                <w:color w:val="auto"/>
                <w:szCs w:val="21"/>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pacing w:line="360" w:lineRule="auto"/>
              <w:widowControl w:val="off"/>
              <w:rPr>
                <w:rFonts w:ascii="宋体" w:cs="宋体"/>
                <w:color w:val="auto"/>
                <w:szCs w:val="21"/>
                <w:highlight w:val="none"/>
              </w:rPr>
            </w:pPr>
            <w:r>
              <w:rPr>
                <w:rFonts w:asci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安全文明施工及环境保护措施：</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安全文明施工及环境保护措施合理、针对性强得</w:t>
            </w: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安全文明施工及环境保护措施较合理、针对性较强得</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安全文明施工及环境保护措施一般、针对性一般得</w:t>
            </w:r>
            <w:r>
              <w:rPr>
                <w:rFonts w:ascii="宋体" w:hAnsi="宋体" w:cs="宋体"/>
                <w:color w:val="auto"/>
                <w:szCs w:val="21"/>
                <w:highlight w:val="none"/>
                <w:lang w:val="zh-TW"/>
              </w:rPr>
              <w:t xml:space="preserve">1</w:t>
            </w:r>
            <w:r>
              <w:rPr>
                <w:rFonts w:hint="eastAsia" w:ascii="宋体" w:hAnsi="宋体" w:cs="宋体"/>
                <w:color w:val="auto"/>
                <w:szCs w:val="21"/>
                <w:highlight w:val="none"/>
                <w:lang w:val="zh-TW"/>
              </w:rPr>
              <w:t xml:space="preserve">分；无方案不得分。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w:t>
            </w:r>
            <w:r/>
          </w:p>
        </w:tc>
      </w:tr>
      <w:tr>
        <w:trPr>
          <w:jc w:val="center"/>
          <w:trHeight w:val="1060"/>
        </w:trPr>
        <w:tc>
          <w:tcPr>
            <w:tcBorders>
              <w:left w:val="single" w:color="000000" w:sz="4" w:space="0"/>
              <w:right w:val="single" w:color="000000" w:sz="4" w:space="0"/>
            </w:tcBorders>
            <w:tcW w:w="619" w:type="dxa"/>
            <w:vAlign w:val="center"/>
            <w:vMerge w:val="continue"/>
            <w:textDirection w:val="lrTb"/>
            <w:noWrap w:val="false"/>
          </w:tcPr>
          <w:p>
            <w:pPr>
              <w:jc w:val="both"/>
              <w:spacing w:line="360" w:lineRule="auto"/>
              <w:widowControl w:val="off"/>
              <w:rPr>
                <w:rFonts w:ascii="宋体" w:cs="宋体"/>
                <w:color w:val="auto"/>
                <w:szCs w:val="21"/>
                <w:highlight w:val="none"/>
              </w:rPr>
            </w:pPr>
            <w:r>
              <w:rPr>
                <w:rFonts w:ascii="宋体" w:cs="宋体"/>
                <w:color w:val="auto"/>
                <w:szCs w:val="21"/>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pacing w:line="360" w:lineRule="auto"/>
              <w:widowControl w:val="off"/>
              <w:rPr>
                <w:rFonts w:ascii="宋体" w:cs="宋体"/>
                <w:color w:val="auto"/>
                <w:szCs w:val="21"/>
                <w:highlight w:val="none"/>
              </w:rPr>
            </w:pPr>
            <w:r>
              <w:rPr>
                <w:rFonts w:asci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时间及劳动力安排措施：</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时间及劳动力方案合理、符合本工程要求、针对性强得</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时间及劳动力方案较合理、较贴近本工程要求、针对性较强得</w:t>
            </w:r>
            <w:r>
              <w:rPr>
                <w:rFonts w:ascii="宋体" w:hAnsi="宋体" w:cs="宋体"/>
                <w:color w:val="auto"/>
                <w:szCs w:val="21"/>
                <w:highlight w:val="none"/>
                <w:lang w:val="zh-TW"/>
              </w:rPr>
              <w:t xml:space="preserve">2</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时间及劳动力方案一般、针对性一般得</w:t>
            </w:r>
            <w:r>
              <w:rPr>
                <w:rFonts w:ascii="宋体" w:hAnsi="宋体" w:cs="宋体"/>
                <w:color w:val="auto"/>
                <w:szCs w:val="21"/>
                <w:highlight w:val="none"/>
                <w:lang w:val="zh-TW"/>
              </w:rPr>
              <w:t xml:space="preserve">1</w:t>
            </w:r>
            <w:r>
              <w:rPr>
                <w:rFonts w:hint="eastAsia" w:ascii="宋体" w:hAnsi="宋体" w:cs="宋体"/>
                <w:color w:val="auto"/>
                <w:szCs w:val="21"/>
                <w:highlight w:val="none"/>
                <w:lang w:val="zh-TW"/>
              </w:rPr>
              <w:t xml:space="preserve">分；无方案不得分。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3</w:t>
            </w:r>
            <w:r/>
          </w:p>
        </w:tc>
      </w:tr>
      <w:tr>
        <w:trPr>
          <w:jc w:val="center"/>
          <w:trHeight w:val="1060"/>
        </w:trPr>
        <w:tc>
          <w:tcPr>
            <w:tcBorders>
              <w:left w:val="single" w:color="000000" w:sz="4" w:space="0"/>
              <w:right w:val="single" w:color="000000" w:sz="4" w:space="0"/>
            </w:tcBorders>
            <w:tcW w:w="619" w:type="dxa"/>
            <w:vAlign w:val="center"/>
            <w:vMerge w:val="continue"/>
            <w:textDirection w:val="lrTb"/>
            <w:noWrap w:val="false"/>
          </w:tcPr>
          <w:p>
            <w:pPr>
              <w:jc w:val="both"/>
              <w:spacing w:line="360" w:lineRule="auto"/>
              <w:widowControl w:val="off"/>
              <w:rPr>
                <w:rFonts w:ascii="宋体" w:cs="宋体"/>
                <w:color w:val="auto"/>
                <w:szCs w:val="21"/>
                <w:highlight w:val="none"/>
              </w:rPr>
            </w:pPr>
            <w:r>
              <w:rPr>
                <w:rFonts w:ascii="宋体" w:cs="宋体"/>
                <w:color w:val="auto"/>
                <w:szCs w:val="21"/>
                <w:highlight w:val="none"/>
              </w:rPr>
            </w:r>
            <w:r/>
          </w:p>
        </w:tc>
        <w:tc>
          <w:tcPr>
            <w:tcBorders>
              <w:left w:val="single" w:color="000000" w:sz="4" w:space="0"/>
              <w:right w:val="single" w:color="000000" w:sz="4" w:space="0"/>
            </w:tcBorders>
            <w:tcW w:w="851" w:type="dxa"/>
            <w:vAlign w:val="center"/>
            <w:vMerge w:val="continue"/>
            <w:textDirection w:val="lrTb"/>
            <w:noWrap w:val="false"/>
          </w:tcPr>
          <w:p>
            <w:pPr>
              <w:jc w:val="center"/>
              <w:spacing w:line="360" w:lineRule="auto"/>
              <w:widowControl w:val="off"/>
              <w:rPr>
                <w:rFonts w:ascii="宋体" w:cs="宋体"/>
                <w:color w:val="auto"/>
                <w:szCs w:val="21"/>
                <w:highlight w:val="none"/>
              </w:rPr>
            </w:pPr>
            <w:r>
              <w:rPr>
                <w:rFonts w:asci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关键施工技术、工艺及工程项目实施的重点、难点和解决方案：</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关键施工技术、工艺及工程项目实施的重点、难点和解决方案合理、针对性强得</w:t>
            </w:r>
            <w:r>
              <w:rPr>
                <w:rFonts w:ascii="宋体" w:hAnsi="宋体" w:cs="宋体"/>
                <w:color w:val="auto"/>
                <w:szCs w:val="21"/>
                <w:highlight w:val="none"/>
                <w:lang w:val="zh-TW"/>
              </w:rPr>
              <w:t xml:space="preserve">3</w:t>
            </w:r>
            <w:r>
              <w:rPr>
                <w:rFonts w:hint="eastAsia" w:ascii="宋体" w:hAnsi="宋体" w:cs="宋体"/>
                <w:color w:val="auto"/>
                <w:szCs w:val="21"/>
                <w:highlight w:val="none"/>
                <w:lang w:val="zh-TW"/>
              </w:rPr>
              <w:t xml:space="preserve">分；</w:t>
            </w:r>
            <w:r/>
          </w:p>
          <w:p>
            <w:pPr>
              <w:spacing w:line="360" w:lineRule="auto"/>
              <w:tabs>
                <w:tab w:val="left" w:pos="1890" w:leader="none"/>
              </w:tabs>
              <w:rPr>
                <w:rFonts w:ascii="宋体" w:hAnsi="宋体" w:cs="宋体"/>
                <w:color w:val="auto"/>
                <w:szCs w:val="21"/>
                <w:highlight w:val="none"/>
                <w:lang w:val="zh-TW"/>
              </w:rPr>
            </w:pPr>
            <w:r>
              <w:rPr>
                <w:rFonts w:hint="eastAsia" w:ascii="宋体" w:hAnsi="宋体" w:cs="宋体"/>
                <w:color w:val="auto"/>
                <w:szCs w:val="21"/>
                <w:highlight w:val="none"/>
                <w:lang w:val="zh-TW"/>
              </w:rPr>
              <w:t xml:space="preserve">关键施工技术、工艺及工程项目实施的重点、难点和解决方案较合理、针对性较强得</w:t>
            </w:r>
            <w:r>
              <w:rPr>
                <w:rFonts w:ascii="宋体" w:hAnsi="宋体" w:cs="宋体"/>
                <w:color w:val="auto"/>
                <w:szCs w:val="21"/>
                <w:highlight w:val="none"/>
                <w:lang w:val="zh-TW"/>
              </w:rPr>
              <w:t xml:space="preserve">2</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关键施工技术、工艺及工程项目实施的重点、难点和解决方案一般、针对性一般得</w:t>
            </w:r>
            <w:r>
              <w:rPr>
                <w:rFonts w:ascii="宋体" w:hAnsi="宋体" w:cs="宋体"/>
                <w:color w:val="auto"/>
                <w:szCs w:val="21"/>
                <w:highlight w:val="none"/>
                <w:lang w:val="zh-TW"/>
              </w:rPr>
              <w:t xml:space="preserve">1</w:t>
            </w:r>
            <w:r>
              <w:rPr>
                <w:rFonts w:hint="eastAsia" w:ascii="宋体" w:hAnsi="宋体" w:cs="宋体"/>
                <w:color w:val="auto"/>
                <w:szCs w:val="21"/>
                <w:highlight w:val="none"/>
                <w:lang w:val="zh-TW"/>
              </w:rPr>
              <w:t xml:space="preserve">分；</w:t>
            </w:r>
            <w:r/>
          </w:p>
          <w:p>
            <w:pPr>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无方案不得分。</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rPr>
                <w:rFonts w:ascii="宋体" w:hAnsi="宋体" w:cs="宋体"/>
                <w:color w:val="auto"/>
                <w:szCs w:val="21"/>
                <w:highlight w:val="none"/>
                <w:lang w:val="zh-TW"/>
              </w:rPr>
            </w:pPr>
            <w:r>
              <w:rPr>
                <w:rFonts w:ascii="宋体" w:hAnsi="宋体" w:cs="宋体"/>
                <w:color w:val="auto"/>
                <w:szCs w:val="21"/>
                <w:highlight w:val="none"/>
                <w:lang w:val="zh-TW"/>
              </w:rPr>
              <w:t xml:space="preserve">3</w:t>
            </w:r>
            <w:r/>
          </w:p>
        </w:tc>
      </w:tr>
      <w:tr>
        <w:trPr>
          <w:jc w:val="center"/>
          <w:trHeight w:val="453"/>
        </w:trPr>
        <w:tc>
          <w:tcPr>
            <w:gridSpan w:val="4"/>
            <w:tcBorders>
              <w:top w:val="single" w:color="000000" w:sz="4" w:space="0"/>
              <w:left w:val="single" w:color="000000" w:sz="4" w:space="0"/>
              <w:bottom w:val="single" w:color="000000" w:sz="4" w:space="0"/>
              <w:right w:val="single" w:color="000000" w:sz="4" w:space="0"/>
            </w:tcBorders>
            <w:tcW w:w="9194" w:type="dxa"/>
            <w:vAlign w:val="center"/>
            <w:textDirection w:val="lrTb"/>
            <w:noWrap w:val="false"/>
          </w:tcPr>
          <w:p>
            <w:pPr>
              <w:jc w:val="both"/>
              <w:spacing w:before="88" w:after="120"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3、商务部分</w:t>
            </w:r>
            <w:r/>
          </w:p>
        </w:tc>
      </w:tr>
      <w:tr>
        <w:trPr>
          <w:jc w:val="center"/>
          <w:trHeight w:val="91"/>
        </w:trPr>
        <w:tc>
          <w:tcPr>
            <w:tcBorders>
              <w:top w:val="single" w:color="000000" w:sz="4" w:space="0"/>
              <w:left w:val="single" w:color="000000" w:sz="4" w:space="0"/>
              <w:right w:val="single" w:color="000000" w:sz="4" w:space="0"/>
            </w:tcBorders>
            <w:tcW w:w="619" w:type="dxa"/>
            <w:vAlign w:val="center"/>
            <w:textDirection w:val="lrTb"/>
            <w:noWrap w:val="false"/>
          </w:tcPr>
          <w:p>
            <w:pPr>
              <w:jc w:val="center"/>
              <w:spacing w:after="120" w:line="360" w:lineRule="auto"/>
              <w:widowControl w:val="off"/>
              <w:rPr>
                <w:rFonts w:ascii="宋体" w:cs="宋体"/>
                <w:color w:val="auto"/>
                <w:szCs w:val="21"/>
                <w:highlight w:val="none"/>
              </w:rPr>
            </w:pPr>
            <w:r>
              <w:rPr>
                <w:rFonts w:hint="eastAsia" w:ascii="宋体" w:cs="宋体"/>
                <w:color w:val="auto"/>
                <w:szCs w:val="21"/>
                <w:highlight w:val="none"/>
              </w:rPr>
              <w:t xml:space="preserve">3.1</w:t>
            </w:r>
            <w:r/>
          </w:p>
        </w:tc>
        <w:tc>
          <w:tcPr>
            <w:tcBorders>
              <w:top w:val="single" w:color="000000" w:sz="4" w:space="0"/>
              <w:left w:val="single" w:color="000000" w:sz="4" w:space="0"/>
              <w:right w:val="single" w:color="000000" w:sz="4" w:space="0"/>
            </w:tcBorders>
            <w:tcW w:w="851" w:type="dxa"/>
            <w:vAlign w:val="center"/>
            <w:textDirection w:val="lrTb"/>
            <w:noWrap w:val="false"/>
          </w:tcPr>
          <w:p>
            <w:pPr>
              <w:jc w:val="both"/>
              <w:spacing w:after="120" w:line="360" w:lineRule="auto"/>
              <w:widowControl w:val="off"/>
              <w:rPr>
                <w:rFonts w:ascii="宋体" w:cs="宋体"/>
                <w:color w:val="auto"/>
                <w:szCs w:val="21"/>
                <w:highlight w:val="none"/>
              </w:rPr>
            </w:pPr>
            <w:r>
              <w:rPr>
                <w:rFonts w:hint="eastAsia" w:ascii="宋体" w:cs="宋体"/>
                <w:color w:val="auto"/>
                <w:szCs w:val="21"/>
                <w:highlight w:val="none"/>
              </w:rPr>
              <w:t xml:space="preserve">项目组人员</w:t>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rPr>
                <w:rFonts w:ascii="宋体" w:hAnsi="宋体" w:cs="宋体"/>
                <w:color w:val="auto"/>
                <w:szCs w:val="21"/>
                <w:highlight w:val="none"/>
                <w:lang w:val="zh-TW"/>
              </w:rPr>
            </w:pPr>
            <w:r>
              <w:rPr>
                <w:rFonts w:hint="eastAsia" w:ascii="宋体" w:cs="宋体"/>
                <w:color w:val="auto"/>
                <w:szCs w:val="21"/>
                <w:highlight w:val="none"/>
              </w:rPr>
              <w:t xml:space="preserve">项目组人员（项目负责人除外）</w:t>
            </w:r>
            <w:r>
              <w:rPr>
                <w:rFonts w:hint="eastAsia" w:ascii="宋体" w:hAnsi="宋体" w:cs="宋体"/>
                <w:color w:val="auto"/>
                <w:szCs w:val="21"/>
                <w:highlight w:val="none"/>
                <w:lang w:val="zh-TW"/>
              </w:rPr>
              <w:t xml:space="preserve">：具有安全员、材料员、施工员、质量/检员，有一个得1.5分，最多得6分。（提供相关证书加盖公章及社保机构出具近</w:t>
            </w:r>
            <w:r>
              <w:rPr>
                <w:rFonts w:hint="eastAsia" w:ascii="宋体" w:hAnsi="宋体" w:cs="宋体"/>
                <w:color w:val="auto"/>
                <w:szCs w:val="21"/>
                <w:highlight w:val="none"/>
              </w:rPr>
              <w:t xml:space="preserve">六个月</w:t>
            </w:r>
            <w:r>
              <w:rPr>
                <w:rFonts w:hint="eastAsia" w:ascii="宋体" w:hAnsi="宋体" w:cs="宋体"/>
                <w:color w:val="auto"/>
                <w:szCs w:val="21"/>
                <w:highlight w:val="none"/>
                <w:lang w:val="zh-TW"/>
              </w:rPr>
              <w:t xml:space="preserve">(</w:t>
            </w:r>
            <w:r>
              <w:rPr>
                <w:rFonts w:hint="eastAsia" w:ascii="宋体" w:hAnsi="宋体" w:eastAsia="宋体" w:cs="宋体"/>
                <w:color w:val="auto"/>
                <w:szCs w:val="21"/>
                <w:highlight w:val="none"/>
                <w:lang w:val="zh-TW" w:eastAsia="zh-CN"/>
              </w:rPr>
              <w:t xml:space="preserve">2026年1月至2026年6月</w:t>
            </w:r>
            <w:r>
              <w:rPr>
                <w:rFonts w:hint="eastAsia" w:ascii="宋体" w:hAnsi="宋体" w:cs="宋体"/>
                <w:color w:val="auto"/>
                <w:szCs w:val="21"/>
                <w:highlight w:val="none"/>
                <w:lang w:val="zh-TW"/>
              </w:rPr>
              <w:t xml:space="preserve">)</w:t>
            </w:r>
            <w:r>
              <w:rPr>
                <w:rFonts w:hint="eastAsia" w:ascii="宋体" w:hAnsi="宋体" w:eastAsia="宋体" w:cs="宋体"/>
                <w:b/>
                <w:color w:val="auto"/>
                <w:szCs w:val="21"/>
                <w:highlight w:val="none"/>
              </w:rPr>
              <w:t xml:space="preserve">任意一个月</w:t>
            </w:r>
            <w:r>
              <w:rPr>
                <w:rFonts w:hint="eastAsia" w:ascii="宋体" w:hAnsi="宋体" w:cs="宋体"/>
                <w:color w:val="auto"/>
                <w:szCs w:val="21"/>
                <w:highlight w:val="none"/>
                <w:lang w:val="zh-TW"/>
              </w:rPr>
              <w:t xml:space="preserve">为其缴纳的养老保险金缴费证明材料(必须是社保机构出具的社保证明材料,须加盖社保机构公章或社保中心参保缴费证明电子专用章(具有可验证的二维码或验证码) ，同一人员不可重复计取）</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widowControl w:val="off"/>
              <w:rPr>
                <w:rFonts w:ascii="宋体" w:cs="宋体"/>
                <w:color w:val="auto"/>
                <w:szCs w:val="21"/>
                <w:highlight w:val="none"/>
              </w:rPr>
            </w:pPr>
            <w:r>
              <w:rPr>
                <w:rFonts w:hint="eastAsia" w:ascii="宋体" w:cs="宋体"/>
                <w:color w:val="auto"/>
                <w:szCs w:val="21"/>
                <w:highlight w:val="none"/>
              </w:rPr>
              <w:t xml:space="preserve">6</w:t>
            </w:r>
            <w:r/>
          </w:p>
        </w:tc>
      </w:tr>
      <w:tr>
        <w:trPr>
          <w:jc w:val="center"/>
          <w:trHeight w:val="1013"/>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spacing w:line="360" w:lineRule="auto"/>
              <w:widowControl w:val="off"/>
              <w:rPr>
                <w:rFonts w:ascii="宋体" w:cs="宋体"/>
                <w:color w:val="auto"/>
                <w:szCs w:val="21"/>
                <w:highlight w:val="none"/>
              </w:rPr>
            </w:pPr>
            <w:r>
              <w:rPr>
                <w:rFonts w:hint="eastAsia" w:ascii="宋体" w:cs="宋体"/>
                <w:color w:val="auto"/>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val="off"/>
              <w:rPr>
                <w:rFonts w:ascii="宋体" w:cs="宋体"/>
                <w:color w:val="auto"/>
                <w:szCs w:val="21"/>
                <w:highlight w:val="none"/>
              </w:rPr>
            </w:pPr>
            <w:r>
              <w:rPr>
                <w:rFonts w:hint="eastAsia" w:ascii="宋体" w:cs="宋体"/>
                <w:color w:val="auto"/>
                <w:szCs w:val="21"/>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6931" w:type="dxa"/>
            <w:vAlign w:val="center"/>
            <w:textDirection w:val="lrTb"/>
            <w:noWrap w:val="false"/>
          </w:tcPr>
          <w:p>
            <w:pPr>
              <w:spacing w:line="360" w:lineRule="auto"/>
              <w:widowControl w:val="off"/>
              <w:rPr>
                <w:rFonts w:ascii="宋体" w:cs="宋体"/>
                <w:color w:val="auto"/>
                <w:szCs w:val="21"/>
                <w:highlight w:val="none"/>
              </w:rPr>
            </w:pPr>
            <w:r>
              <w:rPr>
                <w:rFonts w:hint="eastAsia" w:ascii="宋体" w:cs="宋体"/>
                <w:color w:val="auto"/>
                <w:szCs w:val="21"/>
                <w:highlight w:val="none"/>
              </w:rPr>
              <w:t xml:space="preserve">企业自2023年6月1日以来承担过类似维修改造项目业绩有一个得3分，满分12分。（提供中标</w:t>
            </w:r>
            <w:r>
              <w:rPr>
                <w:rFonts w:hint="eastAsia" w:ascii="宋体" w:eastAsia="宋体" w:cs="宋体"/>
                <w:color w:val="auto"/>
                <w:szCs w:val="21"/>
                <w:highlight w:val="none"/>
                <w:lang w:val="en-US" w:eastAsia="zh-CN"/>
              </w:rPr>
              <w:t xml:space="preserve">/成交</w:t>
            </w:r>
            <w:r>
              <w:rPr>
                <w:rFonts w:hint="eastAsia" w:ascii="宋体" w:cs="宋体"/>
                <w:color w:val="auto"/>
                <w:szCs w:val="21"/>
                <w:highlight w:val="none"/>
              </w:rPr>
              <w:t xml:space="preserve">通知书、合同、竣工验收证明材料加盖公章，三者缺一不可，时间以竣工验收证明材料为准，内容以合同为准，若提供的证明材料反映不出相关标的内容，可提供经相关建设单位盖章确认的佐证材料，若提供的材料反应不出相关内容，视为未提供，同一单位的业绩不重复计算）</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spacing w:line="360" w:lineRule="auto"/>
              <w:widowControl w:val="off"/>
              <w:rPr>
                <w:rFonts w:ascii="宋体" w:cs="宋体"/>
                <w:color w:val="auto"/>
                <w:szCs w:val="21"/>
                <w:highlight w:val="none"/>
              </w:rPr>
            </w:pPr>
            <w:r>
              <w:rPr>
                <w:rFonts w:hint="eastAsia" w:ascii="宋体" w:cs="宋体"/>
                <w:color w:val="auto"/>
                <w:szCs w:val="21"/>
                <w:highlight w:val="none"/>
              </w:rPr>
              <w:t xml:space="preserve">12</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说明：</w:t>
      </w:r>
      <w:r/>
    </w:p>
    <w:p>
      <w:pPr>
        <w:ind w:firstLine="420"/>
        <w:jc w:val="both"/>
        <w:spacing w:line="360" w:lineRule="auto"/>
        <w:widowControl w:val="off"/>
        <w:rPr>
          <w:color w:val="auto"/>
          <w:szCs w:val="21"/>
          <w:highlight w:val="none"/>
        </w:rPr>
      </w:pPr>
      <w:r>
        <w:rPr>
          <w:rFonts w:hint="eastAsia"/>
          <w:color w:val="auto"/>
          <w:szCs w:val="21"/>
          <w:highlight w:val="none"/>
        </w:rPr>
        <w:t xml:space="preserve">1、所有认证、证明和业绩除上表要求外均须提供有效的证明材料加盖公章。</w:t>
      </w:r>
      <w:r/>
    </w:p>
    <w:p>
      <w:pPr>
        <w:ind w:firstLine="420"/>
        <w:jc w:val="both"/>
        <w:spacing w:line="360" w:lineRule="auto"/>
        <w:widowControl w:val="off"/>
        <w:rPr>
          <w:color w:val="auto"/>
          <w:szCs w:val="21"/>
          <w:highlight w:val="none"/>
        </w:rPr>
      </w:pPr>
      <w:r>
        <w:rPr>
          <w:rFonts w:hint="eastAsia"/>
          <w:color w:val="auto"/>
          <w:szCs w:val="21"/>
          <w:highlight w:val="none"/>
        </w:rPr>
        <w:t xml:space="preserve">2、行业类别：建筑业。</w:t>
      </w:r>
      <w:r/>
    </w:p>
    <w:p>
      <w:pPr>
        <w:pStyle w:val="997"/>
        <w:ind w:firstLine="422"/>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jc w:val="both"/>
        <w:spacing w:before="120" w:after="12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招标项目的技术规格、要求和数量等</w:t>
      </w:r>
      <w:r/>
    </w:p>
    <w:p>
      <w:pPr>
        <w:numPr>
          <w:ilvl w:val="0"/>
          <w:numId w:val="4"/>
        </w:numPr>
        <w:spacing w:line="360" w:lineRule="auto"/>
        <w:widowControl w:val="off"/>
        <w:rPr>
          <w:rFonts w:ascii="黑体" w:hAnsi="黑体"/>
          <w:b/>
          <w:bCs/>
          <w:color w:val="auto"/>
          <w:szCs w:val="36"/>
          <w:highlight w:val="none"/>
        </w:rPr>
        <w:outlineLvl w:val="1"/>
      </w:pPr>
      <w:r/>
      <w:bookmarkStart w:id="2" w:name="_Toc21116"/>
      <w:r/>
      <w:bookmarkStart w:id="3" w:name="_Toc25479"/>
      <w:r/>
      <w:bookmarkStart w:id="4" w:name="_Toc20241682"/>
      <w:r/>
      <w:bookmarkStart w:id="5" w:name="_Toc27867"/>
      <w:r/>
      <w:bookmarkStart w:id="6" w:name="_Toc437"/>
      <w:r/>
      <w:bookmarkStart w:id="7" w:name="_Hlk153555107"/>
      <w:r/>
      <w:bookmarkStart w:id="8" w:name="_Hlk157000671"/>
      <w:r/>
      <w:bookmarkStart w:id="9" w:name="_Hlk153892963"/>
      <w:r>
        <w:rPr>
          <w:rFonts w:hint="eastAsia" w:ascii="黑体" w:hAnsi="黑体"/>
          <w:b/>
          <w:bCs/>
          <w:color w:val="auto"/>
          <w:szCs w:val="36"/>
          <w:highlight w:val="none"/>
        </w:rPr>
        <w:t xml:space="preserve">采购说明</w:t>
      </w:r>
      <w:bookmarkEnd w:id="2"/>
      <w:r/>
      <w:bookmarkEnd w:id="3"/>
      <w:r/>
      <w:bookmarkEnd w:id="4"/>
      <w:r/>
      <w:bookmarkEnd w:id="5"/>
      <w:r/>
      <w:bookmarkEnd w:id="6"/>
      <w:r/>
      <w:r/>
    </w:p>
    <w:p>
      <w:pPr>
        <w:ind w:firstLine="42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1、本采购需求中的品牌型号、技术参数及其性能（配置）仅起参考作用，供应商可选用其他品牌型号替代，但这些替代的品牌型号要实质上相当于或优于参考品牌型号及其技术参数性能（配置）要求。</w:t>
      </w:r>
      <w:r/>
    </w:p>
    <w:p>
      <w:pPr>
        <w:ind w:firstLine="420"/>
        <w:spacing w:line="360" w:lineRule="auto"/>
        <w:widowControl w:val="off"/>
        <w:rPr>
          <w:rFonts w:ascii="宋体" w:hAnsi="宋体" w:cs="宋体"/>
          <w:bCs/>
          <w:color w:val="auto"/>
          <w:szCs w:val="21"/>
          <w:highlight w:val="none"/>
        </w:rPr>
      </w:pPr>
      <w:r/>
      <w:bookmarkStart w:id="10" w:name="_Toc171129620"/>
      <w:r/>
      <w:bookmarkStart w:id="11" w:name="_Toc168825184"/>
      <w:r>
        <w:rPr>
          <w:rFonts w:hint="eastAsia" w:ascii="宋体" w:hAnsi="宋体" w:cs="宋体"/>
          <w:bCs/>
          <w:color w:val="auto"/>
          <w:szCs w:val="21"/>
          <w:highlight w:val="none"/>
        </w:rPr>
        <w:t xml:space="preserve">2、本采购需求中参考品牌型号及技术参数性能（配置）不明确或有误的，或供应商选用其他品牌型号替代的，请以详细、正确的品牌型号、技术参数性能（配置）同时填写技术响应表。</w:t>
      </w:r>
      <w:bookmarkEnd w:id="10"/>
      <w:r/>
      <w:bookmarkEnd w:id="11"/>
      <w:r/>
      <w:r/>
    </w:p>
    <w:p>
      <w:pPr>
        <w:ind w:firstLine="42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cs="宋体"/>
          <w:color w:val="auto"/>
          <w:szCs w:val="21"/>
          <w:highlight w:val="none"/>
        </w:rPr>
        <w:t xml:space="preserve">本文打“★”为实质性响应条款，不满足做无效投标处理。</w:t>
      </w:r>
      <w:r>
        <w:rPr>
          <w:rFonts w:hint="eastAsia" w:ascii="宋体" w:hAnsi="宋体" w:cs="宋体"/>
          <w:bCs/>
          <w:color w:val="auto"/>
          <w:szCs w:val="21"/>
          <w:highlight w:val="none"/>
        </w:rPr>
        <w:t xml:space="preserve">其他非“</w:t>
      </w:r>
      <w:r>
        <w:rPr>
          <w:rFonts w:hint="eastAsia" w:ascii="宋体" w:cs="宋体"/>
          <w:color w:val="auto"/>
          <w:szCs w:val="21"/>
          <w:highlight w:val="none"/>
        </w:rPr>
        <w:t xml:space="preserve">★</w:t>
      </w:r>
      <w:r>
        <w:rPr>
          <w:rFonts w:hint="eastAsia" w:ascii="宋体" w:hAnsi="宋体" w:cs="宋体"/>
          <w:bCs/>
          <w:color w:val="auto"/>
          <w:szCs w:val="21"/>
          <w:highlight w:val="none"/>
        </w:rPr>
        <w:t xml:space="preserve">”技术条款，响应人需在响应文件中提供偏离表，如有负偏离，评审小组将会在评审时扣除相应的技术分。</w:t>
      </w:r>
      <w:r/>
    </w:p>
    <w:p>
      <w:pPr>
        <w:ind w:firstLine="42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4、如无特别说明，每个项目只允许有一个报价，任何有选择的报价将不予接受。</w:t>
      </w:r>
      <w:r/>
    </w:p>
    <w:p>
      <w:pPr>
        <w:numPr>
          <w:ilvl w:val="0"/>
          <w:numId w:val="4"/>
        </w:numPr>
        <w:spacing w:line="360" w:lineRule="auto"/>
        <w:widowControl w:val="off"/>
        <w:rPr>
          <w:rFonts w:ascii="黑体" w:hAnsi="黑体"/>
          <w:b/>
          <w:bCs/>
          <w:color w:val="auto"/>
          <w:szCs w:val="36"/>
          <w:highlight w:val="none"/>
        </w:rPr>
        <w:outlineLvl w:val="1"/>
      </w:pPr>
      <w:r/>
      <w:bookmarkStart w:id="12" w:name="_Toc27290"/>
      <w:r/>
      <w:bookmarkStart w:id="13" w:name="_Toc17311"/>
      <w:r/>
      <w:bookmarkStart w:id="14" w:name="_Toc32264"/>
      <w:r>
        <w:rPr>
          <w:rFonts w:hint="eastAsia" w:ascii="黑体" w:hAnsi="黑体"/>
          <w:b/>
          <w:bCs/>
          <w:color w:val="auto"/>
          <w:szCs w:val="36"/>
          <w:highlight w:val="none"/>
        </w:rPr>
        <w:t xml:space="preserve">项目概况</w:t>
      </w:r>
      <w:bookmarkEnd w:id="12"/>
      <w:r/>
      <w:bookmarkEnd w:id="13"/>
      <w:r/>
      <w:bookmarkEnd w:id="14"/>
      <w:r/>
      <w:r/>
    </w:p>
    <w:p>
      <w:pPr>
        <w:ind w:firstLine="420"/>
        <w:spacing w:line="360" w:lineRule="auto"/>
        <w:widowControl w:val="off"/>
        <w:rPr>
          <w:rFonts w:ascii="黑体" w:hAnsi="黑体"/>
          <w:b/>
          <w:bCs/>
          <w:color w:val="auto"/>
          <w:szCs w:val="36"/>
          <w:highlight w:val="none"/>
        </w:rPr>
        <w:outlineLvl w:val="1"/>
      </w:pPr>
      <w:r>
        <w:rPr>
          <w:rFonts w:hint="eastAsia" w:ascii="宋体" w:hAnsi="宋体" w:cs="宋体"/>
          <w:bCs/>
          <w:color w:val="auto"/>
          <w:szCs w:val="21"/>
          <w:highlight w:val="none"/>
        </w:rPr>
        <w:t xml:space="preserve">本工程位于南京信息工程大学校区内，南京信息工程大学2026年宿舍出新维修工程，改造宿舍约</w:t>
      </w:r>
      <w:r>
        <w:rPr>
          <w:rFonts w:hint="eastAsia" w:ascii="宋体" w:hAnsi="宋体" w:eastAsia="宋体" w:cs="宋体"/>
          <w:bCs/>
          <w:color w:val="auto"/>
          <w:szCs w:val="21"/>
          <w:highlight w:val="none"/>
          <w:lang w:val="en-US" w:eastAsia="zh-CN"/>
        </w:rPr>
        <w:t xml:space="preserve">2374</w:t>
      </w:r>
      <w:r>
        <w:rPr>
          <w:rFonts w:hint="eastAsia" w:ascii="宋体" w:hAnsi="宋体" w:cs="宋体"/>
          <w:bCs/>
          <w:color w:val="auto"/>
          <w:szCs w:val="21"/>
          <w:highlight w:val="none"/>
        </w:rPr>
        <w:t xml:space="preserve">间。</w:t>
      </w:r>
      <w:r/>
    </w:p>
    <w:p>
      <w:pPr>
        <w:numPr>
          <w:ilvl w:val="0"/>
          <w:numId w:val="4"/>
        </w:numPr>
        <w:spacing w:line="360" w:lineRule="auto"/>
        <w:widowControl w:val="off"/>
        <w:rPr>
          <w:rFonts w:ascii="黑体" w:hAnsi="黑体"/>
          <w:b/>
          <w:bCs/>
          <w:color w:val="auto"/>
          <w:szCs w:val="36"/>
          <w:highlight w:val="none"/>
        </w:rPr>
        <w:outlineLvl w:val="1"/>
      </w:pPr>
      <w:r/>
      <w:bookmarkStart w:id="15" w:name="_Toc27044"/>
      <w:r/>
      <w:bookmarkStart w:id="16" w:name="_Toc21720"/>
      <w:r/>
      <w:bookmarkStart w:id="17" w:name="_Toc30743"/>
      <w:r>
        <w:rPr>
          <w:rFonts w:hint="eastAsia" w:ascii="黑体" w:hAnsi="黑体"/>
          <w:b/>
          <w:bCs/>
          <w:color w:val="auto"/>
          <w:szCs w:val="36"/>
          <w:highlight w:val="none"/>
        </w:rPr>
        <w:t xml:space="preserve">工程范围</w:t>
      </w:r>
      <w:bookmarkEnd w:id="15"/>
      <w:r/>
      <w:bookmarkEnd w:id="16"/>
      <w:r/>
      <w:bookmarkEnd w:id="17"/>
      <w:r/>
      <w:r/>
    </w:p>
    <w:p>
      <w:pPr>
        <w:ind w:firstLine="420"/>
        <w:keepLines/>
        <w:keepNex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本次采购范围：墙、顶面乳胶漆出新、吊顶更换、门窗换纱、隐形纱窗、普通金属纱窗、窗帘杆、轨道更换、窗帘布更换、护墙板、灯具更换等，具体详见工程量清单及招标文件。</w:t>
      </w:r>
      <w:r/>
    </w:p>
    <w:p>
      <w:pPr>
        <w:numPr>
          <w:ilvl w:val="0"/>
          <w:numId w:val="4"/>
        </w:numPr>
        <w:spacing w:line="360" w:lineRule="auto"/>
        <w:widowControl w:val="off"/>
        <w:rPr>
          <w:rFonts w:ascii="黑体" w:hAnsi="黑体"/>
          <w:b/>
          <w:bCs/>
          <w:color w:val="auto"/>
          <w:szCs w:val="36"/>
          <w:highlight w:val="none"/>
        </w:rPr>
        <w:outlineLvl w:val="1"/>
      </w:pPr>
      <w:r/>
      <w:bookmarkStart w:id="18" w:name="_Toc8122"/>
      <w:r/>
      <w:bookmarkStart w:id="19" w:name="_Toc10134"/>
      <w:r/>
      <w:bookmarkStart w:id="20" w:name="_Toc27946"/>
      <w:r>
        <w:rPr>
          <w:rFonts w:hint="eastAsia" w:ascii="黑体" w:hAnsi="黑体"/>
          <w:b/>
          <w:bCs/>
          <w:color w:val="auto"/>
          <w:szCs w:val="36"/>
          <w:highlight w:val="none"/>
        </w:rPr>
        <w:t xml:space="preserve">工程量清单编制依据</w:t>
      </w:r>
      <w:bookmarkEnd w:id="18"/>
      <w:r/>
      <w:bookmarkEnd w:id="19"/>
      <w:r/>
      <w:bookmarkEnd w:id="20"/>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 1、项目现场实地测量、建设单位有关要求等。</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2、《建设工程工程量清单计价标准》（GB/T50500-2024）、《房屋建筑与装饰工程工程量计算标准》（GB/T50854-2024）、《通用安装工程工程量计算标准》（GB/T50856-2024）。</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3、江苏省住建厅2025年第12号公告（2024版工程量计价系列标准省内实施意见）</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4、《江苏省建筑与装饰工程消耗量定额》（2026版）、《江苏省通用安装工程消耗量定额》（2026版）。</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5、《江苏省建设工程费用定额》（2026版）。</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6、苏建函价（2019）178号省住房城乡建设厅关于建筑业增值税计价政策调整的通知。</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7、苏建函价（2025）66号文，省住房城乡建设厅关于发布建设工程人工工资指导价的通知。</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8、材料、设备价格严格执行GB/T50500-2024清单计价标准及江苏省2026版计价相关新规，组价全部采用不含增值税市场价。</w:t>
      </w:r>
      <w:r/>
    </w:p>
    <w:p>
      <w:pPr>
        <w:ind w:firstLine="420"/>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9、本项目工程量清单不计取暂列金额。</w:t>
      </w:r>
      <w:r/>
    </w:p>
    <w:p>
      <w:pPr>
        <w:ind w:firstLine="420"/>
        <w:jc w:val="both"/>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10、其他现行有效江苏省、南京市建设工程计价管理文件、配套规定均作为本工程计价依据。</w:t>
      </w:r>
      <w:r/>
    </w:p>
    <w:p>
      <w:pPr>
        <w:numPr>
          <w:ilvl w:val="0"/>
          <w:numId w:val="4"/>
        </w:numPr>
        <w:spacing w:line="360" w:lineRule="auto"/>
        <w:widowControl w:val="off"/>
        <w:rPr>
          <w:rFonts w:ascii="黑体" w:hAnsi="黑体"/>
          <w:b/>
          <w:bCs/>
          <w:color w:val="auto"/>
          <w:szCs w:val="36"/>
          <w:highlight w:val="none"/>
        </w:rPr>
        <w:outlineLvl w:val="1"/>
      </w:pPr>
      <w:r/>
      <w:bookmarkStart w:id="21" w:name="_Toc700"/>
      <w:r/>
      <w:bookmarkStart w:id="22" w:name="_Toc3270"/>
      <w:r/>
      <w:bookmarkStart w:id="23" w:name="_Toc24256"/>
      <w:r>
        <w:rPr>
          <w:rFonts w:hint="eastAsia" w:ascii="黑体" w:hAnsi="黑体"/>
          <w:b/>
          <w:bCs/>
          <w:color w:val="auto"/>
          <w:szCs w:val="36"/>
          <w:highlight w:val="none"/>
        </w:rPr>
        <w:t xml:space="preserve">工程量清单编制说明</w:t>
      </w:r>
      <w:bookmarkEnd w:id="21"/>
      <w:r/>
      <w:bookmarkEnd w:id="22"/>
      <w:r/>
      <w:bookmarkEnd w:id="23"/>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（一）、清单说明：</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拆除等部分供应商需勘察现场，对现场充分了解综合报价，满足</w:t>
      </w:r>
      <w:r>
        <w:rPr>
          <w:rStyle w:val="903"/>
          <w:rFonts w:hint="eastAsia" w:eastAsia="宋体"/>
          <w:color w:val="auto"/>
          <w:highlight w:val="none"/>
          <w:lang w:val="en-US" w:eastAsia="zh-CN"/>
        </w:rPr>
        <w:t xml:space="preserve">采购人</w:t>
      </w:r>
      <w:r>
        <w:rPr>
          <w:rFonts w:hint="eastAsia" w:ascii="宋体" w:hAnsi="宋体" w:cs="宋体"/>
          <w:bCs/>
          <w:color w:val="auto"/>
          <w:szCs w:val="21"/>
          <w:highlight w:val="none"/>
        </w:rPr>
        <w:t xml:space="preserve">要求，结算不做调整。拆除后对基层的清理、修补等工作的费用</w:t>
      </w:r>
      <w:r>
        <w:rPr>
          <w:rFonts w:hint="eastAsia" w:ascii="宋体" w:hAnsi="宋体" w:eastAsia="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自行考虑到相应的综合单价中，结算时不另行计算。</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拆除部分如未描述拆除尺寸，或者描述尺寸与现场不符时，需以现场为准，且价格不做调整，供应商需勘察现场综合考虑报价。</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所有拆除需考虑保护性拆除，不得对其他构件或工艺等进行破坏，如破坏需修复至原样，此费用不调整，含相应拆除费用中。拆除的深度及要求需经</w:t>
      </w:r>
      <w:r>
        <w:rPr>
          <w:rFonts w:hint="eastAsia" w:ascii="宋体" w:hAnsi="宋体" w:eastAsia="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同意后方可进行，且过程中需有相应的记录，后期结算方可计入。</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弃碴运输方式、运距、弃置场地及弃置费用自行考虑，含保洁、消纳等所有相关费用自行考虑报价内。</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供应商需勘察现场，对现场有一定的了解，综合考虑材料运输，人工降效等等措施，结算时不得因为任何原因增加单价措施费。</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（二）、其它说明</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1、供应商必须充分勘察现场实际情况，自行考虑材料运输及堆场、机械进退场所必需的临时道路费用；</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2、供应商应先到施工的现场勘查以充分了解其施工环境，工地位置及任何其他足以影响承包价及工期的情况，</w:t>
      </w:r>
      <w:r>
        <w:rPr>
          <w:rFonts w:hint="eastAsia" w:ascii="宋体" w:hAnsi="宋体" w:eastAsia="宋体" w:cs="宋体"/>
          <w:bCs/>
          <w:color w:val="auto"/>
          <w:szCs w:val="21"/>
          <w:highlight w:val="none"/>
          <w:lang w:eastAsia="zh-CN"/>
        </w:rPr>
        <w:t xml:space="preserve">采购人</w:t>
      </w:r>
      <w:r>
        <w:rPr>
          <w:rFonts w:hint="eastAsia" w:ascii="宋体" w:hAnsi="宋体" w:cs="宋体"/>
          <w:bCs/>
          <w:color w:val="auto"/>
          <w:szCs w:val="21"/>
          <w:highlight w:val="none"/>
        </w:rPr>
        <w:t xml:space="preserve">对于现有的施工环境及条件将不增加任何投入，请</w:t>
      </w:r>
      <w:r>
        <w:rPr>
          <w:rFonts w:hint="eastAsia" w:ascii="宋体" w:hAnsi="宋体" w:eastAsia="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自行考虑并计入投标价内；</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供应商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中进行包干，无论是否列项计入，一旦中标，</w:t>
      </w:r>
      <w:r>
        <w:rPr>
          <w:rFonts w:hint="eastAsia" w:ascii="宋体" w:hAnsi="宋体" w:eastAsia="宋体" w:cs="宋体"/>
          <w:bCs/>
          <w:color w:val="auto"/>
          <w:szCs w:val="21"/>
          <w:highlight w:val="none"/>
          <w:lang w:eastAsia="zh-CN"/>
        </w:rPr>
        <w:t xml:space="preserve">采购人</w:t>
      </w:r>
      <w:r>
        <w:rPr>
          <w:rFonts w:hint="eastAsia" w:ascii="宋体" w:hAnsi="宋体" w:cs="宋体"/>
          <w:bCs/>
          <w:color w:val="auto"/>
          <w:szCs w:val="21"/>
          <w:highlight w:val="none"/>
        </w:rPr>
        <w:t xml:space="preserve">概不调整此类费用；</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供应商根据招标文件给定的工期，且应充分考虑本工程所处地区的自然气候、人文地理条件、政府政策性调整等可估计的原因导致的工期影响，自行测算各项赶工费用，计入报价，一旦中标，不再调整此类赶工费用；</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5、供应商在投标报价时自行考虑扬尘污染防治费用，相关条例及处罚规定按照南京市人民政府令第287号《南京市扬尘污染防治管理办法》、《南京市城市施工工地扬尘排污费征收管理试行办法》及其相关附件执行；</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6、市容、环保(含夜间施工)、街道、交警、派出所和附近居民协调的一切费用一并计入报价；</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7、工程现场施工用水源、电源搭接费用及与供电供水部分的协调均由供应商充分考虑计入报价中；施工用水电费差价自行考虑计入报价，以上费用结算时单价不作调整；</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8、对于施工期间政府相关部分要求的停工、限制施工等情况，请供应商在报价中充分考虑由此所增加的费用；</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9、材料上下力费、二次搬运费、垂直运输、已完成工程及设备保护、赶工措施由各投标人自报，对应清单中自行报价，结算时不作调整；无论供应商是否在投标报价时明确列出此项费用，均视为已含在投标报价中；</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10、对于分部分项工程量清单中“项目特征”内容描述不详的，必须参考现场已改造完成的实际效果并经现场采购人代表确认后方可施工，请供应商充分考虑并在报价中综合考虑，结算时不得增加与此有关的内容；</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11、对于总价措施项目除安全文明施工费按规定的费率调整外，其余总价措施项目请供应商在报价中充分考虑，结算时不得调整；</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12、招标清单工程量为1项的项目，请供应商在报价中充分考虑，结算时不得另行增加其它费用（除项目特征特别注明按实结算清单外）；</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13、本工程所有涉及到外观造型、效果的主要材料进场施工前必须经过采购人选样确认（如护墙板、窗帘、灯具等）；</w:t>
      </w:r>
      <w:r/>
    </w:p>
    <w:p>
      <w:pPr>
        <w:ind w:left="420"/>
        <w:spacing w:line="400" w:lineRule="exact"/>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14、本工程交付前，由供应商开荒保洁，费用由供应商在相应清单中进行报价；</w:t>
      </w:r>
      <w:r/>
    </w:p>
    <w:p>
      <w:pPr>
        <w:numPr>
          <w:ilvl w:val="0"/>
          <w:numId w:val="4"/>
        </w:numPr>
        <w:spacing w:line="360" w:lineRule="auto"/>
        <w:widowControl w:val="off"/>
        <w:rPr>
          <w:rFonts w:ascii="黑体" w:hAnsi="黑体"/>
          <w:b/>
          <w:bCs/>
          <w:color w:val="auto"/>
          <w:szCs w:val="36"/>
          <w:highlight w:val="none"/>
        </w:rPr>
        <w:outlineLvl w:val="1"/>
      </w:pPr>
      <w:r/>
      <w:bookmarkStart w:id="24" w:name="_Toc23372"/>
      <w:r/>
      <w:bookmarkStart w:id="25" w:name="_Toc23581"/>
      <w:r/>
      <w:bookmarkStart w:id="26" w:name="_Toc4310"/>
      <w:r>
        <w:rPr>
          <w:rFonts w:hint="eastAsia" w:ascii="黑体" w:hAnsi="黑体"/>
          <w:b/>
          <w:bCs/>
          <w:color w:val="auto"/>
          <w:szCs w:val="36"/>
          <w:highlight w:val="none"/>
        </w:rPr>
        <w:t xml:space="preserve">主要材料要求</w:t>
      </w:r>
      <w:bookmarkEnd w:id="24"/>
      <w:r/>
      <w:bookmarkEnd w:id="25"/>
      <w:r/>
      <w:bookmarkEnd w:id="26"/>
      <w:r/>
      <w:r/>
    </w:p>
    <w:p>
      <w:pPr>
        <w:ind w:firstLine="42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1、本采购需求中的品牌型号、技术参数及其性能（配置）仅起参考作用，供应商可选用其他品牌型号替代，但这些替代的品牌型号要实质上相当于或优于参考品牌型号及其技术参数性能（配置）要求。</w:t>
      </w:r>
      <w:r/>
    </w:p>
    <w:p>
      <w:pPr>
        <w:ind w:firstLine="42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2、供应商在投标文件中提供《材料品牌明细表》明确所使用的产品的品牌、规格型号与推荐品牌偏离程度，且应属于市场信誉度高的正规品牌和优质产品，在履约过程中，采购人有权在供应商提供的品牌中根据相同档次任意选择产品，如供应商描述不清晰，采购人有权指定能够满足工程建设需要的任意产品和档次，供应商如提供的品牌、规格型号、偏离程度不符，采购人有权按三者之中最高者选择产品。</w:t>
      </w:r>
      <w:r/>
    </w:p>
    <w:p>
      <w:pPr>
        <w:ind w:firstLine="420"/>
        <w:spacing w:line="360" w:lineRule="auto"/>
        <w:widowControl w:val="off"/>
        <w:rPr>
          <w:rFonts w:ascii="宋体" w:cs="宋体"/>
          <w:bCs/>
          <w:color w:val="auto"/>
          <w:szCs w:val="21"/>
          <w:highlight w:val="none"/>
          <w:shd w:val="clear" w:color="auto" w:fill="ffffff"/>
        </w:rPr>
      </w:pPr>
      <w:r>
        <w:rPr>
          <w:rFonts w:hint="eastAsia" w:ascii="宋体" w:cs="宋体"/>
          <w:bCs/>
          <w:color w:val="auto"/>
          <w:szCs w:val="21"/>
          <w:highlight w:val="none"/>
          <w:shd w:val="clear" w:color="auto" w:fill="ffffff"/>
        </w:rPr>
        <w:t xml:space="preserve">3、工程施工过程中，用于本工程所有材料、产品、设备必须经采购人确认认可后，供应商方可采购和安装。否则，供应商承担全部责任和费用。</w:t>
      </w:r>
      <w:r/>
    </w:p>
    <w:p>
      <w:pPr>
        <w:ind w:firstLine="420"/>
        <w:spacing w:line="360" w:lineRule="auto"/>
        <w:widowControl w:val="off"/>
        <w:rPr>
          <w:rFonts w:ascii="宋体" w:cs="宋体"/>
          <w:bCs/>
          <w:color w:val="auto"/>
          <w:szCs w:val="21"/>
          <w:highlight w:val="none"/>
          <w:shd w:val="clear" w:color="auto" w:fill="ffffff"/>
        </w:rPr>
      </w:pPr>
      <w:r>
        <w:rPr>
          <w:rFonts w:hint="eastAsia" w:ascii="宋体" w:cs="宋体"/>
          <w:bCs/>
          <w:color w:val="auto"/>
          <w:szCs w:val="21"/>
          <w:highlight w:val="none"/>
          <w:shd w:val="clear" w:color="auto" w:fill="ffffff"/>
        </w:rPr>
        <w:t xml:space="preserve">4、有系列或型号的成型产品必须填写完整的品牌系列或型号；无系列或型号的半成品主材需要填写规格等其他参数，有多个规格的材料请选具有代表性的一种填入表格。</w:t>
      </w:r>
      <w:r/>
    </w:p>
    <w:p>
      <w:pPr>
        <w:ind w:firstLine="420"/>
        <w:spacing w:line="360" w:lineRule="auto"/>
        <w:widowControl w:val="off"/>
        <w:rPr>
          <w:rFonts w:ascii="宋体" w:cs="宋体"/>
          <w:bCs/>
          <w:color w:val="auto"/>
          <w:szCs w:val="21"/>
          <w:highlight w:val="none"/>
          <w:shd w:val="clear" w:color="auto" w:fill="ffffff"/>
        </w:rPr>
      </w:pPr>
      <w:r>
        <w:rPr>
          <w:rFonts w:hint="eastAsia" w:ascii="宋体" w:cs="宋体"/>
          <w:bCs/>
          <w:color w:val="auto"/>
          <w:szCs w:val="21"/>
          <w:highlight w:val="none"/>
          <w:shd w:val="clear" w:color="auto" w:fill="ffffff"/>
        </w:rPr>
        <w:t xml:space="preserve">5、工程完工后室内的空气检测必须符合国家有关标准，若不符合，由此产生的返工费、治理费等一切损失由</w:t>
      </w:r>
      <w:r>
        <w:rPr>
          <w:rFonts w:hint="eastAsia" w:ascii="宋体" w:eastAsia="宋体" w:cs="宋体"/>
          <w:bCs/>
          <w:color w:val="auto"/>
          <w:szCs w:val="21"/>
          <w:highlight w:val="none"/>
          <w:shd w:val="clear" w:color="auto" w:fill="ffffff"/>
          <w:lang w:val="en-US" w:eastAsia="zh-CN"/>
        </w:rPr>
        <w:t xml:space="preserve">供应商</w:t>
      </w:r>
      <w:r>
        <w:rPr>
          <w:rFonts w:hint="eastAsia" w:ascii="宋体" w:cs="宋体"/>
          <w:bCs/>
          <w:color w:val="auto"/>
          <w:szCs w:val="21"/>
          <w:highlight w:val="none"/>
          <w:shd w:val="clear" w:color="auto" w:fill="ffffff"/>
        </w:rPr>
        <w:t xml:space="preserve">承担。空气检测不少于十间宿舍，</w:t>
      </w:r>
      <w:r>
        <w:rPr>
          <w:rFonts w:hint="eastAsia" w:ascii="宋体" w:cs="宋体"/>
          <w:bCs/>
          <w:color w:val="auto"/>
          <w:szCs w:val="21"/>
          <w:highlight w:val="none"/>
          <w:shd w:val="clear" w:color="auto" w:fill="ffffff"/>
        </w:rPr>
        <w:t xml:space="preserve">具体进行空气检测的宿舍</w:t>
      </w:r>
      <w:r>
        <w:rPr>
          <w:rFonts w:hint="eastAsia" w:ascii="宋体" w:eastAsia="宋体" w:cs="宋体"/>
          <w:bCs/>
          <w:color w:val="auto"/>
          <w:szCs w:val="21"/>
          <w:highlight w:val="none"/>
          <w:shd w:val="clear" w:color="auto" w:fill="ffffff"/>
          <w:lang w:val="en-US" w:eastAsia="zh-CN"/>
        </w:rPr>
        <w:t xml:space="preserve">由</w:t>
      </w:r>
      <w:r>
        <w:rPr>
          <w:rFonts w:hint="eastAsia" w:ascii="宋体" w:hAnsi="宋体" w:eastAsia="宋体" w:cs="宋体"/>
          <w:color w:val="auto"/>
          <w:highlight w:val="none"/>
        </w:rPr>
        <w:t xml:space="preserve">双方共同随机抽取</w:t>
      </w:r>
      <w:r>
        <w:rPr>
          <w:rFonts w:hint="eastAsia" w:ascii="宋体" w:cs="宋体"/>
          <w:bCs/>
          <w:color w:val="auto"/>
          <w:szCs w:val="21"/>
          <w:highlight w:val="none"/>
          <w:shd w:val="clear" w:color="auto" w:fill="ffffff"/>
        </w:rPr>
        <w:t xml:space="preserve">，检测费用含在投标总价内，工程验收时供应商需提交第三方出具的采购人指定的宿舍室内空气质量检测合格报告，否则工程不予验收。</w:t>
      </w:r>
      <w:r/>
    </w:p>
    <w:p>
      <w:pPr>
        <w:ind w:firstLine="420"/>
        <w:spacing w:line="360" w:lineRule="auto"/>
        <w:widowControl w:val="off"/>
        <w:rPr>
          <w:rFonts w:ascii="宋体" w:cs="宋体"/>
          <w:b/>
          <w:color w:val="auto"/>
          <w:szCs w:val="21"/>
          <w:highlight w:val="none"/>
          <w:shd w:val="clear" w:color="auto" w:fill="ffffff"/>
        </w:rPr>
      </w:pPr>
      <w:r>
        <w:rPr>
          <w:rFonts w:hint="eastAsia" w:ascii="宋体" w:cs="宋体"/>
          <w:bCs/>
          <w:color w:val="auto"/>
          <w:szCs w:val="21"/>
          <w:highlight w:val="none"/>
          <w:shd w:val="clear" w:color="auto" w:fill="ffffff"/>
        </w:rPr>
        <w:t xml:space="preserve">6、本工程所用参考材料品牌表如下：</w:t>
      </w:r>
      <w:r>
        <w:rPr>
          <w:rFonts w:hint="eastAsia" w:ascii="宋体" w:cs="宋体"/>
          <w:b/>
          <w:color w:val="auto"/>
          <w:szCs w:val="21"/>
          <w:highlight w:val="none"/>
          <w:shd w:val="clear" w:color="auto" w:fill="ffffff"/>
        </w:rPr>
        <w:t xml:space="preserve">（请自行将品牌选择表在响应文件添加，格式自拟）</w:t>
      </w:r>
      <w:r/>
    </w:p>
    <w:tbl>
      <w:tblPr>
        <w:tblStyle w:val="877"/>
        <w:tblW w:w="7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533"/>
        <w:gridCol w:w="3070"/>
        <w:gridCol w:w="2708"/>
      </w:tblGrid>
      <w:tr>
        <w:trPr>
          <w:trHeight w:val="413"/>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序号</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主材名称</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型号、规格</w:t>
            </w:r>
            <w:r/>
          </w:p>
        </w:tc>
        <w:tc>
          <w:tcPr>
            <w:tcW w:w="2708" w:type="dxa"/>
            <w:vAlign w:val="center"/>
            <w:textDirection w:val="lrTb"/>
            <w:noWrap w:val="false"/>
          </w:tcPr>
          <w:p>
            <w:pPr>
              <w:jc w:val="center"/>
              <w:rPr>
                <w:rFonts w:ascii="Calibri" w:hAnsi="Calibri"/>
                <w:color w:val="auto"/>
                <w:highlight w:val="none"/>
              </w:rPr>
            </w:pPr>
            <w:r>
              <w:rPr>
                <w:rFonts w:hint="eastAsia" w:ascii="Calibri" w:hAnsi="Calibri"/>
                <w:color w:val="auto"/>
                <w:highlight w:val="none"/>
              </w:rPr>
              <w:t xml:space="preserve">品牌</w:t>
            </w:r>
            <w:r/>
          </w:p>
        </w:tc>
      </w:tr>
      <w:tr>
        <w:trPr>
          <w:trHeight w:val="426"/>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1</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无机涂料</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立邦、多乐士、三棵树等</w:t>
            </w:r>
            <w:r/>
          </w:p>
        </w:tc>
      </w:tr>
      <w:tr>
        <w:trPr>
          <w:trHeight w:val="426"/>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2</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铝型材</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广东兴发、坚美、凤铝、栋梁等</w:t>
            </w:r>
            <w:r/>
          </w:p>
        </w:tc>
      </w:tr>
      <w:tr>
        <w:trPr>
          <w:trHeight w:val="426"/>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3</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硅钙板</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可耐福、千年舟、埃特尼特等</w:t>
            </w:r>
            <w:r/>
          </w:p>
        </w:tc>
      </w:tr>
      <w:tr>
        <w:trPr>
          <w:trHeight w:val="426"/>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4</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铝扣板</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阿姆斯壮、喜利得、乐思龙等</w:t>
            </w:r>
            <w:r/>
          </w:p>
        </w:tc>
      </w:tr>
      <w:tr>
        <w:trPr>
          <w:trHeight w:val="153"/>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5</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竹纤维集成护墙板</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米蒂、美芝岩、广越等</w:t>
            </w:r>
            <w:r/>
          </w:p>
        </w:tc>
      </w:tr>
      <w:tr>
        <w:trPr>
          <w:trHeight w:val="153"/>
        </w:trPr>
        <w:tc>
          <w:tcPr>
            <w:tcW w:w="63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6</w:t>
            </w:r>
            <w:r/>
          </w:p>
        </w:tc>
        <w:tc>
          <w:tcPr>
            <w:tcW w:w="1533"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照明灯具</w:t>
            </w:r>
            <w:r/>
          </w:p>
        </w:tc>
        <w:tc>
          <w:tcPr>
            <w:tcW w:w="3070" w:type="dxa"/>
            <w:vAlign w:val="center"/>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所有规格</w:t>
            </w:r>
            <w:r/>
          </w:p>
        </w:tc>
        <w:tc>
          <w:tcPr>
            <w:tcW w:w="2708" w:type="dxa"/>
            <w:textDirection w:val="lrTb"/>
            <w:noWrap w:val="false"/>
          </w:tcPr>
          <w:p>
            <w:pPr>
              <w:spacing w:line="400" w:lineRule="exact"/>
              <w:widowControl w:val="off"/>
              <w:tabs>
                <w:tab w:val="left" w:pos="743" w:leader="none"/>
                <w:tab w:val="left" w:pos="837" w:leader="none"/>
                <w:tab w:val="left" w:pos="885" w:leader="none"/>
                <w:tab w:val="left" w:pos="1047" w:leader="none"/>
              </w:tabs>
              <w:rPr>
                <w:rFonts w:ascii="Calibri" w:hAnsi="Calibri"/>
                <w:color w:val="auto"/>
                <w:highlight w:val="none"/>
              </w:rPr>
            </w:pPr>
            <w:r>
              <w:rPr>
                <w:rFonts w:hint="eastAsia" w:ascii="Calibri" w:hAnsi="Calibri"/>
                <w:color w:val="auto"/>
                <w:highlight w:val="none"/>
              </w:rPr>
              <w:t xml:space="preserve">飞利浦、欧普、雷士等</w:t>
            </w:r>
            <w:r/>
          </w:p>
        </w:tc>
      </w:tr>
    </w:tbl>
    <w:p>
      <w:pPr>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注：上述品牌仅提供参考，供应商自行在“设备材料品牌响应表”中列明品牌，</w:t>
      </w:r>
      <w:r>
        <w:rPr>
          <w:rFonts w:hint="eastAsia" w:ascii="宋体" w:hAnsi="宋体" w:cs="宋体"/>
          <w:bCs/>
          <w:color w:val="auto"/>
          <w:szCs w:val="21"/>
          <w:highlight w:val="none"/>
        </w:rPr>
        <w:t xml:space="preserve">供应商</w:t>
      </w:r>
      <w:r>
        <w:rPr>
          <w:rFonts w:hint="eastAsia" w:ascii="宋体" w:hAnsi="宋体" w:cs="宋体"/>
          <w:color w:val="auto"/>
          <w:highlight w:val="none"/>
        </w:rPr>
        <w:t xml:space="preserve">投标报价时按上述建议品牌选用或自行选择同档次及以上品牌，并在报价文件中列明选用品牌、型号，实施采购前须经采购人确认后方能采购。如采购人方认为中标方提供样品不能满足要求，有权在建议品牌中选择同等档次的产品，中标方不能拒绝，且价格不予调整，供应商须考虑此风险。</w:t>
      </w:r>
      <w:r/>
    </w:p>
    <w:p>
      <w:pPr>
        <w:numPr>
          <w:ilvl w:val="0"/>
          <w:numId w:val="4"/>
        </w:numPr>
        <w:spacing w:line="360" w:lineRule="auto"/>
        <w:widowControl w:val="off"/>
        <w:rPr>
          <w:rFonts w:ascii="宋体" w:hAnsi="宋体" w:cs="宋体"/>
          <w:b/>
          <w:bCs/>
          <w:color w:val="auto"/>
          <w:szCs w:val="21"/>
          <w:highlight w:val="none"/>
          <w:lang w:bidi="en-US"/>
        </w:rPr>
        <w:outlineLvl w:val="1"/>
      </w:pPr>
      <w:r/>
      <w:bookmarkStart w:id="27" w:name="_Toc9109"/>
      <w:r/>
      <w:bookmarkStart w:id="28" w:name="_Toc11349"/>
      <w:r/>
      <w:bookmarkStart w:id="29" w:name="_Toc12016"/>
      <w:r>
        <w:rPr>
          <w:rFonts w:hint="eastAsia" w:ascii="宋体" w:hAnsi="宋体" w:cs="宋体"/>
          <w:b/>
          <w:bCs/>
          <w:color w:val="auto"/>
          <w:szCs w:val="21"/>
          <w:highlight w:val="none"/>
          <w:lang w:bidi="en-US"/>
        </w:rPr>
        <w:t xml:space="preserve">★项目负责人无在建要求：</w:t>
      </w:r>
      <w:r/>
    </w:p>
    <w:p>
      <w:pPr>
        <w:spacing w:line="360" w:lineRule="auto"/>
        <w:rPr>
          <w:rFonts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项目负责人必须满足下列条件（需单独提供承诺书，承诺书原件编制至文件中，未提供视为无效投标）：</w:t>
      </w:r>
      <w:r>
        <w:rPr>
          <w:rFonts w:ascii="宋体" w:hAnsi="宋体" w:cs="宋体"/>
          <w:b/>
          <w:bCs/>
          <w:color w:val="auto"/>
          <w:szCs w:val="21"/>
          <w:highlight w:val="none"/>
          <w:lang w:bidi="en-US"/>
        </w:rPr>
        <w:t xml:space="preserve"> </w:t>
      </w:r>
      <w:r/>
    </w:p>
    <w:p>
      <w:pPr>
        <w:spacing w:line="360" w:lineRule="auto"/>
        <w:rPr>
          <w:rFonts w:ascii="宋体" w:hAnsi="宋体" w:cs="宋体"/>
          <w:bCs/>
          <w:color w:val="auto"/>
          <w:szCs w:val="21"/>
          <w:highlight w:val="none"/>
          <w:lang w:bidi="en-US"/>
        </w:rPr>
      </w:pPr>
      <w:r>
        <w:rPr>
          <w:rFonts w:hint="eastAsia" w:ascii="宋体" w:hAnsi="宋体" w:cs="宋体"/>
          <w:bCs/>
          <w:color w:val="auto"/>
          <w:szCs w:val="21"/>
          <w:highlight w:val="none"/>
          <w:lang w:bidi="en-US"/>
        </w:rPr>
        <w:t xml:space="preserve">（1）项目负责人不得同时在两个或者两个以上单位受聘或者执业（包括但不限于以下两种情况）：①同时在两个及以上单位签订劳动合同或缴纳社会保险;②将本人执（职）业资格证书同时注册在两个及以上单位。（2）项目负责人无在建工程。</w:t>
      </w:r>
      <w:r/>
    </w:p>
    <w:p>
      <w:pPr>
        <w:numPr>
          <w:ilvl w:val="0"/>
          <w:numId w:val="4"/>
        </w:numPr>
        <w:spacing w:line="360" w:lineRule="auto"/>
        <w:widowControl w:val="off"/>
        <w:rPr>
          <w:rFonts w:ascii="宋体" w:hAnsi="宋体" w:cs="宋体"/>
          <w:b/>
          <w:bCs/>
          <w:color w:val="auto"/>
          <w:szCs w:val="36"/>
          <w:highlight w:val="none"/>
        </w:rPr>
        <w:outlineLvl w:val="1"/>
      </w:pPr>
      <w:r>
        <w:rPr>
          <w:rFonts w:hint="eastAsia" w:ascii="宋体" w:hAnsi="宋体" w:cs="宋体"/>
          <w:b/>
          <w:bCs/>
          <w:color w:val="auto"/>
          <w:szCs w:val="21"/>
          <w:highlight w:val="none"/>
          <w:lang w:bidi="en-US"/>
        </w:rPr>
        <w:t xml:space="preserve">★重要提醒（需单独提供承诺书，承诺书原件编制至文件中，未提供视为无效投标）</w:t>
      </w:r>
      <w:r/>
    </w:p>
    <w:p>
      <w:pPr>
        <w:spacing w:line="360" w:lineRule="auto"/>
        <w:widowControl w:val="off"/>
        <w:rPr>
          <w:rFonts w:ascii="宋体" w:hAnsi="宋体" w:cs="宋体"/>
          <w:b/>
          <w:bCs/>
          <w:color w:val="auto"/>
          <w:szCs w:val="36"/>
          <w:highlight w:val="none"/>
        </w:rPr>
        <w:outlineLvl w:val="1"/>
      </w:pPr>
      <w:r>
        <w:rPr>
          <w:rFonts w:hint="eastAsia" w:ascii="宋体" w:hAnsi="宋体" w:cs="宋体"/>
          <w:b/>
          <w:bCs/>
          <w:color w:val="auto"/>
          <w:szCs w:val="21"/>
          <w:highlight w:val="none"/>
          <w:lang w:bidi="en-US"/>
        </w:rPr>
        <w:t xml:space="preserve">本项目为</w:t>
      </w:r>
      <w:r>
        <w:rPr>
          <w:rFonts w:hint="eastAsia" w:ascii="宋体" w:hAnsi="宋体" w:eastAsia="宋体" w:cs="宋体"/>
          <w:b/>
          <w:bCs/>
          <w:color w:val="auto"/>
          <w:szCs w:val="21"/>
          <w:highlight w:val="none"/>
          <w:lang w:val="en-US" w:eastAsia="zh-CN" w:bidi="en-US"/>
        </w:rPr>
        <w:t xml:space="preserve">宿舍</w:t>
      </w:r>
      <w:r>
        <w:rPr>
          <w:rFonts w:hint="eastAsia" w:ascii="宋体" w:hAnsi="宋体" w:cs="宋体"/>
          <w:b/>
          <w:bCs/>
          <w:color w:val="auto"/>
          <w:szCs w:val="21"/>
          <w:highlight w:val="none"/>
          <w:lang w:bidi="en-US"/>
        </w:rPr>
        <w:t xml:space="preserve">暑期工程，时间紧、任务重，项目在实施过程中偶有因宿舍突发情况导致赶工、增派人手等情况，供应商应承诺接采购人通知后及时配合响应完成，不得因供应商原因导致项目滞后。</w:t>
      </w:r>
      <w:r/>
    </w:p>
    <w:p>
      <w:pPr>
        <w:numPr>
          <w:ilvl w:val="0"/>
          <w:numId w:val="4"/>
        </w:numPr>
        <w:spacing w:line="360" w:lineRule="auto"/>
        <w:widowControl w:val="off"/>
        <w:rPr>
          <w:rFonts w:ascii="宋体" w:hAnsi="宋体" w:cs="宋体"/>
          <w:b/>
          <w:bCs/>
          <w:color w:val="auto"/>
          <w:szCs w:val="36"/>
          <w:highlight w:val="none"/>
        </w:rPr>
        <w:outlineLvl w:val="1"/>
      </w:pPr>
      <w:r>
        <w:rPr>
          <w:rFonts w:hint="eastAsia" w:ascii="宋体" w:hAnsi="宋体" w:cs="宋体"/>
          <w:b/>
          <w:bCs/>
          <w:color w:val="auto"/>
          <w:szCs w:val="36"/>
          <w:highlight w:val="none"/>
        </w:rPr>
        <w:t xml:space="preserve">付款</w:t>
      </w:r>
      <w:bookmarkEnd w:id="27"/>
      <w:r/>
      <w:bookmarkEnd w:id="28"/>
      <w:r/>
      <w:bookmarkEnd w:id="29"/>
      <w:r>
        <w:rPr>
          <w:rFonts w:hint="eastAsia" w:ascii="宋体" w:hAnsi="宋体" w:cs="宋体"/>
          <w:b/>
          <w:bCs/>
          <w:color w:val="auto"/>
          <w:szCs w:val="36"/>
          <w:highlight w:val="none"/>
        </w:rPr>
        <w:t xml:space="preserve">相关约定</w:t>
      </w:r>
      <w:r/>
    </w:p>
    <w:p>
      <w:pPr>
        <w:ind w:firstLine="421"/>
        <w:spacing w:line="360" w:lineRule="auto"/>
        <w:widowControl w:val="off"/>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1、关于履约保证金：中标人需向</w:t>
      </w:r>
      <w:r>
        <w:rPr>
          <w:rFonts w:hint="eastAsia" w:ascii="宋体" w:hAnsi="宋体" w:eastAsia="宋体" w:cs="宋体"/>
          <w:bCs/>
          <w:color w:val="auto"/>
          <w:szCs w:val="21"/>
          <w:highlight w:val="none"/>
          <w:shd w:val="clear" w:color="auto" w:fill="ffffff"/>
          <w:lang w:val="en-US" w:eastAsia="zh-CN"/>
        </w:rPr>
        <w:t xml:space="preserve">采购人</w:t>
      </w:r>
      <w:r>
        <w:rPr>
          <w:rFonts w:hint="eastAsia" w:ascii="宋体" w:hAnsi="宋体" w:cs="宋体"/>
          <w:bCs/>
          <w:color w:val="auto"/>
          <w:szCs w:val="21"/>
          <w:highlight w:val="none"/>
          <w:shd w:val="clear" w:color="auto" w:fill="ffffff"/>
        </w:rPr>
        <w:t xml:space="preserve">支付中标价5%的履约保证金（形式：转账支票、汇票、电汇、履约保函（保险）等），项目完工验收合格后无息退还。</w:t>
      </w:r>
      <w:r/>
    </w:p>
    <w:p>
      <w:pPr>
        <w:ind w:firstLine="421"/>
        <w:spacing w:line="360" w:lineRule="auto"/>
        <w:widowControl w:val="off"/>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2、关于付款周期的约定：</w:t>
      </w:r>
      <w:r/>
    </w:p>
    <w:p>
      <w:pPr>
        <w:ind w:firstLine="420"/>
        <w:spacing w:line="360" w:lineRule="auto"/>
        <w:widowControl w:val="off"/>
        <w:rPr>
          <w:rFonts w:ascii="宋体" w:hAnsi="宋体" w:cs="宋体"/>
          <w:bCs/>
          <w:color w:val="auto"/>
          <w:szCs w:val="21"/>
          <w:highlight w:val="none"/>
          <w:lang w:bidi="en-US"/>
        </w:rPr>
      </w:pPr>
      <w:r/>
      <w:bookmarkStart w:id="30" w:name="_Toc12033"/>
      <w:r/>
      <w:bookmarkStart w:id="31" w:name="_Toc25658"/>
      <w:r/>
      <w:bookmarkStart w:id="32" w:name="_Toc12841"/>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）本工程不支付预付款，工程竣工验收合格后，支付至合同价款（扣除暂列金、材料暂估价，含税）的</w:t>
      </w:r>
      <w:r>
        <w:rPr>
          <w:rFonts w:ascii="宋体" w:hAnsi="宋体" w:cs="宋体"/>
          <w:bCs/>
          <w:color w:val="auto"/>
          <w:szCs w:val="21"/>
          <w:highlight w:val="none"/>
          <w:lang w:bidi="en-US"/>
        </w:rPr>
        <w:t xml:space="preserve">80%</w:t>
      </w:r>
      <w:r>
        <w:rPr>
          <w:rFonts w:hint="eastAsia" w:ascii="宋体" w:hAnsi="宋体" w:cs="宋体"/>
          <w:bCs/>
          <w:color w:val="auto"/>
          <w:szCs w:val="21"/>
          <w:highlight w:val="none"/>
          <w:lang w:bidi="en-US"/>
        </w:rPr>
        <w:t xml:space="preserve">；</w:t>
      </w:r>
      <w:r/>
    </w:p>
    <w:p>
      <w:pPr>
        <w:ind w:firstLine="420"/>
        <w:spacing w:line="360" w:lineRule="auto"/>
        <w:widowControl w:val="off"/>
        <w:rPr>
          <w:rFonts w:ascii="宋体" w:hAnsi="宋体" w:cs="宋体"/>
          <w:bCs/>
          <w:color w:val="auto"/>
          <w:szCs w:val="21"/>
          <w:highlight w:val="none"/>
          <w:lang w:bidi="en-US"/>
        </w:rPr>
      </w:pPr>
      <w:r>
        <w:rPr>
          <w:rFonts w:hint="eastAsia" w:ascii="宋体" w:hAnsi="宋体" w:cs="宋体"/>
          <w:bCs/>
          <w:color w:val="auto"/>
          <w:szCs w:val="21"/>
          <w:highlight w:val="none"/>
          <w:lang w:bidi="en-US"/>
        </w:rPr>
        <w:t xml:space="preserve">2）</w:t>
      </w:r>
      <w:r>
        <w:rPr>
          <w:rFonts w:hint="eastAsia" w:ascii="宋体" w:hAnsi="宋体" w:eastAsia="宋体" w:cs="宋体"/>
          <w:bCs/>
          <w:color w:val="auto"/>
          <w:szCs w:val="21"/>
          <w:highlight w:val="none"/>
          <w:lang w:val="en-US" w:eastAsia="zh-CN" w:bidi="en-US"/>
        </w:rPr>
        <w:t xml:space="preserve">采购人</w:t>
      </w:r>
      <w:r>
        <w:rPr>
          <w:rFonts w:hint="eastAsia" w:ascii="宋体" w:hAnsi="宋体" w:cs="宋体"/>
          <w:bCs/>
          <w:color w:val="auto"/>
          <w:szCs w:val="21"/>
          <w:highlight w:val="none"/>
          <w:lang w:bidi="en-US"/>
        </w:rPr>
        <w:t xml:space="preserve">审计部门审计后，付至审定价的</w:t>
      </w:r>
      <w:r>
        <w:rPr>
          <w:rFonts w:ascii="宋体" w:hAnsi="宋体" w:cs="宋体"/>
          <w:bCs/>
          <w:color w:val="auto"/>
          <w:szCs w:val="21"/>
          <w:highlight w:val="none"/>
          <w:lang w:bidi="en-US"/>
        </w:rPr>
        <w:t xml:space="preserve">97%</w:t>
      </w:r>
      <w:r>
        <w:rPr>
          <w:rFonts w:hint="eastAsia" w:ascii="宋体" w:hAnsi="宋体" w:cs="宋体"/>
          <w:bCs/>
          <w:color w:val="auto"/>
          <w:szCs w:val="21"/>
          <w:highlight w:val="none"/>
          <w:lang w:bidi="en-US"/>
        </w:rPr>
        <w:t xml:space="preserve">。</w:t>
      </w:r>
      <w:r>
        <w:rPr>
          <w:rFonts w:hint="eastAsia" w:ascii="宋体" w:hAnsi="宋体" w:cs="宋体"/>
          <w:b/>
          <w:bCs/>
          <w:color w:val="auto"/>
          <w:szCs w:val="21"/>
          <w:highlight w:val="none"/>
          <w:u w:val="single"/>
          <w:lang w:bidi="en-US"/>
        </w:rPr>
        <w:t xml:space="preserve">如</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发现存在已经支付的款项超出</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实际完成工作量的款项，</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应将超付部分的款项无条件返还给</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拒绝返还该款项的，</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有权在剩余工程款中直接扣除。剩余工程款不足以返还该超付款项的，</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应当继续承担返还义务。</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拒绝承担返还义务的，</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有权通过法律途径追究</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的法律责任，并向</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支付合同总价3</w:t>
      </w:r>
      <w:r>
        <w:rPr>
          <w:rFonts w:ascii="宋体" w:hAnsi="宋体" w:cs="宋体"/>
          <w:b/>
          <w:bCs/>
          <w:color w:val="auto"/>
          <w:szCs w:val="21"/>
          <w:highlight w:val="none"/>
          <w:u w:val="single"/>
          <w:lang w:bidi="en-US"/>
        </w:rPr>
        <w:t xml:space="preserve">0%</w:t>
      </w:r>
      <w:r>
        <w:rPr>
          <w:rFonts w:hint="eastAsia" w:ascii="宋体" w:hAnsi="宋体" w:cs="宋体"/>
          <w:b/>
          <w:bCs/>
          <w:color w:val="auto"/>
          <w:szCs w:val="21"/>
          <w:highlight w:val="none"/>
          <w:u w:val="single"/>
          <w:lang w:bidi="en-US"/>
        </w:rPr>
        <w:t xml:space="preserve">的违约金，造成</w:t>
      </w:r>
      <w:r>
        <w:rPr>
          <w:rFonts w:hint="eastAsia" w:ascii="宋体" w:hAnsi="宋体" w:eastAsia="宋体" w:cs="宋体"/>
          <w:b/>
          <w:bCs/>
          <w:color w:val="auto"/>
          <w:szCs w:val="21"/>
          <w:highlight w:val="none"/>
          <w:u w:val="single"/>
          <w:lang w:val="en-US" w:eastAsia="zh-CN" w:bidi="en-US"/>
        </w:rPr>
        <w:t xml:space="preserve">采购人</w:t>
      </w:r>
      <w:r>
        <w:rPr>
          <w:rFonts w:hint="eastAsia" w:ascii="宋体" w:hAnsi="宋体" w:cs="宋体"/>
          <w:b/>
          <w:bCs/>
          <w:color w:val="auto"/>
          <w:szCs w:val="21"/>
          <w:highlight w:val="none"/>
          <w:u w:val="single"/>
          <w:lang w:bidi="en-US"/>
        </w:rPr>
        <w:t xml:space="preserve">损失的，</w:t>
      </w:r>
      <w:r>
        <w:rPr>
          <w:rFonts w:hint="eastAsia" w:ascii="宋体" w:hAnsi="宋体" w:eastAsia="宋体" w:cs="宋体"/>
          <w:b/>
          <w:bCs/>
          <w:color w:val="auto"/>
          <w:szCs w:val="21"/>
          <w:highlight w:val="none"/>
          <w:u w:val="single"/>
          <w:lang w:val="en-US" w:eastAsia="zh-CN" w:bidi="en-US"/>
        </w:rPr>
        <w:t xml:space="preserve">供应商</w:t>
      </w:r>
      <w:r>
        <w:rPr>
          <w:rFonts w:hint="eastAsia" w:ascii="宋体" w:hAnsi="宋体" w:cs="宋体"/>
          <w:b/>
          <w:bCs/>
          <w:color w:val="auto"/>
          <w:szCs w:val="21"/>
          <w:highlight w:val="none"/>
          <w:u w:val="single"/>
          <w:lang w:bidi="en-US"/>
        </w:rPr>
        <w:t xml:space="preserve">还应承担全部赔偿责任。</w:t>
      </w:r>
      <w:r/>
    </w:p>
    <w:p>
      <w:pPr>
        <w:ind w:firstLine="420"/>
        <w:spacing w:line="360" w:lineRule="auto"/>
        <w:widowControl w:val="off"/>
        <w:rPr>
          <w:rFonts w:ascii="宋体" w:hAnsi="宋体" w:cs="宋体"/>
          <w:bCs/>
          <w:color w:val="auto"/>
          <w:szCs w:val="21"/>
          <w:highlight w:val="none"/>
          <w:lang w:bidi="en-US"/>
        </w:rPr>
      </w:pPr>
      <w:r>
        <w:rPr>
          <w:rFonts w:hint="eastAsia" w:ascii="宋体" w:hAnsi="宋体" w:cs="宋体"/>
          <w:bCs/>
          <w:color w:val="auto"/>
          <w:szCs w:val="21"/>
          <w:highlight w:val="none"/>
          <w:lang w:bidi="en-US"/>
        </w:rPr>
        <w:t xml:space="preserve">3）剩余审定价的</w:t>
      </w:r>
      <w:r>
        <w:rPr>
          <w:rFonts w:ascii="宋体" w:hAnsi="宋体" w:cs="宋体"/>
          <w:bCs/>
          <w:color w:val="auto"/>
          <w:szCs w:val="21"/>
          <w:highlight w:val="none"/>
          <w:lang w:bidi="en-US"/>
        </w:rPr>
        <w:t xml:space="preserve">3%</w:t>
      </w:r>
      <w:r>
        <w:rPr>
          <w:rFonts w:hint="eastAsia" w:ascii="宋体" w:hAnsi="宋体" w:cs="宋体"/>
          <w:bCs/>
          <w:color w:val="auto"/>
          <w:szCs w:val="21"/>
          <w:highlight w:val="none"/>
          <w:lang w:bidi="en-US"/>
        </w:rPr>
        <w:t xml:space="preserve">在质保期满（无质量问题）后</w:t>
      </w:r>
      <w:r>
        <w:rPr>
          <w:rFonts w:ascii="宋体" w:hAnsi="宋体" w:cs="宋体"/>
          <w:bCs/>
          <w:color w:val="auto"/>
          <w:szCs w:val="21"/>
          <w:highlight w:val="none"/>
          <w:lang w:bidi="en-US"/>
        </w:rPr>
        <w:t xml:space="preserve">14</w:t>
      </w:r>
      <w:r>
        <w:rPr>
          <w:rFonts w:hint="eastAsia" w:ascii="宋体" w:hAnsi="宋体" w:cs="宋体"/>
          <w:bCs/>
          <w:color w:val="auto"/>
          <w:szCs w:val="21"/>
          <w:highlight w:val="none"/>
          <w:lang w:bidi="en-US"/>
        </w:rPr>
        <w:t xml:space="preserve">天内付清（无息）。</w:t>
      </w:r>
      <w:r/>
    </w:p>
    <w:p>
      <w:pPr>
        <w:numPr>
          <w:ilvl w:val="0"/>
          <w:numId w:val="4"/>
        </w:numPr>
        <w:spacing w:line="360" w:lineRule="auto"/>
        <w:widowControl w:val="off"/>
        <w:rPr>
          <w:rFonts w:ascii="宋体" w:hAnsi="宋体" w:cs="宋体"/>
          <w:b/>
          <w:bCs/>
          <w:color w:val="auto"/>
          <w:szCs w:val="36"/>
          <w:highlight w:val="none"/>
        </w:rPr>
        <w:outlineLvl w:val="1"/>
      </w:pPr>
      <w:r>
        <w:rPr>
          <w:rFonts w:hint="eastAsia" w:ascii="宋体" w:hAnsi="宋体" w:cs="宋体"/>
          <w:b/>
          <w:bCs/>
          <w:color w:val="auto"/>
          <w:szCs w:val="36"/>
          <w:highlight w:val="none"/>
        </w:rPr>
        <w:t xml:space="preserve">现场踏勘</w:t>
      </w:r>
      <w:bookmarkEnd w:id="30"/>
      <w:r/>
      <w:bookmarkEnd w:id="31"/>
      <w:r/>
      <w:bookmarkEnd w:id="3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（1）本项目不组织集中勘察。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（2）未考察现场或考察工作不详细的供应商在成交后，不得以不完全了解现场情况为理由向采购人提出任何索赔或其他要求，对此采购人不承担任何责任并不作任何答复。</w:t>
      </w:r>
      <w:r/>
    </w:p>
    <w:p>
      <w:pPr>
        <w:numPr>
          <w:ilvl w:val="0"/>
          <w:numId w:val="4"/>
        </w:numPr>
        <w:spacing w:line="360" w:lineRule="auto"/>
        <w:widowControl w:val="off"/>
        <w:rPr>
          <w:rFonts w:ascii="黑体" w:hAnsi="黑体"/>
          <w:b/>
          <w:bCs/>
          <w:color w:val="auto"/>
          <w:szCs w:val="36"/>
          <w:highlight w:val="none"/>
        </w:rPr>
        <w:outlineLvl w:val="1"/>
      </w:pPr>
      <w:r/>
      <w:bookmarkStart w:id="33" w:name="_Toc18498"/>
      <w:r/>
      <w:bookmarkStart w:id="34" w:name="_Toc5262"/>
      <w:r/>
      <w:bookmarkStart w:id="35" w:name="_Toc370"/>
      <w:r>
        <w:rPr>
          <w:rFonts w:hint="eastAsia" w:ascii="黑体" w:hAnsi="黑体"/>
          <w:b/>
          <w:bCs/>
          <w:color w:val="auto"/>
          <w:szCs w:val="36"/>
          <w:highlight w:val="none"/>
        </w:rPr>
        <w:t xml:space="preserve">工程量清单：详见百度网盘</w:t>
      </w:r>
      <w:bookmarkEnd w:id="33"/>
      <w:r/>
      <w:bookmarkEnd w:id="34"/>
      <w:r/>
      <w:bookmarkEnd w:id="35"/>
      <w:r>
        <w:rPr>
          <w:rFonts w:hint="eastAsia" w:ascii="黑体" w:hAnsi="黑体"/>
          <w:b/>
          <w:bCs/>
          <w:color w:val="auto"/>
          <w:szCs w:val="36"/>
          <w:highlight w:val="none"/>
        </w:rPr>
        <w:t xml:space="preserve">：</w:t>
      </w:r>
      <w:r/>
    </w:p>
    <w:p>
      <w:pPr>
        <w:spacing w:line="360" w:lineRule="auto"/>
        <w:widowControl w:val="off"/>
        <w:rPr>
          <w:color w:val="auto"/>
          <w:highlight w:val="none"/>
        </w:rPr>
        <w:sectPr>
          <w:headerReference w:type="default" r:id="rId9"/>
          <w:headerReference w:type="first" r:id="rId10"/>
          <w:footerReference w:type="default" r:id="rId11"/>
          <w:footerReference w:type="first" r:id="rId12"/>
          <w:footnotePr/>
          <w:endnotePr/>
          <w:type w:val="nextPage"/>
          <w:pgSz w:w="11900" w:h="16840" w:orient="portrait"/>
          <w:pgMar w:top="1440" w:right="1800" w:bottom="1440" w:left="1800" w:header="0" w:footer="3" w:gutter="0"/>
          <w:cols w:num="1" w:sep="0" w:space="720" w:equalWidth="1"/>
          <w:docGrid w:linePitch="360"/>
          <w:titlePg/>
        </w:sectPr>
      </w:pPr>
      <w:r>
        <w:rPr>
          <w:rFonts w:hint="eastAsia"/>
          <w:color w:val="auto"/>
          <w:highlight w:val="none"/>
        </w:rPr>
        <w:t xml:space="preserve">链接：https://pan.baidu.com/s/11qmsIOB3lbE8QoHkQ1p5LQ?pwd=t51r </w:t>
      </w:r>
      <w:bookmarkEnd w:id="7"/>
      <w:r/>
      <w:bookmarkEnd w:id="8"/>
      <w:r/>
      <w:bookmarkEnd w:id="9"/>
      <w:r/>
      <w:r/>
    </w:p>
    <w:p>
      <w:pPr>
        <w:jc w:val="center"/>
        <w:spacing w:before="240" w:after="120" w:line="85" w:lineRule="atLeast"/>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before="24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第五章合同草案条款及格式</w:t>
      </w:r>
      <w:r>
        <w:rPr>
          <w:color w:val="auto"/>
          <w:highlight w:val="none"/>
        </w:rPr>
      </w:r>
      <w:r/>
    </w:p>
    <w:p>
      <w:pPr>
        <w:jc w:val="center"/>
        <w:spacing w:line="360" w:lineRule="auto"/>
        <w:widowControl w:val="off"/>
      </w:pPr>
      <w:r>
        <w:rPr>
          <w:rFonts w:hint="eastAsia" w:ascii="宋体" w:hAnsi="宋体" w:cs="宋体"/>
          <w:bCs/>
          <w:color w:val="auto"/>
          <w:szCs w:val="21"/>
          <w:highlight w:val="none"/>
          <w:lang w:val="en-US" w:eastAsia="zh-CN" w:bidi="en-US"/>
        </w:rPr>
        <w:t xml:space="preserve">（合同文本为参考文本，最终以发包人审定文本为准）</w:t>
      </w:r>
      <w:r>
        <w:rPr>
          <w:rFonts w:hint="default" w:ascii="宋体" w:hAnsi="宋体" w:cs="宋体"/>
          <w:bCs/>
          <w:color w:val="auto"/>
          <w:szCs w:val="21"/>
          <w:highlight w:val="none"/>
          <w:lang w:val="en-US" w:eastAsia="zh-CN" w:bidi="en-US"/>
        </w:rPr>
      </w:r>
      <w:r/>
    </w:p>
    <w:p>
      <w:pPr>
        <w:jc w:val="center"/>
        <w:spacing w:line="360" w:lineRule="auto"/>
        <w:widowControl w:val="off"/>
        <w:outlineLvl w:val="1"/>
      </w:pPr>
      <w:r/>
      <w:bookmarkStart w:id="0" w:name="undefined"/>
      <w:r>
        <w:rPr>
          <w:rFonts w:hint="eastAsia" w:ascii="宋体" w:hAnsi="宋体" w:cs="宋体"/>
          <w:b/>
          <w:bCs/>
          <w:color w:val="auto"/>
          <w:sz w:val="28"/>
          <w:szCs w:val="28"/>
          <w:highlight w:val="none"/>
          <w:lang w:val="zh-TW" w:bidi="zh-TW"/>
        </w:rPr>
        <w:t xml:space="preserve">第一部分合同协议书</w:t>
      </w:r>
      <w:bookmarkEnd w:id="0"/>
      <w:r>
        <w:rPr>
          <w:rFonts w:ascii="宋体" w:hAnsi="宋体" w:cs="宋体"/>
          <w:b/>
          <w:bCs/>
          <w:color w:val="auto"/>
          <w:sz w:val="28"/>
          <w:szCs w:val="28"/>
          <w:highlight w:val="none"/>
          <w:lang w:val="zh-TW" w:bidi="zh-TW"/>
        </w:rPr>
      </w:r>
      <w:r/>
    </w:p>
    <w:p>
      <w:pPr>
        <w:ind w:firstLine="420"/>
        <w:spacing w:line="360" w:lineRule="auto"/>
        <w:widowControl w:val="off"/>
      </w:pPr>
      <w:r>
        <w:rPr>
          <w:rFonts w:hint="eastAsia" w:ascii="宋体" w:hAnsi="宋体" w:cs="宋体"/>
          <w:bCs/>
          <w:color w:val="auto"/>
          <w:szCs w:val="21"/>
          <w:highlight w:val="none"/>
          <w:lang w:bidi="en-US"/>
        </w:rPr>
        <w:t xml:space="preserve">发包人（全称）：南京信息工程大学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承包人（全称）： </w:t>
      </w:r>
      <w:r>
        <w:rPr>
          <w:rFonts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r>
      <w:r/>
    </w:p>
    <w:p>
      <w:pPr>
        <w:spacing w:line="360" w:lineRule="auto"/>
        <w:widowControl w:val="off"/>
      </w:pPr>
      <w:r>
        <w:rPr>
          <w:rFonts w:hint="eastAsia" w:ascii="宋体" w:hAnsi="宋体" w:cs="宋体"/>
          <w:bCs/>
          <w:color w:val="auto"/>
          <w:szCs w:val="21"/>
          <w:highlight w:val="none"/>
          <w:lang w:bidi="en-US"/>
        </w:rPr>
        <w:t xml:space="preserve">     根据《中华人民共和国民法典》、《中华人民共和国建筑法》及有关法律规定，遵循平等、自愿、公平和诚实信用的原则，双方就</w:t>
      </w:r>
      <w:r>
        <w:rPr>
          <w:rFonts w:hint="eastAsia" w:ascii="宋体" w:hAnsi="宋体" w:cs="宋体"/>
          <w:bCs/>
          <w:color w:val="auto"/>
          <w:szCs w:val="21"/>
          <w:highlight w:val="none"/>
          <w:u w:val="single"/>
          <w:lang w:bidi="en-US"/>
        </w:rPr>
        <w:t xml:space="preserve">南京信息工程大学2026年毕业生宿舍出新项目</w:t>
      </w:r>
      <w:r>
        <w:rPr>
          <w:rFonts w:hint="eastAsia" w:ascii="宋体" w:hAnsi="宋体" w:cs="宋体"/>
          <w:bCs/>
          <w:color w:val="auto"/>
          <w:szCs w:val="21"/>
          <w:highlight w:val="none"/>
          <w:lang w:bidi="en-US"/>
        </w:rPr>
        <w:t xml:space="preserve">施工及有关事项协商一致，共同达成如下协议：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一、工程概况</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1.工程名称：</w:t>
      </w:r>
      <w:r>
        <w:rPr>
          <w:rFonts w:hint="eastAsia" w:ascii="宋体" w:hAnsi="宋体" w:cs="宋体"/>
          <w:bCs/>
          <w:color w:val="auto"/>
          <w:szCs w:val="21"/>
          <w:highlight w:val="none"/>
          <w:u w:val="single"/>
          <w:lang w:bidi="en-US"/>
        </w:rPr>
        <w:t xml:space="preserve"> 南京信息工程大学2026年毕业生宿舍出新项目</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2.工程地点：位于江北新区盘城街道宁六路219号，南京信息工程大学校园内。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3.工程立项批准文号： </w:t>
      </w:r>
      <w:r>
        <w:rPr>
          <w:rFonts w:hint="eastAsia"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4.资金来源：财政资金。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5.工程内容：详见招标文件。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6.工程承包范围：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详见图纸、工程量清单，具体以甲方现场交底为准。承包方式为包工包料，且包工期、包质量、包安全、包施工全部风险。本工程必须由承包人自行完成，严禁转包和擅自分包。否则发包人有权单方面终止本合同的执行，并且承包人按合同价款的10%向发包人支付违约金，由此所造成的一切后果和经济损失均由承包人自行负责和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二、合同工期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计划开工日期：</w:t>
      </w:r>
      <w:r>
        <w:rPr>
          <w:rFonts w:hint="eastAsia"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。计划开工日期与实际开工日期不一致的，以书面签发的开工令为准。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计划竣工日期：</w:t>
      </w:r>
      <w:r>
        <w:rPr>
          <w:rFonts w:hint="eastAsia"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工期总日历天数：</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天。工期总日历天数与根据前述计划开竣工日期计算的工期天数不一致的，以工期总日历天数为准。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三、质量标准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工程质量符合《建筑工程施工质量验收统一标准》（GB50300-2013）标准。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要求一次性验收达到《建筑工程施工质量验收统一标准》（GB50300-2013）“合格”标准并满足工程规范要求（且必须保证工程质量、安全）。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四、签约合同价与合同价格形式</w:t>
      </w:r>
      <w:r>
        <w:rPr>
          <w:rFonts w:hint="eastAsia" w:ascii="宋体" w:hAnsi="宋体" w:cs="宋体"/>
          <w:bCs/>
          <w:color w:val="auto"/>
          <w:szCs w:val="21"/>
          <w:highlight w:val="none"/>
          <w:lang w:bidi="en-US"/>
        </w:rPr>
        <w:tab/>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1.签约合同价为：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人民币（大写</w:t>
      </w:r>
      <w:r>
        <w:rPr>
          <w:rFonts w:hint="eastAsia"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其中：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（1）安全文明施工费：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人民币（大写</w:t>
      </w:r>
      <w:r>
        <w:rPr>
          <w:rFonts w:hint="eastAsia"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（2）材料和工程设备暂估价金额：无</w:t>
      </w:r>
      <w:r>
        <w:rPr>
          <w:rFonts w:ascii="宋体" w:hAnsi="宋体" w:cs="宋体"/>
          <w:bCs/>
          <w:color w:val="auto"/>
          <w:szCs w:val="21"/>
          <w:highlight w:val="none"/>
          <w:lang w:bidi="en-US"/>
        </w:rPr>
        <w:t xml:space="preserve">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人民币（大写）(¥元)；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（3）专业工程暂估价金额：无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人民币（大写）(¥元)；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（4）暂列金额：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人民币（大写</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元整）(¥</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2.合同价格形式：固定单价合同。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五、项目经理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承包人项目经理：</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六、合同文件构成</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本协议书与下列文件一起构成合同文件：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（1）中标通知书（如果有）；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（2）招标文件；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（3）投标函及其附录（如果有）；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（4）专用合同条款及其附件；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（5）通用合同条款；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（6）技术标准和要求；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（7）图纸（如果有）；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（8）已标价工程量清单或预算书；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（9）其他合同文件。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在合同订立及履行过程中形成的与合同有关的文件均构成合同文件组成部分。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七、承诺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1.发包人承诺按照法律规定履行项目审批手续、筹集工程建设资金并按照合同约定的期限和方式支付合同价款。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3.发包人和承包人通过招投标形式签订合同的，双方理解并承诺不再就同一工程另行签订与合同实质性内容相背离的协议。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八、词语含义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本协议书中词语含义与第二部分通用合同条款中赋予的含义相同。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九、签订时间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本合同于</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签订。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十、签订地点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本合同在南京信息工程大学校内签订。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十一、补充协议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合同未尽事宜，合同当事人另行签订补充协议，补充协议是合同的组成部分。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十二、合同生效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本合同自双方加盖公章并经法定代表人或委托代理人签字之日生效。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十三、合同份数</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本合同一式6份，均具有同等法律效力，发包人执3份，承包人执3份。</w:t>
      </w:r>
      <w:r>
        <w:rPr>
          <w:rFonts w:ascii="宋体" w:hAnsi="宋体" w:cs="宋体"/>
          <w:bCs/>
          <w:color w:val="auto"/>
          <w:szCs w:val="21"/>
          <w:highlight w:val="none"/>
          <w:lang w:bidi="en-US"/>
        </w:rPr>
      </w:r>
      <w:r/>
    </w:p>
    <w:p>
      <w:pPr>
        <w:ind w:left="-210" w:right="-210" w:firstLine="420"/>
        <w:spacing w:line="360" w:lineRule="auto"/>
        <w:widowControl w:val="off"/>
      </w:pPr>
      <w:r>
        <w:rPr>
          <w:rFonts w:eastAsia="Times New Roman"/>
          <w:bCs/>
          <w:color w:val="auto"/>
          <w:highlight w:val="none"/>
          <w:lang w:bidi="en-US"/>
        </w:rPr>
      </w:r>
      <w:r>
        <w:rPr>
          <w:rFonts w:eastAsia="Times New Roman"/>
          <w:bCs/>
          <w:color w:val="auto"/>
          <w:highlight w:val="none"/>
          <w:lang w:bidi="en-US"/>
        </w:rPr>
      </w:r>
      <w:r/>
    </w:p>
    <w:p>
      <w:pPr>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发包人：(公章)南京信息工程大学         承包人：(公章)</w:t>
      </w:r>
      <w:r>
        <w:rPr>
          <w:rFonts w:ascii="宋体" w:hAnsi="宋体" w:cs="宋体"/>
          <w:bCs/>
          <w:color w:val="auto"/>
          <w:szCs w:val="21"/>
          <w:highlight w:val="none"/>
          <w:u w:val="single"/>
          <w:lang w:bidi="en-US"/>
        </w:rPr>
        <w:t xml:space="preserve">              </w:t>
      </w:r>
      <w:r>
        <w:rPr>
          <w:rFonts w:ascii="宋体" w:hAnsi="宋体" w:cs="宋体"/>
          <w:bCs/>
          <w:color w:val="auto"/>
          <w:szCs w:val="21"/>
          <w:highlight w:val="none"/>
          <w:u w:val="single"/>
          <w:lang w:bidi="en-US"/>
        </w:rPr>
      </w:r>
      <w:r/>
    </w:p>
    <w:p>
      <w:pPr>
        <w:spacing w:line="360" w:lineRule="auto"/>
        <w:widowControl w:val="off"/>
      </w:pPr>
      <w:r>
        <w:rPr>
          <w:rFonts w:hint="eastAsia" w:ascii="宋体" w:hAnsi="宋体" w:cs="宋体"/>
          <w:bCs/>
          <w:color w:val="auto"/>
          <w:szCs w:val="21"/>
          <w:highlight w:val="none"/>
          <w:lang w:bidi="en-US"/>
        </w:rPr>
        <w:t xml:space="preserve">法定代表人或其委托代理人：             法定代表人或其委托代理人：</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（签字）                               （签字）</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组织机构代码：                    组织机构代码：</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地址：南京宁六路219号                地址：</w:t>
      </w:r>
      <w:r>
        <w:rPr>
          <w:rFonts w:ascii="宋体" w:hAnsi="宋体" w:cs="宋体"/>
          <w:bCs/>
          <w:color w:val="auto"/>
          <w:szCs w:val="21"/>
          <w:highlight w:val="none"/>
          <w:u w:val="single"/>
          <w:lang w:bidi="en-US"/>
        </w:rPr>
        <w:t xml:space="preserve">                         </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邮政编码：                  邮政编码：</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法定代表人：                        法定代表人：</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委托代理人：                        委托代理人：</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电话：                  电话：</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传真：                  传真：</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电子信箱：                              电子信箱：</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开户银行：                开户银行：</w:t>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账号：                      账号：</w:t>
      </w:r>
      <w:r>
        <w:rPr>
          <w:rFonts w:ascii="宋体" w:hAnsi="宋体" w:cs="宋体"/>
          <w:bCs/>
          <w:color w:val="auto"/>
          <w:szCs w:val="21"/>
          <w:highlight w:val="none"/>
          <w:lang w:bidi="en-US"/>
        </w:rPr>
      </w:r>
      <w:r/>
    </w:p>
    <w:p>
      <w:pPr>
        <w:ind w:left="-210" w:right="-210" w:firstLine="420"/>
        <w:spacing w:line="360" w:lineRule="auto"/>
        <w:widowControl w:val="off"/>
      </w:pPr>
      <w:r>
        <w:rPr>
          <w:rFonts w:eastAsia="Times New Roman"/>
          <w:bCs/>
          <w:color w:val="auto"/>
          <w:highlight w:val="none"/>
          <w:lang w:bidi="en-US"/>
        </w:rPr>
      </w:r>
      <w:r>
        <w:rPr>
          <w:rFonts w:eastAsia="Times New Roman"/>
          <w:bCs/>
          <w:color w:val="auto"/>
          <w:highlight w:val="none"/>
          <w:lang w:bidi="en-US"/>
        </w:rPr>
      </w:r>
      <w:r/>
    </w:p>
    <w:p>
      <w:pPr>
        <w:widowControl w:val="off"/>
      </w:pPr>
      <w:r>
        <w:rPr>
          <w:rFonts w:hint="eastAsia" w:ascii="宋体" w:hAnsi="宋体" w:cs="宋体"/>
          <w:bCs/>
          <w:color w:val="auto"/>
          <w:highlight w:val="none"/>
          <w:lang w:bidi="en-US"/>
        </w:rPr>
        <w:br w:type="page" w:clear="all"/>
      </w:r>
      <w:r>
        <w:rPr>
          <w:rFonts w:ascii="宋体" w:hAnsi="宋体" w:cs="宋体"/>
          <w:bCs/>
          <w:color w:val="auto"/>
          <w:highlight w:val="none"/>
          <w:lang w:bidi="en-US"/>
        </w:rPr>
      </w:r>
      <w:r/>
    </w:p>
    <w:p>
      <w:pPr>
        <w:jc w:val="center"/>
        <w:spacing w:line="360" w:lineRule="auto"/>
        <w:widowControl w:val="off"/>
        <w:outlineLvl w:val="1"/>
      </w:pPr>
      <w:r/>
      <w:bookmarkStart w:id="0" w:name="undefined"/>
      <w:r>
        <w:rPr>
          <w:rFonts w:hint="eastAsia" w:ascii="宋体" w:hAnsi="宋体" w:cs="宋体"/>
          <w:b/>
          <w:bCs/>
          <w:color w:val="auto"/>
          <w:sz w:val="28"/>
          <w:szCs w:val="28"/>
          <w:highlight w:val="none"/>
          <w:lang w:val="zh-TW" w:bidi="zh-TW"/>
        </w:rPr>
        <w:t xml:space="preserve">第二部分通用合同条款</w:t>
      </w:r>
      <w:bookmarkEnd w:id="0"/>
      <w:r>
        <w:rPr>
          <w:rFonts w:ascii="宋体" w:hAnsi="宋体" w:cs="宋体"/>
          <w:b/>
          <w:bCs/>
          <w:color w:val="auto"/>
          <w:sz w:val="28"/>
          <w:szCs w:val="28"/>
          <w:highlight w:val="none"/>
          <w:lang w:val="zh-TW" w:bidi="zh-TW"/>
        </w:rPr>
      </w:r>
      <w:r/>
    </w:p>
    <w:p>
      <w:pPr>
        <w:ind w:firstLine="420"/>
        <w:spacing w:line="360" w:lineRule="auto"/>
        <w:widowControl w:val="off"/>
      </w:pPr>
      <w:r>
        <w:rPr>
          <w:rFonts w:hint="eastAsia" w:ascii="宋体" w:hAnsi="宋体" w:cs="宋体"/>
          <w:bCs/>
          <w:color w:val="auto"/>
          <w:szCs w:val="21"/>
          <w:highlight w:val="none"/>
          <w:lang w:bidi="en-US"/>
        </w:rPr>
        <w:t xml:space="preserve">此部分采用《建设工程施工合同》范本（GF-20</w:t>
      </w:r>
      <w:r>
        <w:rPr>
          <w:rFonts w:ascii="宋体" w:hAnsi="宋体" w:cs="宋体"/>
          <w:bCs/>
          <w:color w:val="auto"/>
          <w:szCs w:val="21"/>
          <w:highlight w:val="none"/>
          <w:lang w:bidi="en-US"/>
        </w:rPr>
        <w:t xml:space="preserve">17</w:t>
      </w:r>
      <w:r>
        <w:rPr>
          <w:rFonts w:hint="eastAsia" w:ascii="宋体" w:hAnsi="宋体" w:cs="宋体"/>
          <w:bCs/>
          <w:color w:val="auto"/>
          <w:szCs w:val="21"/>
          <w:highlight w:val="none"/>
          <w:lang w:bidi="en-US"/>
        </w:rPr>
        <w:t xml:space="preserve">-0201）中《第二部分通用条款》</w:t>
      </w:r>
      <w:r>
        <w:rPr>
          <w:rFonts w:ascii="宋体" w:hAnsi="宋体" w:cs="宋体"/>
          <w:bCs/>
          <w:color w:val="auto"/>
          <w:szCs w:val="21"/>
          <w:highlight w:val="none"/>
          <w:lang w:bidi="en-US"/>
        </w:rPr>
      </w:r>
      <w:r/>
    </w:p>
    <w:p>
      <w:pPr>
        <w:widowControl w:val="off"/>
      </w:pPr>
      <w:r>
        <w:rPr>
          <w:rFonts w:hint="eastAsia" w:eastAsia="Times New Roman"/>
          <w:color w:val="auto"/>
          <w:sz w:val="28"/>
          <w:szCs w:val="28"/>
          <w:highlight w:val="none"/>
          <w:lang w:bidi="en-US"/>
        </w:rPr>
        <w:br w:type="page" w:clear="all"/>
      </w:r>
      <w:r>
        <w:rPr>
          <w:rFonts w:eastAsia="Times New Roman"/>
          <w:color w:val="auto"/>
          <w:sz w:val="28"/>
          <w:szCs w:val="28"/>
          <w:highlight w:val="none"/>
          <w:lang w:bidi="en-US"/>
        </w:rPr>
      </w:r>
      <w:r/>
    </w:p>
    <w:p>
      <w:pPr>
        <w:jc w:val="center"/>
        <w:spacing w:line="360" w:lineRule="auto"/>
        <w:widowControl w:val="off"/>
        <w:outlineLvl w:val="1"/>
      </w:pPr>
      <w:r/>
      <w:bookmarkStart w:id="0" w:name="undefined"/>
      <w:r>
        <w:rPr>
          <w:rFonts w:hint="eastAsia" w:ascii="宋体" w:hAnsi="宋体" w:cs="宋体"/>
          <w:b/>
          <w:bCs/>
          <w:color w:val="auto"/>
          <w:sz w:val="28"/>
          <w:szCs w:val="28"/>
          <w:highlight w:val="none"/>
          <w:lang w:val="zh-TW" w:bidi="zh-TW"/>
        </w:rPr>
        <w:t xml:space="preserve">第三部分专用合同条款</w:t>
      </w:r>
      <w:bookmarkEnd w:id="0"/>
      <w:r>
        <w:rPr>
          <w:rFonts w:ascii="宋体" w:hAnsi="宋体" w:cs="宋体"/>
          <w:b/>
          <w:bCs/>
          <w:color w:val="auto"/>
          <w:sz w:val="28"/>
          <w:szCs w:val="28"/>
          <w:highlight w:val="none"/>
          <w:lang w:val="zh-TW" w:bidi="zh-TW"/>
        </w:rPr>
      </w:r>
      <w:r/>
    </w:p>
    <w:p>
      <w:pPr>
        <w:ind w:firstLine="420"/>
        <w:spacing w:line="360" w:lineRule="auto"/>
        <w:widowControl w:val="off"/>
      </w:pPr>
      <w:r>
        <w:rPr>
          <w:rFonts w:hint="eastAsia" w:ascii="宋体" w:hAnsi="宋体" w:cs="宋体"/>
          <w:bCs/>
          <w:color w:val="auto"/>
          <w:szCs w:val="21"/>
          <w:highlight w:val="none"/>
          <w:lang w:bidi="en-US"/>
        </w:rPr>
        <w:t xml:space="preserve">1.一般约定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1.1词语定义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1.1.1.10其他合同文件包括：（1）本合同协议书；（2）补充协议；（3）本合同专用条款；（4）中标通知书；（5）招标文件；（6）投标函及投标函附录；（7）本合同通用条款；（8）图纸；（9）标准、规范及有关技术文件、技术要求；（10）投标文件（不含投标函及投标函附录）；（11）双方有关工程的洽商、变更等相关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1.1.2合同当事人及其他相关方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1.1.2.4监理人：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名称：</w:t>
      </w:r>
      <w:r>
        <w:rPr>
          <w:rFonts w:hint="eastAsia" w:ascii="宋体" w:hAnsi="宋体"/>
          <w:color w:val="auto"/>
          <w:szCs w:val="21"/>
          <w:highlight w:val="none"/>
          <w:u w:val="single"/>
          <w:lang w:bidi="en-US"/>
        </w:rPr>
        <w:t xml:space="preserve"> </w:t>
      </w:r>
      <w:r>
        <w:rPr>
          <w:rFonts w:ascii="宋体" w:hAnsi="宋体"/>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资质类别和等级：/；</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联系电话：/；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电子信箱：/；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通信地址：/。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1.1.2.5设计人：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名称： </w:t>
      </w:r>
      <w:r>
        <w:rPr>
          <w:rFonts w:hint="eastAsia" w:ascii="宋体" w:hAnsi="宋体"/>
          <w:color w:val="auto"/>
          <w:szCs w:val="21"/>
          <w:highlight w:val="none"/>
          <w:u w:val="single"/>
          <w:lang w:bidi="en-US"/>
        </w:rPr>
        <w:t xml:space="preserve"> </w:t>
      </w:r>
      <w:r>
        <w:rPr>
          <w:rFonts w:ascii="宋体" w:hAnsi="宋体"/>
          <w:color w:val="auto"/>
          <w:szCs w:val="21"/>
          <w:highlight w:val="none"/>
          <w:u w:val="single"/>
          <w:lang w:bidi="en-US"/>
        </w:rPr>
        <w:t xml:space="preserve">                              </w:t>
      </w:r>
      <w:r>
        <w:rPr>
          <w:rFonts w:ascii="宋体" w:hAnsi="宋体" w:cs="宋体"/>
          <w:bCs/>
          <w:color w:val="auto"/>
          <w:szCs w:val="21"/>
          <w:highlight w:val="none"/>
          <w:lang w:bidi="en-US"/>
        </w:rPr>
        <w:t xml:space="preserve">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资质类别和等级：/；</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联系电话：/；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电子信箱：/；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通信地址：/。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1.1.3工程和设备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1.1.3.7作为施工现场组成部分的其他场所包括：无。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1.1.3.9永久占地包括：无。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1.1.3.10临时占地包括：无。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1.3法律</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适用于合同的其他规范性文件：《中华人民共和国民法典》、《中华人民共和国建筑法》、《中华人民共和国招标投标法》、《建设工程质量管理条例》及国家、江苏省、南京市有关建筑工程的法规条令。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1.4标准和规范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适用于工程的标准规范包括：竣工验收前实施的现行国家、行业、专业及南京市的有关标准、规范、规定和条例所阐明的强制性标准。当对同一考核指标国家、行业、专业和南京市颁布的有关标准、规范产生不一致时，承包人应及时通知监理工程师和甲方代表，可考虑以其颁布的标准、规范较为严格者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如果本合同约定的标准、规范、图纸、以及国家或地区发布的标准、规范之间出现歧义或矛盾时，其中的数量以图纸为准，质量要求、工艺标准按照以下原则选择：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(1)如果图纸或本合同约定的工程建设标准中的质量要求、工艺标准低于国家、地区标准的，则按国家、地区标准执行；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(2)如果图纸或本合同约定的工程建设标准中的质量要求、工艺标准高于国家、地区标准的，则按图纸或本合同约定的质量要求、工艺标准执行；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(3)如果图纸中的质量要求、工艺标准与本合同约定的标准、规范出现矛盾或歧义的，在满足国家、地区标准的基础上按本合同约定的标准、规范执行。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1.4.2发包人提供国外标准、规范的名称：无；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发包人提供国外标准、规范的份数：无；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发包人提供国外标准、规范的名称：无。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1.4.3发包人对工程的技术标准和功能要求的特殊要求：无。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1.5合同文件的优先顺序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合同文件组成及优先顺序为：同协议书第六条。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1.6图纸和承包人文件</w:t>
      </w:r>
      <w:r>
        <w:rPr>
          <w:rFonts w:hint="eastAsia" w:ascii="宋体" w:hAnsi="宋体" w:cs="宋体"/>
          <w:bCs/>
          <w:color w:val="auto"/>
          <w:szCs w:val="21"/>
          <w:highlight w:val="none"/>
          <w:lang w:bidi="en-US"/>
        </w:rPr>
        <w:tab/>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1.6.1图纸的提供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发包人向承包人提供图纸的期限：无；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发包人向承包人提供图纸的数量：无；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发包人向承包人提供图纸的内容：无。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1.6.4承包人文件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需要由承包人提供的文件，包括：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承包人提供的文件的期限为：合同签订后七天内；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承包人提供的文件的数量为：纸制文件四份，电子文档一份；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承包人提供的文件的形式为：纸质文件（按要求盖章签字），当面送达；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发包人审批承包人文件的期限：收到文件后7天内。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1.6.5现场图纸准备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关于现场图纸准备的约定：承包人自行准备。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1.7联络</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1.7.1发包人和承包人应当在合同签订后七天内将与合同有关的通知、批准、证明、证书、指示、指令、要求、请求、同意、意见、确定和决定等书面函件送达对方当事人。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1.7.2发包人接收文件的地点：发包人办公地点；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发包人指定的接收人为：项目发包人现场代表。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承包人接收文件的地点：施工项目部；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承包人指定的接收人为：项目监理。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监理人接收文件的地点：监理项目部；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监理人指定的接收人为：总监理工程师。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1.10交通运输</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1.10.1出入现场的权利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关于出入现场的权利的约定：发包人、项目经理及主管领导、承包人项目组成员。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1.10.3场内交通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关于场外交通和场内交通的边界的约定：施工现场范围内或红线范围内向外延伸50米为场外与场内交通的边界约定。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关于发包人向承包人免费提供满足工程施工需要的场内道路和交通设施的约定：由承包人完成并负责维修、保养和管理工作及竣工结束后的拆除等，费用含在合同总价中。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1.10.4超大件和超重件的运输</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运输超大件或超重件所需的道路和桥梁临时加固改造费用和其他有关费用由承包人承担。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1.11知识产权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1.11.1关于发包人提供给承包人的图纸、发包人为实施工程自行编制或委托编制的技术规范以及反映发包人关于合同要求或其他类似性质的文件的著作权的归属：发包人。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1.11.2关于承包人为实施工程所编制文件的著作权的归属：除署名权以外的著作权属于发包人。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1.11.4承包人在施工过程中所采用的专利、专有技术、技术秘密的使用费的承担方式：已包含在签约合同价中。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1.13工程量清单错误的修正</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出现工程量清单错误时，是否调整合同价格：是。相关调整按照工程变更方式实施。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2.发包人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2.2发包人代表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发包人代表：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姓名：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身份证号：/；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职务：/；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联系电话：/；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电子信箱：/；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通信地址：/。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对发包人代表的授权范围如下：代表发包人在现场行使权利和履行义务，对工程现场施工进度和质量、造价进行监督与协调，发包人代表在授权范围内的行为由发包人承担法律责任。发包人更换发包人代表的，应提前7天书面通知承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2.4施工现场、施工条件和基础资料的提供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2.4.1提供施工现场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关于发包人移交施工现场的期限要求：按通用条款执行。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2.4.2提供施工条件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发包人应负责提供施工所需要的条件，包括：1、施工所需临时供电、临时供水、临时进场道路由承包人自行调查解决并承担所有费用，发包人不再单独计列。承包人于投标前必须根据现场情况，分析施工条件（水、电、路等）；涉及到的（水、电、路等）须增加投入的因素，承包人已在合同总价中予以考虑，结算时不得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开工前，发包人以书面形式向承包人提供水准点与坐标控制点，由发包人、承包人和监理人三方人员对水准点与坐标控制点数据进行现场交验。交验完毕，即由承包人负责保护，此后由于破坏或失准带来的重新测量、放点费用及由此造成的其他损失均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3、施工场地与场外公共道路以现场实际场地条件为准，发包人对此将不增加任何投入，承包人已充分考虑该因素，相关费用已计入本合同总价内，不得以此为理由延误进场施工。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4、前期施工许可证等建设程序相关手续由发包人按规定办理，并及时提供。临时用地、停水、停电、中断道路交通、爆破作业等的申请批准手续由承包人负责办理，相关费用由承包人承担，发包人帮助协调。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5、施工场地周围地下管线和邻近建筑物、构筑物（含文物保护建筑）、古树名木的保护等工作由承包人负责，相关费用由承包人承担，发包人帮助协调。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6、双方约定发包人应做的其他工作：由发包人委托，承包人不得拒绝。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7、施工场地具备施工条件的要求及完成的时间：按现状发包，场地已具备一定的施工条件。若有不全事项承包人自行完善，费用已包含在合同总价中。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2.5资金来源证明及支付担保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发包人提供资金来源证明的期限要求：同通用条款。</w:t>
      </w:r>
      <w:r>
        <w:rPr>
          <w:rFonts w:ascii="宋体" w:hAnsi="宋体" w:cs="宋体"/>
          <w:bCs/>
          <w:color w:val="auto"/>
          <w:szCs w:val="21"/>
          <w:highlight w:val="none"/>
          <w:lang w:bidi="en-US"/>
        </w:rPr>
      </w:r>
      <w:r/>
    </w:p>
    <w:p>
      <w:pPr>
        <w:ind w:firstLine="420"/>
        <w:jc w:val="both"/>
        <w:widowControl w:val="off"/>
      </w:pPr>
      <w:r>
        <w:rPr>
          <w:rFonts w:hint="eastAsia" w:ascii="宋体" w:hAnsi="宋体" w:cs="宋体"/>
          <w:bCs/>
          <w:color w:val="auto"/>
          <w:szCs w:val="21"/>
          <w:highlight w:val="none"/>
          <w:lang w:val="zh-TW" w:bidi="zh-TW"/>
        </w:rPr>
        <w:t xml:space="preserve">发包人是否提供支付担保：无。</w:t>
      </w:r>
      <w:r>
        <w:rPr>
          <w:rFonts w:hint="eastAsia" w:ascii="宋体" w:hAnsi="宋体" w:eastAsia="PMingLiU" w:cs="宋体"/>
          <w:color w:val="auto"/>
          <w:szCs w:val="21"/>
          <w:highlight w:val="none"/>
          <w:lang w:val="zh-TW" w:eastAsia="zh-TW" w:bidi="zh-TW"/>
        </w:rPr>
      </w:r>
      <w:r/>
    </w:p>
    <w:p>
      <w:pPr>
        <w:ind w:firstLine="420"/>
        <w:spacing w:line="360" w:lineRule="auto"/>
        <w:widowControl w:val="off"/>
      </w:pPr>
      <w:r>
        <w:rPr>
          <w:rFonts w:hint="eastAsia" w:ascii="宋体" w:hAnsi="宋体" w:cs="宋体"/>
          <w:bCs/>
          <w:color w:val="auto"/>
          <w:szCs w:val="21"/>
          <w:highlight w:val="none"/>
          <w:lang w:bidi="en-US"/>
        </w:rPr>
        <w:t xml:space="preserve">发包人提供支付担保的形式：</w:t>
      </w:r>
      <w:r>
        <w:rPr>
          <w:rFonts w:hint="eastAsia" w:ascii="宋体" w:hAnsi="宋体" w:cs="宋体"/>
          <w:color w:val="auto"/>
          <w:szCs w:val="21"/>
          <w:highlight w:val="none"/>
          <w:lang w:bidi="en-US"/>
        </w:rPr>
        <w:t xml:space="preserve">无</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3.承包人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3.1承包人的一般义务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承包人提交的竣工资料的内容：按照GB/T50328-2014《建设工程文件归档整理规范》绘制竣工图一式四份及电子版壹份，根据国家、省、市、区相关规定提交工程竣工验收资料和工程竣工结算资料。所需费用已包含在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承包人需要提交的竣工资料套数：一式四份及电子版壹份。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承包人提交的竣工资料的费用承担：由承包人承担。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承包人提交的竣工资料移交时间：竣工验收后60日内。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承包人提交的竣工资料形式要求：纸制及电子版。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（10）承包人应履</w:t>
      </w:r>
      <w:r>
        <w:rPr>
          <w:rFonts w:hint="eastAsia" w:ascii="宋体" w:hAnsi="宋体" w:cs="宋体"/>
          <w:bCs/>
          <w:color w:val="auto"/>
          <w:szCs w:val="21"/>
          <w:highlight w:val="none"/>
          <w:lang w:bidi="en-US"/>
        </w:rPr>
        <w:t xml:space="preserve">行的其他义务：1）必须按发包人和监理人的要求完成开工前的申请报告以及所要求的各类报表，有针对性的施工组织设计。开工前10天提供施工进度总计划，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上述施工计划将作为承包人全面适当履行本合同的重要依据，承包人未按照施工计划投入相应劳动力及完成相应工程进度的，则构成违约，承包人应承担相应的违约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w:t>
      </w:r>
      <w:r>
        <w:rPr>
          <w:rFonts w:hint="eastAsia" w:ascii="宋体" w:hAnsi="宋体" w:cs="宋体"/>
          <w:bCs/>
          <w:color w:val="auto"/>
          <w:szCs w:val="21"/>
          <w:highlight w:val="none"/>
          <w:lang w:bidi="en-US"/>
        </w:rPr>
        <w:t xml:space="preserve">在实施和完成本工程过程中，承包人承担施工范围内的安全保卫工作，建立安全巡查制度，对施工场地的安全防护工作（包括照明、安全设施、脚手架、支架等）负全责。承包人应充分关注和保障所有在场人员及行人的安全，采取有效措施，使施工现场和本工程的实施保持有条不紊；为保护本工程免遭损坏，保障现场附近和过往人群的安全与方便，或当监理工程师或有关主管部门要求时，承包人应根据施工现场情况自费提供照明、警卫、护栅、警告标志等安全防护措施。非施工人员不得进入现场。费用包含在合同总价中，发生安全事故所产生的一切后果及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3）遵守政府有关主管部门对施工场地交通、施工噪音以及环境保护和安全生产等的管理规定，自费办理有关手续及承担费用，并以书面形式通知发包人。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遵守政府和市容、环保等有关部门对施工现场的一切规定和要求，承担因自身原因违反有关规定造成的损失和罚款。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应自费采取一切必要措施，使其施工对于邻近单位、人员的干扰、不方便及危险降至最低程度。工程事故引起的一切责任与费用，均由承包人承担。承包人必须保证发包人不承担由于施工产生的安全事故、噪音、污染或其他干扰所造成的的一切索赔、诉讼、损害、费用、罚款及开支等有关的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本工程重大活动、领导视察而发生的道路保洁、交通畅通、控制施工噪音、临时停工等方面的临时突击工作而产生的费用由承包人承担，此费用包含合同总价内，承包人不得另行提出此项付款请求。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承包人应充分了解其它项目工程施工已存在的、或潜在的因素对本项目管线的破坏因素，并采取切实的保护措施，防止本项目管道遭到破坏。同时，承包人应充分了解本项目工程施工对其它市政公用管线已存在的、或潜在的破坏因素，并要求本项目工程管理和施工人员采取切实的保护措施，防止因本项目工程施工而破坏其它市政公用管线，承包人因采取此类措施所需费用已包括在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w:t>
      </w:r>
      <w:r>
        <w:rPr>
          <w:rFonts w:ascii="宋体" w:hAnsi="宋体" w:cs="宋体"/>
          <w:bCs/>
          <w:color w:val="auto"/>
          <w:szCs w:val="21"/>
          <w:highlight w:val="none"/>
          <w:lang w:bidi="en-US"/>
        </w:rPr>
        <w:t xml:space="preserve">)</w:t>
      </w:r>
      <w:r>
        <w:rPr>
          <w:rFonts w:hint="eastAsia" w:ascii="宋体" w:hAnsi="宋体" w:cs="宋体"/>
          <w:bCs/>
          <w:color w:val="auto"/>
          <w:szCs w:val="21"/>
          <w:highlight w:val="none"/>
          <w:lang w:bidi="en-US"/>
        </w:rPr>
        <w:t xml:space="preserve">施工场地周围地下管线和邻近建筑物、构筑物(含文物保护建筑)、古树名木的保护要求及费用承担：承包人应自费做好施工场地地下管线（如果有）和临近建筑物、构筑物、高压线、古树名木的保护工作。承包人应采取相应的措施，保证其安全及正常使用，如未履行上述义务造成损失的，由承包人承担责任及所发生的费用。施工单位应做好管线保护工作，必须做到：1、有审批手续；2、有施工方案；3、有标志标识；4、有管线资料和现场交底；5、有探挖工序；6、有应急预案（联络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临时工程用地是承包人为完成工程建设临时占用的土地，不含取土场用地。临时工程用地中，临时工程的租地费用、场地处理、工程完工后承包人将临时工程用地上的构筑物拆除、恢复（含复垦）等费用由承包人摊入各相关项目的综合单价或措施项目单价中，不单独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按文件要求执行，做到文明施工、规范施工，保持场地整洁卫生，竣工验收合格后一周内负责将现场所有临时设施拆除，将建筑垃圾清运出场，做到工完场清，并承担相关费用。如承包人未按要求做到工完场清，发包人有权另行委托他人进行清场，相关费用直接从承包人的工程款中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保证施工现场符合南京市和江北新区建设、规划、环保及城管部门文明施工的有关规定。交工前清理现场达到监理工程师和发包人要求，承担因违反有关规定造成的损失和罚款。该费用由承包人承担，含在合同总价内，承包人不得另行提出此项付款请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承包人出入现场使用地方道路时，应认为承包人已接受的原有地方道路是完好的，承包人应负责自费与地方协调、改善、加固并养护，因承包人出入或施工运输使用造成的损坏，承包人应负责自行处理，并确保避免为业主带来赔偿和诉讼等不利后果。所有使用的临时道路应恢复到不低于施工前原先的通行标准，费用由承包人负责，含于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10）施工围档（如果有）按发包人统一要求制作，承包人应按发包人要求，按规定作好场内各项标识，标牌，便于检查、视察或参观。费用含于合同总价中。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在施工过程中及工程移交的保修期内，由于承包人出现的文明施工、质量问题、安全事故或其他原因，受到报纸、电视等媒体的曝光或政府有关部门的通报，造成严重负面影响时，每曝光一次承包人需向发包人支付5000-10000元的违约金，并在当期工程款中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承包人必须按照相关规定的要求缴纳民工工资保障金；并按照政府相关规定，建立健全雇员工资发放和劳动保障制度。如因雇员的工资发放和劳动保障制度不健全等原因而引发纠纷，发包人有权单方面终止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在合同实施期间，根据工程需要，发包人可能在本工程工地进行有关试验，承包人应积极配合并承担相应的工作。承包人有义务配合发包人委托的技术服务单位及相关科研单位的监测、科研、试验等工作，其配合费用已含在综合单价中，不再另行计量与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14）准时参加业主和监理组织的工程例会和专题会议，如迟到或缺席，发包人有权采取相应的处罚措施。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承包人应在施工前对现场进行详细的测量和勘察，如因承包人未能很好地审核图纸和对现场进行详细的测量与勘察，而造成施工中不得不返工的责任应由承包人自行负责，并承担所有相关费用和工期延误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开工前承包人对施工图纸认真核查，积极主动核对图纸中的标高、轴线、预留洞口尺寸等技术数据，充分理解设计意图，积极配合发包人组织的设计交底及图纸会审工作，并有义务指出图纸上任何不符施工常规、惯例或规范之处，以及设计图纸中错、漏、碰问题，如有需要修改或澄清的内容，承包人制定相关方案报发包人及监理认可后实施。如因承包人未能在施工该道工序提前协调解决好此类矛盾、问题而造成的工期、费用的损失，由承包人承担全部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17）发包人将在项目实施过程中，发布项目管理的相关管理办法，承包人必须遵照执行.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18）在施工配合上，应服从发包人的协调。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19）对专项施工方案，承包人应组织专家组会审，专家组成员由发包人或发包人代表选定，所产生费用由承包人承担，含于合同总价中。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20）承包人必须组织采用证照、手续齐全，性能良好，确保能安全施工的车辆、设备进行各项施工，在施工过程中非因发包人原因所发生的一切安全事故均由承包人自行负责。</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21）严格要求对堆放的施工材料进行覆盖，开挖进行带水作业，加强清尘冲洗；各项工序紧密衔接，快速规范施工，尽量减少扬尘的影响；完工后及时清场，减少扬尘污染；针对为保证交通需要而必须在夜间施工的工地，将严格按照环保部门要求实施，同时主动与住户沟通，争得理解和谅解。</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22）因征地拆迁和设计变更影响，承包人应因时制宜及时对施工组织和生产要素(工、料、机等)作好调整安排，避免造成停工停机损失。若承包人未及时做好妥善调整和安排，发包人不承担由此引起的索赔和补偿。</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23）不论材料以何种方式供应，承包人都必须对工程上使用的所有材料与监理及发包人代表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监理、发包人代表对材料的认可，不免除承包人的相关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24）在天气寒冷时，承包人必须对工程覆盖及采取相应保护措施，承包人采取相应措施之前应报监理人，经监理批准后，方可实施，其费用已含在综合单价中，不再另行计量与支付。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25）承包人同意在工程实施过程中，因为工程变更、发包人根据工程建设的需要等原因，将可能对承包人承包范围内的项目、材料品种和工程数量进行增加或删减，合同价按合同约定调整。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26）承包人应做好与进入施工现场的发包人的其他承包人的配合、管理及其它一切必要的工作，配合和交叉施工所产生的费用已含在合同总价中，结算时不予调整（包括与其他承包人交叉施工、相互干扰给工程施工带来的增加费用），但其他承包人使用现场水电发生的费用由其他承包人直接和承包人结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27）如因客观原因造成某些分项工程必须由其他专业承包单位进行施工，在取得发包人书面同意后，则承包人须按发包人的书面指令与这些单位签署分包合同，该分包单位的工程款由总承包单位支付。如该承包单位必须与发包人签署合同作为独立承包单位，则该分项工程的相应的工程款从总承包合同金额中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28）与发包人另行发包的专业工程（如排水、通风、消防等）的配合工作及其费用由承包人自行考虑计入综合报价，发包人不再另行支付。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29）承包人取得批准分包并不解除合同规定的承包人的任何责任或义务，应对分包人加强监督和管理，并对分包人的工程质量及其职工的行为、违约和疏忽完全负责。分包人就分包项目向发包人承担连带责任。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30）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31）在本工程施工期间，发包人在必要时将可以调用承包人的部分机械设备用于其他标段的重点工序的突击作业或抢险。对此，承包人不得拒绝。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32）承包人在施工期间不得以问题、争议未及时解决而停止施工，如承包人因此未能按合同约定的日期完工，承包人承担违约责任。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33）已竣工工程未交付发包人之前，承包人应负责保护，保护期间发生损坏，承包人自费予以修复。</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34）承包人应按发包人的指令，完成发包人要求的对工程内容任何的增加和删减。承包人在接到中标通知书后，应立即组织投标时承诺数量的机械设备、材料、人员进场；在接到中标通知书之日起10日内进入正常施工状态。</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35）承包人负责工地临时设施的维护修理工作，以达到发包人或政府部门要求，费用由承包人承担。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36）承包人应负责材料设备的卸货、堆放和保管留样工作，相应费用承包人已列入合同总价中，结算时不作调整。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
          <w:color w:val="auto"/>
          <w:szCs w:val="21"/>
          <w:highlight w:val="none"/>
          <w:lang w:bidi="en-US"/>
        </w:rPr>
        <w:t xml:space="preserve">37）各分包单位的施工用水、用电由总包单位提供，分别挂表计量并按市场价由各分包单位与本工程承包人（总包单位）自行结算。总包水电费由发包方挂表计量收取。水电表必须在施工开工前通知发包人安装到位。如未挂表的，总包水电费由发包人项目归口管理部门提供全部水电费（包括分包方水电费）扣款金额，最终发包人审计部门按相关规定进行扣除。”</w:t>
      </w:r>
      <w:r>
        <w:rPr>
          <w:rFonts w:ascii="宋体" w:hAnsi="宋体" w:cs="宋体"/>
          <w:b/>
          <w:color w:val="auto"/>
          <w:szCs w:val="21"/>
          <w:highlight w:val="none"/>
          <w:lang w:bidi="en-US"/>
        </w:rPr>
        <w:t xml:space="preserve"> </w:t>
      </w:r>
      <w:r>
        <w:rPr>
          <w:rFonts w:ascii="宋体" w:hAnsi="宋体" w:cs="宋体"/>
          <w:b/>
          <w:color w:val="auto"/>
          <w:szCs w:val="21"/>
          <w:highlight w:val="none"/>
          <w:lang w:bidi="en-US"/>
        </w:rPr>
      </w:r>
      <w:r/>
    </w:p>
    <w:p>
      <w:pPr>
        <w:ind w:firstLine="420"/>
        <w:spacing w:line="360" w:lineRule="auto"/>
        <w:widowControl w:val="off"/>
      </w:pPr>
      <w:r>
        <w:rPr>
          <w:rFonts w:hint="eastAsia" w:ascii="宋体" w:hAnsi="宋体" w:cs="宋体"/>
          <w:b/>
          <w:color w:val="auto"/>
          <w:szCs w:val="21"/>
          <w:highlight w:val="none"/>
          <w:lang w:bidi="en-US"/>
        </w:rPr>
        <w:t xml:space="preserve">38）发包人要求增加临时用电使用单位或要求承包人给予其他单位临时用电帮助（水电费由使用人自理），对此承包人不得拒绝，且不免除本款承包人应承担的责任。电表及以后的管线由使用单位承担和安装，如各分表用量总和与供水、供电部门计量的差额，按照各分表用户的用量比例分摊，结算时不予调整。</w:t>
      </w:r>
      <w:r>
        <w:rPr>
          <w:rFonts w:ascii="宋体" w:hAnsi="宋体" w:cs="宋体"/>
          <w:b/>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39）非发包人原因导致的停电、停水，承包人不得向发包人提出索赔。</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40）承担总包管理的义务，向场内各专业分报单位提供轴线、标高、脚手架和垂直运输机械、道路、施工场地和办公室的使用、工程验收资料收集与汇总，为专业分包的区域提供水电接口，安全文明施工和保安治安管理、施工协调等，费用含在总承包服务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41）承包人不能很好提供施工配合，由相关专业施工单位提出，经本工程监理审核后，发包人有权扣减相应分包专业工程总承包服务费，并视为承包人违约，违约金为该分包专业工程总承包服务费的三倍金额。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42）在施工过程中，必须配合发包人的其他专业施工需要，积极进行现场调整，无条件按发包人要求提供工作面和作业时间，配合其他专业施工。若不能按时配合提供作业面，视承包人违约并承担相应违约责任。影响工期的，按工期违约承担责任。</w:t>
      </w:r>
      <w:r>
        <w:rPr>
          <w:rFonts w:ascii="宋体" w:hAnsi="宋体" w:cs="宋体"/>
          <w:bCs/>
          <w:color w:val="auto"/>
          <w:szCs w:val="21"/>
          <w:highlight w:val="none"/>
          <w:lang w:bidi="en-US"/>
        </w:rPr>
      </w:r>
      <w:r/>
    </w:p>
    <w:p>
      <w:pPr>
        <w:ind w:firstLine="420"/>
        <w:spacing w:line="360" w:lineRule="auto"/>
        <w:widowControl w:val="off"/>
        <w:tabs>
          <w:tab w:val="left" w:pos="387" w:leader="none"/>
        </w:tabs>
      </w:pPr>
      <w:r>
        <w:rPr>
          <w:rFonts w:ascii="宋体" w:hAnsi="宋体" w:eastAsia="PMingLiU" w:cs="宋体"/>
          <w:color w:val="auto"/>
          <w:szCs w:val="21"/>
          <w:highlight w:val="none"/>
          <w:lang w:val="zh-TW" w:eastAsia="zh-TW" w:bidi="zh-TW"/>
        </w:rPr>
        <w:t xml:space="preserve">4</w:t>
      </w:r>
      <w:r>
        <w:rPr>
          <w:rFonts w:hint="eastAsia" w:ascii="宋体" w:hAnsi="宋体" w:cs="宋体"/>
          <w:color w:val="auto"/>
          <w:szCs w:val="21"/>
          <w:highlight w:val="none"/>
          <w:lang w:bidi="zh-TW"/>
        </w:rPr>
        <w:t xml:space="preserve">3</w:t>
      </w:r>
      <w:r>
        <w:rPr>
          <w:rFonts w:hint="eastAsia" w:ascii="宋体" w:hAnsi="宋体" w:cs="宋体"/>
          <w:color w:val="auto"/>
          <w:szCs w:val="21"/>
          <w:highlight w:val="none"/>
          <w:lang w:val="zh-TW" w:eastAsia="zh-TW" w:bidi="zh-TW"/>
        </w:rPr>
        <w:t xml:space="preserve">）施工过程中须</w:t>
      </w:r>
      <w:r>
        <w:rPr>
          <w:rFonts w:hint="eastAsia" w:ascii="宋体" w:hAnsi="宋体" w:cs="宋体"/>
          <w:color w:val="auto"/>
          <w:szCs w:val="21"/>
          <w:highlight w:val="none"/>
          <w:lang w:val="zh-TW" w:bidi="zh-TW"/>
        </w:rPr>
        <w:t xml:space="preserve">达到</w:t>
      </w:r>
      <w:r>
        <w:rPr>
          <w:rFonts w:hint="eastAsia" w:ascii="宋体" w:hAnsi="宋体" w:cs="宋体"/>
          <w:color w:val="auto"/>
          <w:szCs w:val="21"/>
          <w:highlight w:val="none"/>
          <w:lang w:val="zh-TW" w:eastAsia="zh-TW" w:bidi="zh-TW"/>
        </w:rPr>
        <w:t xml:space="preserve">以下两点：①</w:t>
      </w:r>
      <w:r>
        <w:rPr>
          <w:rFonts w:ascii="宋体" w:hAnsi="宋体" w:cs="宋体"/>
          <w:color w:val="auto"/>
          <w:szCs w:val="21"/>
          <w:highlight w:val="none"/>
          <w:lang w:val="zh-TW" w:eastAsia="zh-TW" w:bidi="zh-TW"/>
        </w:rPr>
        <w:t xml:space="preserve">施工现场禁止使用国一及以下和排放不达标的非道路移动机械（如有）。</w:t>
      </w:r>
      <w:r>
        <w:rPr>
          <w:rFonts w:hint="eastAsia" w:ascii="宋体" w:hAnsi="宋体" w:cs="宋体"/>
          <w:color w:val="auto"/>
          <w:szCs w:val="21"/>
          <w:highlight w:val="none"/>
          <w:lang w:val="zh-TW" w:eastAsia="zh-TW" w:bidi="zh-TW"/>
        </w:rPr>
        <w:t xml:space="preserve">②</w:t>
      </w:r>
      <w:r>
        <w:rPr>
          <w:rFonts w:ascii="宋体" w:hAnsi="宋体" w:cs="宋体"/>
          <w:color w:val="auto"/>
          <w:szCs w:val="21"/>
          <w:highlight w:val="none"/>
          <w:lang w:val="zh-TW" w:eastAsia="zh-TW" w:bidi="zh-TW"/>
        </w:rPr>
        <w:t xml:space="preserve">施工现场全部使用水性建筑涂料（如有）。</w:t>
      </w:r>
      <w:r>
        <w:rPr>
          <w:rFonts w:ascii="宋体" w:hAnsi="宋体" w:cs="宋体"/>
          <w:color w:val="auto"/>
          <w:szCs w:val="21"/>
          <w:highlight w:val="none"/>
          <w:lang w:val="zh-TW" w:bidi="zh-TW"/>
        </w:rPr>
      </w:r>
      <w:r/>
    </w:p>
    <w:p>
      <w:pPr>
        <w:ind w:firstLine="420"/>
        <w:spacing w:line="360" w:lineRule="auto"/>
        <w:widowControl w:val="off"/>
      </w:pPr>
      <w:r>
        <w:rPr>
          <w:rFonts w:hint="eastAsia" w:ascii="宋体" w:hAnsi="宋体" w:cs="宋体"/>
          <w:bCs/>
          <w:color w:val="auto"/>
          <w:szCs w:val="21"/>
          <w:highlight w:val="none"/>
          <w:lang w:bidi="en-US"/>
        </w:rPr>
        <w:t xml:space="preserve">3.2项目经理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3.2.1项目经理：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姓名：</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身份证号：</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建造师执业资格等级：       /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建造师注册证书号：</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建造师执业印章号：       /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安全生产考核合格证书号：</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联系电话：                /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电子信箱：               /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通信地址：              /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对项目经理的授权范围如下：代表承包人对本项目的建设进行全面管理，行使合同约定的承包人权利，全面履行合同约定的承包人义务和责任。一般情况下，承包人的要求、通知均应以书面形式由承包人项目经理签署并加盖承包人现场项目部或承包人公章后递交发包人/监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关于项目经理每月在施工现场的时间要求：施工期间每周不少于六天，每天不少于8小时，如有夜间施工的情况，项目经理必须全程在施工现场。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承包人未提交劳动合同，以及未提交承包人为项目经理缴纳社会保险证明的违约责任：承包人向发包人支付1万元的违约金，同时发包人有权要求更换项目经理，由此增加的费用和延误的工期由承包人承担。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项目经理未经批准，擅自离开施工现场的违约责任：按每次人民币5000元向发包人支付违约金，由发包人代表签发处罚指令，此费用将在工程结算时直接扣除；项目经理未经批准，擅自离开施工现场后，施工现场出现紧急情况造成人员伤亡、财产损失的，发包人有权要求更换项目经理，并按10000元/次由承包人向发包人支付违约金，且由此增加的费用和延误的工期由承包人承担。项目经理在合同工期内擅自离开现场累计超过5次的，将按10000元/次由承包人向发包人支付违约金，上述违约金在工程结算时直接扣除，且发包人有权单方解除本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3.2.3承包人擅自更换项目经理的违约责任：承包人向发包人支付合同价5%的违约金，由发包人代表签发处罚指令，该违约金将在工程结算时直接扣除，并勒令停工至发包人书面同意其更换项目经理，停工期间一切损失由承包人承担。发包人</w:t>
      </w:r>
      <w:r>
        <w:rPr>
          <w:rFonts w:hint="eastAsia" w:ascii="宋体" w:hAnsi="宋体" w:cs="宋体"/>
          <w:bCs/>
          <w:color w:val="auto"/>
          <w:szCs w:val="21"/>
          <w:highlight w:val="none"/>
          <w:lang w:bidi="en-US"/>
        </w:rPr>
        <w:t xml:space="preserve">有权要求承包人撤换调整发包人认为不称职的项目经理及项目部成员，新项目经理及其他项目部主要成员人选须经发包人书面审核同意，项目经理必须采取有效措施保证在整个施工期间现场有足够的劳力、材料、设备，保证工程顺利实施，并不受节假日的影响，否则视为项目经理失职，发包人有权要求承包人支付10000元/次的违约金，该违约金将在工程结算时直接扣除。承包人的项目经理及其他主要管理人员、主要技术人员等不履行上述义务的，发包人有权单方解除本合同，并由承包人按照10000元/人/次向发包人支付违约金，该违约金在工程结算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3.2.4承包人无正当理由拒绝更换项目经理的违约责任：承包人向发包人支付合同价5%的违约金，由发包人代表签发处罚指令，同时发包人有权单方解除合同，由此产生的相关费用、给发包人造成的损失由承包人承担。上述违约金及由此产生的相关费用将在工程结算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3.3承包人人员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3.3.1承包人提交项目管理机构及施工现场管理人员安排报告的期限：开工前7天。承包人提交关键人员信息及注册执业资格等证明其具备担任关键人员能力的相关文件的期限：开工前7天。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3.3.3承包人无正当理由拒绝撤换主要施工管理人员的违约责任：按每人次人民币10000元向发包人支付违约金，由发包人代表签发处罚指令，此费用将在工程结算时直接扣除，发包人有权解除合同，由此产生的相关费用、给发包人造成的损失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3.3.4承包人主要施工管理人员离开施工现场的批准要求：须经发包人书面同意，否则承包人将向发包人支付2000元违约金/人次，由发包人代表签发处罚指令，该违约金将在工程结算时直接扣除，一个月累计过三次，发包人有权更换人员，发包人有权解除合同，由此产生的相关费用、给发包人造成的损失由承包人承担，且发包人有权在工程结算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3.3.5承包人擅自更换主要施工管理人员的违约责任：按每人次人民币5000元向发包人支付违约金，由发包人代表签发处罚指令，此费用将在工程结算时直接扣除，发包人有权解除合同，由此产生的相关费用、给发包人造成的损失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承包人主要施工管理人员</w:t>
      </w:r>
      <w:r>
        <w:rPr>
          <w:rFonts w:hint="eastAsia" w:ascii="宋体" w:hAnsi="宋体" w:cs="宋体"/>
          <w:bCs/>
          <w:color w:val="auto"/>
          <w:szCs w:val="21"/>
          <w:highlight w:val="none"/>
          <w:lang w:bidi="en-US"/>
        </w:rPr>
        <w:t xml:space="preserve">擅自离开施工现场的违约责任：按每人次人民币2000元向发包人支付违约金，由发包人代表签发处罚指令，此费用将在工程结算时直接扣除。主要施工管理人员未经批准，擅自离开施工现场后，施工现场出现紧急情况造成人员伤亡、财产损失超过1万元或一个月内离开累计超过三次的，发包人有权要求更换主要施工管理人员，并按5000元/人次由承包人向发包人支付违约金，由此增加的费用和延误的工期由承包人承担。施工管理人员在合同工期内擅自离开现场累计超过5次的，将按10000元/次由承包人向发包人支付违约金，上述违约金在工程结算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3.5分包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3.5.1分包的一般约定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禁止分包的工程包括：未经发包人同意，承包人不得擅自分包。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主体结构、关键性工作的范围：/。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3.5.2分包的确定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允许分包的专业工程包括：未经发包人同意，承包人不得擅自分包。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其他关于分包的约定：/。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3.5.4分包合同价款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关于分包合同价款支付的约定：/。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3.6工程照管与成品、半成品保护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负责照管工程及工程相关的材料、工程设备的起始时间:在工程竣工验收合格并交付前，成品保护由承包人负责，费用已含在合同价款内，发生成品损坏，承包人负责予以修复，费用自理；如交付后，发包人要求承包人继续保护，费用另行商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3.7履约担保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承包人是否提供履约担保：是。</w:t>
      </w:r>
      <w:r>
        <w:rPr>
          <w:rFonts w:ascii="宋体" w:hAnsi="宋体" w:cs="宋体"/>
          <w:bCs/>
          <w:color w:val="auto"/>
          <w:szCs w:val="21"/>
          <w:highlight w:val="none"/>
          <w:lang w:bidi="en-US"/>
        </w:rPr>
      </w:r>
      <w:r/>
    </w:p>
    <w:p>
      <w:pPr>
        <w:ind w:firstLine="420"/>
        <w:jc w:val="both"/>
        <w:spacing w:line="360" w:lineRule="auto"/>
        <w:widowControl w:val="off"/>
      </w:pPr>
      <w:r>
        <w:rPr>
          <w:rFonts w:hint="eastAsia" w:ascii="宋体" w:hAnsi="宋体" w:cs="宋体"/>
          <w:bCs/>
          <w:color w:val="auto"/>
          <w:szCs w:val="21"/>
          <w:highlight w:val="none"/>
          <w:lang w:val="zh-TW" w:bidi="zh-TW"/>
        </w:rPr>
        <w:t xml:space="preserve">承包人提供履约担保的形式、金额及期限的：需向发包人支付中标价的5%的履约</w:t>
      </w:r>
      <w:r>
        <w:rPr>
          <w:rFonts w:hint="eastAsia" w:ascii="宋体" w:hAnsi="宋体" w:cs="宋体"/>
          <w:bCs/>
          <w:color w:val="auto"/>
          <w:szCs w:val="21"/>
          <w:highlight w:val="none"/>
          <w:lang w:bidi="zh-TW"/>
        </w:rPr>
        <w:t xml:space="preserve">保证金</w:t>
      </w:r>
      <w:r>
        <w:rPr>
          <w:rFonts w:hint="eastAsia" w:ascii="宋体" w:hAnsi="宋体" w:cs="宋体"/>
          <w:bCs/>
          <w:color w:val="auto"/>
          <w:szCs w:val="21"/>
          <w:highlight w:val="none"/>
          <w:lang w:val="zh-TW" w:bidi="zh-TW"/>
        </w:rPr>
        <w:t xml:space="preserve">，</w:t>
      </w:r>
      <w:r>
        <w:rPr>
          <w:rFonts w:hint="eastAsia" w:ascii="宋体" w:hAnsi="宋体" w:cs="宋体"/>
          <w:color w:val="auto"/>
          <w:szCs w:val="21"/>
          <w:highlight w:val="none"/>
          <w:lang w:val="zh-TW" w:eastAsia="zh-TW" w:bidi="zh-TW"/>
        </w:rPr>
        <w:t xml:space="preserve">工程结束经验收合格后无息退还。</w:t>
      </w:r>
      <w:r>
        <w:rPr>
          <w:rFonts w:ascii="宋体" w:hAnsi="宋体" w:cs="宋体"/>
          <w:color w:val="auto"/>
          <w:szCs w:val="21"/>
          <w:highlight w:val="none"/>
          <w:lang w:val="zh-TW" w:eastAsia="zh-TW" w:bidi="zh-TW"/>
        </w:rPr>
      </w:r>
      <w:r/>
    </w:p>
    <w:p>
      <w:pPr>
        <w:spacing w:line="360" w:lineRule="auto"/>
        <w:widowControl w:val="off"/>
      </w:pPr>
      <w:r>
        <w:rPr>
          <w:rFonts w:hint="eastAsia" w:ascii="宋体" w:hAnsi="宋体" w:cs="宋体"/>
          <w:bCs/>
          <w:color w:val="auto"/>
          <w:szCs w:val="21"/>
          <w:highlight w:val="none"/>
          <w:lang w:bidi="en-US"/>
        </w:rPr>
        <w:t xml:space="preserve">4.监理人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4.1监理人的一般规定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关于监理人的监理内容：施工阶段质量、进度、造价控制，以及安全管理、合同管理、信息管理和现场的组织协调，具体见本工程监理合同。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关于监理人的监理权限：（1）审核工程施工组织设计和技术方案或设计变更，按照保质量、保工期、降低成本的原则，优化或修正承包人施工组织设计和技术方案，并向发包人提出书面报告。</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（2）主持工程建设的组织协调工作，重要协调事项需事先向发包人报告。</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（3）征得发包人同意，监理工程师有权发布开工令、停工令、复工令。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（5）对工程施工的质量、安全文明、进度的检查、监督权。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（6）对工程施工过程中费用索赔或工程延期的审查权。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（7）在合同约定的工程价格范围内，对工程款支付的审查权，以及工程结算的复查权。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（8）有权要求更换承包人的施工现场人员。经发包人同意后，监理工程师有权要求承包人撤换那些不能胜任本职工作或行为不端或玩忽职守的施工现场人员。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（9）除合同内有明确约定或经发包人同意外，负责的监理工程师无权免除本合同约定的承包人的任何权利与义务。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监理人对以下事项的签证、通知、说明必须经发包人加盖印章批准方为有效：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（1）发出可能引起工程范围的扩大或缩小、工程质量标准的提高或降低、合同价款增加、合同工期延长的工程变更指令或其它指令；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（2）批准或同意承包人提出的追加或变更工程价款、补偿损失的申请及工程索赔价款的确认；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（3）批准或同意承包人提出的顺延工期的申请；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（4）批准或同意承包人的材料、设备供应商或承包人对工程的部分或全部的分包；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（5）工程竣工验收报告或甩项验收报告及工程缺陷证书的确认；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（6）确认工程竣工结算价款；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（7）撤换承包单位代表（项目经理）；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（8）变更合同权利义务关系或做出单方面解除合同的决定。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在发出上述指令、批准或确认时应附上发包人加盖公章的书面确认。承包人在收到监理人的上述指令、批准或确认时应核对有无发包人的书面确认，一旦监理人未经发包人确认作出上述指令、批准或确认，承包人应该立即将该情况通知发包人，要求发包人予以追认，发包人未予追认的，监理人的该行动对发包人无约束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关于监理人在施工现场的办公场所、生活场所的提供和费用承担的约定：办公场所及生活场所由监理人自行解决，费用由监理人承担。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关于监理人在施工现场的办公场所、生活场所的提供和费用承担的约定：/。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4.2监理人员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总监理工程师：</w:t>
      </w:r>
      <w:r>
        <w:rPr>
          <w:rFonts w:ascii="宋体" w:hAnsi="宋体" w:cs="宋体"/>
          <w:bCs/>
          <w:color w:val="auto"/>
          <w:szCs w:val="21"/>
          <w:highlight w:val="none"/>
          <w:lang w:bidi="en-US"/>
        </w:rPr>
      </w:r>
      <w:r/>
    </w:p>
    <w:p>
      <w:pPr>
        <w:ind w:firstLine="420"/>
        <w:spacing w:before="120" w:after="120" w:line="300" w:lineRule="auto"/>
        <w:widowControl w:val="off"/>
      </w:pPr>
      <w:r>
        <w:rPr>
          <w:rFonts w:hint="eastAsia" w:ascii="宋体" w:hAnsi="宋体" w:cs="宋体"/>
          <w:bCs/>
          <w:color w:val="auto"/>
          <w:szCs w:val="21"/>
          <w:highlight w:val="none"/>
          <w:lang w:bidi="en-US"/>
        </w:rPr>
        <w:t xml:space="preserve">姓名：</w:t>
      </w:r>
      <w:r>
        <w:rPr>
          <w:rFonts w:ascii="宋体" w:hAnsi="宋体" w:cs="宋体"/>
          <w:bCs/>
          <w:color w:val="auto"/>
          <w:szCs w:val="21"/>
          <w:highlight w:val="none"/>
          <w:u w:val="single"/>
          <w:lang w:bidi="en-US"/>
        </w:rPr>
        <w:t xml:space="preserve">                </w:t>
      </w:r>
      <w:r>
        <w:rPr>
          <w:rFonts w:hint="eastAsia"/>
          <w:color w:val="auto"/>
          <w:szCs w:val="21"/>
          <w:highlight w:val="none"/>
        </w:rPr>
        <w:t xml:space="preserve"> </w:t>
      </w:r>
      <w:r>
        <w:rPr>
          <w:rFonts w:hint="eastAsia" w:ascii="宋体" w:hAnsi="宋体" w:cs="宋体"/>
          <w:bCs/>
          <w:color w:val="auto"/>
          <w:szCs w:val="21"/>
          <w:highlight w:val="none"/>
          <w:lang w:bidi="en-US"/>
        </w:rPr>
        <w:t xml:space="preserve">；</w:t>
      </w:r>
      <w:r>
        <w:rPr>
          <w:color w:val="auto"/>
          <w:szCs w:val="21"/>
          <w:highlight w:val="none"/>
        </w:rPr>
      </w:r>
      <w:r/>
    </w:p>
    <w:p>
      <w:pPr>
        <w:ind w:firstLine="420"/>
        <w:spacing w:line="360" w:lineRule="auto"/>
        <w:widowControl w:val="off"/>
      </w:pPr>
      <w:r>
        <w:rPr>
          <w:rFonts w:hint="eastAsia" w:ascii="宋体" w:hAnsi="宋体" w:cs="宋体"/>
          <w:bCs/>
          <w:color w:val="auto"/>
          <w:szCs w:val="21"/>
          <w:highlight w:val="none"/>
          <w:lang w:bidi="en-US"/>
        </w:rPr>
        <w:t xml:space="preserve">职务：/；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监理工程师执业资格证书号：</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联系电话：/；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电子信箱：/；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通信地址：/；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监理人的其他约定：监理工程师经发包人书面同意后可以履行的职责：1、工程变更（含设计变更及工程量变更）及现场签证单；2、工期顺延及费用索赔的认可或确认；3、承包人付款的审核及确认（含索赔）；4、开工/停工（在紧急状态下的情况除外）/复工/竣工指令。5、分包单位的确定；6、材料设备价格及品牌的认定。监理工程师下达给承包人或其项目经理的任何涉及工程造价的指示，必须得到发包人及造价咨询的书面认可，该指示于发包人及造价咨询批准之日起有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监理工程师的职责包含以上内容，但不限于以上内容。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4.4商定或确定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在发包人和承包人不能通过协商达成一致意见时，发包人授权监理人对以下事项进行确定：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（1）分部分项施工方案及其调整；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（2）关于工程建设安全方面的相关问题；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（3）关于工程建设进度方面的相关问题；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（4）关于工程建设质量方面的相关问题。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5.工程质量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5.1质量要求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5.1.1特殊质量标准和要求：工程质量必须满足最新《建筑工程施工质量验收统一标准》、设计文件（含施工图）规定要求。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质量检测：承包人100%自检，承包人的试验检测工作应委托具有相应资质等级并经监理工程师批准的检测单位进行，费用计入合同总价中。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应采取一切必要的措施，严格执行招标文件要求、国家或行业技术规范、标准及施工图纸的各项规定，当上述文件要求有冲突时，以要求高者为准，以保证达到合同规定的质量要求，在工程交工和竣工质量要求未发生实质性改变的情况下，即使业主或监理工程师对施工工艺提出了特别要求，承包人也不得就此要求业主给予额外费用补贴，由此发生的一切费用视为已计入合同总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完工后的相关检测如室内空气检测等必须符合国家有关标准，若不符合，由此产生的返工费、治理费等一切损失由承办方承担，检测费计入合同总价中，空气检测不少于十间宿舍，具体进行空气检测的宿舍房间号由</w:t>
      </w:r>
      <w:r>
        <w:rPr>
          <w:rFonts w:hint="eastAsia" w:ascii="宋体" w:hAnsi="宋体" w:eastAsia="宋体" w:cs="宋体"/>
          <w:bCs/>
          <w:color w:val="auto"/>
          <w:szCs w:val="21"/>
          <w:highlight w:val="none"/>
          <w:lang w:val="en-US" w:eastAsia="zh-CN" w:bidi="en-US"/>
        </w:rPr>
        <w:t xml:space="preserve">双方共同随机抽取</w:t>
      </w:r>
      <w:r>
        <w:rPr>
          <w:rFonts w:hint="eastAsia" w:ascii="宋体" w:hAnsi="宋体" w:cs="宋体"/>
          <w:bCs/>
          <w:color w:val="auto"/>
          <w:szCs w:val="21"/>
          <w:highlight w:val="none"/>
          <w:lang w:bidi="en-US"/>
        </w:rPr>
        <w:t xml:space="preserve">，工程验收时承包人需提交第三方出具的发包人指定的宿舍室内空气质量检测合格报告，否则工程不予验收，且发包人有权委托第三方进行二次检测，检测结果合格的，费用由发包人承担，检测结果不合格的，工程不予验收，检测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开工前承包商必须提供详细的、确实可行的计划报监理及发包人现场代表。按照国家有关工程竣工验收标准以及设计施工图的要求进行验收。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关于工程奖项的约定：无。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关于工程奖项的约定：/。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5.3隐蔽工程检查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5.3.2承包人提前通知监理人隐蔽工程检查的期限的约定：共同检查前24小时书面通知监理人。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监理人不能按时进行检查时，应提前12小时提交书面延期要求。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关于延期最长不得超过：24小时。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隐蔽及中间工程未经发包人及监理检查，承包人不得进行下一个工序施工。已经进行的施工必须返工，返工费用由承包人自行承担。造成发包人损失的，承包人还应承担赔偿责任，由此产生的相关费用发包人有权在结算工程款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6.安全文明施工与环境保护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6.1安全文明施工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6.1.1项目安全生产的达标目标及相应事项的约定：除执行通用条款的相关规定外，承</w:t>
      </w:r>
      <w:r>
        <w:rPr>
          <w:rFonts w:hint="eastAsia" w:ascii="宋体" w:hAnsi="宋体" w:cs="宋体"/>
          <w:bCs/>
          <w:color w:val="auto"/>
          <w:szCs w:val="21"/>
          <w:highlight w:val="none"/>
          <w:lang w:bidi="en-US"/>
        </w:rPr>
        <w:t xml:space="preserve">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w:t>
      </w:r>
      <w:r>
        <w:rPr>
          <w:rFonts w:hint="eastAsia" w:ascii="宋体" w:hAnsi="宋体" w:cs="宋体"/>
          <w:bCs/>
          <w:color w:val="auto"/>
          <w:szCs w:val="21"/>
          <w:highlight w:val="none"/>
          <w:lang w:bidi="en-US"/>
        </w:rPr>
        <w:t xml:space="preserve">施工现场以外堆放材料、垃圾。2）施工现场布局及工序安排应考虑噪声、照明控制，严格按照江苏省、南京市、工程所在行政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3）施工人员必须办理相关证件，禁止非施工单位人员在工地留宿，施工现场禁止聚众打牌、饮酒闹事、传阅淫秽物品、吸毒等；禁止施工人员在非施工区随意走动，严禁发生冲突。4）施工车辆进出</w:t>
      </w:r>
      <w:r>
        <w:rPr>
          <w:rFonts w:hint="eastAsia" w:ascii="宋体" w:hAnsi="宋体" w:cs="宋体"/>
          <w:bCs/>
          <w:color w:val="auto"/>
          <w:szCs w:val="21"/>
          <w:highlight w:val="none"/>
          <w:lang w:bidi="en-US"/>
        </w:rPr>
        <w:t xml:space="preserve">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w:t>
      </w:r>
      <w:r>
        <w:rPr>
          <w:rFonts w:hint="eastAsia" w:ascii="宋体" w:hAnsi="宋体" w:cs="宋体"/>
          <w:bCs/>
          <w:color w:val="auto"/>
          <w:szCs w:val="21"/>
          <w:highlight w:val="none"/>
          <w:lang w:bidi="en-US"/>
        </w:rPr>
        <w:t xml:space="preserve">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200元。8）各种施工机械的合格证、检测证及安全防护装置齐全。9）承包人现场应有专门负责安全、</w:t>
      </w:r>
      <w:r>
        <w:rPr>
          <w:rFonts w:hint="eastAsia" w:ascii="宋体" w:hAnsi="宋体" w:cs="宋体"/>
          <w:bCs/>
          <w:color w:val="auto"/>
          <w:szCs w:val="21"/>
          <w:highlight w:val="none"/>
          <w:lang w:bidi="en-US"/>
        </w:rPr>
        <w:t xml:space="preserve">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或监理对承包人的违章现象提出整改通知后24小时内未采取相应整改措施，</w:t>
      </w:r>
      <w:r>
        <w:rPr>
          <w:rFonts w:hint="eastAsia" w:ascii="宋体" w:hAnsi="宋体" w:cs="宋体"/>
          <w:bCs/>
          <w:color w:val="auto"/>
          <w:szCs w:val="21"/>
          <w:highlight w:val="none"/>
          <w:lang w:bidi="en-US"/>
        </w:rPr>
        <w:t xml:space="preserve">承包人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除本合同已有约定外，承包人未履行本条义务的，发包人有权要求其立即整改。承包人不整改或整改仍不符合要求的，承包人应向发包人支付合同总额1%的违约金。该违约金将从履约保证金中直接扣除。情况严重的，发包人有权解除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6.1.4关于治安保卫的特别约定：承包人应保证在整个合同履行期间中不发生治安或刑事案件，妥善保护好施工现场人员人身及财产安全。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关于编制施工场地治安管理计划的约定：开工后3天，由承包方制订，发包方协助。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6.1.5文明施工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合同当事人对文明施工的要求：本工程在整个施工期间杜绝一切人</w:t>
      </w:r>
      <w:r>
        <w:rPr>
          <w:rFonts w:hint="eastAsia" w:ascii="宋体" w:hAnsi="宋体" w:cs="宋体"/>
          <w:bCs/>
          <w:color w:val="auto"/>
          <w:szCs w:val="21"/>
          <w:highlight w:val="none"/>
          <w:lang w:bidi="en-US"/>
        </w:rPr>
        <w:t xml:space="preserve">身伤亡和重大质量安全事故，如发生上述事故，则发包人视为承包人违约；承包人承担一切法律及经济赔偿责任。在施工期间每发生一起重大人身伤亡事故，承包人除了接受相关行政监督部门的处罚外，承包人赔偿发包人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3天通知发包人/监理工程师。承包人必须服从发包人现场安全考核管理办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6.1.6关于安全文明施工费支付比例和支付期限的约定：/。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7.工期和进度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7.1施工组织设计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7.1.1合同当事人约定的施工组织设计应包括的其他内容：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w:t>
      </w:r>
      <w:r>
        <w:rPr>
          <w:rFonts w:hint="eastAsia" w:ascii="宋体" w:hAnsi="宋体" w:cs="宋体"/>
          <w:bCs/>
          <w:color w:val="auto"/>
          <w:szCs w:val="21"/>
          <w:highlight w:val="none"/>
          <w:lang w:bidi="en-US"/>
        </w:rPr>
        <w:t xml:space="preserve">布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要求承包人支付1000-5000元的违约金，并可拒付工程进度款，责任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7.1.2施工组织设计的提交和修改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承包人提交详细施工组织设计的期限的约定：进场施工前7天内。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发包人和监理人在收到详细的施工组织设计后确认或提出修改意见的期限：接收计划后7天内。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7.2施工进度计划</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7.2.2施工进度计划的修订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和监理人在收到修订的施工进度计划后确认或提出修改意见的期限：承包人提供的施工组织设计必须是经发包方和监理方审核后的施工组织设计。收到承包方资料一周内予以答复告知确认的时间。工程师对施工组织设计和进度计划的任何确认和修改意见不免除和减轻承包人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7.3开工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7.3.1开工准备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关于承包人提交工程开工报审表的期限：应在合同签订后14天内，但至迟不得晚于开工日期前7天。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关于发包人应完成的其他开工准备工作及期限：开工前。</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承包人应完成的其他开工准备工作及期限：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w:t>
      </w:r>
      <w:r>
        <w:rPr>
          <w:rFonts w:hint="eastAsia" w:ascii="宋体" w:hAnsi="宋体" w:cs="宋体"/>
          <w:bCs/>
          <w:color w:val="auto"/>
          <w:szCs w:val="21"/>
          <w:highlight w:val="none"/>
          <w:lang w:bidi="en-US"/>
        </w:rPr>
        <w:t xml:space="preserve">）若工地上确实存在问题或其它工程施工进度对本项目施工产生的影响足以耽误本工程开工的，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7.3.2开工通知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计划开工日期与书面开工令日期不一致的以开工令日期为准。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7.4测量放线</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7.4.1发包人通过监理人向承包人提供测量基准点、基准线和水准点及其书面资料的期限：同通用条款。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7.5工期延误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7.5.1因发包人原因导致工期延误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因发包人原因导致工期延误的其他情形：无。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7.5.2因承包人原因导致工期延误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因承包人原因造成工期延误，逾期竣工违约金的计算方法为：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每天5000元，发包方可从应向承包方支付的任何款项中扣除此违约金,此违约金的支付并不能解除承包方完成工程的责任和合同规定的其它责任。如工期拖延超过15天以上或施工过程中承包方在监理和发包方合理要求下不按要求增加施工机械和人员的，超过五天以上，发包方有权另行安排具有相应资质的单位进行剩余工程的施工，由此产生的所有费用由承包方承担，且承包人应当按本合同总价的5%支付发包人违约金。如造成发包方损失的，还应承担赔偿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因承包人原因造成工期延误，逾期竣工违约金的上限：无。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7.5.3因发包人原因、不可抗力、疫情等非因承包人原因造成工期延误的，承包人应在知道或应当知道工期延误事件发生后</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天内向监理人递交工程签证单，说明发生工期延误的事由、天数，并附相关证据材料；承包人未在前述</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天内递交工程签证单、提交说明及相关证据材料的，丧失要求延长工期的权利；监理人应在</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天内对承包人递交的工程签证单及相关证据材料进行审核，审核无误后报送发包人；发包人应在</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天内进行审核，经发包人审核无误并经发包人、监理人盖章确认后工期顺延。</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t xml:space="preserve">7.5.4</w:t>
      </w:r>
      <w:r>
        <w:rPr>
          <w:rFonts w:hint="eastAsia" w:ascii="宋体" w:hAnsi="宋体" w:cs="宋体"/>
          <w:bCs/>
          <w:color w:val="auto"/>
          <w:szCs w:val="21"/>
          <w:highlight w:val="none"/>
          <w:lang w:bidi="en-US"/>
        </w:rPr>
        <w:t xml:space="preserve">因承包人原因导致质量达不到约定标准，如果属承包人原因工程质量达不到约定的质量标准，经承包人免费修补后仍达不到约定的质量标准，或者质量问题严重，无法修补，发包人有权单方面终止本合同，或雇用其他的承包人修复本工程，使之能够验收合格，由此产生的全部费用由承包人承担，且承包人应当按本合同总价的5%支付发包人违约金同时赔偿给发包人造成的一切损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7.6不利物质条件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不利物质条件的其他情形和有关约定：同通用条款。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7.7异常恶劣的气候条件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发包人和承包人同意以下情形视为异常恶劣的气候条件：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（1）暴雪；</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（2）洪水；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（3）5级以上的地震并实际影响工程施工的（根据江苏地震局发布的为准）。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7.9提前竣工的奖励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7.9.2提前竣工的奖励：无。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w:t>
      </w:r>
      <w:r>
        <w:rPr>
          <w:rFonts w:ascii="宋体" w:hAnsi="宋体" w:cs="宋体"/>
          <w:bCs/>
          <w:color w:val="auto"/>
          <w:szCs w:val="21"/>
          <w:highlight w:val="none"/>
          <w:lang w:bidi="en-US"/>
        </w:rPr>
        <w:t xml:space="preserve">.10</w:t>
      </w:r>
      <w:r>
        <w:rPr>
          <w:rFonts w:hint="eastAsia" w:ascii="宋体" w:hAnsi="宋体" w:cs="宋体"/>
          <w:bCs/>
          <w:color w:val="auto"/>
          <w:szCs w:val="21"/>
          <w:highlight w:val="none"/>
          <w:lang w:bidi="en-US"/>
        </w:rPr>
        <w:t xml:space="preserve">确因疫情或疫情防控措施造成工期延误的，可以顺延工期。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8.材料与设备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8.2承包人采购材料与工程设备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(1)承包人应根据采购需要在其项目经理部中配置专门的、熟悉业务的采购人员。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(2)承包人在项目中使用的采购程序和质量控制办法应报发包人、监理备案。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采用甲控品牌（或甲控乙供）乙供采购方式的由承包人采购的材料：承包人在采购之前应按招标文件及投标文件要求将厂商资料（发包人要求提供样品的，须提供样品）提供给发包人且必须经发包人确认并实物验收合格方能购买或使用。投标文件已经确定的材料设备的品牌、规格、材质未经发包人准许，承包人不得擅自变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承包人采购进场的材料设备应严格按照设计要求、招标文件和有关标准、规范进行检验。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(5)材料设备按规定在使用前必须进行材料设备的检测或复试，不符合发包人要求或质量不合格的不得使用，按规定需要检测或复试的材料设备要在有资质的检测单位进行，所有费用由承包人承担。材料的</w:t>
      </w:r>
      <w:r>
        <w:rPr>
          <w:rFonts w:hint="eastAsia" w:ascii="宋体" w:hAnsi="宋体" w:cs="宋体"/>
          <w:bCs/>
          <w:color w:val="auto"/>
          <w:szCs w:val="21"/>
          <w:highlight w:val="none"/>
          <w:lang w:bidi="en-US"/>
        </w:rPr>
        <w:t xml:space="preserve">检测或复试结果证明材料设备合格的方能购买或使用。承包人使用代用材料前，代用材料的采购价格和品牌及其他相关技术文件必须经发包人、监理人、设计单位的书面认可后方可进行采购,并以此作为调整投标报价中材料价格的依据。如发包人或监理人发现不符合发包人要求或质量不合格的材料设备进场，有权责令其无条件退场，由此造成的工期延误损失由承包人承担；对于已经使用的不符合发包人要求或质量不合格的材料设备，承包人应无条件返工，由此造成的工期延误损失由承包人承担；不按要求退场或返工的，承包人承担相应责任及赔偿由此给发包人带来一切损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承包人应对其采购的材料设备的数量、规格及供应时间负责，满足工程要求。除发包人已明确采购范围的，必须选用市场主流品牌厂家的优质产品，否则在工程实施过程中，发包人有权予以变更厂家。如承包人所采购的材料市场价格明显低于投标时所报单价，或承包人擅自变更或取消合同项目，发包人有权选择由发包人供应，并以招标控制价对应价格的三倍从承包人合同价中扣除相关费用作为承包人应当支付发包人的违约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部分乙供材料设备发包人推荐了品牌范围，承包人可以在推荐的品牌范围中选择一个进行报价，或者选择与推荐品牌同等及以上档次的品牌，并在投标文件中注明品牌名称。结算时按照承包人在投标时承诺的价格结算。招标文件和工程量清单中未确定品牌、规格及档次的材料，承包人必须按照投标文件中明确的品牌经发包人认可后方可施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(8)对大宗乙供材料，发包人应作为材料供应合同的鉴定方，来控制乙供材的质量、付款及进度。根据工程需要，发包人有权直接从工程款中扣除部分材料的供货款，并直接支付给相关材料的供货方。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对于由承包人采购的材料（包括成品、半成品和配件等），承包人应根据材料规格、平面尺寸等自行测算其加工损耗，材料的加工辅助材料费用、加工人工机械费用、采保费、包装费、运输费、上下力费等均包含在合同价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(10)监理工程师或发包人对承包人自行采购材料的批准或认可并不解除承包人应负的质量、工期的责任，也不解除承包人对材料设备应负的职责。</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8.4材料与工程设备的保管与使用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8.4.1发包人供应的材料设备的保管费用的承担：由承包人承担。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8.6样品</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8.6.1样品的报送与封存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需要承包人报送样品的材料或工程设备，样品的种类、名称、规格、数量要求：以现场发包人指令或监理指令为准。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8.8施工设备和临时设施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8.8.1承包人提供的施工设备和临时设施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关于修建临时设施费用承担的约定：由承包人承担，已包含在合同价内。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9.试验与检验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9.1试验设备与试验人员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9.1.2试验设备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施工现场需要配置的试验场所：符合相应试验规程的要求。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施工现场需要配备的试验设备：为保证本工程达到约定质量标准所必须的试验设备。</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施工现场需要具备的其他试验条件：符合相应试验规程的要求。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9.4现场工艺试验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现场工艺试验的有关约定：符合发包人或监理人现场要求。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10.变更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10.1变更的范围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工程变更要求遵守我校《南京信息工程大学建设项目工程变更实施办法（修订）》（南信大校发〔2019〕128号）的规定。变更引起的项目措施变化的，措施项目费调整办法见补充条款第</w:t>
      </w:r>
      <w:r>
        <w:rPr>
          <w:rFonts w:ascii="宋体" w:hAnsi="宋体" w:cs="宋体"/>
          <w:bCs/>
          <w:color w:val="auto"/>
          <w:szCs w:val="21"/>
          <w:highlight w:val="none"/>
          <w:lang w:bidi="en-US"/>
        </w:rPr>
        <w:t xml:space="preserve"> 1</w:t>
      </w:r>
      <w:r>
        <w:rPr>
          <w:rFonts w:hint="eastAsia" w:ascii="宋体" w:hAnsi="宋体" w:eastAsia="宋体" w:cs="宋体"/>
          <w:bCs/>
          <w:color w:val="auto"/>
          <w:szCs w:val="21"/>
          <w:highlight w:val="none"/>
          <w:lang w:val="en-US" w:eastAsia="zh-CN" w:bidi="en-US"/>
        </w:rPr>
        <w:t xml:space="preserve">2</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款相关约定。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关于变更的范围的约定：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a、以下情况允许进行合同价款变更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（1）发包人、监理方、承包人及设计方四方均认可的工程设计变更；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（2）工程量签证需发包人、监理方、承包人、造价咨询方四方均认可；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有效工程变更签证的认定原则：签证单上必须有发包人代表、监理工程师、承包人（项目部）、造价咨询方四方的签字和盖章，方可作为竣工结算的依据；签证单上必须明确签证的原因、位置、尺寸、数量、材料、人工、机械台班、价格等和签证时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（4）政策性调整。（合同约定除外）</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承包人不得擅自更改设计，因承包人自身原因导致的工程变更，承包人无权要求追加合同价款；造成发包人损失的，发包人有权要求其承担赔偿责任并承担违约责任。经过发包人同意的变更内容，承包人须无条件接受，所需发生造价的变更，承包人必须在变更发出后7天以内向监理和发包人驻现场代表以书面的形式提出，并需得到发包人和监理的书面确认，否则视为不需变更造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ｂ、关于临时用工的签证事项，双方应在签证通知单上协商确定以下问题：工作内容及工作量、工作时间、工作人数、取定的人工单价（综合单价，已含管理费和利润）；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ｃ、当变更的工作内容完成之后，承包人要及时督促监理人员和发包人工地代表签字确认，对于隐蔽工程的签证，必须在覆盖前完成验收手续、工程量的确认和费用的报送，否则发包人可以不予支付；对于其他签证，承包人要及时督促监理人员和发包人工地代表必须在完工后10日内签字确认；所有变更签证对未能及时报送，事后补报的发包人一律不予认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项目的变更还应遵守发包方《建设项目变更管理办法》的规定。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10.4变更估价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10.4.1变更估价原则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关于变更估价的约定:</w:t>
      </w:r>
      <w:r>
        <w:rPr>
          <w:rFonts w:hint="eastAsia" w:eastAsia="Times New Roman"/>
          <w:color w:val="auto"/>
          <w:highlight w:val="none"/>
          <w:lang w:bidi="en-US"/>
        </w:rPr>
        <w:t xml:space="preserve"> </w:t>
      </w: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t xml:space="preserve">1</w:t>
      </w:r>
      <w:r>
        <w:rPr>
          <w:rFonts w:hint="eastAsia" w:ascii="宋体" w:hAnsi="宋体" w:cs="宋体"/>
          <w:b/>
          <w:bCs/>
          <w:color w:val="auto"/>
          <w:szCs w:val="21"/>
          <w:highlight w:val="none"/>
          <w:lang w:bidi="en-US"/>
        </w:rPr>
        <w:t xml:space="preserve">）招标文件的已标价工程量清单有相同项目的，变更量在</w:t>
      </w:r>
      <w:r>
        <w:rPr>
          <w:rFonts w:ascii="宋体" w:hAnsi="宋体" w:cs="宋体"/>
          <w:b/>
          <w:bCs/>
          <w:color w:val="auto"/>
          <w:szCs w:val="21"/>
          <w:highlight w:val="none"/>
          <w:lang w:bidi="en-US"/>
        </w:rPr>
        <w:t xml:space="preserve">15%</w:t>
      </w:r>
      <w:r>
        <w:rPr>
          <w:rFonts w:hint="eastAsia" w:ascii="宋体" w:hAnsi="宋体" w:cs="宋体"/>
          <w:b/>
          <w:bCs/>
          <w:color w:val="auto"/>
          <w:szCs w:val="21"/>
          <w:highlight w:val="none"/>
          <w:lang w:bidi="en-US"/>
        </w:rPr>
        <w:t xml:space="preserve">以内的</w:t>
      </w:r>
      <w:r>
        <w:rPr>
          <w:rFonts w:ascii="宋体" w:hAnsi="宋体" w:cs="宋体"/>
          <w:b/>
          <w:bCs/>
          <w:color w:val="auto"/>
          <w:szCs w:val="21"/>
          <w:highlight w:val="none"/>
          <w:lang w:bidi="en-US"/>
        </w:rPr>
        <w:t xml:space="preserve">,</w:t>
      </w:r>
      <w:r>
        <w:rPr>
          <w:rFonts w:hint="eastAsia" w:ascii="宋体" w:hAnsi="宋体" w:cs="宋体"/>
          <w:b/>
          <w:bCs/>
          <w:color w:val="auto"/>
          <w:szCs w:val="21"/>
          <w:highlight w:val="none"/>
          <w:lang w:bidi="en-US"/>
        </w:rPr>
        <w:t xml:space="preserve">按照相同项目单价认定。变更导致实际完成的变更工程量与已标价工程量清单中列明的该项目工程量的变化幅度超过</w:t>
      </w:r>
      <w:r>
        <w:rPr>
          <w:rFonts w:ascii="宋体" w:hAnsi="宋体" w:cs="宋体"/>
          <w:b/>
          <w:bCs/>
          <w:color w:val="auto"/>
          <w:szCs w:val="21"/>
          <w:highlight w:val="none"/>
          <w:lang w:bidi="en-US"/>
        </w:rPr>
        <w:t xml:space="preserve">15%</w:t>
      </w:r>
      <w:r>
        <w:rPr>
          <w:rFonts w:hint="eastAsia" w:ascii="宋体" w:hAnsi="宋体" w:cs="宋体"/>
          <w:b/>
          <w:bCs/>
          <w:color w:val="auto"/>
          <w:szCs w:val="21"/>
          <w:highlight w:val="none"/>
          <w:lang w:bidi="en-US"/>
        </w:rPr>
        <w:t xml:space="preserve">的，按以下方式调整：变动在</w:t>
      </w:r>
      <w:r>
        <w:rPr>
          <w:rFonts w:ascii="宋体" w:hAnsi="宋体" w:cs="宋体"/>
          <w:b/>
          <w:bCs/>
          <w:color w:val="auto"/>
          <w:szCs w:val="21"/>
          <w:highlight w:val="none"/>
          <w:lang w:bidi="en-US"/>
        </w:rPr>
        <w:t xml:space="preserve">15%</w:t>
      </w:r>
      <w:r>
        <w:rPr>
          <w:rFonts w:hint="eastAsia" w:ascii="宋体" w:hAnsi="宋体" w:cs="宋体"/>
          <w:b/>
          <w:bCs/>
          <w:color w:val="auto"/>
          <w:szCs w:val="21"/>
          <w:highlight w:val="none"/>
          <w:lang w:bidi="en-US"/>
        </w:rPr>
        <w:t xml:space="preserve">以内的按照投标单价；增加超出</w:t>
      </w:r>
      <w:r>
        <w:rPr>
          <w:rFonts w:ascii="宋体" w:hAnsi="宋体" w:cs="宋体"/>
          <w:b/>
          <w:bCs/>
          <w:color w:val="auto"/>
          <w:szCs w:val="21"/>
          <w:highlight w:val="none"/>
          <w:lang w:bidi="en-US"/>
        </w:rPr>
        <w:t xml:space="preserve">15%</w:t>
      </w:r>
      <w:r>
        <w:rPr>
          <w:rFonts w:hint="eastAsia" w:ascii="宋体" w:hAnsi="宋体" w:cs="宋体"/>
          <w:b/>
          <w:bCs/>
          <w:color w:val="auto"/>
          <w:szCs w:val="21"/>
          <w:highlight w:val="none"/>
          <w:lang w:bidi="en-US"/>
        </w:rPr>
        <w:t xml:space="preserve">以外部分的，单价下浮</w:t>
      </w:r>
      <w:r>
        <w:rPr>
          <w:rFonts w:ascii="宋体" w:hAnsi="宋体" w:cs="宋体"/>
          <w:b/>
          <w:bCs/>
          <w:color w:val="auto"/>
          <w:szCs w:val="21"/>
          <w:highlight w:val="none"/>
          <w:lang w:bidi="en-US"/>
        </w:rPr>
        <w:t xml:space="preserve">5%</w:t>
      </w:r>
      <w:r>
        <w:rPr>
          <w:rFonts w:hint="eastAsia" w:ascii="宋体" w:hAnsi="宋体" w:cs="宋体"/>
          <w:b/>
          <w:bCs/>
          <w:color w:val="auto"/>
          <w:szCs w:val="21"/>
          <w:highlight w:val="none"/>
          <w:lang w:bidi="en-US"/>
        </w:rPr>
        <w:t xml:space="preserve">；减少超出</w:t>
      </w:r>
      <w:r>
        <w:rPr>
          <w:rFonts w:ascii="宋体" w:hAnsi="宋体" w:cs="宋体"/>
          <w:b/>
          <w:bCs/>
          <w:color w:val="auto"/>
          <w:szCs w:val="21"/>
          <w:highlight w:val="none"/>
          <w:lang w:bidi="en-US"/>
        </w:rPr>
        <w:t xml:space="preserve">15%</w:t>
      </w:r>
      <w:r>
        <w:rPr>
          <w:rFonts w:hint="eastAsia" w:ascii="宋体" w:hAnsi="宋体" w:cs="宋体"/>
          <w:b/>
          <w:bCs/>
          <w:color w:val="auto"/>
          <w:szCs w:val="21"/>
          <w:highlight w:val="none"/>
          <w:lang w:bidi="en-US"/>
        </w:rPr>
        <w:t xml:space="preserve">以外的，单价上浮</w:t>
      </w:r>
      <w:r>
        <w:rPr>
          <w:rFonts w:ascii="宋体" w:hAnsi="宋体" w:cs="宋体"/>
          <w:b/>
          <w:bCs/>
          <w:color w:val="auto"/>
          <w:szCs w:val="21"/>
          <w:highlight w:val="none"/>
          <w:lang w:bidi="en-US"/>
        </w:rPr>
        <w:t xml:space="preserve">5%</w:t>
      </w: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t xml:space="preserve">2</w:t>
      </w:r>
      <w:r>
        <w:rPr>
          <w:rFonts w:hint="eastAsia" w:ascii="宋体" w:hAnsi="宋体" w:cs="宋体"/>
          <w:b/>
          <w:bCs/>
          <w:color w:val="auto"/>
          <w:szCs w:val="21"/>
          <w:highlight w:val="none"/>
          <w:lang w:bidi="en-US"/>
        </w:rPr>
        <w:t xml:space="preserve">）招标文件的已标价工程量清单中无相同项目，但有类似项目的，可在合理范围内参照类似子目的单价，参照投标报价水平重新组价；</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t xml:space="preserve">3</w:t>
      </w:r>
      <w:r>
        <w:rPr>
          <w:rFonts w:hint="eastAsia" w:ascii="宋体" w:hAnsi="宋体" w:cs="宋体"/>
          <w:b/>
          <w:bCs/>
          <w:color w:val="auto"/>
          <w:szCs w:val="21"/>
          <w:highlight w:val="none"/>
          <w:lang w:bidi="en-US"/>
        </w:rPr>
        <w:t xml:space="preserve">）招标文件的已标价工程量清单中无相同项目及类似项目单价的，按照下列条款方法及保持投标让利浮度的原则，由合同当事人按照本款第</w:t>
      </w:r>
      <w:r>
        <w:rPr>
          <w:rFonts w:ascii="宋体" w:hAnsi="宋体" w:cs="宋体"/>
          <w:b/>
          <w:bCs/>
          <w:color w:val="auto"/>
          <w:szCs w:val="21"/>
          <w:highlight w:val="none"/>
          <w:lang w:bidi="en-US"/>
        </w:rPr>
        <w:t xml:space="preserve">4</w:t>
      </w:r>
      <w:r>
        <w:rPr>
          <w:rFonts w:hint="eastAsia" w:ascii="宋体" w:hAnsi="宋体" w:cs="宋体"/>
          <w:b/>
          <w:bCs/>
          <w:color w:val="auto"/>
          <w:szCs w:val="21"/>
          <w:highlight w:val="none"/>
          <w:lang w:bidi="en-US"/>
        </w:rPr>
        <w:t xml:space="preserve">点确定变更工作的单价。</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t xml:space="preserve">4</w:t>
      </w:r>
      <w:r>
        <w:rPr>
          <w:rFonts w:hint="eastAsia" w:ascii="宋体" w:hAnsi="宋体" w:cs="宋体"/>
          <w:b/>
          <w:bCs/>
          <w:color w:val="auto"/>
          <w:szCs w:val="21"/>
          <w:highlight w:val="none"/>
          <w:lang w:bidi="en-US"/>
        </w:rPr>
        <w:t xml:space="preserve">）招标文件的已标价工程量清单中没有综合单价的新增工程量清单项目：人工、机械台班、管理费和利润执行投标报价时的单价或费率（不下浮），材料价格按下列办法执行：①对于有信息价的材料：材料价格根据《南京工程造价管理》发布的材料市场信息价组价后，按投标下浮率执行下浮，投标下浮率</w:t>
      </w:r>
      <w:r>
        <w:rPr>
          <w:rFonts w:ascii="宋体" w:hAnsi="宋体" w:cs="宋体"/>
          <w:b/>
          <w:bCs/>
          <w:color w:val="auto"/>
          <w:szCs w:val="21"/>
          <w:highlight w:val="none"/>
          <w:lang w:bidi="en-US"/>
        </w:rPr>
        <w:t xml:space="preserve">=1</w:t>
      </w:r>
      <w:r>
        <w:rPr>
          <w:rFonts w:hint="eastAsia" w:ascii="宋体" w:hAnsi="宋体" w:cs="宋体"/>
          <w:b/>
          <w:bCs/>
          <w:color w:val="auto"/>
          <w:szCs w:val="21"/>
          <w:highlight w:val="none"/>
          <w:lang w:bidi="en-US"/>
        </w:rPr>
        <w:t xml:space="preserve">一投标报价中的建安工程费</w:t>
      </w:r>
      <w:r>
        <w:rPr>
          <w:rFonts w:ascii="宋体" w:hAnsi="宋体" w:cs="宋体"/>
          <w:b/>
          <w:bCs/>
          <w:color w:val="auto"/>
          <w:szCs w:val="21"/>
          <w:highlight w:val="none"/>
          <w:lang w:bidi="en-US"/>
        </w:rPr>
        <w:t xml:space="preserve">/</w:t>
      </w:r>
      <w:r>
        <w:rPr>
          <w:rFonts w:hint="eastAsia" w:ascii="宋体" w:hAnsi="宋体" w:cs="宋体"/>
          <w:b/>
          <w:bCs/>
          <w:color w:val="auto"/>
          <w:szCs w:val="21"/>
          <w:highlight w:val="none"/>
          <w:lang w:bidi="en-US"/>
        </w:rPr>
        <w:t xml:space="preserve">控制价中的建安工程费×</w:t>
      </w:r>
      <w:r>
        <w:rPr>
          <w:rFonts w:ascii="宋体" w:hAnsi="宋体" w:cs="宋体"/>
          <w:b/>
          <w:bCs/>
          <w:color w:val="auto"/>
          <w:szCs w:val="21"/>
          <w:highlight w:val="none"/>
          <w:lang w:bidi="en-US"/>
        </w:rPr>
        <w:t xml:space="preserve">100%)</w:t>
      </w:r>
      <w:r>
        <w:rPr>
          <w:rFonts w:hint="eastAsia" w:ascii="宋体" w:hAnsi="宋体" w:cs="宋体"/>
          <w:b/>
          <w:bCs/>
          <w:color w:val="auto"/>
          <w:szCs w:val="21"/>
          <w:highlight w:val="none"/>
          <w:lang w:bidi="en-US"/>
        </w:rPr>
        <w:t xml:space="preserve">；②对于没有信息价的材料：材料价格以建设单位、监理单位、施工单位、造价咨询单位共同询价、审核的结果确定。</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
          <w:bCs/>
          <w:color w:val="auto"/>
          <w:szCs w:val="21"/>
          <w:highlight w:val="none"/>
          <w:lang w:bidi="en-US"/>
        </w:rPr>
        <w:t xml:space="preserve">（</w:t>
      </w:r>
      <w:r>
        <w:rPr>
          <w:rFonts w:ascii="宋体" w:hAnsi="宋体" w:cs="宋体"/>
          <w:b/>
          <w:bCs/>
          <w:color w:val="auto"/>
          <w:szCs w:val="21"/>
          <w:highlight w:val="none"/>
          <w:lang w:bidi="en-US"/>
        </w:rPr>
        <w:t xml:space="preserve">5</w:t>
      </w:r>
      <w:r>
        <w:rPr>
          <w:rFonts w:hint="eastAsia" w:ascii="宋体" w:hAnsi="宋体" w:cs="宋体"/>
          <w:b/>
          <w:bCs/>
          <w:color w:val="auto"/>
          <w:szCs w:val="21"/>
          <w:highlight w:val="none"/>
          <w:lang w:bidi="en-US"/>
        </w:rPr>
        <w:t xml:space="preserve">）招标文件的已标价工程量清单中没有适用也没有类似于变更工程项目，且南京工程造价管理机构发布的信息价格缺失的，材料价格由发包人、承包人、项目造价咨询人（造价咨询单位）共同询价确认材料价。按上款办法确认单价的，承包人不得以任何理由拒绝询价结果，否则认为承包人违约，发包人有权将涉及到此材料的分部分项工程量以不高于询价结果的材料价按本条目第（</w:t>
      </w:r>
      <w:r>
        <w:rPr>
          <w:rFonts w:ascii="宋体" w:hAnsi="宋体" w:cs="宋体"/>
          <w:b/>
          <w:bCs/>
          <w:color w:val="auto"/>
          <w:szCs w:val="21"/>
          <w:highlight w:val="none"/>
          <w:lang w:bidi="en-US"/>
        </w:rPr>
        <w:t xml:space="preserve">4</w:t>
      </w:r>
      <w:r>
        <w:rPr>
          <w:rFonts w:hint="eastAsia" w:ascii="宋体" w:hAnsi="宋体" w:cs="宋体"/>
          <w:b/>
          <w:bCs/>
          <w:color w:val="auto"/>
          <w:szCs w:val="21"/>
          <w:highlight w:val="none"/>
          <w:lang w:bidi="en-US"/>
        </w:rPr>
        <w:t xml:space="preserve">）款组价后指定分包给有能力承担此项工程的其他承包人。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10.5承包人的合理化建议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监理人审查承包人合理化建议的期限：收到承包人提交的合理化建议后7天内审查完毕。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发包人审批承包人合理化建议的期限：收到监理人报送的合理化建议后7天内审批完毕。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承包人提出的合理化建议降低了合同价格或者提高了工程经济效益的奖励的方法和金额为：无。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10.7暂估价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暂估价材料和工程设备的明细详见附件11：《暂估价一览表》。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10.7.1依法必须招标的暂估价项目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对于依法必须招标的暂估价项目的确认和批准采取第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种方式确定。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10.7.2不属于依法必须招标的暂估价项目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对于不属于依法必须招标的暂估价项目的确认和批准采取第3种方式确定。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第3种方式：承包人直接实施的暂估价项目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直接实施的暂估价项目的约定：承包人在实际施工前14天内向发包人上报暂估价项目的具体采购、施工内容、工程量或材料数量、价格、三个以上品牌、样品等，发包人根据相关规定核定品牌、价格等，最终以审计为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10.8暂列金额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当事人关于暂列金额使用的约定：经发包人同意后，方可使用。在用于各项价款调整、索赔与现场签证后，若有余额，则余额全部归发包人。结算该余额时，该余额费用（含费税）执行怎么进怎么出的结算原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11.价格调整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11.1市场价格波动引起的调整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市场价格波动是否调整合同价格的约定：承包人承担人工单价、机械台班、各种材料价格浮动的风险和政策调整的风险等：</w:t>
      </w:r>
      <w:r>
        <w:rPr>
          <w:rFonts w:hint="eastAsia" w:ascii="宋体" w:hAnsi="宋体" w:cs="宋体"/>
          <w:b/>
          <w:bCs/>
          <w:color w:val="auto"/>
          <w:szCs w:val="21"/>
          <w:highlight w:val="none"/>
          <w:lang w:bidi="en-US"/>
        </w:rPr>
        <w:t xml:space="preserve">结算时不予调整</w:t>
      </w:r>
      <w:r>
        <w:rPr>
          <w:rFonts w:hint="eastAsia" w:ascii="宋体" w:hAnsi="宋体" w:cs="宋体"/>
          <w:bCs/>
          <w:color w:val="auto"/>
          <w:szCs w:val="21"/>
          <w:highlight w:val="none"/>
          <w:lang w:bidi="en-US"/>
        </w:rPr>
        <w:t xml:space="preserve">。</w:t>
      </w:r>
      <w:r>
        <w:rPr>
          <w:rFonts w:eastAsia="Times New Roman"/>
          <w:bCs/>
          <w:color w:val="auto"/>
          <w:szCs w:val="21"/>
          <w:highlight w:val="none"/>
          <w:lang w:bidi="en-US"/>
        </w:rPr>
      </w:r>
      <w:r/>
    </w:p>
    <w:p>
      <w:pPr>
        <w:ind w:firstLine="420"/>
        <w:spacing w:line="360" w:lineRule="auto"/>
        <w:widowControl w:val="off"/>
      </w:pPr>
      <w:r>
        <w:rPr>
          <w:rFonts w:eastAsia="Times New Roman"/>
          <w:bCs/>
          <w:color w:val="auto"/>
          <w:szCs w:val="21"/>
          <w:highlight w:val="none"/>
          <w:lang w:bidi="en-US"/>
        </w:rPr>
        <w:t xml:space="preserve">1</w:t>
      </w:r>
      <w:r>
        <w:rPr>
          <w:rFonts w:hint="eastAsia" w:ascii="宋体" w:hAnsi="宋体" w:cs="宋体"/>
          <w:bCs/>
          <w:color w:val="auto"/>
          <w:szCs w:val="21"/>
          <w:highlight w:val="none"/>
          <w:lang w:bidi="en-US"/>
        </w:rPr>
        <w:t xml:space="preserve">、一类主材、二类主材（除砌块外）的认定及调整执行苏建价〔</w:t>
      </w:r>
      <w:r>
        <w:rPr>
          <w:rFonts w:eastAsia="Times New Roman"/>
          <w:bCs/>
          <w:color w:val="auto"/>
          <w:szCs w:val="21"/>
          <w:highlight w:val="none"/>
          <w:lang w:bidi="en-US"/>
        </w:rPr>
        <w:t xml:space="preserve">2008</w:t>
      </w:r>
      <w:r>
        <w:rPr>
          <w:rFonts w:hint="eastAsia" w:ascii="宋体" w:hAnsi="宋体" w:cs="宋体"/>
          <w:bCs/>
          <w:color w:val="auto"/>
          <w:szCs w:val="21"/>
          <w:highlight w:val="none"/>
          <w:lang w:bidi="en-US"/>
        </w:rPr>
        <w:t xml:space="preserve">〕</w:t>
      </w:r>
      <w:r>
        <w:rPr>
          <w:rFonts w:eastAsia="Times New Roman"/>
          <w:bCs/>
          <w:color w:val="auto"/>
          <w:szCs w:val="21"/>
          <w:highlight w:val="none"/>
          <w:lang w:bidi="en-US"/>
        </w:rPr>
        <w:t xml:space="preserve">67</w:t>
      </w:r>
      <w:r>
        <w:rPr>
          <w:rFonts w:hint="eastAsia" w:ascii="宋体" w:hAnsi="宋体" w:cs="宋体"/>
          <w:bCs/>
          <w:color w:val="auto"/>
          <w:szCs w:val="21"/>
          <w:highlight w:val="none"/>
          <w:lang w:bidi="en-US"/>
        </w:rPr>
        <w:t xml:space="preserve">号文《关于加强建筑材料价格风险控制的指导意见》中的规定；</w:t>
      </w:r>
      <w:r>
        <w:rPr>
          <w:rFonts w:eastAsia="Times New Roman"/>
          <w:bCs/>
          <w:color w:val="auto"/>
          <w:szCs w:val="21"/>
          <w:highlight w:val="none"/>
          <w:lang w:bidi="en-US"/>
        </w:rPr>
      </w:r>
      <w:r/>
    </w:p>
    <w:p>
      <w:pPr>
        <w:ind w:firstLine="420"/>
        <w:spacing w:line="360" w:lineRule="auto"/>
        <w:widowControl w:val="off"/>
      </w:pPr>
      <w:r>
        <w:rPr>
          <w:rFonts w:eastAsia="Times New Roman"/>
          <w:bCs/>
          <w:color w:val="auto"/>
          <w:szCs w:val="21"/>
          <w:highlight w:val="none"/>
          <w:lang w:bidi="en-US"/>
        </w:rPr>
        <w:t xml:space="preserve">2</w:t>
      </w:r>
      <w:r>
        <w:rPr>
          <w:rFonts w:hint="eastAsia" w:ascii="宋体" w:hAnsi="宋体" w:cs="宋体"/>
          <w:bCs/>
          <w:color w:val="auto"/>
          <w:szCs w:val="21"/>
          <w:highlight w:val="none"/>
          <w:lang w:bidi="en-US"/>
        </w:rPr>
        <w:t xml:space="preserve">、因工程变更造成施工方案变更，引起措施项目发生变化时，措施费按照补充条款中相关约定执行。</w:t>
      </w:r>
      <w:r>
        <w:rPr>
          <w:rFonts w:eastAsia="Times New Roman"/>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工程所有材料，按照国家、江苏省、南京市有关规定需要的检验、试验、抽样检测费等由承包人承担，承包人应充分考虑工程实施中所有按国家、江苏省、南京市有关规定涉及到承包人应当承担的见证取样、承包人自检及强检费用，包含在中标价中，今后不作调整。发生的所有费用由承包人承担，不再另行结算支付。发包人指定要求检验检测的项目，经有资质的单位检验检测后合格的相关检验检测费用由发包人承担，不合格的由承包人承担本次和经整改后再次送检的费用。检测机构的选择需事先征得发包人同意。</w:t>
      </w:r>
      <w:r>
        <w:rPr>
          <w:rFonts w:eastAsia="Times New Roman"/>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检测范围包括但不限于①市质检站直接委托强检；②施工单位自检项目；③装饰装修原材料见证取样检测；④室内环境、照度检测、声学检测等现场检测项目。以上费用由承包人支付，并在投标报价考虑。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因市场价格波动调整合同价格，采用以下第/种方式对合同价格进行调整：</w:t>
      </w:r>
      <w:r>
        <w:rPr>
          <w:rFonts w:hint="eastAsia" w:ascii="宋体" w:hAnsi="宋体" w:cs="宋体"/>
          <w:b/>
          <w:bCs/>
          <w:color w:val="auto"/>
          <w:szCs w:val="21"/>
          <w:highlight w:val="none"/>
          <w:lang w:bidi="en-US"/>
        </w:rPr>
        <w:t xml:space="preserve">结算时不予调整</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11.2因不可抗力、疫情或疫情防控措施等不可归责于双方当事人的原因导致人工、材料、机械设备租赁等价格或费用上涨的，双方按照以下约定分担：</w:t>
      </w:r>
      <w:r>
        <w:rPr>
          <w:rFonts w:hint="eastAsia" w:ascii="宋体" w:hAnsi="宋体" w:cs="宋体"/>
          <w:b/>
          <w:bCs/>
          <w:color w:val="auto"/>
          <w:szCs w:val="21"/>
          <w:highlight w:val="none"/>
          <w:u w:val="single"/>
          <w:lang w:bidi="en-US"/>
        </w:rPr>
        <w:t xml:space="preserve">双方另行协商</w:t>
      </w:r>
      <w:r>
        <w:rPr>
          <w:rFonts w:hint="eastAsia" w:ascii="宋体" w:hAnsi="宋体" w:cs="宋体"/>
          <w:bCs/>
          <w:color w:val="auto"/>
          <w:szCs w:val="21"/>
          <w:highlight w:val="none"/>
          <w:u w:val="single"/>
          <w:lang w:bidi="en-US"/>
        </w:rPr>
        <w:t xml:space="preserve">。</w:t>
      </w:r>
      <w:r>
        <w:rPr>
          <w:rFonts w:ascii="宋体" w:hAnsi="宋体" w:cs="宋体"/>
          <w:bCs/>
          <w:color w:val="auto"/>
          <w:szCs w:val="21"/>
          <w:highlight w:val="none"/>
          <w:u w:val="single"/>
          <w:lang w:bidi="en-US"/>
        </w:rPr>
      </w:r>
      <w:r/>
    </w:p>
    <w:p>
      <w:pPr>
        <w:ind w:firstLine="420"/>
        <w:spacing w:line="360" w:lineRule="auto"/>
        <w:widowControl w:val="off"/>
      </w:pPr>
      <w:r>
        <w:rPr>
          <w:rFonts w:hint="eastAsia" w:ascii="宋体" w:hAnsi="宋体" w:cs="宋体"/>
          <w:bCs/>
          <w:color w:val="auto"/>
          <w:szCs w:val="21"/>
          <w:highlight w:val="none"/>
          <w:lang w:bidi="en-US"/>
        </w:rPr>
        <w:t xml:space="preserve">1</w:t>
      </w:r>
      <w:r>
        <w:rPr>
          <w:rFonts w:ascii="宋体" w:hAnsi="宋体" w:cs="宋体"/>
          <w:bCs/>
          <w:color w:val="auto"/>
          <w:szCs w:val="21"/>
          <w:highlight w:val="none"/>
          <w:lang w:bidi="en-US"/>
        </w:rPr>
        <w:t xml:space="preserve">1.3</w:t>
      </w:r>
      <w:r>
        <w:rPr>
          <w:rFonts w:hint="eastAsia" w:ascii="宋体" w:hAnsi="宋体" w:cs="宋体"/>
          <w:bCs/>
          <w:color w:val="auto"/>
          <w:szCs w:val="21"/>
          <w:highlight w:val="none"/>
          <w:lang w:bidi="en-US"/>
        </w:rPr>
        <w:t xml:space="preserve">因不可抗力、疫情或疫情防控措施等不可归责于双方当事人的原因造成停工、窝工的，由此产生的窝工费、赶工费双方按照以下约定分担：</w:t>
      </w:r>
      <w:r>
        <w:rPr>
          <w:rFonts w:hint="eastAsia" w:ascii="宋体" w:hAnsi="宋体" w:cs="宋体"/>
          <w:b/>
          <w:bCs/>
          <w:color w:val="auto"/>
          <w:szCs w:val="21"/>
          <w:highlight w:val="none"/>
          <w:u w:val="single"/>
          <w:lang w:bidi="en-US"/>
        </w:rPr>
        <w:t xml:space="preserve">双方另行协商</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w:t>
      </w:r>
      <w:r>
        <w:rPr>
          <w:rFonts w:ascii="宋体" w:hAnsi="宋体" w:cs="宋体"/>
          <w:bCs/>
          <w:color w:val="auto"/>
          <w:szCs w:val="21"/>
          <w:highlight w:val="none"/>
          <w:lang w:bidi="en-US"/>
        </w:rPr>
        <w:t xml:space="preserve">1.4</w:t>
      </w:r>
      <w:r>
        <w:rPr>
          <w:rFonts w:hint="eastAsia" w:ascii="宋体" w:hAnsi="宋体" w:cs="宋体"/>
          <w:bCs/>
          <w:color w:val="auto"/>
          <w:szCs w:val="21"/>
          <w:highlight w:val="none"/>
          <w:lang w:bidi="en-US"/>
        </w:rPr>
        <w:t xml:space="preserve">承包人要求增加费用的，应当在相关损失和费用确定之日起</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天内向监理人递交工程签证单，说明损失或费用发生的原因及金额的组成，并附相关证据材料；承包人未在前述</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天内递交工程签证单、作出说明并提交相关证据材料的，则丧失主张增加费用的权利；监理人应在</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天内对承包人递交的工程签证单及相关证据材料进行审核，审核无误后报送发包人；经发包人项目归口管理部门审核无误并经发包人、监理人盖章后该笔费用计入工程送审款，送发包人进行最终工程款结算审计。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（2）关于基准价格的约定：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①承包人在已标价工程量清单或预算书中载明的材料单价低于基准价格的：专用合同条款合同履行期间材料单价涨幅以基准价格为基础超过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%时，或材料单价跌幅以已标价工程量清单或预算书中载明材料单价为基础超过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%时，其超过部分据实调整。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②承包人在已标价工程量清单或预算书中载明的材料单价高于基准价格的：专用合同条款合同履行期间材料单价跌幅以基准价格为基础超过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%时，材料单价涨幅以已标价工程量清单或预算书中载明材料单价为基础超过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%时，其超过部分据实调整。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③承包人在已标价工程量清单或预算书中载明的材料单价等于基准单价的：专用合同条款合同履行期间材料单价涨跌幅以基准单价为基础超过± </w:t>
      </w:r>
      <w:r>
        <w:rPr>
          <w:rFonts w:ascii="宋体" w:hAnsi="宋体" w:cs="宋体"/>
          <w:bCs/>
          <w:color w:val="auto"/>
          <w:szCs w:val="21"/>
          <w:highlight w:val="none"/>
          <w:lang w:bidi="en-US"/>
        </w:rPr>
        <w:t xml:space="preserve">     </w:t>
      </w:r>
      <w:r>
        <w:rPr>
          <w:rFonts w:hint="eastAsia" w:ascii="宋体" w:hAnsi="宋体" w:cs="宋体"/>
          <w:bCs/>
          <w:color w:val="auto"/>
          <w:szCs w:val="21"/>
          <w:highlight w:val="none"/>
          <w:lang w:bidi="en-US"/>
        </w:rPr>
        <w:t xml:space="preserve">%时，其超过部分据实调整。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第3种方式：其他价格调整方式：</w:t>
      </w:r>
      <w:r>
        <w:rPr>
          <w:rFonts w:hint="eastAsia" w:ascii="宋体" w:hAnsi="宋体" w:cs="宋体"/>
          <w:bCs/>
          <w:color w:val="auto"/>
          <w:szCs w:val="21"/>
          <w:highlight w:val="none"/>
          <w:u w:val="single"/>
          <w:lang w:bidi="en-US"/>
        </w:rPr>
        <w:t xml:space="preserve">无</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12.合同价格、计量与支付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12.1合同价格形式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1、单价合同。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综合单价包含的风险范围：</w:t>
      </w:r>
      <w:r>
        <w:rPr>
          <w:rFonts w:ascii="宋体" w:hAnsi="宋体" w:cs="宋体"/>
          <w:bCs/>
          <w:color w:val="auto"/>
          <w:szCs w:val="21"/>
          <w:highlight w:val="none"/>
          <w:lang w:bidi="en-US"/>
        </w:rPr>
      </w:r>
      <w:r/>
    </w:p>
    <w:p>
      <w:pPr>
        <w:numPr>
          <w:ilvl w:val="0"/>
          <w:numId w:val="7"/>
        </w:numPr>
        <w:ind w:firstLine="420"/>
        <w:spacing w:line="360" w:lineRule="auto"/>
        <w:widowControl w:val="off"/>
      </w:pPr>
      <w:r>
        <w:rPr>
          <w:rFonts w:hint="eastAsia" w:ascii="宋体" w:hAnsi="宋体" w:cs="宋体"/>
          <w:bCs/>
          <w:color w:val="auto"/>
          <w:szCs w:val="21"/>
          <w:highlight w:val="none"/>
          <w:lang w:bidi="en-US"/>
        </w:rPr>
        <w:t xml:space="preserve">对图纸、清单、现场条件的理解偏差及预测不足导致的报价失误及费用增加。</w:t>
      </w:r>
      <w:r>
        <w:rPr>
          <w:rFonts w:ascii="宋体" w:hAnsi="宋体" w:cs="宋体"/>
          <w:bCs/>
          <w:color w:val="auto"/>
          <w:szCs w:val="21"/>
          <w:highlight w:val="none"/>
          <w:lang w:bidi="en-US"/>
        </w:rPr>
      </w:r>
      <w:r/>
    </w:p>
    <w:p>
      <w:pPr>
        <w:numPr>
          <w:ilvl w:val="0"/>
          <w:numId w:val="7"/>
        </w:numPr>
        <w:ind w:firstLine="420"/>
        <w:spacing w:line="360" w:lineRule="auto"/>
        <w:widowControl w:val="off"/>
      </w:pPr>
      <w:r>
        <w:rPr>
          <w:rFonts w:hint="eastAsia" w:ascii="宋体" w:hAnsi="宋体" w:cs="宋体"/>
          <w:bCs/>
          <w:color w:val="auto"/>
          <w:szCs w:val="21"/>
          <w:highlight w:val="none"/>
          <w:lang w:bidi="en-US"/>
        </w:rPr>
        <w:t xml:space="preserve">按合同工期完工所采取的赶工措施费。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C、承包人在实际施工中改变既定的施工组织、施工顺序、施工方法导致的费用增加风险（包括技术和其他措施费用）。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D、合同约定的其他由承包人承担的降效风险。市场价格波动、承包人原因引起的工期延误所造成的承包人费用增加的风险等风险均已包含在合同总价中，今后不做调整。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在投标报价时，要结合场地现场情况，充分考虑施工现场场地狭小等限制原因，对材料堆场、加工点及各类临时设施的搭建等进行合理布置，费用在合同总价中综合考虑，结算时与此相关项均不作调整。如需发包人协调，由此产生的相关协调费用亦由承包人支付。风险费用的计算方法：已包含于签约合同价中，不予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风险范围以外合同价格的调整方法：工程设计变更、现场变更签证以及发包人另行委托施工的追加工程。必须经发包人、监理以及造价咨询等有关各方共同签字确认，经确定后</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天内由承包人按照投标报价和取费标准提出变更工程价款的报告，经发包人归口管理部门、监理以及造价咨询在收到变更工程价款报告报告之日起</w:t>
      </w:r>
      <w:r>
        <w:rPr>
          <w:rFonts w:ascii="宋体" w:hAnsi="宋体" w:cs="宋体"/>
          <w:bCs/>
          <w:color w:val="auto"/>
          <w:szCs w:val="21"/>
          <w:highlight w:val="none"/>
          <w:lang w:bidi="en-US"/>
        </w:rPr>
        <w:t xml:space="preserve">28</w:t>
      </w:r>
      <w:r>
        <w:rPr>
          <w:rFonts w:hint="eastAsia" w:ascii="宋体" w:hAnsi="宋体" w:cs="宋体"/>
          <w:bCs/>
          <w:color w:val="auto"/>
          <w:szCs w:val="21"/>
          <w:highlight w:val="none"/>
          <w:lang w:bidi="en-US"/>
        </w:rPr>
        <w:t xml:space="preserve">天内予以审核确认。在工程完工后，进行最终工程竣工结算。</w:t>
      </w:r>
      <w:r>
        <w:rPr>
          <w:rFonts w:hint="eastAsia" w:ascii="宋体" w:hAnsi="宋体" w:cs="宋体"/>
          <w:b/>
          <w:bCs/>
          <w:color w:val="auto"/>
          <w:szCs w:val="21"/>
          <w:highlight w:val="none"/>
          <w:u w:val="single"/>
          <w:lang w:bidi="en-US"/>
        </w:rPr>
        <w:t xml:space="preserve">具体对设计变更、签证部分的结算办法双方约定按本合同第</w:t>
      </w:r>
      <w:r>
        <w:rPr>
          <w:rFonts w:ascii="宋体" w:hAnsi="宋体" w:cs="宋体"/>
          <w:b/>
          <w:bCs/>
          <w:color w:val="auto"/>
          <w:szCs w:val="21"/>
          <w:highlight w:val="none"/>
          <w:u w:val="single"/>
          <w:lang w:bidi="en-US"/>
        </w:rPr>
        <w:t xml:space="preserve">10.4.1</w:t>
      </w:r>
      <w:r>
        <w:rPr>
          <w:rFonts w:hint="eastAsia" w:ascii="宋体" w:hAnsi="宋体" w:cs="宋体"/>
          <w:b/>
          <w:bCs/>
          <w:color w:val="auto"/>
          <w:szCs w:val="21"/>
          <w:highlight w:val="none"/>
          <w:u w:val="single"/>
          <w:lang w:bidi="en-US"/>
        </w:rPr>
        <w:t xml:space="preserve">条的约定执行</w:t>
      </w:r>
      <w:r>
        <w:rPr>
          <w:rFonts w:hint="eastAsia" w:ascii="宋体" w:hAnsi="宋体" w:cs="宋体"/>
          <w:bCs/>
          <w:color w:val="auto"/>
          <w:szCs w:val="21"/>
          <w:highlight w:val="none"/>
          <w:lang w:bidi="en-US"/>
        </w:rPr>
        <w:t xml:space="preserve">；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2、总价合同。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总价包含的风险范围：/。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风险费用的计算方法：/。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风险范围以外合同价格的调整方法：/。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3、其他价格方式：/。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12.2预付款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12.2.1预付款的支付</w:t>
      </w:r>
      <w:r>
        <w:rPr>
          <w:rFonts w:ascii="宋体" w:hAnsi="宋体" w:cs="宋体"/>
          <w:bCs/>
          <w:color w:val="auto"/>
          <w:szCs w:val="21"/>
          <w:highlight w:val="none"/>
          <w:lang w:bidi="en-US"/>
        </w:rPr>
      </w:r>
      <w:r/>
    </w:p>
    <w:p>
      <w:pPr>
        <w:ind w:left="420"/>
        <w:spacing w:line="360" w:lineRule="auto"/>
        <w:widowControl w:val="off"/>
      </w:pPr>
      <w:r>
        <w:rPr>
          <w:rFonts w:hint="eastAsia" w:ascii="宋体" w:hAnsi="宋体" w:cs="宋体"/>
          <w:bCs/>
          <w:color w:val="auto"/>
          <w:szCs w:val="21"/>
          <w:highlight w:val="none"/>
          <w:lang w:bidi="en-US"/>
        </w:rPr>
        <w:t xml:space="preserve">预付款支付比例或金额：</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u w:val="single"/>
          <w:lang w:bidi="en-US"/>
        </w:rPr>
        <w:t xml:space="preserve">/</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u w:val="single"/>
          <w:lang w:bidi="en-US"/>
        </w:rPr>
      </w:r>
      <w:r/>
    </w:p>
    <w:p>
      <w:pPr>
        <w:ind w:left="420"/>
        <w:spacing w:line="360" w:lineRule="auto"/>
        <w:widowControl w:val="off"/>
      </w:pPr>
      <w:r>
        <w:rPr>
          <w:rFonts w:hint="eastAsia" w:ascii="宋体" w:hAnsi="宋体" w:cs="宋体"/>
          <w:bCs/>
          <w:color w:val="auto"/>
          <w:szCs w:val="21"/>
          <w:highlight w:val="none"/>
          <w:lang w:bidi="en-US"/>
        </w:rPr>
        <w:t xml:space="preserve">预付款支付期限：</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u w:val="single"/>
          <w:lang w:bidi="en-US"/>
        </w:rPr>
        <w:t xml:space="preserve">/</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预付款扣回的方式：无。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12.2.2预付款担保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承包人提交预付款担保的期限：</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u w:val="single"/>
          <w:lang w:bidi="en-US"/>
        </w:rPr>
        <w:t xml:space="preserve">/</w:t>
      </w:r>
      <w:r>
        <w:rPr>
          <w:rFonts w:ascii="宋体" w:hAnsi="宋体" w:cs="宋体"/>
          <w:bCs/>
          <w:color w:val="auto"/>
          <w:szCs w:val="21"/>
          <w:highlight w:val="none"/>
          <w:u w:val="single"/>
          <w:lang w:bidi="en-US"/>
        </w:rPr>
        <w:t xml:space="preserve">  </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预付款担保的形式为：/。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12.3.1计量原则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工程量计算规则：符合《建设工程工程量清单计价规范》GB50500－2013系列文件及2014版《江苏省建筑与装饰工程计价定额》、2014版《江苏省安装工程计价定额》、2014版《江苏省建设工程费用定额》等。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有下列情况之一者，不予计量与支付：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(a)无开工报告或开工报告未经批准；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(b)无计量资料或计量资料不完整；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(c)因施工错误而增加的工程量；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(d)工程量计算不符合相关计算规则；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(e)措施项目超出投标报价措施项目费总额；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(f)材料未按规定试验，或未被确认为合格；</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(g)合同外项目费用未按发包人有关规定办理审批手续</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12.3.2计量周期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关于计量周期的约定：按通用条款执行。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12.3.3单价合同的计量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单价合同计量的约定：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有权不予支付本期工程进度款或推迟付款时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12.3.4总价合同的计量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关于总价合同计量的约定：/。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12.3.5总价合同采用支付分解表计量支付的，是否适用第12.3.4项〔总价合同的计量〕约定进行计量：/。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12.3.6其他价格形式合同的计量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其他价格形式的计量方式和程序：无。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12.4工程进度款支付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12.4.1付款周期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关于付款周期的约定：</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）本工程不支付预付款，工程竣工验收合格后，支付至合同价款（扣除暂列金、材料暂估价，含税）的</w:t>
      </w:r>
      <w:r>
        <w:rPr>
          <w:rFonts w:ascii="宋体" w:hAnsi="宋体" w:cs="宋体"/>
          <w:bCs/>
          <w:color w:val="auto"/>
          <w:szCs w:val="21"/>
          <w:highlight w:val="none"/>
          <w:lang w:bidi="en-US"/>
        </w:rPr>
        <w:t xml:space="preserve">80%</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2）发包人审计部门审计后，付至审定价的</w:t>
      </w:r>
      <w:r>
        <w:rPr>
          <w:rFonts w:ascii="宋体" w:hAnsi="宋体" w:cs="宋体"/>
          <w:bCs/>
          <w:color w:val="auto"/>
          <w:szCs w:val="21"/>
          <w:highlight w:val="none"/>
          <w:lang w:bidi="en-US"/>
        </w:rPr>
        <w:t xml:space="preserve">97%</w:t>
      </w:r>
      <w:r>
        <w:rPr>
          <w:rFonts w:hint="eastAsia" w:ascii="宋体" w:hAnsi="宋体" w:cs="宋体"/>
          <w:bCs/>
          <w:color w:val="auto"/>
          <w:szCs w:val="21"/>
          <w:highlight w:val="none"/>
          <w:lang w:bidi="en-US"/>
        </w:rPr>
        <w:t xml:space="preserve">。</w:t>
      </w:r>
      <w:r>
        <w:rPr>
          <w:rFonts w:hint="eastAsia" w:ascii="宋体" w:hAnsi="宋体" w:cs="宋体"/>
          <w:b/>
          <w:bCs/>
          <w:color w:val="auto"/>
          <w:szCs w:val="21"/>
          <w:highlight w:val="none"/>
          <w:u w:val="single"/>
          <w:lang w:bidi="en-US"/>
        </w:rPr>
        <w:t xml:space="preserve">如发包人发现存在已经支付的款项超出承包人实际完成工作量的款项，承包人应将超付部分的款项无条件返还给发包人。承包人拒绝返还该款项的，发包人有权在剩余工程款中直接扣除。剩余工程款不足以返还该超付款项的，承包人应当继续承担返还义务。承包人拒绝承担返还义务的，发包人有权通过法律途径追究承包人的法律责任，并向发包人支付合同总价3</w:t>
      </w:r>
      <w:r>
        <w:rPr>
          <w:rFonts w:ascii="宋体" w:hAnsi="宋体" w:cs="宋体"/>
          <w:b/>
          <w:bCs/>
          <w:color w:val="auto"/>
          <w:szCs w:val="21"/>
          <w:highlight w:val="none"/>
          <w:u w:val="single"/>
          <w:lang w:bidi="en-US"/>
        </w:rPr>
        <w:t xml:space="preserve">0%</w:t>
      </w:r>
      <w:r>
        <w:rPr>
          <w:rFonts w:hint="eastAsia" w:ascii="宋体" w:hAnsi="宋体" w:cs="宋体"/>
          <w:b/>
          <w:bCs/>
          <w:color w:val="auto"/>
          <w:szCs w:val="21"/>
          <w:highlight w:val="none"/>
          <w:u w:val="single"/>
          <w:lang w:bidi="en-US"/>
        </w:rPr>
        <w:t xml:space="preserve">的违约金，造成发包人损失的，承包人还应承担全部赔偿责任。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3）剩余审定价的</w:t>
      </w:r>
      <w:r>
        <w:rPr>
          <w:rFonts w:ascii="宋体" w:hAnsi="宋体" w:cs="宋体"/>
          <w:bCs/>
          <w:color w:val="auto"/>
          <w:szCs w:val="21"/>
          <w:highlight w:val="none"/>
          <w:lang w:bidi="en-US"/>
        </w:rPr>
        <w:t xml:space="preserve">3%</w:t>
      </w:r>
      <w:r>
        <w:rPr>
          <w:rFonts w:hint="eastAsia" w:ascii="宋体" w:hAnsi="宋体" w:cs="宋体"/>
          <w:bCs/>
          <w:color w:val="auto"/>
          <w:szCs w:val="21"/>
          <w:highlight w:val="none"/>
          <w:lang w:bidi="en-US"/>
        </w:rPr>
        <w:t xml:space="preserve">在质保期满（无质量问题）后</w:t>
      </w:r>
      <w:r>
        <w:rPr>
          <w:rFonts w:ascii="宋体" w:hAnsi="宋体" w:cs="宋体"/>
          <w:bCs/>
          <w:color w:val="auto"/>
          <w:szCs w:val="21"/>
          <w:highlight w:val="none"/>
          <w:lang w:bidi="en-US"/>
        </w:rPr>
        <w:t xml:space="preserve">14</w:t>
      </w:r>
      <w:r>
        <w:rPr>
          <w:rFonts w:hint="eastAsia" w:ascii="宋体" w:hAnsi="宋体" w:cs="宋体"/>
          <w:bCs/>
          <w:color w:val="auto"/>
          <w:szCs w:val="21"/>
          <w:highlight w:val="none"/>
          <w:lang w:bidi="en-US"/>
        </w:rPr>
        <w:t xml:space="preserve">天内付清（无息）。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olor w:val="auto"/>
          <w:szCs w:val="21"/>
          <w:highlight w:val="none"/>
        </w:rPr>
        <w:t xml:space="preserve">乙方在质量保修期间，不履行保修义务的，应向甲方支付合同总价2%的违约金。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u w:val="single"/>
          <w:lang w:bidi="en-US"/>
        </w:rPr>
        <w:t xml:space="preserve">备注：付款的合同价款基数为扣除甲方直接付款或代付部分的费用，以及承包人应当承担的违约金和赔偿金。</w:t>
      </w:r>
      <w:r>
        <w:rPr>
          <w:rFonts w:ascii="宋体" w:hAnsi="宋体" w:cs="宋体"/>
          <w:bCs/>
          <w:color w:val="auto"/>
          <w:szCs w:val="21"/>
          <w:highlight w:val="none"/>
          <w:u w:val="single"/>
          <w:lang w:bidi="en-US"/>
        </w:rPr>
      </w:r>
      <w:r/>
    </w:p>
    <w:p>
      <w:pPr>
        <w:ind w:firstLine="420"/>
        <w:spacing w:line="360" w:lineRule="auto"/>
        <w:widowControl w:val="off"/>
      </w:pPr>
      <w:r>
        <w:rPr>
          <w:rFonts w:hint="eastAsia" w:ascii="宋体" w:hAnsi="宋体" w:cs="宋体"/>
          <w:bCs/>
          <w:color w:val="auto"/>
          <w:szCs w:val="21"/>
          <w:highlight w:val="none"/>
          <w:lang w:bidi="en-US"/>
        </w:rPr>
        <w:t xml:space="preserve">以上价款的支付均以承包人提供正规增值税专用发票为前提。</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12.4.2进度付款申请单的编制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关于进度付款申请单编制的约定：按通用条款执行。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12.4.3进度付款申请单的提交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（1）单价合同进度付款申请单提交的约定：根据付款约定提交。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（2）总价合同进度付款申请单提交的约定：/。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（3）其他价格形式合同进度付款申请单提交的约定：无。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12.4.4进度款审核和支付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（1）监理人审查并报送发包人的期限：3个工作日。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发包人完成审批并签发进度款支付证书的期限：无。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（2）发包人支付进度款的期限：无。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发包人逾期支付进度款的违约金的计算方式：无。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12.4.6支付分解表的编制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2、总价合同支付分解表的编制与审批：/。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3、单价合同的总价项目支付分解表的编制与审批：无。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13.验收和工程试车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13.1分部分项工程验收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13.1.2监理人不能按时进行验收时，应提前24小时提交书面延期要求。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关于延期最长不得超过：48小时。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13.2竣工验收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13.2.2竣工验收程序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（5）本合同规定的竣工验收日期是指本合同约定工程承包内容全部完工，并通过发包人组织的竣工验收之日，承包内容中任何一项分部分项工程未完工或经发包人组织的验收评定不合格，均视为工期延误。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发包人不按照本项约定组织竣工验收、颁发工程接收证书的违约金的计算方法：无。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13.2.5移交、接收全部与部分工程</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承包人向发包人移交工程的期限：取得工程竣工验收证书后7天内完成工程的移交。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发包人未按本合同约定接收全部或部分工程的，违约金的计算方法为：无。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未按时移交工程的，违约金的计算方法为：除不可抗力与发包人的原因外，工期不得拖延。若承包方原因造成工期延误，则由承包人以5000元/天的违约金向发包人支付，以合同总价的2%为限，此违约金并不能免除承包人应完成工程的责任或合同及法律规定的其他责任。如承包人累计延误工期达合同工期的30%，则发包人有权解除合同，并追究承包人的违约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13.3工程试车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13.3.1试车程序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工程试车内容：无。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（1）单机无负荷试车费用由/承担；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（2）无负荷联动试车费用由/承担。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13.3.3投料试车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关于投料试车相关事项的约定：无。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13.6竣工退场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13.6.1竣工退场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承包人完成竣工退场的期限：取得工程竣工验收证书后7天内。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14.竣工结算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14.1竣工结算申请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承包人提交竣工结算申请单的期限：承包人提交竣工结算申请书的期限：承包人应在工程竣工验收合格之日起60天内向发包人和监理人提交竣工结算申请单，并提交完整的结算资料。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竣工结算申请书应包括的内容：按通用条款执行。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14.1.1竣工验收报告通过之日起60日内，承包人向监理单位提交完整的工程竣工结算报告。监理工程师接到竣工结算报告28日内提出初审意见，并上报发包人。发包人接到经监理单位审定的结算报告意见后提交指定的造价咨询单位进行审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所有竣工图纸、竣工资料必须符合各级建设行政管理部门、档案管理部门及发包人的要求，资料应同时附有电子文本（图纸为AUTOCAD2000格式，文件为WORD2003格式）。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14.1.2因承包人提供竣工结算资料不完整或拒不接受审计单位的意见，造成审计时间拖后，其责任由承包人自负。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14.1.3</w:t>
      </w:r>
      <w:r>
        <w:rPr>
          <w:rFonts w:hint="eastAsia" w:ascii="宋体" w:hAnsi="宋体" w:cs="宋体"/>
          <w:b/>
          <w:color w:val="auto"/>
          <w:szCs w:val="21"/>
          <w:highlight w:val="none"/>
          <w:lang w:bidi="en-US"/>
        </w:rPr>
        <w:t xml:space="preserve">按照苏价服［</w:t>
      </w:r>
      <w:r>
        <w:rPr>
          <w:rFonts w:ascii="宋体" w:hAnsi="宋体" w:cs="宋体"/>
          <w:b/>
          <w:color w:val="auto"/>
          <w:szCs w:val="21"/>
          <w:highlight w:val="none"/>
          <w:lang w:bidi="en-US"/>
        </w:rPr>
        <w:t xml:space="preserve">2014</w:t>
      </w:r>
      <w:r>
        <w:rPr>
          <w:rFonts w:hint="eastAsia" w:ascii="宋体" w:hAnsi="宋体" w:cs="宋体"/>
          <w:b/>
          <w:color w:val="auto"/>
          <w:szCs w:val="21"/>
          <w:highlight w:val="none"/>
          <w:lang w:bidi="en-US"/>
        </w:rPr>
        <w:t xml:space="preserve">］</w:t>
      </w:r>
      <w:r>
        <w:rPr>
          <w:rFonts w:ascii="宋体" w:hAnsi="宋体" w:cs="宋体"/>
          <w:b/>
          <w:color w:val="auto"/>
          <w:szCs w:val="21"/>
          <w:highlight w:val="none"/>
          <w:lang w:bidi="en-US"/>
        </w:rPr>
        <w:t xml:space="preserve">383</w:t>
      </w:r>
      <w:r>
        <w:rPr>
          <w:rFonts w:hint="eastAsia" w:ascii="宋体" w:hAnsi="宋体" w:cs="宋体"/>
          <w:b/>
          <w:color w:val="auto"/>
          <w:szCs w:val="21"/>
          <w:highlight w:val="none"/>
          <w:lang w:bidi="en-US"/>
        </w:rPr>
        <w:t xml:space="preserve">号《省物价局、省住房和城乡建设厅关于规范工程造价咨询服务收费标准及有关事项的通知》的标准计算审计费；</w:t>
      </w:r>
      <w:r>
        <w:rPr>
          <w:rFonts w:ascii="宋体" w:hAnsi="宋体" w:cs="宋体"/>
          <w:b/>
          <w:color w:val="auto"/>
          <w:szCs w:val="21"/>
          <w:highlight w:val="none"/>
          <w:lang w:bidi="en-US"/>
        </w:rPr>
      </w:r>
      <w:r/>
    </w:p>
    <w:p>
      <w:pPr>
        <w:ind w:firstLine="420"/>
        <w:spacing w:line="360" w:lineRule="auto"/>
        <w:widowControl w:val="off"/>
      </w:pPr>
      <w:r>
        <w:rPr>
          <w:rFonts w:hint="eastAsia" w:ascii="宋体" w:hAnsi="宋体" w:cs="宋体"/>
          <w:b/>
          <w:color w:val="auto"/>
          <w:szCs w:val="21"/>
          <w:highlight w:val="none"/>
          <w:lang w:bidi="en-US"/>
        </w:rPr>
        <w:t xml:space="preserve">审计费承担办法</w:t>
      </w:r>
      <w:r>
        <w:rPr>
          <w:rFonts w:ascii="宋体" w:hAnsi="宋体" w:cs="宋体"/>
          <w:b/>
          <w:color w:val="auto"/>
          <w:szCs w:val="21"/>
          <w:highlight w:val="none"/>
          <w:lang w:bidi="en-US"/>
        </w:rPr>
        <w:t xml:space="preserve">:</w:t>
      </w:r>
      <w:r>
        <w:rPr>
          <w:rFonts w:hint="eastAsia" w:ascii="宋体" w:hAnsi="宋体" w:cs="宋体"/>
          <w:b/>
          <w:color w:val="auto"/>
          <w:szCs w:val="21"/>
          <w:highlight w:val="none"/>
          <w:lang w:bidi="en-US"/>
        </w:rPr>
        <w:t xml:space="preserve">单项工程核减率在</w:t>
      </w:r>
      <w:r>
        <w:rPr>
          <w:rFonts w:ascii="宋体" w:hAnsi="宋体" w:cs="宋体"/>
          <w:b/>
          <w:color w:val="auto"/>
          <w:szCs w:val="21"/>
          <w:highlight w:val="none"/>
          <w:lang w:bidi="en-US"/>
        </w:rPr>
        <w:t xml:space="preserve">5%</w:t>
      </w:r>
      <w:r>
        <w:rPr>
          <w:rFonts w:hint="eastAsia" w:ascii="宋体" w:hAnsi="宋体" w:cs="宋体"/>
          <w:b/>
          <w:color w:val="auto"/>
          <w:szCs w:val="21"/>
          <w:highlight w:val="none"/>
          <w:lang w:bidi="en-US"/>
        </w:rPr>
        <w:t xml:space="preserve">以下的，其审计费用由建设单位承担；单项工程核减率在</w:t>
      </w:r>
      <w:r>
        <w:rPr>
          <w:rFonts w:ascii="宋体" w:hAnsi="宋体" w:cs="宋体"/>
          <w:b/>
          <w:color w:val="auto"/>
          <w:szCs w:val="21"/>
          <w:highlight w:val="none"/>
          <w:lang w:bidi="en-US"/>
        </w:rPr>
        <w:t xml:space="preserve">5%</w:t>
      </w:r>
      <w:r>
        <w:rPr>
          <w:rFonts w:hint="eastAsia" w:ascii="宋体" w:hAnsi="宋体" w:cs="宋体"/>
          <w:b/>
          <w:color w:val="auto"/>
          <w:szCs w:val="21"/>
          <w:highlight w:val="none"/>
          <w:lang w:bidi="en-US"/>
        </w:rPr>
        <w:t xml:space="preserve">及其以上的，其审计费用由施工单位承担。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14.1.4一旦双方确认了竣工结算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款，则除工程缺陷责任期质量保证金按照双方已经签署的建设工程保修合同执行外，承包人承诺不再向发包人主张任何价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14.2竣工结算审核</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发包人审批竣工付款申请单的期限：按通用条款执行。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发包人完成竣工付款的期限：无。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承包人逾期未提出异议的，视为认可发包人的审批结果。</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14.4最终结清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14.4.1最终结清申请单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承包人提交最终结清申请单的份数：按发包人要求。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承包人提交最终结算申请单的期限：按发包人要求。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14.4.2最终结清证书和支付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（1）发包人完成最终结清申请单的审批并颁发最终结清证书的期限：无。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（2）发包人完成支付的期限：无。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15.缺陷责任期与保修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15.2缺陷责任期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缺陷责任期的具体期限：24个月。质保期：12个月。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15.3质量保证金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关于是否扣留质量保证金的约定：扣留3%的工程款作为质量保证金。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15.3.1承包人提供质量保证金的方式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质量保证金采用以下第2种方式：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（1）质量保证金保函，保证金额为：；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（2）3%的工程款；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（3）其他方式:。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15.3.2质量保证金的扣留</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质量保证金的扣留采取以下第2种方式：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（1）在支付工程进度款时逐次扣留，在此情形下，质量保证金的计算基数不包括预付款的支付、扣回以及价格调整的金额；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（2）工程竣工结算时一次性扣留质量保证金；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（3）其他扣留方式:。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关于质量保证金的补充约定：详见质量保修书。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15.4保修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15.4.1保修责任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工程保修期为：本工程的质量保修期以工程竣工验收合格之日起计算，质量保修期限详见质量保修书。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15.4.3修复通知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收到保修通知并到达工程现场的合理时间：接到发包人通知后2天内，承包人不在约定期限内派人修理，发包人可委托其他人员修理，保修费用从质量保证金内扣除；发生须紧急抢修事故（如上水跑水、暖气漏水漏气、燃气漏气等），承包人接到事故通知后，应立即到达事故现场抢修。因承包人原因致使工程在合理使用期限内造成人身和财产损害的，承包人应承担损害赔偿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16.违约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16.1发包人违约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16.1.1发包人违约的情形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发包人违约的其他情形：无。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16.1.2发包人违约的责任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发包人违约责任的承担方式和计算方法：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（1）因发包人原因未能在计划开工日期前7天内下达开工通知的违约责任：工期顺延。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（2）因发包人原因未能按合同约定支付合同价款的违约责任：无。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（3）发包人违反第10.1款〔变更的范围〕第（2）项约定，自行实施被取消的工作或转由他人实施的违约责任：发包人不承担责任。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（4）发包人提供的材料、工程设备的规格、数量或质量不符合合同约定，或因发包人原因导致交货日期延误或交货地点变更等情况的违约责任：双方协商。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（5）因发包人违反合同约定造成暂停施工的违约责任：双方协商。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（6）发包人无正当理由没有在约定期限内发出复工指示，导致承包人无法复工的违约责任：双方协商。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（7）其他：无。</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16.1.3因发包人违约解除合同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承包人按16.1.1项〔发包人违约的情形〕约定暂停施工满/天后发包人仍不纠正其违约行为并致使合同目的不能实现的，承包人有权解除合同。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16.2承包人违约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16.2.1承包人违约的情形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承包人违约的其他情形：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按工程结算价款的20%支付违约金，发包人有权在结算工程款时直接扣除，此项赔偿并不能解除中标单位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如因施工质量、施工管理、施工行为导致安全生产事故、消防事故、水电安全事故、人身伤亡等，由承包人承担包括损失赔偿在内的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上述违约金发包人有权在结算工程款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材料进场管理的违约责任：所有进入本项目工地的材料即为本工程使用的材料，承包人负有保管义务，因材料设备损坏或灭失而造成的损失，由承包人承担；承包方不得将其他项目的材料设备运入本项目现场，否则视为不合</w:t>
      </w:r>
      <w:r>
        <w:rPr>
          <w:rFonts w:hint="eastAsia" w:ascii="宋体" w:hAnsi="宋体" w:cs="宋体"/>
          <w:bCs/>
          <w:color w:val="auto"/>
          <w:szCs w:val="21"/>
          <w:highlight w:val="none"/>
          <w:lang w:bidi="en-US"/>
        </w:rPr>
        <w:t xml:space="preserve">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由此造成工期延误的，由承包人承担，并且发包人有权按违反监理程序要求承包人支付3000元/次违约金，该违约金发包人有权在结算工程款时直接扣除；承包人不按合同履行应承担的工作，对工程进展造成影响时，发包人有权自行或委托他人完成合同约定承包人该项工作，所产生的费用从承包人应得的款项中获得，不足部分由承包人偿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现场必须达到标准化现场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该违约金发包人有权在结算工程款时直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t xml:space="preserve">5</w:t>
      </w:r>
      <w:r>
        <w:rPr>
          <w:rFonts w:hint="eastAsia" w:ascii="宋体" w:hAnsi="宋体" w:cs="宋体"/>
          <w:bCs/>
          <w:color w:val="auto"/>
          <w:szCs w:val="21"/>
          <w:highlight w:val="none"/>
          <w:lang w:bidi="en-US"/>
        </w:rPr>
        <w:t xml:space="preserve">）双方约定的承包人其他违约责任：在施工期间承包人如发生重大质量和安全事故、消防事故、水电安全事故、人身伤亡事故的，承包人必须承担包括损失赔偿在内的事故处理的一切费用、工程的恢复费用及因此造成后续工程延期费用（承包人应按照10000元/天的标准向发包人支付违约金，该违约金发包人有权在结算工程款时直接扣除），发包人有权单方解除本合同并勒令承包人退场，或减少其承包内容，所造成的损失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非因发包人原因导致工程未按时竣工，承包人应向发包人支付违约金</w:t>
      </w:r>
      <w:r>
        <w:rPr>
          <w:rFonts w:ascii="宋体" w:hAnsi="宋体" w:cs="宋体"/>
          <w:bCs/>
          <w:color w:val="auto"/>
          <w:szCs w:val="21"/>
          <w:highlight w:val="none"/>
          <w:lang w:bidi="en-US"/>
        </w:rPr>
        <w:t xml:space="preserve">10000</w:t>
      </w:r>
      <w:r>
        <w:rPr>
          <w:rFonts w:hint="eastAsia" w:ascii="宋体" w:hAnsi="宋体" w:cs="宋体"/>
          <w:bCs/>
          <w:color w:val="auto"/>
          <w:szCs w:val="21"/>
          <w:highlight w:val="none"/>
          <w:lang w:bidi="en-US"/>
        </w:rPr>
        <w:t xml:space="preserve">元</w:t>
      </w:r>
      <w:r>
        <w:rPr>
          <w:rFonts w:ascii="宋体" w:hAnsi="宋体" w:cs="宋体"/>
          <w:bCs/>
          <w:color w:val="auto"/>
          <w:szCs w:val="21"/>
          <w:highlight w:val="none"/>
          <w:lang w:bidi="en-US"/>
        </w:rPr>
        <w:t xml:space="preserve">/</w:t>
      </w:r>
      <w:r>
        <w:rPr>
          <w:rFonts w:hint="eastAsia" w:ascii="宋体" w:hAnsi="宋体" w:cs="宋体"/>
          <w:bCs/>
          <w:color w:val="auto"/>
          <w:szCs w:val="21"/>
          <w:highlight w:val="none"/>
          <w:lang w:bidi="en-US"/>
        </w:rPr>
        <w:t xml:space="preserve">天。违约金从履约保证金中直接扣除。履约保证金不足以支付违约金的，承包人应继续承担违约金支付责任。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
          <w:bCs/>
          <w:color w:val="auto"/>
          <w:szCs w:val="21"/>
          <w:highlight w:val="none"/>
          <w:lang w:bidi="en-US"/>
        </w:rPr>
        <w:t xml:space="preserve">承包人不服从发包人管理要求，在发包人书面通知后，承包人仍不作调整或调整仍不符合发包人要求的，发包人有权解除合同或采取措施组织第三方进行施工，由此产生的全部费用由承包人承担，并从合同总额中直接扣除。造成发包人损失的，承包人还应继续承担赔偿责任。本条款的执行并不免除承包人履行本合同约定的全部义务的责任。</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16.2.2承包人违约的责任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承包人违约责任的承担方式和计算方法：</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（1）因承包人原因导致技术文件（包括竣工图纸、签证等）未能按约定时间提交，每迟一天，发包人在支付给承包人的工程款内扣除1000元的违约金。同时并不解除承包人继续交付上述技术文件的义务。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若承包人擅自停工或单方面终止合同的执行或违约，造成合同无法履行，在本合同解除后，承包人必须在5天内无条件退场。发包人将按承包人已完成工程量的70%给予结算，且承包人应承担由此而给发包方造成的一切损失，由此给发包人造成的损失及承包人应当支付的违约金及其他费用，发包人有权在结算工程款时予以扣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16.2.3因承包人违约解除合同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关于承包人违约解除合同的特别约定：承包人存在招标过程中的违法行为和发包人认为承包人已不具备正常履约能力。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承包人发生下列情况解除合同，履约保证金不予退还，承包人退场：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（一）发生挂靠、擅自转包、擅自分包；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（二）施工任务、计划工期进度因承包人自身原因延误合同工期30%以上天数或发生重大质量安全事故的；</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（三）连续两个月以上不按法律、法规规定要求发放工人工资或因其造成工地工人群体上访恶性事件的（因被拖欠工程款引发的除外）；</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（四）拒不履行投标承诺及合约职责与义务的。</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合同解除承包人退场后，发包人组织相关责任单位进行工程质量验收和工程造价清算，重新确定承包人，由此产生的费用超过原中标价部分由原承包人负责赔偿。同时承包人应向发包人支付合同总价3</w:t>
      </w:r>
      <w:r>
        <w:rPr>
          <w:rFonts w:ascii="宋体" w:hAnsi="宋体" w:cs="宋体"/>
          <w:bCs/>
          <w:color w:val="auto"/>
          <w:szCs w:val="21"/>
          <w:highlight w:val="none"/>
          <w:lang w:bidi="en-US"/>
        </w:rPr>
        <w:t xml:space="preserve">0%</w:t>
      </w:r>
      <w:r>
        <w:rPr>
          <w:rFonts w:hint="eastAsia" w:ascii="宋体" w:hAnsi="宋体" w:cs="宋体"/>
          <w:bCs/>
          <w:color w:val="auto"/>
          <w:szCs w:val="21"/>
          <w:highlight w:val="none"/>
          <w:lang w:bidi="en-US"/>
        </w:rPr>
        <w:t xml:space="preserve">的违约金。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发包人继续使用承包人在施工现场的材料、设备、临时工程、承包人文件和由承包人或以其名义编制的其他文件的费用承担方式：另行协商。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因承包人原因解除合同的，承包人应向发包人支付合同价30%的违约金。违约金不能完全赔偿发包人损失的，承包人应在支付违约金外，继续赔偿剩余损失。</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17.不可抗力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17.1不可抗力的确认</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除通用合同条款约定的不可抗力事件之外，视为不可抗力的其他情形：因国家、省、市政府政策调整或重大事件，或是发包人上级主管单位规划调整，发包人被动暂停或取消本工程的全部或部分工作内容。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17.4因不可抗力解除合同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合同解除后，发包人应在商定或确定发包人应支付款项后180天内完成款项的支付。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18.保险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18.1工程保险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工程保险的特别约定：发包人委托承包人办理本项目的建筑工程一切险和第三者责任险。保险费包含在承包人报价中。承包人必须为其设备投保设备险、雇员（包括临时工和民工）投保人身意外事故险，此项保险的一切费用包含在所报的合同总价中，不单独计量与支付。</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18.3其他保险</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其他保险的约定：承包人必须按法律法规及省市政策、文件要求为该项目所有人员办理保险，包括工伤保险、施工现场从事危险作业的人员投保人身意外伤害险，以及自有机械机具的保险等，并及时支付保险费，承担保险责任。一旦发生上述保险范围内的事件，损失由承包人自行承担。承包人必须在工程开工前将保单提供给发包人或其委托的监理工程师核查和备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承包人是否应为其施工设备等办理财产保险：是。</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18.7通知义务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关于变更保险合同时的通知义务的约定：按通用条款执行。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20.争议解决</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20.3争议评审</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合同当事人是否同意将工程争议提交争议评审小组决定：否。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20.3.1争议评审小组的确定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争议评审小组成员的确定：。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选定争议评审员的期限：。</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争议评审小组成员的报酬承担方式：。</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其他事项的约定：。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20.3.2争议评审小组的决定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合同当事人关于本项的约定：。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20.4仲裁或诉讼</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因合同及合同有关事项发生的争议，按下列第2种方式解决：</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（1）向仲裁委员会申请仲裁；</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（2）向工程所在地人民法院起诉。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21补充条款：</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1、如相关法律法规要求项目完工后，要向相关的行政主管部门进行报验的，承包人应向相关的行政主管部门进行报验并保证能通过相关部门的验收。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2、凡是非设计变更及非发包人原因造成的施工条件的变更，施工方案和施工措施的修改而造成增加的费用由承包人承担。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本次招标范围内由于设计图纸（如有）的误差而造成各单项工程、单位工程、各施工工种之间的施工交叉、矛盾等，承包人应在实施施工之前予以解决。凡实施施工之前未予解决而造成的返工，拆除部分的制作、安装、拆除及外运费用由承包人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4、任何涉及工程造价变更和增项的确认要遵循“先批后建”的原则，必须得到发包人监理人和造价咨询的书面确认后方可生效。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5、竣工验收前，承包人需提供完整的竣工验收资料，竣工验收后按照第1</w:t>
      </w:r>
      <w:r>
        <w:rPr>
          <w:rFonts w:ascii="宋体" w:hAnsi="宋体" w:cs="宋体"/>
          <w:bCs/>
          <w:color w:val="auto"/>
          <w:szCs w:val="21"/>
          <w:highlight w:val="none"/>
          <w:lang w:bidi="en-US"/>
        </w:rPr>
        <w:t xml:space="preserve">4.1.1</w:t>
      </w:r>
      <w:r>
        <w:rPr>
          <w:rFonts w:hint="eastAsia" w:ascii="宋体" w:hAnsi="宋体" w:cs="宋体"/>
          <w:bCs/>
          <w:color w:val="auto"/>
          <w:szCs w:val="21"/>
          <w:highlight w:val="none"/>
          <w:lang w:bidi="en-US"/>
        </w:rPr>
        <w:t xml:space="preserve">条的约定提供完整的竣工结算资料。审计费用的计取标准：按发包人审计部门要求确定。承包人提供的所有资料需满足工程备案要求。</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6、承包人应配合工程造价咨询项目组对本工程的监督、检查，按甲方要求及时报送有关资料和变更价款情况。</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color w:val="auto"/>
          <w:szCs w:val="21"/>
          <w:highlight w:val="none"/>
        </w:rPr>
        <w:t xml:space="preserve">7、承包人施工中应保证发包人设备、设施、家具等的完好、卫生、洁净，尤其是在搬运家具及粉刷墙面时，不得损坏或污染家具及设备。如有损坏设施设备的，由承包人负责修复或承担赔偿责任（按照原值赔偿），如有污染设施设备的，由承包人负责清理干净，否则，承包人应承担违约责任。</w:t>
      </w:r>
      <w:r>
        <w:rPr>
          <w:rFonts w:ascii="宋体" w:hAnsi="宋体" w:cs="宋体"/>
          <w:color w:val="auto"/>
          <w:szCs w:val="21"/>
          <w:highlight w:val="none"/>
        </w:rPr>
      </w:r>
      <w:r/>
    </w:p>
    <w:p>
      <w:pPr>
        <w:ind w:firstLine="420"/>
        <w:spacing w:line="360" w:lineRule="auto"/>
        <w:widowControl w:val="off"/>
      </w:pPr>
      <w:r>
        <w:rPr>
          <w:rFonts w:hint="eastAsia" w:ascii="宋体" w:hAnsi="宋体" w:cs="宋体"/>
          <w:color w:val="auto"/>
          <w:szCs w:val="21"/>
          <w:highlight w:val="none"/>
        </w:rPr>
        <w:t xml:space="preserve">8、由于本项目涉及出新的宿舍间数较多、面积较大、分布较广，在宿舍全部腾空之前仍存有变动的可能，因此在正式施工前需与发包方再次确认施工区域和施工面积，一旦确认后，承包人不得擅自进行增加或变更。此外，承包人务必做好施工前后及施工过程中的影像资料以便后期结算审计，结算时如无法提供相应影像资料的，则相应工程量作核减处理。</w:t>
      </w:r>
      <w:r>
        <w:rPr>
          <w:rFonts w:ascii="宋体" w:hAnsi="宋体" w:cs="宋体"/>
          <w:color w:val="auto"/>
          <w:szCs w:val="21"/>
          <w:highlight w:val="none"/>
        </w:rPr>
      </w:r>
      <w:r/>
    </w:p>
    <w:p>
      <w:pPr>
        <w:ind w:firstLine="420"/>
        <w:spacing w:line="360" w:lineRule="auto"/>
        <w:widowControl w:val="off"/>
      </w:pPr>
      <w:r>
        <w:rPr>
          <w:rFonts w:hint="eastAsia" w:ascii="宋体" w:hAnsi="宋体" w:cs="宋体"/>
          <w:color w:val="auto"/>
          <w:szCs w:val="21"/>
          <w:highlight w:val="none"/>
        </w:rPr>
        <w:t xml:space="preserve">9、</w:t>
      </w:r>
      <w:r>
        <w:rPr>
          <w:rFonts w:hint="eastAsia" w:ascii="宋体" w:hAnsi="宋体" w:cs="宋体"/>
          <w:bCs/>
          <w:color w:val="auto"/>
          <w:szCs w:val="21"/>
          <w:highlight w:val="none"/>
          <w:lang w:bidi="en-US"/>
        </w:rPr>
        <w:t xml:space="preserve">施工单位间的纠纷协调由各施工单位自行解决。发包人不承担任何连带责任。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10、</w:t>
      </w:r>
      <w:r>
        <w:rPr>
          <w:rFonts w:hint="eastAsia" w:ascii="宋体" w:hAnsi="宋体" w:cs="宋体"/>
          <w:b/>
          <w:bCs/>
          <w:color w:val="auto"/>
          <w:szCs w:val="21"/>
          <w:highlight w:val="none"/>
          <w:u w:val="single"/>
          <w:lang w:bidi="en-US"/>
        </w:rPr>
        <w:t xml:space="preserve">本合同所指的发包人损失包括但不限于发包人遭受的直接损失、间接损失以及为维权所支出的律师费、诉讼费、保全费、差旅费等费用。</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1</w:t>
      </w:r>
      <w:r>
        <w:rPr>
          <w:rFonts w:hint="eastAsia" w:ascii="宋体" w:hAnsi="宋体" w:cs="宋体"/>
          <w:b/>
          <w:bCs/>
          <w:color w:val="auto"/>
          <w:szCs w:val="21"/>
          <w:highlight w:val="none"/>
          <w:u w:val="single"/>
          <w:lang w:bidi="en-US"/>
        </w:rPr>
        <w:t xml:space="preserve">、承包人应按合同总额5</w:t>
      </w:r>
      <w:r>
        <w:rPr>
          <w:rFonts w:ascii="宋体" w:hAnsi="宋体" w:cs="宋体"/>
          <w:b/>
          <w:bCs/>
          <w:color w:val="auto"/>
          <w:szCs w:val="21"/>
          <w:highlight w:val="none"/>
          <w:u w:val="single"/>
          <w:lang w:bidi="en-US"/>
        </w:rPr>
        <w:t xml:space="preserve">%</w:t>
      </w:r>
      <w:r>
        <w:rPr>
          <w:rFonts w:hint="eastAsia" w:ascii="宋体" w:hAnsi="宋体" w:cs="宋体"/>
          <w:b/>
          <w:bCs/>
          <w:color w:val="auto"/>
          <w:szCs w:val="21"/>
          <w:highlight w:val="none"/>
          <w:u w:val="single"/>
          <w:lang w:bidi="en-US"/>
        </w:rPr>
        <w:t xml:space="preserve">向发包人缴纳履约保证金。工程竣工并经发包人及有关部门验收合格后，由承包人提交书面申请，发包人在收到该书面申请</w:t>
      </w:r>
      <w:r>
        <w:rPr>
          <w:rFonts w:ascii="宋体" w:hAnsi="宋体" w:cs="宋体"/>
          <w:b/>
          <w:bCs/>
          <w:color w:val="auto"/>
          <w:szCs w:val="21"/>
          <w:highlight w:val="none"/>
          <w:u w:val="single"/>
          <w:lang w:bidi="en-US"/>
        </w:rPr>
        <w:t xml:space="preserve">15</w:t>
      </w:r>
      <w:r>
        <w:rPr>
          <w:rFonts w:hint="eastAsia" w:ascii="宋体" w:hAnsi="宋体" w:cs="宋体"/>
          <w:b/>
          <w:bCs/>
          <w:color w:val="auto"/>
          <w:szCs w:val="21"/>
          <w:highlight w:val="none"/>
          <w:u w:val="single"/>
          <w:lang w:bidi="en-US"/>
        </w:rPr>
        <w:t xml:space="preserve">个工作日内一次性无息退还。</w:t>
      </w:r>
      <w:r>
        <w:rPr>
          <w:rFonts w:ascii="宋体" w:hAnsi="宋体" w:cs="宋体"/>
          <w:b/>
          <w:bCs/>
          <w:color w:val="auto"/>
          <w:szCs w:val="21"/>
          <w:highlight w:val="none"/>
          <w:u w:val="single"/>
          <w:lang w:bidi="en-US"/>
        </w:rPr>
      </w:r>
      <w:r/>
    </w:p>
    <w:p>
      <w:pPr>
        <w:ind w:firstLine="420"/>
        <w:spacing w:line="360" w:lineRule="auto"/>
        <w:widowControl w:val="off"/>
      </w:pPr>
      <w:r>
        <w:rPr>
          <w:rFonts w:hint="eastAsia" w:ascii="宋体" w:hAnsi="宋体" w:cs="宋体"/>
          <w:bCs/>
          <w:color w:val="auto"/>
          <w:szCs w:val="21"/>
          <w:highlight w:val="none"/>
          <w:lang w:bidi="en-US"/>
        </w:rPr>
        <w:t xml:space="preserve">12、（</w:t>
      </w:r>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2</w:t>
      </w:r>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总价措施项目费约定：承包人在投标报价时已将“安全文明施工费”和“工程按质论价费”除外的所有总价项目措施费考虑在内，费用标准自定，无论在投标报价中是否单独列出，均认为承包人已将所有总价措施费用计入投标报价中。总价包干，结算时不予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总价措施项目费包括但不限于：夜间施工增加费，材料和设备的场内二次搬运费，冬雨季施工增加费，地上、地下设施、建筑物的临时保护设施费，已完工程及设备保护费，临时设施费，检验试验费，赶工措施费，地下管线的保护费用，各级政府相关管理部门对施工现场进行的有关建筑工程安全防护、文明施工的各种检查而发生的费用，材料及机械设备的租赁费，技术措施费，工程用水加压措施费，高压线防护措施费，防噪音措施费、防污染措施费，特殊条件下施工增加费等。</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t xml:space="preserve">1.1.</w:t>
      </w:r>
      <w:r>
        <w:rPr>
          <w:rFonts w:hint="eastAsia" w:ascii="宋体" w:hAnsi="宋体" w:cs="宋体"/>
          <w:bCs/>
          <w:color w:val="auto"/>
          <w:szCs w:val="21"/>
          <w:highlight w:val="none"/>
          <w:lang w:bidi="en-US"/>
        </w:rPr>
        <w:t xml:space="preserve">安全文明施工费：“基本费”和“扬尘污染防治增加费”，根据最终结算确定的分部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分项工程费和招标文件规定的费率进行调整；“增加费”按实际评定结果结算。</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t xml:space="preserve">1.2.</w:t>
      </w:r>
      <w:r>
        <w:rPr>
          <w:rFonts w:hint="eastAsia" w:ascii="宋体" w:hAnsi="宋体" w:cs="宋体"/>
          <w:bCs/>
          <w:color w:val="auto"/>
          <w:szCs w:val="21"/>
          <w:highlight w:val="none"/>
          <w:lang w:bidi="en-US"/>
        </w:rPr>
        <w:t xml:space="preserve">工程按质论价费：按实际创建结果进行结算调整。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t xml:space="preserve">1</w:t>
      </w:r>
      <w:r>
        <w:rPr>
          <w:rFonts w:hint="eastAsia" w:ascii="宋体" w:hAnsi="宋体" w:cs="宋体"/>
          <w:bCs/>
          <w:color w:val="auto"/>
          <w:szCs w:val="21"/>
          <w:highlight w:val="none"/>
          <w:lang w:bidi="en-US"/>
        </w:rPr>
        <w:t xml:space="preserve">2</w:t>
      </w:r>
      <w:r>
        <w:rPr>
          <w:rFonts w:ascii="宋体" w:hAnsi="宋体" w:cs="宋体"/>
          <w:bCs/>
          <w:color w:val="auto"/>
          <w:szCs w:val="21"/>
          <w:highlight w:val="none"/>
          <w:lang w:bidi="en-US"/>
        </w:rPr>
        <w:t xml:space="preserve">.2</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t xml:space="preserve">.</w:t>
      </w:r>
      <w:r>
        <w:rPr>
          <w:rFonts w:hint="eastAsia" w:ascii="宋体" w:hAnsi="宋体" w:cs="宋体"/>
          <w:bCs/>
          <w:color w:val="auto"/>
          <w:szCs w:val="21"/>
          <w:highlight w:val="none"/>
          <w:lang w:bidi="en-US"/>
        </w:rPr>
        <w:t xml:space="preserve">单价措施项目费约定：除模板费用，可根据分部分项工程量变化、设计变更、现场签证相应调整外，其余单价措施费均已由承包人在投标报价中充分考虑，结算时均不调整。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13</w:t>
      </w:r>
      <w:r>
        <w:rPr>
          <w:rFonts w:ascii="宋体" w:hAnsi="宋体" w:cs="宋体"/>
          <w:bCs/>
          <w:color w:val="auto"/>
          <w:szCs w:val="21"/>
          <w:highlight w:val="none"/>
          <w:lang w:bidi="en-US"/>
        </w:rPr>
        <w:t xml:space="preserve">.</w:t>
      </w:r>
      <w:r>
        <w:rPr>
          <w:rFonts w:hint="eastAsia" w:eastAsia="Times New Roman"/>
          <w:color w:val="auto"/>
          <w:highlight w:val="none"/>
          <w:lang w:bidi="en-US"/>
        </w:rPr>
        <w:t xml:space="preserve"> </w:t>
      </w:r>
      <w:r>
        <w:rPr>
          <w:rFonts w:hint="eastAsia" w:ascii="宋体" w:hAnsi="宋体" w:cs="宋体"/>
          <w:bCs/>
          <w:color w:val="auto"/>
          <w:szCs w:val="21"/>
          <w:highlight w:val="none"/>
          <w:lang w:bidi="en-US"/>
        </w:rPr>
        <w:t xml:space="preserve">如承包人在本项目招标采购、合同签订、合同履行过程中，违反法律法规或违反发包人管理规定，被发包人认定为失信供应商的，发包人有权取消承包人的中标资格。合同签订后，正式履行前，承包人被发包人认定为失信供应商的，发包人有权解除合同，承包人承担全部法律及经济责任。如果合同已经履行，承包人被发包人认定为失信供应商的，发包人有权追究承包人的违约责任。承包人应向发包人支付合同总价</w:t>
      </w:r>
      <w:r>
        <w:rPr>
          <w:rFonts w:ascii="宋体" w:hAnsi="宋体" w:cs="宋体"/>
          <w:bCs/>
          <w:color w:val="auto"/>
          <w:szCs w:val="21"/>
          <w:highlight w:val="none"/>
          <w:lang w:bidi="en-US"/>
        </w:rPr>
        <w:t xml:space="preserve">30%</w:t>
      </w:r>
      <w:r>
        <w:rPr>
          <w:rFonts w:hint="eastAsia" w:ascii="宋体" w:hAnsi="宋体" w:cs="宋体"/>
          <w:bCs/>
          <w:color w:val="auto"/>
          <w:szCs w:val="21"/>
          <w:highlight w:val="none"/>
          <w:lang w:bidi="en-US"/>
        </w:rPr>
        <w:t xml:space="preserve">的违约金，发包人有权同时没收承包人缴纳的全部履约保证金。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14、施工结束后，承包人需承担所有施工范围内的开荒保洁工作，做到宿舍内干净整洁，窗明几净，家具、窗帘、插座面板等设施设备上无乳胶漆印迹，厕所无污渍异味等。</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
          <w:bCs/>
          <w:color w:val="auto"/>
          <w:szCs w:val="21"/>
          <w:highlight w:val="none"/>
          <w:lang w:bidi="en-US"/>
        </w:rPr>
        <w:t xml:space="preserve">1</w:t>
      </w:r>
      <w:r>
        <w:rPr>
          <w:rFonts w:hint="eastAsia" w:ascii="宋体" w:hAnsi="宋体" w:cs="宋体"/>
          <w:b/>
          <w:bCs/>
          <w:color w:val="auto"/>
          <w:szCs w:val="21"/>
          <w:highlight w:val="none"/>
          <w:lang w:bidi="en-US"/>
        </w:rPr>
        <w:t xml:space="preserve">5</w:t>
      </w:r>
      <w:r>
        <w:rPr>
          <w:rFonts w:ascii="宋体" w:hAnsi="宋体" w:cs="宋体"/>
          <w:b/>
          <w:bCs/>
          <w:color w:val="auto"/>
          <w:szCs w:val="21"/>
          <w:highlight w:val="none"/>
          <w:lang w:bidi="en-US"/>
        </w:rPr>
        <w:t xml:space="preserve">.</w:t>
      </w:r>
      <w:r>
        <w:rPr>
          <w:rFonts w:hint="eastAsia"/>
          <w:b/>
          <w:color w:val="auto"/>
          <w:highlight w:val="none"/>
        </w:rPr>
        <w:t xml:space="preserve"> </w:t>
      </w:r>
      <w:r>
        <w:rPr>
          <w:rFonts w:hint="eastAsia" w:ascii="宋体" w:hAnsi="宋体" w:cs="宋体"/>
          <w:b/>
          <w:bCs/>
          <w:color w:val="auto"/>
          <w:szCs w:val="21"/>
          <w:highlight w:val="none"/>
          <w:lang w:bidi="en-US"/>
        </w:rPr>
        <w:t xml:space="preserve">承包人派遣的施工人员应具备电气施工所需的必备资格证书。如涉及高空作业的，还需施工人员具备高空作业操作证。</w:t>
      </w:r>
      <w:r>
        <w:rPr>
          <w:rFonts w:ascii="宋体" w:hAnsi="宋体" w:cs="宋体"/>
          <w:b/>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16.其他未尽事宜由双方协商解决。</w:t>
      </w:r>
      <w:r>
        <w:rPr>
          <w:rFonts w:ascii="宋体" w:hAnsi="宋体" w:cs="宋体"/>
          <w:bCs/>
          <w:color w:val="auto"/>
          <w:szCs w:val="21"/>
          <w:highlight w:val="none"/>
          <w:lang w:bidi="en-US"/>
        </w:rPr>
      </w:r>
      <w:r/>
    </w:p>
    <w:p>
      <w:pPr>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widowControl w:val="off"/>
      </w:pPr>
      <w:r>
        <w:rPr>
          <w:rFonts w:hint="eastAsia" w:ascii="宋体" w:hAnsi="宋体" w:cs="宋体"/>
          <w:bCs/>
          <w:color w:val="auto"/>
          <w:szCs w:val="21"/>
          <w:highlight w:val="none"/>
          <w:lang w:bidi="en-US"/>
        </w:rPr>
        <w:br w:type="page" w:clear="all"/>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附件1：</w:t>
      </w:r>
      <w:r>
        <w:rPr>
          <w:rFonts w:ascii="宋体" w:hAnsi="宋体" w:cs="宋体"/>
          <w:bCs/>
          <w:color w:val="auto"/>
          <w:szCs w:val="21"/>
          <w:highlight w:val="none"/>
          <w:lang w:bidi="en-US"/>
        </w:rPr>
      </w:r>
      <w:r/>
    </w:p>
    <w:p>
      <w:pPr>
        <w:jc w:val="center"/>
        <w:spacing w:line="360" w:lineRule="auto"/>
        <w:widowControl w:val="off"/>
      </w:pPr>
      <w:r>
        <w:rPr>
          <w:rFonts w:hint="eastAsia" w:ascii="宋体" w:hAnsi="宋体" w:cs="宋体"/>
          <w:bCs/>
          <w:color w:val="auto"/>
          <w:szCs w:val="21"/>
          <w:highlight w:val="none"/>
          <w:lang w:bidi="en-US"/>
        </w:rPr>
        <w:t xml:space="preserve">工程质量保修书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发包人（全称）：南京信息工程大学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承包人（全称）：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发包人和承包人根据《中华人民共和国建筑法》和《建设工程质量管理条例》，经协商一致就（南京信息工程大学2026年毕业生宿舍出新维修工程）签订工程质量保修书。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一、工程质量保修范围和内容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承包人在质量保修期内，按照有关法律规定和合同约定，承担工程质量保修责任。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u w:val="single"/>
          <w:lang w:bidi="en-US"/>
        </w:rPr>
        <w:t xml:space="preserve">但凡非人为原因影响建设项目正常使用的情况均属保修内容</w:t>
      </w:r>
      <w:r>
        <w:rPr>
          <w:rFonts w:hint="eastAsia" w:ascii="宋体" w:hAnsi="宋体" w:cs="宋体"/>
          <w:bCs/>
          <w:color w:val="auto"/>
          <w:szCs w:val="21"/>
          <w:highlight w:val="none"/>
          <w:lang w:bidi="en-US"/>
        </w:rPr>
        <w:t xml:space="preserve">。</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二、质量保修期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本工程的质量保修期为一年。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质量保修期自工程竣工验收合格之日起计算。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三、缺陷责任期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工程缺陷责任期为24个月，缺陷责任期自工程通过竣工验收之日起计算。单位工程先于全部工程进行验收，单位工程缺陷责任期自单位工程验收合格之日起算。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四、质量保修责任</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1．属于保修范围、内容的项目，承包人应当在接到保修通知之日起2天内派人保修。承包人不在约定期限内派人保修的，发包人可以委托他人修理。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2．发生紧急事故需抢修的，承包人在接到事故通知后，应当立即到达事故现场抢修。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4．质量保修完成后，由发包人组织验收。</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五、保修费用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保修费用由造成质量缺陷的责任方承担。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六、双方约定的其他工程质量保修事项：</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u w:val="single"/>
          <w:lang w:bidi="en-US"/>
        </w:rPr>
        <w:t xml:space="preserve">1、发包人指定发包人现场代表负责协调保修具体事宜。</w:t>
      </w:r>
      <w:r>
        <w:rPr>
          <w:rFonts w:ascii="宋体" w:hAnsi="宋体" w:cs="宋体"/>
          <w:bCs/>
          <w:color w:val="auto"/>
          <w:szCs w:val="21"/>
          <w:highlight w:val="none"/>
          <w:u w:val="single"/>
          <w:lang w:bidi="en-US"/>
        </w:rPr>
      </w:r>
      <w:r/>
    </w:p>
    <w:p>
      <w:pPr>
        <w:ind w:firstLine="420"/>
        <w:spacing w:line="360" w:lineRule="auto"/>
        <w:widowControl w:val="off"/>
      </w:pPr>
      <w:r>
        <w:rPr>
          <w:rFonts w:hint="eastAsia" w:ascii="宋体" w:hAnsi="宋体" w:cs="宋体"/>
          <w:bCs/>
          <w:color w:val="auto"/>
          <w:szCs w:val="21"/>
          <w:highlight w:val="none"/>
          <w:u w:val="single"/>
          <w:lang w:bidi="en-US"/>
        </w:rPr>
        <w:t xml:space="preserve">2、本工程质量保修书，由施工合同发包人、承包人双方共同签署，作为施工合同附件，其有效期限至保修期满。</w:t>
      </w:r>
      <w:r>
        <w:rPr>
          <w:rFonts w:ascii="宋体" w:hAnsi="宋体" w:cs="宋体"/>
          <w:bCs/>
          <w:color w:val="auto"/>
          <w:szCs w:val="21"/>
          <w:highlight w:val="none"/>
          <w:u w:val="single"/>
          <w:lang w:bidi="en-US"/>
        </w:rPr>
      </w:r>
      <w:r/>
    </w:p>
    <w:p>
      <w:pPr>
        <w:ind w:firstLine="420"/>
        <w:spacing w:line="360" w:lineRule="auto"/>
        <w:widowControl w:val="off"/>
      </w:pPr>
      <w:r>
        <w:rPr>
          <w:rFonts w:hint="eastAsia" w:ascii="宋体" w:hAnsi="宋体" w:cs="宋体"/>
          <w:bCs/>
          <w:color w:val="auto"/>
          <w:szCs w:val="21"/>
          <w:highlight w:val="none"/>
          <w:u w:val="single"/>
          <w:lang w:bidi="en-US"/>
        </w:rPr>
        <w:t xml:space="preserve">3、本保修书经承、发包双方签章后生效，未尽事宜由双方另行签订补充条款进行约定。任何一方不得擅自变更或解除本保修书。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工程质量保修书由发包人、承包人在工程竣工验收前共同签署，作为施工合同附件，其有效期限至保修期满。</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发包人(公章)：南京信息工程大学  承包人(公章)：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地址：南京宁六路219号  地址：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法定代表人(签字)：              法定代表人(签字)：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委托代理人(签字)：          委托代理人(签字)：</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电话：          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传真：          传真：</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开户银行：        开户银行：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账号：              账号：</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邮政编码：          邮政编码：</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widowControl w:val="off"/>
      </w:pPr>
      <w:r>
        <w:rPr>
          <w:rFonts w:hint="eastAsia" w:ascii="宋体" w:hAnsi="宋体" w:cs="宋体"/>
          <w:bCs/>
          <w:color w:val="auto"/>
          <w:szCs w:val="21"/>
          <w:highlight w:val="none"/>
          <w:lang w:bidi="en-US"/>
        </w:rPr>
        <w:br w:type="page" w:clear="all"/>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附件2：</w:t>
      </w:r>
      <w:r>
        <w:rPr>
          <w:rFonts w:ascii="宋体" w:hAnsi="宋体" w:cs="宋体"/>
          <w:bCs/>
          <w:color w:val="auto"/>
          <w:szCs w:val="21"/>
          <w:highlight w:val="none"/>
          <w:lang w:bidi="en-US"/>
        </w:rPr>
      </w:r>
      <w:r/>
    </w:p>
    <w:p>
      <w:pPr>
        <w:jc w:val="center"/>
        <w:spacing w:line="360" w:lineRule="auto"/>
        <w:widowControl w:val="off"/>
      </w:pPr>
      <w:r>
        <w:rPr>
          <w:rFonts w:hint="eastAsia" w:ascii="宋体" w:hAnsi="宋体" w:cs="宋体"/>
          <w:bCs/>
          <w:color w:val="auto"/>
          <w:szCs w:val="21"/>
          <w:highlight w:val="none"/>
          <w:lang w:bidi="en-US"/>
        </w:rPr>
        <w:t xml:space="preserve">安全生产责任协议书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为落实安全生产的管理要求，确保工程建设的顺利进行，经甲乙双方共同协商，一致同意如下：</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二、甲方可以组织和督促乙方开展安全达标活动；及时传达和部署上级的有关安全生产精神和要求，定期听取乙方的意见和要求。加强安全生产的指导和协调。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200—500元不等。对未按要求限期整改的或整改不力、情节严重并造成一定后果的，对责任单位每次处罚1000元一2000元不等。</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五、乙方要严格贯彻执行国家和本市颁发的有关安全生产的法律、法规严格按照中华人民共和国建设部《关于印发&lt;2009年工程建设标准规范制订、修订计划&gt;的通知》（建标[2009]88号）要求修订后的《建筑施工安全检查标准》(编号JGJ59-2011)的要求加强内部安全管理，落实各项安全防护措施，确保工程建设中不发生重大伤亡事故。</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七、乙方进入工</w:t>
      </w:r>
      <w:r>
        <w:rPr>
          <w:rFonts w:hint="eastAsia" w:ascii="宋体" w:hAnsi="宋体" w:cs="宋体"/>
          <w:bCs/>
          <w:color w:val="auto"/>
          <w:szCs w:val="21"/>
          <w:highlight w:val="none"/>
          <w:lang w:bidi="en-US"/>
        </w:rPr>
        <w:t xml:space="preserve">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九、乙方要按照“安全自查，隐患自改、责任自负”的原则加强对施工责任区的日常安全检查。及时制止和处理各类违章违法行为。对查获的隐患要及时落实整改措施，消除隐患。</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十一、乙方因疏于管理违章违法作业发生安全事故或造成人员伤亡的，应在积极抢救受伤人员、保护现场的同时，严格按安全事故上报的规定时限向甲方和当地劳动行政部门汇报，不得迟报瞒报。</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十二、本协议中未涉及的有关条款，甲乙双方可根据需要协商补充修改。如遇有国家和本市的有关法规不符的，应按国家和本市的有关法规执行。</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十三、本协议作为甲乙双方工程合同的附件，在工程合同签约后生效，与工程合同具有同等法律效力。工程合同期满，本协议终止。</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甲方：(盖章)南京信息工程大学    乙方：(盖章)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法定代表人：                    法定代表人：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委托代理人：                    委托代理人：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地址：                          地址：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电话：                          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2026年    月    日                2026年    月    日</w:t>
      </w:r>
      <w:r>
        <w:rPr>
          <w:rFonts w:ascii="宋体" w:hAnsi="宋体" w:cs="宋体"/>
          <w:bCs/>
          <w:color w:val="auto"/>
          <w:szCs w:val="21"/>
          <w:highlight w:val="none"/>
          <w:lang w:bidi="en-US"/>
        </w:rPr>
      </w:r>
      <w:r/>
    </w:p>
    <w:p>
      <w:pPr>
        <w:widowControl w:val="off"/>
      </w:pPr>
      <w:r>
        <w:rPr>
          <w:rFonts w:hint="eastAsia" w:ascii="宋体" w:hAnsi="宋体" w:cs="宋体"/>
          <w:bCs/>
          <w:color w:val="auto"/>
          <w:szCs w:val="21"/>
          <w:highlight w:val="none"/>
          <w:lang w:bidi="en-US"/>
        </w:rPr>
        <w:br w:type="page" w:clear="all"/>
      </w:r>
      <w:r>
        <w:rPr>
          <w:rFonts w:ascii="宋体" w:hAnsi="宋体" w:cs="宋体"/>
          <w:bCs/>
          <w:color w:val="auto"/>
          <w:szCs w:val="21"/>
          <w:highlight w:val="none"/>
          <w:lang w:bidi="en-US"/>
        </w:rPr>
      </w:r>
      <w:r/>
    </w:p>
    <w:p>
      <w:pPr>
        <w:spacing w:line="360" w:lineRule="auto"/>
        <w:widowControl w:val="off"/>
      </w:pPr>
      <w:r>
        <w:rPr>
          <w:rFonts w:hint="eastAsia" w:ascii="宋体" w:hAnsi="宋体" w:cs="宋体"/>
          <w:bCs/>
          <w:color w:val="auto"/>
          <w:szCs w:val="21"/>
          <w:highlight w:val="none"/>
          <w:lang w:bidi="en-US"/>
        </w:rPr>
        <w:t xml:space="preserve">附件3：</w:t>
      </w:r>
      <w:r>
        <w:rPr>
          <w:rFonts w:ascii="宋体" w:hAnsi="宋体" w:cs="宋体"/>
          <w:bCs/>
          <w:color w:val="auto"/>
          <w:szCs w:val="21"/>
          <w:highlight w:val="none"/>
          <w:lang w:bidi="en-US"/>
        </w:rPr>
      </w:r>
      <w:r/>
    </w:p>
    <w:p>
      <w:pPr>
        <w:jc w:val="center"/>
        <w:spacing w:line="360" w:lineRule="auto"/>
        <w:widowControl w:val="off"/>
      </w:pPr>
      <w:r>
        <w:rPr>
          <w:rFonts w:hint="eastAsia" w:ascii="宋体" w:hAnsi="宋体" w:cs="宋体"/>
          <w:bCs/>
          <w:color w:val="auto"/>
          <w:szCs w:val="21"/>
          <w:highlight w:val="none"/>
          <w:lang w:bidi="en-US"/>
        </w:rPr>
        <w:t xml:space="preserve">建设工程项目廉政责任书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甲方：南京信息工程大学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乙方：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一、甲乙双方应当自觉遵守国家和南京市有关建设工程承发包工作规则，以及应该廉政建设的各项规定。</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二、甲方工作人员应当保持与乙方的正常业务来往，不得接受乙方赠送的礼品、礼金和各种有价证券、信用卡及其他支付凭证；不得参加可能对公正执行公务有影响的宴请和娱乐活动。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三、甲方工作人员不得接受乙方任何好处费及工程回扣；不得向乙方报销任何应甲方支付或由个人支付的费用。</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五、甲方人员向乙方索取，被乙方检举、经纪检监察机关立案查处认定的，甲方将向乙方奖励被贿款额的1-3倍作为奖金。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七、乙方不得为谋取私利擅自与甲方工作人员就工程承包、工程费用、材料设备供应、工程量变动、工程验收、工程质量问题等进行私下商谈或者达成默契。</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八、乙方不得为甲方个人购置或者提供通讯工具、交通工具、家电、高档办公用品等物品。</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甲方发现乙方有违反本责任书或者采取不正当的手段行贿甲方工作人员，甲方根据具体情节和造成的后果追究乙方工程合同造价1-5%的违约金。由此给甲方单位造成的损失均由乙方承担，乙方用不正当手段获取的非法所得由甲方单位予以追缴。</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十一、本廉政责任书为承发包合同的附件，与工程承发包合同具有同等法律效力。</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十二、本责任书经甲乙双方盖章后生效。</w:t>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ascii="宋体" w:hAnsi="宋体" w:cs="宋体"/>
          <w:bCs/>
          <w:color w:val="auto"/>
          <w:szCs w:val="21"/>
          <w:highlight w:val="none"/>
          <w:lang w:bidi="en-US"/>
        </w:rPr>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甲方：(盖章)南京信息工程大学       乙方：(盖章)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法定代表人：                       法定代表人：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委托代理人：                       委托代理人：</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地址：南京宁六路219号           地址： </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电话：                             电话：</w:t>
      </w:r>
      <w:r>
        <w:rPr>
          <w:rFonts w:ascii="宋体" w:hAnsi="宋体" w:cs="宋体"/>
          <w:bCs/>
          <w:color w:val="auto"/>
          <w:szCs w:val="21"/>
          <w:highlight w:val="none"/>
          <w:lang w:bidi="en-US"/>
        </w:rPr>
      </w:r>
      <w:r/>
    </w:p>
    <w:p>
      <w:pPr>
        <w:ind w:firstLine="420"/>
        <w:spacing w:line="360" w:lineRule="auto"/>
        <w:widowControl w:val="off"/>
      </w:pPr>
      <w:r>
        <w:rPr>
          <w:rFonts w:hint="eastAsia" w:ascii="宋体" w:hAnsi="宋体" w:cs="宋体"/>
          <w:bCs/>
          <w:color w:val="auto"/>
          <w:szCs w:val="21"/>
          <w:highlight w:val="none"/>
          <w:lang w:bidi="en-US"/>
        </w:rPr>
        <w:t xml:space="preserve">2026年     月     日               2026年     月     日</w:t>
      </w:r>
      <w:r>
        <w:rPr>
          <w:rFonts w:ascii="宋体" w:hAnsi="宋体" w:cs="宋体"/>
          <w:bCs/>
          <w:color w:val="auto"/>
          <w:szCs w:val="21"/>
          <w:highlight w:val="none"/>
          <w:lang w:bidi="en-US"/>
        </w:rPr>
      </w:r>
      <w:r/>
    </w:p>
    <w:p>
      <w:pPr>
        <w:ind w:firstLine="540"/>
        <w:spacing w:after="480"/>
        <w:widowControl w:val="off"/>
      </w:pPr>
      <w:r>
        <w:rPr>
          <w:rFonts w:ascii="宋体" w:hAnsi="宋体" w:cs="宋体"/>
          <w:color w:val="auto"/>
          <w:highlight w:val="none"/>
          <w:lang w:eastAsia="zh-TW" w:bidi="zh-TW"/>
        </w:rPr>
      </w:r>
      <w:r>
        <w:rPr>
          <w:rFonts w:ascii="宋体" w:hAnsi="宋体" w:cs="宋体"/>
          <w:color w:val="auto"/>
          <w:highlight w:val="none"/>
          <w:lang w:eastAsia="zh-TW" w:bidi="zh-TW"/>
        </w:rPr>
      </w:r>
      <w:r/>
    </w:p>
    <w:p>
      <w:pPr>
        <w:jc w:val="center"/>
        <w:widowControl w:val="off"/>
        <w:sectPr>
          <w:footnotePr/>
          <w:endnotePr/>
          <w:type w:val="nextPage"/>
          <w:pgSz w:w="11900" w:h="16840" w:orient="portrait"/>
          <w:pgMar w:top="1440" w:right="1800" w:bottom="1440" w:left="1800" w:header="709" w:footer="709" w:gutter="0"/>
          <w:cols w:num="1" w:sep="0" w:space="720" w:equalWidth="1"/>
          <w:docGrid w:linePitch="360"/>
          <w:titlePg/>
        </w:sectPr>
        <w:outlineLvl w:val="0"/>
      </w:pPr>
      <w:r>
        <w:rPr>
          <w:rFonts w:ascii="宋体" w:hAnsi="宋体" w:cs="宋体"/>
          <w:color w:val="auto"/>
          <w:sz w:val="42"/>
          <w:szCs w:val="42"/>
          <w:highlight w:val="none"/>
          <w:lang w:val="zh-TW" w:eastAsia="zh-TW" w:bidi="zh-TW"/>
        </w:rPr>
      </w:r>
      <w:r>
        <w:rPr>
          <w:rFonts w:ascii="宋体" w:hAnsi="宋体" w:cs="宋体"/>
          <w:color w:val="auto"/>
          <w:sz w:val="42"/>
          <w:szCs w:val="42"/>
          <w:highlight w:val="none"/>
          <w:lang w:val="zh-TW" w:eastAsia="zh-TW" w:bidi="zh-TW"/>
        </w:rPr>
      </w:r>
      <w:r/>
    </w:p>
    <w:p>
      <w:pPr>
        <w:spacing w:line="360" w:lineRule="auto"/>
        <w:widowControl w:val="off"/>
      </w:pPr>
      <w:r>
        <w:rPr>
          <w:rFonts w:hint="eastAsia" w:ascii="宋体" w:hAnsi="宋体" w:cs="宋体"/>
          <w:color w:val="auto"/>
          <w:szCs w:val="21"/>
          <w:highlight w:val="none"/>
          <w:lang w:bidi="en-US"/>
        </w:rPr>
        <w:t xml:space="preserve">附件4：</w:t>
      </w:r>
      <w:r>
        <w:rPr>
          <w:rFonts w:ascii="宋体" w:hAnsi="宋体" w:cs="宋体"/>
          <w:color w:val="auto"/>
          <w:szCs w:val="21"/>
          <w:highlight w:val="none"/>
          <w:lang w:bidi="en-US"/>
        </w:rPr>
      </w:r>
      <w:r/>
    </w:p>
    <w:p>
      <w:pPr>
        <w:jc w:val="center"/>
        <w:spacing w:line="360" w:lineRule="auto"/>
        <w:widowControl w:val="off"/>
      </w:pPr>
      <w:r>
        <w:rPr>
          <w:rFonts w:hint="eastAsia" w:ascii="宋体" w:hAnsi="宋体" w:cs="宋体"/>
          <w:color w:val="auto"/>
          <w:szCs w:val="21"/>
          <w:highlight w:val="none"/>
          <w:lang w:bidi="zh-TW"/>
        </w:rPr>
        <w:t xml:space="preserve">《施工现场大气污染防治措施承诺书》</w:t>
      </w:r>
      <w:r>
        <w:rPr>
          <w:rFonts w:ascii="宋体" w:hAnsi="宋体" w:cs="宋体"/>
          <w:color w:val="auto"/>
          <w:szCs w:val="21"/>
          <w:highlight w:val="none"/>
          <w:lang w:bidi="zh-TW"/>
        </w:rPr>
      </w:r>
      <w:r/>
    </w:p>
    <w:p>
      <w:pPr>
        <w:spacing w:line="360" w:lineRule="auto"/>
        <w:widowControl w:val="off"/>
      </w:pPr>
      <w:r>
        <w:rPr>
          <w:rFonts w:ascii="宋体" w:hAnsi="宋体" w:cs="宋体"/>
          <w:color w:val="auto"/>
          <w:szCs w:val="21"/>
          <w:highlight w:val="none"/>
          <w:lang w:val="zh-TW" w:eastAsia="zh-TW" w:bidi="zh-TW"/>
        </w:rPr>
      </w:r>
      <w:r>
        <w:rPr>
          <w:rFonts w:ascii="宋体" w:hAnsi="宋体" w:cs="宋体"/>
          <w:color w:val="auto"/>
          <w:szCs w:val="21"/>
          <w:highlight w:val="none"/>
          <w:lang w:val="zh-TW" w:eastAsia="zh-TW" w:bidi="zh-TW"/>
        </w:rPr>
      </w:r>
      <w:r/>
    </w:p>
    <w:p>
      <w:pPr>
        <w:spacing w:line="360" w:lineRule="auto"/>
        <w:widowControl w:val="off"/>
      </w:pPr>
      <w:r>
        <w:rPr>
          <w:rFonts w:hint="eastAsia" w:ascii="宋体" w:hAnsi="宋体" w:cs="宋体"/>
          <w:color w:val="auto"/>
          <w:szCs w:val="21"/>
          <w:highlight w:val="none"/>
          <w:lang w:val="zh-TW" w:bidi="zh-TW"/>
        </w:rPr>
        <w:t xml:space="preserve">南京信息工程大学</w:t>
      </w:r>
      <w:r>
        <w:rPr>
          <w:rFonts w:hint="eastAsia" w:ascii="宋体" w:hAnsi="宋体" w:cs="宋体"/>
          <w:color w:val="auto"/>
          <w:szCs w:val="21"/>
          <w:highlight w:val="none"/>
          <w:lang w:val="zh-TW" w:eastAsia="zh-TW" w:bidi="zh-TW"/>
        </w:rPr>
        <w:t xml:space="preserve">：</w:t>
      </w:r>
      <w:r>
        <w:rPr>
          <w:rFonts w:ascii="宋体" w:hAnsi="宋体" w:cs="宋体"/>
          <w:color w:val="auto"/>
          <w:szCs w:val="21"/>
          <w:highlight w:val="none"/>
          <w:lang w:val="zh-TW" w:eastAsia="zh-TW" w:bidi="zh-TW"/>
        </w:rPr>
      </w:r>
      <w:r/>
    </w:p>
    <w:p>
      <w:pPr>
        <w:ind w:firstLine="420"/>
        <w:spacing w:line="360" w:lineRule="auto"/>
        <w:widowControl w:val="off"/>
      </w:pPr>
      <w:r>
        <w:rPr>
          <w:rFonts w:hint="eastAsia" w:ascii="宋体" w:hAnsi="宋体" w:cs="宋体"/>
          <w:color w:val="auto"/>
          <w:szCs w:val="21"/>
          <w:highlight w:val="none"/>
          <w:lang w:val="zh-TW" w:eastAsia="zh-TW" w:bidi="zh-TW"/>
        </w:rPr>
        <w:t xml:space="preserve">如我单位中标，在</w:t>
      </w:r>
      <w:r>
        <w:rPr>
          <w:rFonts w:hint="eastAsia" w:ascii="宋体" w:hAnsi="宋体" w:cs="宋体"/>
          <w:color w:val="auto"/>
          <w:szCs w:val="21"/>
          <w:highlight w:val="none"/>
          <w:u w:val="single"/>
          <w:lang w:val="zh-TW" w:bidi="zh-TW"/>
        </w:rPr>
        <w:t xml:space="preserve">南京信息工程大学 </w:t>
      </w:r>
      <w:r>
        <w:rPr>
          <w:rFonts w:ascii="宋体" w:hAnsi="宋体" w:eastAsia="PMingLiU" w:cs="宋体"/>
          <w:color w:val="auto"/>
          <w:szCs w:val="21"/>
          <w:highlight w:val="none"/>
          <w:u w:val="single"/>
          <w:lang w:val="zh-TW" w:eastAsia="zh-TW" w:bidi="zh-TW"/>
        </w:rPr>
        <w:t xml:space="preserve">                            </w:t>
      </w:r>
      <w:r>
        <w:rPr>
          <w:rFonts w:hint="eastAsia" w:ascii="宋体" w:hAnsi="宋体" w:cs="宋体"/>
          <w:color w:val="auto"/>
          <w:szCs w:val="21"/>
          <w:highlight w:val="none"/>
          <w:lang w:val="zh-TW" w:eastAsia="zh-TW" w:bidi="zh-TW"/>
        </w:rPr>
        <w:t xml:space="preserve">的施工过程中,我公司郑重承诺:</w:t>
      </w:r>
      <w:r>
        <w:rPr>
          <w:rFonts w:ascii="宋体" w:hAnsi="宋体" w:cs="宋体"/>
          <w:color w:val="auto"/>
          <w:szCs w:val="21"/>
          <w:highlight w:val="none"/>
          <w:lang w:val="zh-TW" w:eastAsia="zh-TW" w:bidi="zh-TW"/>
        </w:rPr>
      </w:r>
      <w:r/>
    </w:p>
    <w:p>
      <w:pPr>
        <w:ind w:firstLine="420"/>
        <w:spacing w:line="360" w:lineRule="auto"/>
        <w:widowControl w:val="off"/>
        <w:tabs>
          <w:tab w:val="left" w:pos="380" w:leader="none"/>
        </w:tabs>
      </w:pPr>
      <w:r>
        <w:rPr>
          <w:rFonts w:hint="eastAsia" w:ascii="宋体" w:hAnsi="宋体" w:cs="宋体"/>
          <w:color w:val="auto"/>
          <w:szCs w:val="21"/>
          <w:highlight w:val="none"/>
          <w:lang w:val="zh-TW" w:eastAsia="zh-TW" w:bidi="zh-TW"/>
        </w:rPr>
        <w:t xml:space="preserve">1、施工现场禁止使用国</w:t>
      </w:r>
      <w:r>
        <w:rPr>
          <w:rFonts w:hint="eastAsia" w:ascii="宋体" w:hAnsi="宋体" w:cs="宋体"/>
          <w:color w:val="auto"/>
          <w:szCs w:val="21"/>
          <w:highlight w:val="none"/>
          <w:lang w:bidi="zh-TW"/>
        </w:rPr>
        <w:t xml:space="preserve">三</w:t>
      </w:r>
      <w:r>
        <w:rPr>
          <w:rFonts w:hint="eastAsia" w:ascii="宋体" w:hAnsi="宋体" w:cs="宋体"/>
          <w:color w:val="auto"/>
          <w:szCs w:val="21"/>
          <w:highlight w:val="none"/>
          <w:lang w:val="zh-TW" w:eastAsia="zh-TW" w:bidi="zh-TW"/>
        </w:rPr>
        <w:t xml:space="preserve">及以下和排放不达标的非道路移动机械（如有）。</w:t>
      </w:r>
      <w:r>
        <w:rPr>
          <w:rFonts w:ascii="宋体" w:hAnsi="宋体" w:cs="宋体"/>
          <w:color w:val="auto"/>
          <w:szCs w:val="21"/>
          <w:highlight w:val="none"/>
          <w:lang w:val="zh-TW" w:eastAsia="zh-TW" w:bidi="zh-TW"/>
        </w:rPr>
      </w:r>
      <w:r/>
    </w:p>
    <w:p>
      <w:pPr>
        <w:ind w:firstLine="420"/>
        <w:spacing w:line="360" w:lineRule="auto"/>
        <w:widowControl w:val="off"/>
        <w:tabs>
          <w:tab w:val="left" w:pos="387" w:leader="none"/>
        </w:tabs>
      </w:pPr>
      <w:r>
        <w:rPr>
          <w:rFonts w:hint="eastAsia" w:ascii="宋体" w:hAnsi="宋体" w:cs="宋体"/>
          <w:color w:val="auto"/>
          <w:szCs w:val="21"/>
          <w:highlight w:val="none"/>
          <w:lang w:val="zh-TW" w:eastAsia="zh-TW" w:bidi="zh-TW"/>
        </w:rPr>
        <w:t xml:space="preserve">2、施工现场全部使用水性建筑涂料（如有）。</w:t>
      </w:r>
      <w:r>
        <w:rPr>
          <w:rFonts w:ascii="宋体" w:hAnsi="宋体" w:cs="宋体"/>
          <w:color w:val="auto"/>
          <w:szCs w:val="21"/>
          <w:highlight w:val="none"/>
          <w:lang w:val="zh-TW" w:eastAsia="zh-TW" w:bidi="zh-TW"/>
        </w:rPr>
      </w:r>
      <w:r/>
    </w:p>
    <w:p>
      <w:pPr>
        <w:ind w:firstLine="420"/>
        <w:spacing w:line="360" w:lineRule="auto"/>
        <w:widowControl w:val="off"/>
      </w:pPr>
      <w:r>
        <w:rPr>
          <w:rFonts w:hint="eastAsia" w:ascii="宋体" w:hAnsi="宋体" w:cs="宋体"/>
          <w:color w:val="auto"/>
          <w:szCs w:val="21"/>
          <w:highlight w:val="none"/>
          <w:lang w:val="zh-TW" w:eastAsia="zh-TW" w:bidi="zh-TW"/>
        </w:rPr>
        <w:t xml:space="preserve">如本企业未按上述承诺执行，将依法依规接受查处</w:t>
      </w:r>
      <w:r>
        <w:rPr>
          <w:rFonts w:ascii="宋体" w:hAnsi="宋体" w:cs="宋体"/>
          <w:color w:val="auto"/>
          <w:szCs w:val="21"/>
          <w:highlight w:val="none"/>
          <w:lang w:val="zh-TW" w:bidi="zh-TW"/>
        </w:rPr>
      </w:r>
      <w:r/>
    </w:p>
    <w:p>
      <w:pPr>
        <w:ind w:firstLine="420"/>
        <w:spacing w:line="360" w:lineRule="auto"/>
        <w:widowControl w:val="off"/>
      </w:pPr>
      <w:r>
        <w:rPr>
          <w:rFonts w:ascii="宋体" w:hAnsi="宋体" w:cs="宋体"/>
          <w:color w:val="auto"/>
          <w:szCs w:val="21"/>
          <w:highlight w:val="none"/>
          <w:lang w:val="zh-TW" w:bidi="zh-TW"/>
        </w:rPr>
      </w:r>
      <w:r>
        <w:rPr>
          <w:rFonts w:ascii="宋体" w:hAnsi="宋体" w:cs="宋体"/>
          <w:color w:val="auto"/>
          <w:szCs w:val="21"/>
          <w:highlight w:val="none"/>
          <w:lang w:val="zh-TW" w:bidi="zh-TW"/>
        </w:rPr>
      </w:r>
      <w:r/>
    </w:p>
    <w:p>
      <w:pPr>
        <w:ind w:firstLine="420"/>
        <w:spacing w:line="360" w:lineRule="auto"/>
        <w:widowControl w:val="off"/>
      </w:pPr>
      <w:r>
        <w:rPr>
          <w:rFonts w:hint="eastAsia" w:ascii="宋体" w:hAnsi="宋体" w:cs="宋体"/>
          <w:color w:val="auto"/>
          <w:szCs w:val="21"/>
          <w:highlight w:val="none"/>
          <w:lang w:bidi="en-US"/>
        </w:rPr>
        <w:t xml:space="preserve">承诺企业名称：（盖章）</w:t>
      </w:r>
      <w:r>
        <w:rPr>
          <w:rFonts w:ascii="宋体" w:hAnsi="宋体" w:cs="宋体"/>
          <w:bCs/>
          <w:color w:val="auto"/>
          <w:szCs w:val="21"/>
          <w:highlight w:val="none"/>
          <w:lang w:bidi="en-US"/>
        </w:rPr>
      </w:r>
      <w:r/>
    </w:p>
    <w:p>
      <w:pPr>
        <w:ind w:right="840" w:firstLine="210"/>
        <w:spacing w:line="360" w:lineRule="auto"/>
        <w:widowControl w:val="off"/>
      </w:pPr>
      <w:r>
        <w:rPr>
          <w:rFonts w:ascii="宋体" w:hAnsi="宋体" w:cs="宋体"/>
          <w:color w:val="auto"/>
          <w:szCs w:val="21"/>
          <w:highlight w:val="none"/>
          <w:lang w:val="zh-TW" w:bidi="zh-TW"/>
        </w:rPr>
      </w:r>
      <w:r>
        <w:rPr>
          <w:rFonts w:ascii="宋体" w:hAnsi="宋体" w:cs="宋体"/>
          <w:color w:val="auto"/>
          <w:szCs w:val="21"/>
          <w:highlight w:val="none"/>
          <w:lang w:val="zh-TW" w:bidi="zh-TW"/>
        </w:rPr>
      </w:r>
      <w:r/>
    </w:p>
    <w:p>
      <w:pPr>
        <w:ind w:right="840" w:firstLine="420"/>
        <w:spacing w:line="360" w:lineRule="auto"/>
        <w:widowControl w:val="off"/>
      </w:pPr>
      <w:r>
        <w:rPr>
          <w:rFonts w:hint="eastAsia" w:ascii="宋体" w:hAnsi="宋体" w:cs="宋体"/>
          <w:color w:val="auto"/>
          <w:szCs w:val="21"/>
          <w:highlight w:val="none"/>
          <w:lang w:val="zh-TW" w:bidi="zh-TW"/>
        </w:rPr>
        <w:t xml:space="preserve">2026年</w:t>
      </w:r>
      <w:r>
        <w:rPr>
          <w:rFonts w:hint="eastAsia" w:ascii="宋体" w:hAnsi="宋体" w:cs="宋体"/>
          <w:color w:val="auto"/>
          <w:szCs w:val="21"/>
          <w:highlight w:val="none"/>
          <w:lang w:bidi="zh-TW"/>
        </w:rPr>
        <w:t xml:space="preserve">    </w:t>
      </w:r>
      <w:r>
        <w:rPr>
          <w:rFonts w:hint="eastAsia" w:ascii="宋体" w:hAnsi="宋体" w:cs="宋体"/>
          <w:color w:val="auto"/>
          <w:szCs w:val="21"/>
          <w:highlight w:val="none"/>
          <w:lang w:val="zh-TW" w:eastAsia="zh-TW" w:bidi="zh-TW"/>
        </w:rPr>
        <w:t xml:space="preserve">月</w:t>
      </w:r>
      <w:r>
        <w:rPr>
          <w:rFonts w:hint="eastAsia" w:ascii="宋体" w:hAnsi="宋体" w:cs="宋体"/>
          <w:color w:val="auto"/>
          <w:szCs w:val="21"/>
          <w:highlight w:val="none"/>
          <w:lang w:bidi="zh-TW"/>
        </w:rPr>
        <w:t xml:space="preserve">    </w:t>
      </w:r>
      <w:r>
        <w:rPr>
          <w:rFonts w:hint="eastAsia" w:ascii="宋体" w:hAnsi="宋体" w:cs="宋体"/>
          <w:color w:val="auto"/>
          <w:szCs w:val="21"/>
          <w:highlight w:val="none"/>
          <w:lang w:val="zh-TW" w:eastAsia="zh-TW" w:bidi="zh-TW"/>
        </w:rPr>
        <w:t xml:space="preserve">日</w:t>
      </w:r>
      <w:r>
        <w:rPr>
          <w:rFonts w:ascii="宋体" w:hAnsi="宋体" w:cs="宋体"/>
          <w:color w:val="auto"/>
          <w:szCs w:val="21"/>
          <w:highlight w:val="none"/>
          <w:lang w:val="zh-TW" w:bidi="zh-TW"/>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
      <w:r>
        <w:rPr>
          <w:rFonts w:hint="eastAsia" w:ascii="宋体" w:hAnsi="宋体" w:eastAsia="宋体" w:cs="宋体"/>
          <w:color w:val="auto"/>
          <w:szCs w:val="21"/>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before="240" w:after="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第六章 投标文件格式</w:t>
      </w:r>
      <w:r/>
    </w:p>
    <w:p>
      <w:pPr>
        <w:ind w:firstLine="472"/>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投标文件相应材料请按投标文件格式进行填写，如投标文件格式无明确规定的，由</w:t>
      </w:r>
      <w:r>
        <w:rPr>
          <w:rFonts w:hint="eastAsia" w:ascii="宋体" w:hAnsi="宋体" w:eastAsia="宋体" w:cs="宋体"/>
          <w:b/>
          <w:color w:val="auto"/>
          <w:sz w:val="24"/>
          <w:highlight w:val="none"/>
        </w:rPr>
        <w:t xml:space="preserve">投标供应商</w:t>
      </w:r>
      <w:r>
        <w:rPr>
          <w:rFonts w:ascii="宋体" w:hAnsi="宋体" w:eastAsia="宋体" w:cs="宋体"/>
          <w:b/>
          <w:color w:val="auto"/>
          <w:sz w:val="24"/>
          <w:highlight w:val="none"/>
        </w:rPr>
        <w:t xml:space="preserve">自行编制。</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right"/>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right"/>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正本/副本</w:t>
      </w:r>
      <w:r/>
    </w:p>
    <w:p>
      <w:pPr>
        <w:jc w:val="center"/>
        <w:spacing w:before="240" w:after="240" w:line="85"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南京信息工程大学2026年毕业生宿舍出新项目</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投标文件</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3534"/>
        <w:spacing w:before="240" w:after="240" w:line="85" w:lineRule="atLeast"/>
        <w:rPr>
          <w:rFonts w:hint="eastAsia" w:ascii="宋体" w:hAnsi="宋体" w:eastAsia="宋体" w:cs="宋体"/>
          <w:b/>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4"/>
          <w:highlight w:val="none"/>
        </w:rPr>
      </w:r>
      <w:r/>
    </w:p>
    <w:p>
      <w:pPr>
        <w:ind w:firstLine="3534"/>
        <w:spacing w:before="240" w:after="240" w:line="85" w:lineRule="atLeast"/>
        <w:rPr>
          <w:rFonts w:hint="eastAsia" w:ascii="宋体" w:hAnsi="宋体" w:eastAsia="宋体" w:cs="宋体"/>
          <w:b/>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4"/>
          <w:highlight w:val="none"/>
        </w:rPr>
      </w:r>
      <w:r/>
    </w:p>
    <w:p>
      <w:pPr>
        <w:ind w:firstLine="3534"/>
        <w:spacing w:before="240" w:after="240" w:line="85" w:lineRule="atLeast"/>
        <w:rPr>
          <w:color w:val="auto"/>
          <w:sz w:val="22"/>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4"/>
          <w:highlight w:val="none"/>
        </w:rPr>
        <w:t xml:space="preserve">项目编号：</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投标供应商</w:t>
      </w:r>
      <w:r>
        <w:rPr>
          <w:rFonts w:ascii="宋体" w:hAnsi="宋体" w:eastAsia="宋体" w:cs="宋体"/>
          <w:color w:val="auto"/>
          <w:sz w:val="24"/>
          <w:highlight w:val="none"/>
        </w:rPr>
        <w:t xml:space="preserve">：（盖单位章）</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法定代表人或其委托代理人：（签字）</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  月  日</w:t>
      </w:r>
      <w:r/>
    </w:p>
    <w:p>
      <w:pPr>
        <w:jc w:val="center"/>
        <w:spacing w:before="240" w:after="240"/>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评分索引表</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877"/>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评分因素</w:t>
            </w:r>
            <w:r/>
          </w:p>
        </w:tc>
        <w:tc>
          <w:tcPr>
            <w:tcMar>
              <w:left w:w="80" w:type="dxa"/>
              <w:top w:w="80" w:type="dxa"/>
              <w:right w:w="80" w:type="dxa"/>
              <w:bottom w:w="80" w:type="dxa"/>
            </w:tcMar>
            <w:tcW w:w="6971"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评分标准</w:t>
            </w:r>
            <w:r/>
          </w:p>
        </w:tc>
        <w:tc>
          <w:tcPr>
            <w:tcMar>
              <w:left w:w="80" w:type="dxa"/>
              <w:top w:w="80" w:type="dxa"/>
              <w:right w:w="80" w:type="dxa"/>
              <w:bottom w:w="80" w:type="dxa"/>
            </w:tcMar>
            <w:tcW w:w="993"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文件对应页码</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31"/>
        </w:trPr>
        <w:tc>
          <w:tcPr>
            <w:tcMar>
              <w:left w:w="80" w:type="dxa"/>
              <w:top w:w="80" w:type="dxa"/>
              <w:right w:w="80" w:type="dxa"/>
              <w:bottom w:w="80" w:type="dxa"/>
            </w:tcMar>
            <w:tcW w:w="139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69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80" w:type="dxa"/>
              <w:top w:w="80" w:type="dxa"/>
              <w:right w:w="80" w:type="dxa"/>
              <w:bottom w:w="80" w:type="dxa"/>
            </w:tcMar>
            <w:tcW w:w="993"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投标供应商</w:t>
      </w:r>
      <w:r>
        <w:rPr>
          <w:rFonts w:ascii="宋体" w:hAnsi="宋体" w:eastAsia="宋体" w:cs="宋体"/>
          <w:color w:val="auto"/>
          <w:sz w:val="24"/>
          <w:highlight w:val="none"/>
        </w:rPr>
        <w:t xml:space="preserve">名称：（</w:t>
      </w:r>
      <w:r>
        <w:rPr>
          <w:rFonts w:hint="eastAsia" w:ascii="宋体" w:hAnsi="宋体" w:eastAsia="宋体" w:cs="宋体"/>
          <w:color w:val="auto"/>
          <w:sz w:val="24"/>
          <w:highlight w:val="none"/>
        </w:rPr>
        <w:t xml:space="preserve">加盖电子公章</w:t>
      </w:r>
      <w:r>
        <w:rPr>
          <w:rFonts w:ascii="宋体" w:hAnsi="宋体" w:eastAsia="宋体" w:cs="宋体"/>
          <w:color w:val="auto"/>
          <w:sz w:val="24"/>
          <w:highlight w:val="none"/>
        </w:rPr>
        <w:t xml:space="preserve">）</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说明：如果行数不够，请自行增加。</w:t>
      </w:r>
      <w:r/>
    </w:p>
    <w:p>
      <w:pPr>
        <w:jc w:val="center"/>
        <w:spacing w:before="240" w:after="6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目录</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96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rPr>
          <w:rFonts w:hint="eastAsia" w:ascii="宋体" w:hAnsi="宋体" w:eastAsia="宋体" w:cs="宋体"/>
          <w:color w:val="auto"/>
          <w:sz w:val="24"/>
          <w:highlight w:val="none"/>
        </w:rPr>
        <w:t xml:space="preserve">投标供应商</w:t>
      </w:r>
      <w:r>
        <w:rPr>
          <w:rFonts w:ascii="宋体" w:hAnsi="宋体" w:eastAsia="宋体" w:cs="宋体"/>
          <w:color w:val="auto"/>
          <w:sz w:val="24"/>
          <w:highlight w:val="none"/>
        </w:rPr>
        <w:t xml:space="preserve">根据附件顺序编制投标文件并制作目录（须生成页码）]</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ascii="宋体" w:hAnsi="宋体" w:eastAsia="宋体" w:cs="宋体"/>
          <w:b/>
          <w:color w:val="auto"/>
          <w:sz w:val="24"/>
          <w:highlight w:val="none"/>
        </w:rPr>
        <w:t xml:space="preserve">附件一</w:t>
      </w:r>
      <w:r>
        <w:rPr>
          <w:rFonts w:hint="eastAsia" w:ascii="宋体" w:hAnsi="宋体" w:eastAsia="宋体" w:cs="宋体"/>
          <w:b/>
          <w:color w:val="auto"/>
          <w:sz w:val="24"/>
          <w:highlight w:val="none"/>
        </w:rPr>
        <w:t xml:space="preserve">、</w:t>
      </w:r>
      <w:r>
        <w:rPr>
          <w:rFonts w:ascii="宋体" w:hAnsi="宋体" w:eastAsia="宋体" w:cs="宋体"/>
          <w:b/>
          <w:color w:val="auto"/>
          <w:sz w:val="24"/>
          <w:highlight w:val="none"/>
        </w:rPr>
        <w:t xml:space="preserve">投标申请及申明</w:t>
      </w:r>
      <w:r/>
    </w:p>
    <w:p>
      <w:pPr>
        <w:ind w:firstLine="3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投标申请及申明</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致：</w:t>
      </w:r>
      <w:r>
        <w:rPr>
          <w:rFonts w:hint="eastAsia" w:ascii="宋体" w:hAnsi="宋体" w:eastAsia="宋体" w:cs="宋体"/>
          <w:color w:val="auto"/>
          <w:highlight w:val="none"/>
        </w:rPr>
        <w:t xml:space="preserve">南京信息工程大学</w:t>
      </w:r>
      <w:r>
        <w:rPr>
          <w:rFonts w:ascii="宋体" w:hAnsi="宋体" w:eastAsia="宋体" w:cs="宋体"/>
          <w:color w:val="auto"/>
          <w:highlight w:val="non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根据贵方</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（项目编号</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招标公告，正式授权下述签字人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（姓名和职务）代表</w:t>
      </w:r>
      <w:r>
        <w:rPr>
          <w:rFonts w:hint="eastAsia" w:ascii="宋体" w:hAnsi="宋体" w:eastAsia="宋体" w:cs="宋体"/>
          <w:color w:val="auto"/>
          <w:highlight w:val="none"/>
        </w:rPr>
        <w:t xml:space="preserve">投标供应商</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名称），提交投标文件。</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据此函，签字人兹宣布声明和承诺如下：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ascii="宋体" w:hAnsi="宋体" w:eastAsia="宋体" w:cs="宋体"/>
          <w:b/>
          <w:color w:val="auto"/>
          <w:highlight w:val="none"/>
        </w:rPr>
        <w:t xml:space="preserve">我们的资格条件完全符合政府采购法和本次招标要求</w:t>
      </w:r>
      <w:r>
        <w:rPr>
          <w:rFonts w:ascii="宋体" w:hAnsi="宋体" w:eastAsia="宋体" w:cs="宋体"/>
          <w:color w:val="auto"/>
          <w:highlight w:val="none"/>
        </w:rPr>
        <w:t xml:space="preserve">，我们同意并向贵方提供了与投标有关的所有证据和资料。</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2、按招标要求，我们的投标报价为（大写）</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元人民币。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w:t>
      </w:r>
      <w:r>
        <w:rPr>
          <w:rFonts w:hint="eastAsia" w:ascii="宋体" w:hAnsi="宋体" w:eastAsia="宋体" w:cs="宋体"/>
          <w:color w:val="auto"/>
          <w:highlight w:val="none"/>
        </w:rPr>
        <w:t xml:space="preserve">本项目负责人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w:t>
      </w:r>
      <w:r>
        <w:rPr>
          <w:rFonts w:hint="eastAsia" w:ascii="宋体" w:hAnsi="宋体" w:eastAsia="宋体" w:cs="宋体"/>
          <w:color w:val="auto"/>
          <w:highlight w:val="none"/>
        </w:rPr>
        <w:t xml:space="preserve">合同履行期</w:t>
      </w:r>
      <w:r>
        <w:rPr>
          <w:rFonts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5、我们已详细审核全部招标文件及其有效补充文件，我们放弃对招标文件任何误解的权利</w:t>
      </w:r>
      <w:r>
        <w:rPr>
          <w:rFonts w:hint="eastAsia" w:ascii="宋体" w:hAnsi="宋体" w:eastAsia="宋体" w:cs="宋体"/>
          <w:color w:val="auto"/>
          <w:highlight w:val="none"/>
        </w:rPr>
        <w:t xml:space="preserve">，在</w:t>
      </w:r>
      <w:r>
        <w:rPr>
          <w:rFonts w:ascii="宋体" w:hAnsi="宋体" w:eastAsia="宋体" w:cs="宋体"/>
          <w:color w:val="auto"/>
          <w:highlight w:val="none"/>
        </w:rPr>
        <w:t xml:space="preserve">提交投标文件后，</w:t>
      </w:r>
      <w:r>
        <w:rPr>
          <w:rFonts w:ascii="宋体" w:hAnsi="宋体" w:eastAsia="宋体" w:cs="宋体"/>
          <w:b/>
          <w:color w:val="auto"/>
          <w:highlight w:val="none"/>
        </w:rPr>
        <w:t xml:space="preserve">不对招标文件本身提出质疑。</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6、我们同意从规定的开标日期起遵循本投标文件，并在规定的投标有效期期满之前均具有约束力。</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7、投标截止时间结束后参加投标的</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不足三家的，或在评标期间出现符合专业条件的</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或者对招标文件作出实质响应的</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不足三家情形的，我们酌情决定是否参加贵方组织的其他采购方式采购。</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8、一旦我方中标，我方将根据招标文件的规定严格履行合同，并保证于承诺的时间完成项目的启动、实施等工作，及时交付采购人验收、使用。</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9、我方决不提供虚假材料谋取中标、决不采取不正当手段诋毁、排挤其他</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、决不与采购人、</w:t>
      </w:r>
      <w:r>
        <w:rPr>
          <w:rFonts w:hint="eastAsia" w:ascii="宋体" w:hAnsi="宋体" w:eastAsia="宋体" w:cs="宋体"/>
          <w:color w:val="auto"/>
          <w:highlight w:val="none"/>
        </w:rPr>
        <w:t xml:space="preserve">其他投标供应商</w:t>
      </w:r>
      <w:r>
        <w:rPr>
          <w:rFonts w:ascii="宋体" w:hAnsi="宋体" w:eastAsia="宋体" w:cs="宋体"/>
          <w:color w:val="auto"/>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10、与本投标有关的正式联系方式为：</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地址：</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电话：</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传真：</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开户银行：</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银行账号：</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授权代表姓名（签字）：</w:t>
      </w:r>
      <w:r>
        <w:rPr>
          <w:rFonts w:ascii="宋体" w:hAnsi="宋体" w:eastAsia="宋体" w:cs="宋体"/>
          <w:color w:val="auto"/>
          <w:highlight w:val="none"/>
          <w:u w:val="singl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名称：</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月</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日</w:t>
      </w:r>
      <w:r>
        <w:rPr>
          <w:rFonts w:ascii="宋体" w:hAnsi="宋体" w:eastAsia="宋体" w:cs="宋体"/>
          <w:color w:val="auto"/>
          <w:sz w:val="24"/>
          <w:highlight w:val="none"/>
        </w:rPr>
        <w:t xml:space="preserve"> </w:t>
      </w:r>
      <w:r/>
    </w:p>
    <w:p>
      <w:pP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附件二</w:t>
      </w: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法定代表人授权书格式</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72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法定代表人授权委托书</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南京信息工程大学</w:t>
      </w:r>
      <w:r>
        <w:rPr>
          <w:rFonts w:ascii="宋体" w:hAnsi="宋体" w:eastAsia="宋体" w:cs="宋体"/>
          <w:color w:val="auto"/>
          <w:highlight w:val="none"/>
        </w:rPr>
        <w:t xml:space="preserve">：</w:t>
      </w:r>
      <w:r/>
    </w:p>
    <w:p>
      <w:pPr>
        <w:ind w:firstLine="42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本授权书声明：注册于</w:t>
      </w:r>
      <w:r>
        <w:rPr>
          <w:rFonts w:ascii="宋体" w:hAnsi="宋体" w:eastAsia="宋体" w:cs="宋体"/>
          <w:color w:val="auto"/>
          <w:highlight w:val="none"/>
          <w:u w:val="single"/>
        </w:rPr>
        <w:t xml:space="preserve">（</w:t>
      </w:r>
      <w:r>
        <w:rPr>
          <w:rFonts w:hint="eastAsia" w:ascii="宋体" w:hAnsi="宋体" w:eastAsia="宋体" w:cs="宋体"/>
          <w:color w:val="auto"/>
          <w:highlight w:val="none"/>
          <w:u w:val="single"/>
        </w:rPr>
        <w:t xml:space="preserve">投标供应商</w:t>
      </w:r>
      <w:r>
        <w:rPr>
          <w:rFonts w:ascii="宋体" w:hAnsi="宋体" w:eastAsia="宋体" w:cs="宋体"/>
          <w:color w:val="auto"/>
          <w:highlight w:val="none"/>
          <w:u w:val="single"/>
        </w:rPr>
        <w:t xml:space="preserve">住址）</w:t>
      </w:r>
      <w:r>
        <w:rPr>
          <w:rFonts w:ascii="宋体" w:hAnsi="宋体" w:eastAsia="宋体" w:cs="宋体"/>
          <w:color w:val="auto"/>
          <w:highlight w:val="none"/>
        </w:rPr>
        <w:t xml:space="preserve">的</w:t>
      </w:r>
      <w:r>
        <w:rPr>
          <w:rFonts w:ascii="宋体" w:hAnsi="宋体" w:eastAsia="宋体" w:cs="宋体"/>
          <w:color w:val="auto"/>
          <w:highlight w:val="none"/>
          <w:u w:val="single"/>
        </w:rPr>
        <w:t xml:space="preserve">（</w:t>
      </w:r>
      <w:r>
        <w:rPr>
          <w:rFonts w:hint="eastAsia" w:ascii="宋体" w:hAnsi="宋体" w:eastAsia="宋体" w:cs="宋体"/>
          <w:color w:val="auto"/>
          <w:highlight w:val="none"/>
          <w:u w:val="single"/>
        </w:rPr>
        <w:t xml:space="preserve">投标供应商</w:t>
      </w:r>
      <w:r>
        <w:rPr>
          <w:rFonts w:ascii="宋体" w:hAnsi="宋体" w:eastAsia="宋体" w:cs="宋体"/>
          <w:color w:val="auto"/>
          <w:highlight w:val="none"/>
          <w:u w:val="single"/>
        </w:rPr>
        <w:t xml:space="preserve">名称）</w:t>
      </w:r>
      <w:r>
        <w:rPr>
          <w:rFonts w:ascii="宋体" w:hAnsi="宋体" w:eastAsia="宋体" w:cs="宋体"/>
          <w:color w:val="auto"/>
          <w:highlight w:val="none"/>
        </w:rPr>
        <w:t xml:space="preserve">法定代表人</w:t>
      </w:r>
      <w:r>
        <w:rPr>
          <w:rFonts w:ascii="宋体" w:hAnsi="宋体" w:eastAsia="宋体" w:cs="宋体"/>
          <w:color w:val="auto"/>
          <w:highlight w:val="none"/>
          <w:u w:val="single"/>
        </w:rPr>
        <w:t xml:space="preserve">（法定代表人姓名、职务）</w:t>
      </w:r>
      <w:r>
        <w:rPr>
          <w:rFonts w:ascii="宋体" w:hAnsi="宋体" w:eastAsia="宋体" w:cs="宋体"/>
          <w:color w:val="auto"/>
          <w:highlight w:val="none"/>
        </w:rPr>
        <w:t xml:space="preserve">代表本公司授权在下面签字的</w:t>
      </w:r>
      <w:r>
        <w:rPr>
          <w:rFonts w:ascii="宋体" w:hAnsi="宋体" w:eastAsia="宋体" w:cs="宋体"/>
          <w:color w:val="auto"/>
          <w:highlight w:val="none"/>
          <w:u w:val="single"/>
        </w:rPr>
        <w:t xml:space="preserve">（</w:t>
      </w:r>
      <w:r>
        <w:rPr>
          <w:rFonts w:hint="eastAsia" w:ascii="宋体" w:hAnsi="宋体" w:eastAsia="宋体" w:cs="宋体"/>
          <w:color w:val="auto"/>
          <w:highlight w:val="none"/>
          <w:u w:val="single"/>
        </w:rPr>
        <w:t xml:space="preserve">投标供应商</w:t>
      </w:r>
      <w:r>
        <w:rPr>
          <w:rFonts w:ascii="宋体" w:hAnsi="宋体" w:eastAsia="宋体" w:cs="宋体"/>
          <w:color w:val="auto"/>
          <w:highlight w:val="none"/>
          <w:u w:val="single"/>
        </w:rPr>
        <w:t xml:space="preserve">代表姓名、职务）</w:t>
      </w:r>
      <w:r>
        <w:rPr>
          <w:rFonts w:ascii="宋体" w:hAnsi="宋体" w:eastAsia="宋体" w:cs="宋体"/>
          <w:color w:val="auto"/>
          <w:highlight w:val="none"/>
        </w:rPr>
        <w:t xml:space="preserve">为本公司的合法代理人，就贵方组织的</w:t>
      </w:r>
      <w:r>
        <w:rPr>
          <w:rFonts w:ascii="宋体" w:hAnsi="宋体" w:eastAsia="宋体" w:cs="宋体"/>
          <w:color w:val="auto"/>
          <w:highlight w:val="none"/>
          <w:u w:val="single"/>
        </w:rPr>
        <w:t xml:space="preserve">（项目名称      ）</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（项目编号：      ）</w:t>
      </w:r>
      <w:r>
        <w:rPr>
          <w:rFonts w:ascii="宋体" w:hAnsi="宋体" w:eastAsia="宋体" w:cs="宋体"/>
          <w:color w:val="auto"/>
          <w:highlight w:val="none"/>
        </w:rPr>
        <w:t xml:space="preserve">投标，以本公司名义处理一切与之有关的事务。</w:t>
      </w:r>
      <w:r/>
    </w:p>
    <w:p>
      <w:pPr>
        <w:ind w:firstLine="42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本授权书于</w:t>
      </w:r>
      <w:r>
        <w:rPr>
          <w:rFonts w:ascii="宋体" w:hAnsi="宋体" w:eastAsia="宋体" w:cs="宋体"/>
          <w:color w:val="auto"/>
          <w:highlight w:val="none"/>
          <w:u w:val="single"/>
        </w:rPr>
        <w:t xml:space="preserve">   年   月   日</w:t>
      </w:r>
      <w:r>
        <w:rPr>
          <w:rFonts w:ascii="宋体" w:hAnsi="宋体" w:eastAsia="宋体" w:cs="宋体"/>
          <w:color w:val="auto"/>
          <w:highlight w:val="none"/>
        </w:rPr>
        <w:t xml:space="preserve">签字生效，特此声明。</w:t>
      </w:r>
      <w:r/>
    </w:p>
    <w:p>
      <w:pPr>
        <w:ind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名称：（</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p>
    <w:p>
      <w:pPr>
        <w:ind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法定代表人签字或</w:t>
      </w:r>
      <w:r>
        <w:rPr>
          <w:rFonts w:hint="eastAsia" w:ascii="宋体" w:hAnsi="宋体" w:eastAsia="宋体" w:cs="宋体"/>
          <w:color w:val="auto"/>
          <w:highlight w:val="none"/>
        </w:rPr>
        <w:t xml:space="preserve">盖章</w:t>
      </w:r>
      <w:r>
        <w:rPr>
          <w:rFonts w:ascii="宋体" w:hAnsi="宋体" w:eastAsia="宋体" w:cs="宋体"/>
          <w:color w:val="auto"/>
          <w:highlight w:val="none"/>
        </w:rPr>
        <w:t xml:space="preserve">：</w:t>
      </w:r>
      <w:r/>
    </w:p>
    <w:p>
      <w:pPr>
        <w:ind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被</w:t>
      </w:r>
      <w:r>
        <w:rPr>
          <w:rFonts w:ascii="宋体" w:hAnsi="宋体" w:eastAsia="宋体" w:cs="宋体"/>
          <w:color w:val="auto"/>
          <w:highlight w:val="none"/>
        </w:rPr>
        <w:t xml:space="preserve">授权</w:t>
      </w:r>
      <w:r>
        <w:rPr>
          <w:rFonts w:hint="eastAsia" w:ascii="宋体" w:hAnsi="宋体" w:eastAsia="宋体" w:cs="宋体"/>
          <w:color w:val="auto"/>
          <w:highlight w:val="none"/>
        </w:rPr>
        <w:t xml:space="preserve">人</w:t>
      </w:r>
      <w:r>
        <w:rPr>
          <w:rFonts w:ascii="宋体" w:hAnsi="宋体" w:eastAsia="宋体" w:cs="宋体"/>
          <w:color w:val="auto"/>
          <w:highlight w:val="none"/>
        </w:rPr>
        <w:t xml:space="preserve">签字：</w:t>
      </w:r>
      <w:r/>
    </w:p>
    <w:p>
      <w:pPr>
        <w:ind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   年   月   日</w:t>
      </w:r>
      <w:r/>
    </w:p>
    <w:p>
      <w:pPr>
        <w:ind w:firstLine="422"/>
        <w:spacing w:before="240" w:after="24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附：法定代表人、</w:t>
      </w:r>
      <w:r>
        <w:rPr>
          <w:rFonts w:hint="eastAsia" w:ascii="宋体" w:hAnsi="宋体" w:eastAsia="宋体" w:cs="宋体"/>
          <w:b/>
          <w:color w:val="auto"/>
          <w:highlight w:val="none"/>
        </w:rPr>
        <w:t xml:space="preserve">被</w:t>
      </w:r>
      <w:r>
        <w:rPr>
          <w:rFonts w:ascii="宋体" w:hAnsi="宋体" w:eastAsia="宋体" w:cs="宋体"/>
          <w:b/>
          <w:color w:val="auto"/>
          <w:highlight w:val="none"/>
        </w:rPr>
        <w:t xml:space="preserve">授权</w:t>
      </w:r>
      <w:r>
        <w:rPr>
          <w:rFonts w:hint="eastAsia" w:ascii="宋体" w:hAnsi="宋体" w:eastAsia="宋体" w:cs="宋体"/>
          <w:b/>
          <w:color w:val="auto"/>
          <w:highlight w:val="none"/>
        </w:rPr>
        <w:t xml:space="preserve">人</w:t>
      </w:r>
      <w:r>
        <w:rPr>
          <w:rFonts w:ascii="宋体" w:hAnsi="宋体" w:eastAsia="宋体" w:cs="宋体"/>
          <w:b/>
          <w:color w:val="auto"/>
          <w:highlight w:val="none"/>
        </w:rPr>
        <w:t xml:space="preserve">身份证</w:t>
      </w:r>
      <w:r>
        <w:rPr>
          <w:rFonts w:hint="eastAsia" w:ascii="宋体" w:hAnsi="宋体" w:eastAsia="宋体" w:cs="宋体"/>
          <w:b/>
          <w:color w:val="auto"/>
          <w:highlight w:val="none"/>
        </w:rPr>
        <w:t xml:space="preserve">正反面扫描件</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附件三</w:t>
      </w: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开标一览表格式</w:t>
      </w:r>
      <w:r/>
    </w:p>
    <w:p>
      <w:pPr>
        <w:jc w:val="center"/>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开标一览表</w:t>
      </w:r>
      <w:r/>
    </w:p>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                       项目编号：</w:t>
      </w:r>
      <w:r/>
    </w:p>
    <w:tbl>
      <w:tblPr>
        <w:tblStyle w:val="877"/>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ind w:firstLine="42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投标总价</w:t>
            </w:r>
            <w:r/>
          </w:p>
        </w:tc>
        <w:tc>
          <w:tcPr>
            <w:tcMar>
              <w:left w:w="80" w:type="dxa"/>
              <w:top w:w="80" w:type="dxa"/>
              <w:right w:w="80" w:type="dxa"/>
              <w:bottom w:w="80" w:type="dxa"/>
            </w:tcMar>
            <w:tcW w:w="7329" w:type="dxa"/>
            <w:vAlign w:val="center"/>
            <w:textDirection w:val="lrTb"/>
            <w:noWrap w:val="false"/>
          </w:tcPr>
          <w:p>
            <w:pPr>
              <w:jc w:val="both"/>
              <w:spacing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小写：</w:t>
            </w:r>
            <w:r>
              <w:rPr>
                <w:rFonts w:hint="eastAsia" w:ascii="宋体" w:hAnsi="宋体" w:eastAsia="宋体" w:cs="宋体"/>
                <w:color w:val="auto"/>
                <w:highlight w:val="none"/>
              </w:rPr>
              <w:t xml:space="preserve">¥</w:t>
            </w:r>
            <w:r/>
          </w:p>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大写：人民币</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627"/>
        </w:trPr>
        <w:tc>
          <w:tcPr>
            <w:tcMar>
              <w:left w:w="80" w:type="dxa"/>
              <w:top w:w="80" w:type="dxa"/>
              <w:right w:w="80" w:type="dxa"/>
              <w:bottom w:w="80" w:type="dxa"/>
            </w:tcMar>
            <w:tcW w:w="202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合同履行</w:t>
            </w:r>
            <w:r>
              <w:rPr>
                <w:rFonts w:ascii="宋体" w:hAnsi="宋体" w:eastAsia="宋体" w:cs="宋体"/>
                <w:color w:val="auto"/>
                <w:highlight w:val="none"/>
              </w:rPr>
              <w:t xml:space="preserve">期</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1096"/>
        </w:trPr>
        <w:tc>
          <w:tcPr>
            <w:tcMar>
              <w:left w:w="80" w:type="dxa"/>
              <w:top w:w="80" w:type="dxa"/>
              <w:right w:w="80" w:type="dxa"/>
              <w:bottom w:w="80" w:type="dxa"/>
            </w:tcMar>
            <w:tcW w:w="2025" w:type="dxa"/>
            <w:vAlign w:val="center"/>
            <w:textDirection w:val="lrTb"/>
            <w:noWrap w:val="false"/>
          </w:tcPr>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否均为</w:t>
            </w:r>
            <w:r>
              <w:rPr>
                <w:rFonts w:hint="eastAsia" w:ascii="宋体" w:hAnsi="宋体" w:eastAsia="宋体" w:cs="宋体"/>
                <w:color w:val="auto"/>
                <w:highlight w:val="none"/>
              </w:rPr>
              <w:t xml:space="preserve">中</w:t>
            </w:r>
            <w:r>
              <w:rPr>
                <w:rFonts w:ascii="宋体" w:hAnsi="宋体" w:eastAsia="宋体" w:cs="宋体"/>
                <w:color w:val="auto"/>
                <w:highlight w:val="none"/>
              </w:rPr>
              <w:t xml:space="preserve">小微企业</w:t>
            </w:r>
            <w:r/>
          </w:p>
        </w:tc>
        <w:tc>
          <w:tcPr>
            <w:tcMar>
              <w:left w:w="80" w:type="dxa"/>
              <w:top w:w="80" w:type="dxa"/>
              <w:right w:w="80" w:type="dxa"/>
              <w:bottom w:w="80" w:type="dxa"/>
            </w:tcMar>
            <w:tcW w:w="7329" w:type="dxa"/>
            <w:vAlign w:val="center"/>
            <w:textDirection w:val="lrTb"/>
            <w:noWrap w:val="false"/>
          </w:tcPr>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是      否</w:t>
            </w:r>
            <w:r/>
          </w:p>
          <w:p>
            <w:pPr>
              <w:ind w:firstLine="54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被</w:t>
      </w:r>
      <w:r>
        <w:rPr>
          <w:rFonts w:ascii="宋体" w:hAnsi="宋体" w:eastAsia="宋体" w:cs="宋体"/>
          <w:color w:val="auto"/>
          <w:highlight w:val="none"/>
        </w:rPr>
        <w:t xml:space="preserve">授权</w:t>
      </w:r>
      <w:r>
        <w:rPr>
          <w:rFonts w:hint="eastAsia" w:ascii="宋体" w:hAnsi="宋体" w:eastAsia="宋体" w:cs="宋体"/>
          <w:color w:val="auto"/>
          <w:highlight w:val="none"/>
        </w:rPr>
        <w:t xml:space="preserve">人</w:t>
      </w:r>
      <w:r>
        <w:rPr>
          <w:rFonts w:ascii="宋体" w:hAnsi="宋体" w:eastAsia="宋体" w:cs="宋体"/>
          <w:color w:val="auto"/>
          <w:highlight w:val="none"/>
        </w:rPr>
        <w:t xml:space="preserve">（签字）：</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spacing w:before="240" w:after="240"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说明：1.本项目仅接受一个价格，不得填报有选择性报价方案。</w:t>
      </w:r>
      <w:r/>
    </w:p>
    <w:p>
      <w:pPr>
        <w:numPr>
          <w:ilvl w:val="0"/>
          <w:numId w:val="6"/>
        </w:numPr>
        <w:spacing w:before="240" w:after="240"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须根据实际情况，在栏后“是”或“否”上打“√”</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如填写“是”，</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需提供《中小企业声明函》《残疾人福利性单位声明函》《属于监狱企业的证明文件》。</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bookmarkStart w:id="39" w:name="OLE_LINK2"/>
      <w:r/>
      <w:bookmarkStart w:id="40" w:name="OLE_LINK3"/>
      <w:r>
        <w:rPr>
          <w:rFonts w:ascii="宋体" w:hAnsi="宋体" w:eastAsia="宋体" w:cs="宋体"/>
          <w:color w:val="auto"/>
          <w:sz w:val="24"/>
          <w:highlight w:val="none"/>
        </w:rPr>
        <w:br w:type="page" w:clear="all"/>
      </w:r>
      <w:bookmarkEnd w:id="39"/>
      <w:r/>
      <w:bookmarkEnd w:id="40"/>
      <w:r/>
      <w:r/>
    </w:p>
    <w:p>
      <w:pP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附件四</w:t>
      </w: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分项报价表格式</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分项报价表</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（根据工程量清单报价）</w:t>
      </w:r>
      <w:r/>
    </w:p>
    <w:p>
      <w:pPr>
        <w:ind w:firstLine="42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被</w:t>
      </w:r>
      <w:r>
        <w:rPr>
          <w:rFonts w:ascii="宋体" w:hAnsi="宋体" w:eastAsia="宋体" w:cs="宋体"/>
          <w:color w:val="auto"/>
          <w:highlight w:val="none"/>
        </w:rPr>
        <w:t xml:space="preserve">授权</w:t>
      </w:r>
      <w:r>
        <w:rPr>
          <w:rFonts w:hint="eastAsia" w:ascii="宋体" w:hAnsi="宋体" w:eastAsia="宋体" w:cs="宋体"/>
          <w:color w:val="auto"/>
          <w:highlight w:val="none"/>
        </w:rPr>
        <w:t xml:space="preserve">人</w:t>
      </w:r>
      <w:r>
        <w:rPr>
          <w:rFonts w:ascii="宋体" w:hAnsi="宋体" w:eastAsia="宋体" w:cs="宋体"/>
          <w:color w:val="auto"/>
          <w:highlight w:val="none"/>
        </w:rPr>
        <w:t xml:space="preserve">（签字）：</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ind w:firstLine="241"/>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br w:type="page" w:clear="all"/>
      </w:r>
      <w:r>
        <w:rPr>
          <w:rFonts w:ascii="宋体" w:hAnsi="宋体" w:eastAsia="宋体" w:cs="宋体"/>
          <w:b/>
          <w:color w:val="auto"/>
          <w:sz w:val="24"/>
          <w:highlight w:val="none"/>
        </w:rPr>
        <w:t xml:space="preserve">附件五</w:t>
      </w:r>
      <w:r>
        <w:rPr>
          <w:rFonts w:hint="eastAsia" w:ascii="宋体" w:hAnsi="宋体" w:eastAsia="宋体" w:cs="宋体"/>
          <w:b/>
          <w:color w:val="auto"/>
          <w:sz w:val="24"/>
          <w:highlight w:val="none"/>
        </w:rPr>
        <w:t xml:space="preserve">、</w:t>
      </w:r>
      <w:r>
        <w:rPr>
          <w:rFonts w:ascii="宋体" w:hAnsi="宋体" w:eastAsia="宋体" w:cs="宋体"/>
          <w:b/>
          <w:color w:val="auto"/>
          <w:sz w:val="24"/>
          <w:highlight w:val="none"/>
        </w:rPr>
        <w:t xml:space="preserve">技术规格偏离表格式</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表1：技术规格偏离表</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项目名称：                                       项目编号：</w:t>
      </w:r>
      <w:r/>
    </w:p>
    <w:tbl>
      <w:tblPr>
        <w:tblStyle w:val="877"/>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招标</w:t>
            </w:r>
            <w:r>
              <w:rPr>
                <w:rFonts w:hint="eastAsia" w:ascii="宋体" w:hAnsi="宋体" w:eastAsia="宋体" w:cs="宋体"/>
                <w:color w:val="auto"/>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响应/</w:t>
            </w:r>
            <w:r>
              <w:rPr>
                <w:rFonts w:ascii="宋体" w:hAnsi="宋体" w:eastAsia="宋体" w:cs="宋体"/>
                <w:color w:val="auto"/>
                <w:highlight w:val="none"/>
              </w:rPr>
              <w:t xml:space="preserve">偏离</w:t>
            </w:r>
            <w:r>
              <w:rPr>
                <w:rFonts w:hint="eastAsia" w:ascii="宋体" w:hAnsi="宋体" w:eastAsia="宋体" w:cs="宋体"/>
                <w:color w:val="auto"/>
                <w:highlight w:val="none"/>
              </w:rPr>
              <w:t xml:space="preserve">情况</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必要的证明材料所在页码</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说明：</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如果行数不够，请自行增加。</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表2：其余指标</w:t>
      </w:r>
      <w:r>
        <w:rPr>
          <w:rFonts w:ascii="宋体" w:hAnsi="宋体" w:eastAsia="宋体" w:cs="宋体"/>
          <w:color w:val="auto"/>
          <w:sz w:val="24"/>
          <w:highlight w:val="none"/>
        </w:rPr>
        <w:t xml:space="preserve">技术规格偏离表</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项目名称：                                       项目编号：</w:t>
      </w:r>
      <w:r/>
    </w:p>
    <w:tbl>
      <w:tblPr>
        <w:tblStyle w:val="877"/>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招标</w:t>
            </w:r>
            <w:r>
              <w:rPr>
                <w:rFonts w:hint="eastAsia" w:ascii="宋体" w:hAnsi="宋体" w:eastAsia="宋体" w:cs="宋体"/>
                <w:color w:val="auto"/>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响应/</w:t>
            </w:r>
            <w:r>
              <w:rPr>
                <w:rFonts w:ascii="宋体" w:hAnsi="宋体" w:eastAsia="宋体" w:cs="宋体"/>
                <w:color w:val="auto"/>
                <w:highlight w:val="none"/>
              </w:rPr>
              <w:t xml:space="preserve">偏离</w:t>
            </w:r>
            <w:r>
              <w:rPr>
                <w:rFonts w:hint="eastAsia" w:ascii="宋体" w:hAnsi="宋体" w:eastAsia="宋体" w:cs="宋体"/>
                <w:color w:val="auto"/>
                <w:highlight w:val="none"/>
              </w:rPr>
              <w:t xml:space="preserve">情况</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证明材料所在页码</w:t>
            </w:r>
            <w:r>
              <w:rPr>
                <w:rFonts w:hint="eastAsia" w:eastAsia="宋体"/>
                <w:color w:val="auto"/>
                <w:highlight w:val="none"/>
              </w:rPr>
              <w:t xml:space="preserve">（如有）</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说明：</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如果行数不够，请自行增加。</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附件六</w:t>
      </w: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商务条款偏离表格式</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商务条款偏离表</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项目名称：                                       项目编号：</w:t>
      </w:r>
      <w:r/>
    </w:p>
    <w:tbl>
      <w:tblPr>
        <w:tblStyle w:val="877"/>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招标文件要求的商务条款</w:t>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投标响应</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eastAsia="宋体"/>
                <w:color w:val="auto"/>
                <w:highlight w:val="none"/>
              </w:rPr>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w:t>
            </w:r>
            <w:r/>
          </w:p>
        </w:tc>
        <w:tc>
          <w:tcPr>
            <w:tcMar>
              <w:left w:w="80" w:type="dxa"/>
              <w:top w:w="80" w:type="dxa"/>
              <w:right w:w="80" w:type="dxa"/>
              <w:bottom w:w="80" w:type="dxa"/>
            </w:tcMar>
            <w:tcW w:w="3438"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2564" w:type="dxa"/>
            <w:vAlign w:val="center"/>
            <w:textDirection w:val="lrTb"/>
            <w:noWrap w:val="false"/>
          </w:tcPr>
          <w:p>
            <w:pP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3438" w:type="dxa"/>
            <w:vAlign w:val="center"/>
            <w:textDirection w:val="lrTb"/>
            <w:noWrap w:val="false"/>
          </w:tcPr>
          <w:p>
            <w:pP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80" w:type="dxa"/>
              <w:top w:w="80" w:type="dxa"/>
              <w:right w:w="80" w:type="dxa"/>
              <w:bottom w:w="80" w:type="dxa"/>
            </w:tcMar>
            <w:tcW w:w="1544" w:type="dxa"/>
            <w:vAlign w:val="center"/>
            <w:textDirection w:val="lrTb"/>
            <w:noWrap w:val="false"/>
          </w:tcPr>
          <w:p>
            <w:pPr>
              <w:spacing w:before="200" w:after="2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应在上表中明确投标文件</w:t>
      </w:r>
      <w:r>
        <w:rPr>
          <w:rFonts w:hint="eastAsia" w:ascii="宋体" w:hAnsi="宋体" w:eastAsia="宋体" w:cs="宋体"/>
          <w:color w:val="auto"/>
          <w:highlight w:val="none"/>
        </w:rPr>
        <w:t xml:space="preserve">商务</w:t>
      </w:r>
      <w:r>
        <w:rPr>
          <w:rFonts w:ascii="宋体" w:hAnsi="宋体" w:eastAsia="宋体" w:cs="宋体"/>
          <w:color w:val="auto"/>
          <w:highlight w:val="none"/>
        </w:rPr>
        <w:t xml:space="preserve">部分与招标文件要求的</w:t>
      </w:r>
      <w:r>
        <w:rPr>
          <w:rFonts w:hint="eastAsia" w:ascii="宋体" w:hAnsi="宋体" w:eastAsia="宋体" w:cs="宋体"/>
          <w:color w:val="auto"/>
          <w:highlight w:val="none"/>
        </w:rPr>
        <w:t xml:space="preserve">商务</w:t>
      </w:r>
      <w:r>
        <w:rPr>
          <w:rFonts w:ascii="宋体" w:hAnsi="宋体" w:eastAsia="宋体" w:cs="宋体"/>
          <w:color w:val="auto"/>
          <w:highlight w:val="none"/>
        </w:rPr>
        <w:t xml:space="preserve">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说明：如果行数不够，请自行增加。</w:t>
      </w:r>
      <w:r/>
    </w:p>
    <w:p>
      <w:pPr>
        <w:spacing w:before="240" w:after="240"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3.所有偏离必须在本表中列出，未在本偏离表中列出偏离，将视为投标供应商已完全接受招标文件要求。如完全无偏离，也无其他说明，可在本表第一行填写“全部无偏离”。</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br w:type="page" w:clear="all"/>
      </w:r>
      <w:r>
        <w:rPr>
          <w:rFonts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rPr>
        <w:t xml:space="preserve">七、投标供应商</w:t>
      </w:r>
      <w:r>
        <w:rPr>
          <w:rFonts w:ascii="宋体" w:hAnsi="宋体" w:eastAsia="宋体" w:cs="宋体"/>
          <w:b/>
          <w:bCs/>
          <w:color w:val="auto"/>
          <w:sz w:val="24"/>
          <w:highlight w:val="none"/>
        </w:rPr>
        <w:t xml:space="preserve">类似业绩情况表 </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投标供应商</w:t>
      </w:r>
      <w:r>
        <w:rPr>
          <w:rFonts w:ascii="宋体" w:hAnsi="宋体" w:eastAsia="宋体" w:cs="宋体"/>
          <w:color w:val="auto"/>
          <w:sz w:val="24"/>
          <w:highlight w:val="none"/>
        </w:rPr>
        <w:t xml:space="preserve">类似业绩情况表</w:t>
      </w:r>
      <w:r/>
    </w:p>
    <w:p>
      <w:pPr>
        <w:jc w:val="center"/>
        <w:spacing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240"/>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项目编号：</w:t>
      </w:r>
      <w:r/>
    </w:p>
    <w:tbl>
      <w:tblPr>
        <w:tblStyle w:val="877"/>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1538"/>
        <w:gridCol w:w="1400"/>
        <w:gridCol w:w="979"/>
        <w:gridCol w:w="1020"/>
        <w:gridCol w:w="1496"/>
        <w:gridCol w:w="1119"/>
        <w:gridCol w:w="1120"/>
      </w:tblGrid>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采购人</w:t>
            </w:r>
            <w:r>
              <w:rPr>
                <w:rFonts w:ascii="宋体" w:hAnsi="宋体" w:eastAsia="宋体" w:cs="宋体"/>
                <w:color w:val="auto"/>
                <w:highlight w:val="none"/>
              </w:rPr>
              <w:t xml:space="preserve">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合同</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签约及服务</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ind w:firstLine="120"/>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jc w:val="both"/>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说明：具体要求及需提交的证明材料详见评分标准。</w:t>
      </w:r>
      <w:r/>
    </w:p>
    <w:p>
      <w:pPr>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116"/>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w:t>
      </w:r>
      <w:r>
        <w:rPr>
          <w:rFonts w:hint="eastAsia" w:ascii="宋体" w:hAnsi="宋体" w:eastAsia="宋体" w:cs="宋体"/>
          <w:b/>
          <w:color w:val="auto"/>
          <w:sz w:val="24"/>
          <w:highlight w:val="none"/>
        </w:rPr>
        <w:t xml:space="preserve">八、</w:t>
      </w:r>
      <w:r>
        <w:rPr>
          <w:rFonts w:ascii="宋体" w:hAnsi="宋体" w:eastAsia="宋体" w:cs="宋体"/>
          <w:b/>
          <w:bCs/>
          <w:color w:val="auto"/>
          <w:sz w:val="24"/>
          <w:highlight w:val="none"/>
        </w:rPr>
        <w:t xml:space="preserve">无重大违法记录声明格式</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无重大违法记录声明</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南京信息工程大学</w:t>
      </w:r>
      <w:r>
        <w:rPr>
          <w:rFonts w:ascii="宋体" w:hAnsi="宋体" w:eastAsia="宋体" w:cs="宋体"/>
          <w:color w:val="auto"/>
          <w:highlight w:val="none"/>
        </w:rPr>
        <w:t xml:space="preserve">：</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我单位</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名称）郑重声明：</w:t>
      </w:r>
      <w:r/>
    </w:p>
    <w:p>
      <w:pPr>
        <w:ind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参加政府采购活动前3年内在经营活动中</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（在下划线上如实填写：有或没有）重大违法记录。</w:t>
      </w:r>
      <w:r/>
    </w:p>
    <w:p>
      <w:pPr>
        <w:ind w:firstLine="36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（说明：政府采购法第二十二条第一款第五项所称重大违法记录，是指</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因违法经营受到刑事处罚或者责令停产停业、吊销许可证或者执照、较大数额罚款等行政处罚）</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2730"/>
        <w:jc w:val="both"/>
        <w:spacing w:before="240" w:after="240" w:line="85" w:lineRule="atLeast"/>
        <w:shd w:val="clear" w:color="ffffff" w:fill="ffffff"/>
        <w:rPr>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p>
    <w:p>
      <w:pPr>
        <w:jc w:val="right"/>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 </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6"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6"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rPr>
        <w:t xml:space="preserve">九、</w:t>
      </w:r>
      <w:r>
        <w:rPr>
          <w:rFonts w:ascii="宋体" w:hAnsi="宋体" w:eastAsia="宋体" w:cs="宋体"/>
          <w:b/>
          <w:bCs/>
          <w:color w:val="auto"/>
          <w:sz w:val="24"/>
          <w:highlight w:val="none"/>
        </w:rPr>
        <w:t xml:space="preserve">具备履行合同所必需的设备和专业技术能力的声明格式</w:t>
      </w:r>
      <w:r/>
    </w:p>
    <w:p>
      <w:pPr>
        <w:jc w:val="center"/>
        <w:spacing w:before="26"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pacing w:before="26"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具备履行合同所必需的设备和专业技术能力</w:t>
      </w:r>
      <w:r/>
    </w:p>
    <w:p>
      <w:p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南京信息工程大学</w:t>
      </w:r>
      <w:r>
        <w:rPr>
          <w:rFonts w:ascii="宋体" w:hAnsi="宋体" w:eastAsia="宋体" w:cs="宋体"/>
          <w:color w:val="auto"/>
          <w:highlight w:val="none"/>
        </w:rPr>
        <w:t xml:space="preserve">： </w:t>
      </w:r>
      <w:r/>
    </w:p>
    <w:p>
      <w:pPr>
        <w:jc w:val="both"/>
        <w:spacing w:before="26" w:after="12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both"/>
        <w:spacing w:before="26"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我单位</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名称）郑重声明：</w:t>
      </w:r>
      <w:r/>
    </w:p>
    <w:p>
      <w:pPr>
        <w:jc w:val="both"/>
        <w:spacing w:before="26" w:after="12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both"/>
        <w:spacing w:before="26" w:after="120" w:line="8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我公司具备履行本项采购合同所必需的设备和专业技术能力</w:t>
      </w:r>
      <w:r>
        <w:rPr>
          <w:rFonts w:hint="eastAsia" w:ascii="宋体" w:hAnsi="宋体" w:eastAsia="宋体" w:cs="宋体"/>
          <w:color w:val="auto"/>
          <w:highlight w:val="none"/>
        </w:rPr>
        <w:t xml:space="preserve">。</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620"/>
        <w:jc w:val="both"/>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p>
    <w:p>
      <w:pPr>
        <w:jc w:val="right"/>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附件十</w:t>
      </w: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资格证明文件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1.满足《中华人民共和国政府采购法》第二十二条规定：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（1）具有独立承担民事责任的能力（提供法人或者其他组织的营业执照或自然人的身份证明扫描件加盖电子公章）；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具有良好的商业信誉和健全的财务会计制度（提供经审计的2024或2025年度财务报告扫描件加盖电子公章，或提供投标截止时间前6个月内（即2025年12月以来）任意一个月的财务报表（至少包含利润表和资产负债表）扫描件加盖电子公章，</w:t>
      </w:r>
      <w:r>
        <w:rPr>
          <w:rFonts w:hint="eastAsia" w:ascii="宋体" w:hAnsi="宋体" w:eastAsia="宋体" w:cs="宋体"/>
          <w:color w:val="auto"/>
          <w:szCs w:val="21"/>
          <w:highlight w:val="none"/>
          <w:lang w:val="zh-TW"/>
        </w:rPr>
        <w:t xml:space="preserve">或银行出具的投标截止时间前6个月</w:t>
      </w:r>
      <w:r>
        <w:rPr>
          <w:rFonts w:hint="eastAsia" w:ascii="宋体" w:hAnsi="宋体" w:eastAsia="宋体" w:cs="宋体"/>
          <w:color w:val="auto"/>
          <w:szCs w:val="21"/>
          <w:highlight w:val="none"/>
        </w:rPr>
        <w:t xml:space="preserve">（即2025年12月以来）</w:t>
      </w:r>
      <w:r>
        <w:rPr>
          <w:rFonts w:hint="eastAsia" w:ascii="宋体" w:hAnsi="宋体" w:eastAsia="宋体" w:cs="宋体"/>
          <w:color w:val="auto"/>
          <w:szCs w:val="21"/>
          <w:highlight w:val="none"/>
          <w:lang w:val="zh-TW"/>
        </w:rPr>
        <w:t xml:space="preserve">内资信证书</w:t>
      </w:r>
      <w:r>
        <w:rPr>
          <w:rFonts w:hint="eastAsia" w:ascii="宋体" w:hAnsi="宋体" w:eastAsia="宋体" w:cs="宋体"/>
          <w:color w:val="auto"/>
          <w:szCs w:val="21"/>
          <w:highlight w:val="none"/>
        </w:rPr>
        <w:t xml:space="preserve">扫描</w:t>
      </w:r>
      <w:r>
        <w:rPr>
          <w:rFonts w:hint="eastAsia" w:ascii="宋体" w:hAnsi="宋体" w:eastAsia="宋体" w:cs="宋体"/>
          <w:color w:val="auto"/>
          <w:szCs w:val="21"/>
          <w:highlight w:val="none"/>
          <w:lang w:val="zh-TW"/>
        </w:rPr>
        <w:t xml:space="preserve">件加盖</w:t>
      </w:r>
      <w:r>
        <w:rPr>
          <w:rFonts w:hint="eastAsia" w:ascii="宋体" w:hAnsi="宋体" w:eastAsia="宋体" w:cs="宋体"/>
          <w:color w:val="auto"/>
          <w:szCs w:val="21"/>
          <w:highlight w:val="none"/>
        </w:rPr>
        <w:t xml:space="preserve">电子</w:t>
      </w:r>
      <w:r>
        <w:rPr>
          <w:rFonts w:hint="eastAsia" w:ascii="宋体" w:hAnsi="宋体" w:eastAsia="宋体" w:cs="宋体"/>
          <w:color w:val="auto"/>
          <w:szCs w:val="21"/>
          <w:highlight w:val="none"/>
          <w:lang w:val="zh-TW"/>
        </w:rPr>
        <w:t xml:space="preserve">公章，</w:t>
      </w:r>
      <w:r>
        <w:rPr>
          <w:rFonts w:hint="eastAsia" w:ascii="宋体" w:hAnsi="宋体" w:eastAsia="宋体" w:cs="宋体"/>
          <w:color w:val="auto"/>
          <w:szCs w:val="21"/>
          <w:highlight w:val="none"/>
        </w:rPr>
        <w:t xml:space="preserve">或财政部门认可的政府采购专业担保机构出具的投标担保函加盖电子公章）；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（6）法律、行政法规规定的其他条件。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2.落实政府采购政策需要满足的资格条件：</w:t>
      </w:r>
      <w:r>
        <w:rPr>
          <w:rFonts w:hint="eastAsia" w:ascii="宋体" w:hAnsi="宋体" w:eastAsia="宋体" w:cs="宋体"/>
          <w:b/>
          <w:bCs/>
          <w:color w:val="auto"/>
          <w:szCs w:val="21"/>
          <w:highlight w:val="none"/>
        </w:rPr>
        <w:t xml:space="preserve">本项目采购金额是专门面向中小微企业，仅接受中小微企业供应商投标，非中小微企业供应商投标为无效投标。（提供中小微承诺函加盖公章，未提供视为无效投标）。</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3.采购人根据项目的特殊要求规定的特定条件：</w:t>
      </w:r>
      <w:r>
        <w:rPr>
          <w:rFonts w:hint="eastAsia" w:ascii="宋体" w:hAnsi="宋体" w:eastAsia="宋体" w:cs="宋体"/>
          <w:b/>
          <w:color w:val="auto"/>
          <w:szCs w:val="21"/>
          <w:highlight w:val="none"/>
        </w:rPr>
        <w:t xml:space="preserve">（1）供应商具备建筑工程施工总承包三级（含）以上资质或建筑装修装饰工程专业承包二级(含)以上资质且同时具有有效期内的安全生产许可证（提供有效证书加盖公章）</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（2）项目负责人具备注册建造师证建筑工程二级(含)以上；并且具有有效的安全生产考核合格证书（B类证）（提供有效证书加盖公章）</w:t>
      </w:r>
      <w:r/>
    </w:p>
    <w:p>
      <w:pPr>
        <w:ind w:firstLine="48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（3）项目负责人提供社保机构出具近六个月(</w:t>
      </w:r>
      <w:r>
        <w:rPr>
          <w:rFonts w:hint="eastAsia" w:ascii="宋体" w:hAnsi="宋体" w:eastAsia="宋体" w:cs="宋体"/>
          <w:b/>
          <w:color w:val="auto"/>
          <w:szCs w:val="21"/>
          <w:highlight w:val="none"/>
          <w:lang w:eastAsia="zh-CN"/>
        </w:rPr>
        <w:t xml:space="preserve">2026年1月至2026年6月</w:t>
      </w:r>
      <w:r>
        <w:rPr>
          <w:rFonts w:hint="eastAsia" w:ascii="宋体" w:hAnsi="宋体" w:eastAsia="宋体" w:cs="宋体"/>
          <w:b/>
          <w:color w:val="auto"/>
          <w:szCs w:val="21"/>
          <w:highlight w:val="none"/>
        </w:rPr>
        <w:t xml:space="preserve"> )任意一个月供应商为其缴纳的养老保险金缴费证明材料(并加盖社保中心章或社保中心参保缴费证明电子专用章)。</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br w:type="page" w:clear="all"/>
      </w:r>
      <w:r>
        <w:rPr>
          <w:rFonts w:ascii="宋体" w:hAnsi="宋体" w:eastAsia="宋体" w:cs="宋体"/>
          <w:b/>
          <w:color w:val="auto"/>
          <w:sz w:val="24"/>
          <w:highlight w:val="none"/>
        </w:rPr>
        <w:t xml:space="preserve">附件十</w:t>
      </w:r>
      <w:r>
        <w:rPr>
          <w:rFonts w:hint="eastAsia" w:ascii="宋体" w:hAnsi="宋体" w:eastAsia="宋体" w:cs="宋体"/>
          <w:b/>
          <w:color w:val="auto"/>
          <w:sz w:val="24"/>
          <w:highlight w:val="none"/>
        </w:rPr>
        <w:t xml:space="preserve">一</w:t>
      </w:r>
      <w:r>
        <w:rPr>
          <w:rFonts w:ascii="宋体" w:hAnsi="宋体" w:eastAsia="宋体" w:cs="宋体"/>
          <w:b/>
          <w:color w:val="auto"/>
          <w:sz w:val="24"/>
          <w:highlight w:val="none"/>
        </w:rPr>
        <w:t xml:space="preserve">、中小企业声明函</w:t>
      </w:r>
      <w:r/>
    </w:p>
    <w:p>
      <w:pPr>
        <w:jc w:val="center"/>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pStyle w:val="882"/>
        <w:ind w:firstLine="420"/>
        <w:jc w:val="center"/>
        <w:spacing w:line="360" w:lineRule="auto"/>
        <w:tabs>
          <w:tab w:val="left" w:pos="993" w:leader="none"/>
          <w:tab w:val="left" w:pos="1134" w:leader="none"/>
        </w:tabs>
        <w:rPr>
          <w:rFonts w:hint="eastAsia"/>
          <w:b/>
          <w:color w:val="auto"/>
          <w:highlight w:val="none"/>
        </w:rPr>
      </w:pPr>
      <w:r>
        <w:rPr>
          <w:rFonts w:hint="eastAsia"/>
          <w:b/>
          <w:color w:val="auto"/>
          <w:highlight w:val="none"/>
        </w:rPr>
        <w:t xml:space="preserve">中小企业声明函（施工）</w:t>
      </w:r>
      <w:r/>
    </w:p>
    <w:p>
      <w:pPr>
        <w:ind w:firstLine="420"/>
        <w:spacing w:line="360" w:lineRule="auto"/>
        <w:rPr>
          <w:rFonts w:ascii="宋体" w:hAnsi="宋体" w:cs="宋体"/>
          <w:color w:val="auto"/>
          <w:highlight w:val="none"/>
        </w:rPr>
      </w:pPr>
      <w:r>
        <w:rPr>
          <w:rFonts w:ascii="宋体"/>
          <w:color w:val="auto"/>
          <w:highlight w:val="none"/>
        </w:rPr>
        <w:t xml:space="preserve"> </w:t>
      </w:r>
      <w:r>
        <w:rPr>
          <w:rFonts w:hint="eastAsia" w:ascii="宋体"/>
          <w:color w:val="auto"/>
          <w:highlight w:val="none"/>
        </w:rPr>
        <w:t xml:space="preserve">   </w:t>
      </w:r>
      <w:r>
        <w:rPr>
          <w:rFonts w:hint="eastAsia" w:ascii="宋体" w:hAnsi="宋体" w:cs="宋体"/>
          <w:color w:val="auto"/>
          <w:highlight w:val="none"/>
        </w:rPr>
        <w:t xml:space="preserve">本公司（联合体）郑重声明，根据《政府采购促进中小企业发展管理办法》（财库﹝</w:t>
      </w:r>
      <w:r>
        <w:rPr>
          <w:rFonts w:ascii="宋体" w:hAnsi="宋体" w:cs="Calibri"/>
          <w:color w:val="auto"/>
          <w:highlight w:val="none"/>
        </w:rPr>
        <w:t xml:space="preserve">2020</w:t>
      </w:r>
      <w:r>
        <w:rPr>
          <w:rFonts w:hint="eastAsia" w:ascii="宋体" w:hAnsi="宋体" w:cs="宋体"/>
          <w:color w:val="auto"/>
          <w:highlight w:val="none"/>
        </w:rPr>
        <w:t xml:space="preserve">﹞</w:t>
      </w:r>
      <w:r>
        <w:rPr>
          <w:rFonts w:ascii="宋体" w:hAnsi="宋体" w:cs="Calibri"/>
          <w:color w:val="auto"/>
          <w:highlight w:val="none"/>
        </w:rPr>
        <w:t xml:space="preserve">46 </w:t>
      </w:r>
      <w:r>
        <w:rPr>
          <w:rFonts w:hint="eastAsia" w:ascii="宋体" w:hAnsi="宋体" w:cs="宋体"/>
          <w:color w:val="auto"/>
          <w:highlight w:val="none"/>
        </w:rPr>
        <w:t xml:space="preserve">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（项目名称、分包号）</w:t>
      </w:r>
      <w:r>
        <w:rPr>
          <w:rFonts w:hint="eastAsia" w:ascii="宋体" w:hAnsi="宋体" w:cs="宋体"/>
          <w:color w:val="auto"/>
          <w:highlight w:val="none"/>
        </w:rPr>
        <w:t xml:space="preserve">采购活动，工程的施工单位全部为符合政策要求的中小企业。相关企业（含联合体中的中小企业、签订分包意向协议的中小企业）的具体情况如下：</w:t>
      </w:r>
      <w:r/>
    </w:p>
    <w:p>
      <w:pPr>
        <w:ind w:firstLine="420"/>
        <w:spacing w:line="360" w:lineRule="auto"/>
        <w:widowControl w:val="off"/>
        <w:rPr>
          <w:rFonts w:ascii="宋体" w:hAnsi="宋体" w:cs="宋体"/>
          <w:color w:val="auto"/>
          <w:highlight w:val="none"/>
        </w:rPr>
      </w:pPr>
      <w:r>
        <w:rPr>
          <w:rFonts w:ascii="宋体" w:hAnsi="宋体" w:cs="Calibri"/>
          <w:color w:val="auto"/>
          <w:highlight w:val="none"/>
        </w:rPr>
        <w:t xml:space="preserve">1.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w:t>
      </w:r>
      <w:r>
        <w:rPr>
          <w:rFonts w:ascii="宋体" w:hAnsi="宋体" w:cs="宋体"/>
          <w:color w:val="auto"/>
          <w:highlight w:val="none"/>
        </w:rPr>
        <w:t xml:space="preserve">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Calibri"/>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w:t>
      </w:r>
      <w:r>
        <w:rPr>
          <w:rFonts w:ascii="宋体" w:hAnsi="宋体" w:cs="宋体"/>
          <w:color w:val="auto"/>
          <w:highlight w:val="none"/>
          <w:u w:val="single"/>
        </w:rPr>
        <w:t xml:space="preserve"> </w:t>
      </w:r>
      <w:r>
        <w:rPr>
          <w:rFonts w:hint="eastAsia" w:ascii="宋体" w:hAnsi="宋体" w:cs="宋体"/>
          <w:color w:val="auto"/>
          <w:highlight w:val="none"/>
          <w:u w:val="single"/>
        </w:rPr>
        <w:t xml:space="preserve">小型企业、微型企业）</w:t>
      </w:r>
      <w:r>
        <w:rPr>
          <w:rFonts w:hint="eastAsia" w:ascii="宋体" w:hAnsi="宋体" w:cs="宋体"/>
          <w:color w:val="auto"/>
          <w:highlight w:val="none"/>
        </w:rPr>
        <w:t xml:space="preserve">；</w:t>
      </w:r>
      <w:r/>
    </w:p>
    <w:p>
      <w:pPr>
        <w:ind w:firstLine="525"/>
        <w:spacing w:line="360" w:lineRule="auto"/>
        <w:widowControl w:val="off"/>
        <w:rPr>
          <w:rFonts w:ascii="宋体" w:hAnsi="宋体" w:cs="宋体"/>
          <w:color w:val="auto"/>
          <w:highlight w:val="none"/>
        </w:rPr>
      </w:pPr>
      <w:r>
        <w:rPr>
          <w:rFonts w:hint="eastAsia" w:ascii="宋体" w:hAnsi="宋体" w:cs="宋体"/>
          <w:color w:val="auto"/>
          <w:highlight w:val="none"/>
        </w:rPr>
        <w:t xml:space="preserve">……</w:t>
      </w:r>
      <w:r/>
    </w:p>
    <w:p>
      <w:pPr>
        <w:ind w:firstLine="525"/>
        <w:spacing w:line="360" w:lineRule="auto"/>
        <w:widowControl w:val="off"/>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w:t>
      </w:r>
      <w:r>
        <w:rPr>
          <w:rFonts w:ascii="宋体" w:hAnsi="宋体" w:cs="宋体"/>
          <w:color w:val="auto"/>
          <w:highlight w:val="none"/>
        </w:rPr>
        <w:t xml:space="preserve"> </w:t>
      </w:r>
      <w:r>
        <w:rPr>
          <w:rFonts w:hint="eastAsia" w:ascii="宋体" w:hAnsi="宋体" w:cs="宋体"/>
          <w:color w:val="auto"/>
          <w:highlight w:val="none"/>
        </w:rPr>
        <w:t xml:space="preserve">形。</w:t>
      </w:r>
      <w:r/>
    </w:p>
    <w:p>
      <w:pPr>
        <w:spacing w:line="360" w:lineRule="auto"/>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2940"/>
        <w:jc w:val="both"/>
        <w:spacing w:before="240" w:after="24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p>
    <w:p>
      <w:pPr>
        <w:jc w:val="right"/>
        <w:spacing w:before="240" w:after="24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ind w:firstLine="294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期：</w:t>
      </w:r>
      <w:r>
        <w:rPr>
          <w:rFonts w:ascii="宋体" w:hAnsi="宋体" w:eastAsia="宋体" w:cs="宋体"/>
          <w:color w:val="auto"/>
          <w:highlight w:val="none"/>
          <w:u w:val="single"/>
        </w:rPr>
        <w:t xml:space="preserve">             </w:t>
      </w:r>
      <w:r/>
    </w:p>
    <w:p>
      <w:pPr>
        <w:ind w:left="440" w:firstLine="420"/>
        <w:spacing w:line="360" w:lineRule="auto"/>
        <w:widowControl w:val="off"/>
        <w:rPr>
          <w:rFonts w:ascii="宋体" w:hAnsi="宋体"/>
          <w:color w:val="auto"/>
          <w:highlight w:val="none"/>
          <w:u w:val="single"/>
        </w:rPr>
      </w:pPr>
      <w:r>
        <w:rPr>
          <w:rFonts w:hint="eastAsia" w:ascii="宋体" w:hAnsi="宋体"/>
          <w:color w:val="auto"/>
          <w:highlight w:val="none"/>
          <w:u w:val="single"/>
        </w:rPr>
        <w:t xml:space="preserve">                                  </w:t>
      </w:r>
      <w:r/>
    </w:p>
    <w:p>
      <w:pPr>
        <w:ind w:left="440" w:firstLine="420"/>
        <w:spacing w:line="360" w:lineRule="auto"/>
        <w:widowControl w:val="off"/>
        <w:rPr>
          <w:rFonts w:ascii="宋体" w:hAnsi="宋体" w:cs="宋体"/>
          <w:b/>
          <w:bCs/>
          <w:color w:val="auto"/>
          <w:highlight w:val="none"/>
        </w:rPr>
      </w:pPr>
      <w:r>
        <w:rPr>
          <w:rFonts w:hint="eastAsia" w:ascii="宋体" w:hAnsi="宋体" w:cs="宋体"/>
          <w:color w:val="auto"/>
          <w:highlight w:val="none"/>
        </w:rPr>
        <w:t xml:space="preserve">注：</w:t>
      </w:r>
      <w:r>
        <w:rPr>
          <w:rFonts w:hint="eastAsia" w:ascii="宋体" w:hAnsi="宋体" w:cs="Calibri"/>
          <w:color w:val="auto"/>
          <w:highlight w:val="none"/>
        </w:rPr>
        <w:t xml:space="preserve">【1】</w:t>
      </w:r>
      <w:r>
        <w:rPr>
          <w:rFonts w:ascii="宋体" w:hAnsi="宋体" w:cs="Calibri"/>
          <w:color w:val="auto"/>
          <w:highlight w:val="none"/>
        </w:rPr>
        <w:t xml:space="preserve"> </w:t>
      </w:r>
      <w:r>
        <w:rPr>
          <w:rFonts w:hint="eastAsia" w:ascii="宋体" w:hAnsi="宋体" w:cs="宋体"/>
          <w:color w:val="auto"/>
          <w:highlight w:val="none"/>
        </w:rPr>
        <w:t xml:space="preserve">从业人员、营业收入、资产总额填报上一年度数据，无上一年度数据的新成立企业可不填报。</w:t>
      </w:r>
      <w:r/>
    </w:p>
    <w:p>
      <w:pPr>
        <w:ind w:left="440" w:firstLine="420"/>
        <w:spacing w:line="360" w:lineRule="auto"/>
        <w:widowControl w:val="off"/>
        <w:rPr>
          <w:rFonts w:ascii="宋体" w:hAnsi="宋体" w:cs="宋体"/>
          <w:bCs/>
          <w:color w:val="auto"/>
          <w:highlight w:val="none"/>
        </w:rPr>
      </w:pPr>
      <w:r>
        <w:rPr>
          <w:rFonts w:hint="eastAsia" w:ascii="宋体" w:hAnsi="宋体" w:cs="宋体"/>
          <w:b/>
          <w:bCs/>
          <w:color w:val="auto"/>
          <w:highlight w:val="none"/>
        </w:rPr>
        <w:t xml:space="preserve">  </w:t>
      </w:r>
      <w:bookmarkStart w:id="41" w:name="_Hlk78923390"/>
      <w:r>
        <w:rPr>
          <w:rFonts w:hint="eastAsia" w:ascii="宋体" w:hAnsi="宋体" w:cs="Calibri"/>
          <w:color w:val="auto"/>
          <w:highlight w:val="none"/>
        </w:rPr>
        <w:t xml:space="preserve">【2】采购标的对应的中小企业划分标准所属行业：建筑业。</w:t>
      </w:r>
      <w:bookmarkEnd w:id="41"/>
      <w:r/>
      <w:r/>
    </w:p>
    <w:p>
      <w:pPr>
        <w:ind w:right="832"/>
        <w:jc w:val="both"/>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ascii="宋体" w:hAnsi="宋体" w:eastAsia="宋体" w:cs="宋体"/>
          <w:color w:val="auto"/>
          <w:highlight w:val="none"/>
        </w:rPr>
        <w:br w:type="page" w:clear="all"/>
      </w:r>
      <w:r/>
    </w:p>
    <w:p>
      <w:pPr>
        <w:ind w:right="633"/>
        <w:jc w:val="center"/>
        <w:spacing w:line="360" w:lineRule="auto"/>
        <w:shd w:val="clear" w:color="auto" w:fill="ffffff"/>
        <w:widowControl w:val="off"/>
        <w:rPr>
          <w:rFonts w:ascii="宋体" w:hAnsi="宋体"/>
          <w:color w:val="auto"/>
          <w:highlight w:val="none"/>
          <w:lang w:val="zh-CN"/>
        </w:rPr>
      </w:pPr>
      <w:r>
        <w:rPr>
          <w:rFonts w:hint="eastAsia" w:ascii="宋体" w:hAnsi="宋体"/>
          <w:color w:val="auto"/>
          <w:highlight w:val="none"/>
          <w:lang w:val="zh-CN"/>
        </w:rPr>
        <w:t xml:space="preserve">中小企业划型标准规定</w:t>
      </w:r>
      <w:r/>
    </w:p>
    <w:p>
      <w:pPr>
        <w:ind w:right="633"/>
        <w:jc w:val="center"/>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工信部联企业〔2011〕300号</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一、根据《中华人民共和国中小企业促进法》和《国务院关于进一步促进中小企业发展的若干意见》（国发〔2009〕36号)，制定本规定。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二、中小企业划分为中型、小型、微型三种类型，具体标准根据企业从业人员、营业收入、资产总额等指标，结合行业特点制定。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四、各行业划型标准为：</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（一）农、林、牧、渔业。营业收入20000万元以下的为中小微型企业。其中，营业收入500万元及以上的为中型企业，营业收入50万元及以上的为小型企业，营业收入50万元以下的为微型企业。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633"/>
        <w:spacing w:line="360" w:lineRule="auto"/>
        <w:shd w:val="clear" w:color="auto" w:fill="ffffff"/>
        <w:rPr>
          <w:rFonts w:ascii="宋体" w:hAnsi="宋体"/>
          <w:color w:val="auto"/>
          <w:highlight w:val="none"/>
          <w:lang w:val="zh-CN"/>
        </w:rPr>
      </w:pPr>
      <w:r>
        <w:rPr>
          <w:rFonts w:hint="eastAsia" w:ascii="宋体" w:hAnsi="宋体"/>
          <w:color w:val="auto"/>
          <w:highlight w:val="none"/>
          <w:lang w:val="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highlight w:val="none"/>
        </w:rPr>
      </w:pPr>
      <w:r>
        <w:rPr>
          <w:rFonts w:ascii="宋体" w:hAnsi="宋体" w:eastAsia="宋体" w:cs="宋体"/>
          <w:color w:val="auto"/>
          <w:highlight w:val="none"/>
        </w:rPr>
        <w:br w:type="page" w:clear="all"/>
      </w:r>
      <w:r/>
    </w:p>
    <w:p>
      <w:pPr>
        <w:ind w:right="832"/>
        <w:jc w:val="both"/>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附件十</w:t>
      </w:r>
      <w:r>
        <w:rPr>
          <w:rFonts w:hint="eastAsia" w:ascii="宋体" w:hAnsi="宋体" w:eastAsia="宋体" w:cs="宋体"/>
          <w:b/>
          <w:color w:val="auto"/>
          <w:sz w:val="24"/>
          <w:highlight w:val="none"/>
        </w:rPr>
        <w:t xml:space="preserve">二</w:t>
      </w:r>
      <w:r>
        <w:rPr>
          <w:rFonts w:ascii="宋体" w:hAnsi="宋体" w:eastAsia="宋体" w:cs="宋体"/>
          <w:b/>
          <w:color w:val="auto"/>
          <w:sz w:val="24"/>
          <w:highlight w:val="none"/>
        </w:rPr>
        <w:t xml:space="preserve">、残疾人福利性单位声明函格式（如</w:t>
      </w:r>
      <w:r>
        <w:rPr>
          <w:rFonts w:hint="eastAsia" w:ascii="宋体" w:hAnsi="宋体" w:eastAsia="宋体" w:cs="宋体"/>
          <w:b/>
          <w:color w:val="auto"/>
          <w:sz w:val="24"/>
          <w:highlight w:val="none"/>
        </w:rPr>
        <w:t xml:space="preserve">投标供应商</w:t>
      </w:r>
      <w:r>
        <w:rPr>
          <w:rFonts w:ascii="宋体" w:hAnsi="宋体" w:eastAsia="宋体" w:cs="宋体"/>
          <w:b/>
          <w:color w:val="auto"/>
          <w:sz w:val="24"/>
          <w:highlight w:val="none"/>
        </w:rPr>
        <w:t xml:space="preserve">为残疾人福利性单位</w:t>
      </w:r>
      <w:r>
        <w:rPr>
          <w:rFonts w:hint="eastAsia" w:ascii="宋体" w:hAnsi="宋体" w:eastAsia="宋体" w:cs="宋体"/>
          <w:b/>
          <w:color w:val="auto"/>
          <w:sz w:val="24"/>
          <w:highlight w:val="none"/>
        </w:rPr>
        <w:t xml:space="preserve">需</w:t>
      </w:r>
      <w:r>
        <w:rPr>
          <w:rFonts w:ascii="宋体" w:hAnsi="宋体" w:eastAsia="宋体" w:cs="宋体"/>
          <w:b/>
          <w:color w:val="auto"/>
          <w:sz w:val="24"/>
          <w:highlight w:val="none"/>
        </w:rPr>
        <w:t xml:space="preserve">提供此函）</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残疾人福利性单位声明函</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right="112" w:firstLine="420"/>
        <w:spacing w:before="154"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right="112" w:firstLine="420"/>
        <w:spacing w:before="154"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本单位对上述声明的真实性负责。如有虚假，将依法承担相应责任。</w:t>
      </w:r>
      <w:r/>
    </w:p>
    <w:p>
      <w:pPr>
        <w:spacing w:before="4"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right"/>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       供应商</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加盖电子公章</w:t>
      </w:r>
      <w:r>
        <w:rPr>
          <w:rFonts w:ascii="宋体" w:hAnsi="宋体" w:eastAsia="宋体" w:cs="宋体"/>
          <w:color w:val="auto"/>
          <w:highlight w:val="none"/>
        </w:rPr>
        <w:t xml:space="preserve">）：</w:t>
      </w:r>
      <w:r>
        <w:rPr>
          <w:rFonts w:ascii="宋体" w:hAnsi="宋体" w:eastAsia="宋体" w:cs="宋体"/>
          <w:color w:val="auto"/>
          <w:highlight w:val="none"/>
          <w:u w:val="single"/>
        </w:rPr>
        <w:t xml:space="preserve">                      </w:t>
      </w:r>
      <w:r/>
    </w:p>
    <w:p>
      <w:pPr>
        <w:jc w:val="right"/>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日期：</w:t>
      </w:r>
      <w:r>
        <w:rPr>
          <w:rFonts w:ascii="宋体" w:hAnsi="宋体" w:eastAsia="宋体" w:cs="宋体"/>
          <w:color w:val="auto"/>
          <w:highlight w:val="none"/>
          <w:u w:val="singl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before="12"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112"/>
        <w:jc w:val="both"/>
        <w:spacing w:after="290"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right="112"/>
        <w:jc w:val="both"/>
        <w:spacing w:after="290"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right="112"/>
        <w:jc w:val="both"/>
        <w:spacing w:after="29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附件十</w:t>
      </w:r>
      <w:r>
        <w:rPr>
          <w:rFonts w:hint="eastAsia" w:ascii="宋体" w:hAnsi="宋体" w:eastAsia="宋体" w:cs="宋体"/>
          <w:b/>
          <w:color w:val="auto"/>
          <w:sz w:val="24"/>
          <w:highlight w:val="none"/>
        </w:rPr>
        <w:t xml:space="preserve">三</w:t>
      </w:r>
      <w:r>
        <w:rPr>
          <w:rFonts w:ascii="宋体" w:hAnsi="宋体" w:eastAsia="宋体" w:cs="宋体"/>
          <w:b/>
          <w:color w:val="auto"/>
          <w:sz w:val="24"/>
          <w:highlight w:val="none"/>
        </w:rPr>
        <w:t xml:space="preserve">、属于监狱企业的证明文件（如</w:t>
      </w:r>
      <w:r>
        <w:rPr>
          <w:rFonts w:hint="eastAsia" w:ascii="宋体" w:hAnsi="宋体" w:eastAsia="宋体" w:cs="宋体"/>
          <w:b/>
          <w:color w:val="auto"/>
          <w:sz w:val="24"/>
          <w:highlight w:val="none"/>
        </w:rPr>
        <w:t xml:space="preserve">投标供应商</w:t>
      </w:r>
      <w:r>
        <w:rPr>
          <w:rFonts w:ascii="宋体" w:hAnsi="宋体" w:eastAsia="宋体" w:cs="宋体"/>
          <w:b/>
          <w:color w:val="auto"/>
          <w:sz w:val="24"/>
          <w:highlight w:val="none"/>
        </w:rPr>
        <w:t xml:space="preserve">为监狱企业</w:t>
      </w:r>
      <w:r>
        <w:rPr>
          <w:rFonts w:hint="eastAsia" w:ascii="宋体" w:hAnsi="宋体" w:eastAsia="宋体" w:cs="宋体"/>
          <w:b/>
          <w:color w:val="auto"/>
          <w:sz w:val="24"/>
          <w:highlight w:val="none"/>
        </w:rPr>
        <w:t xml:space="preserve">需</w:t>
      </w:r>
      <w:r>
        <w:rPr>
          <w:rFonts w:ascii="宋体" w:hAnsi="宋体" w:eastAsia="宋体" w:cs="宋体"/>
          <w:b/>
          <w:color w:val="auto"/>
          <w:sz w:val="24"/>
          <w:highlight w:val="none"/>
        </w:rPr>
        <w:t xml:space="preserve">提供相关证明文件）</w:t>
      </w:r>
      <w:r/>
    </w:p>
    <w:p>
      <w:pPr>
        <w:ind w:right="112"/>
        <w:jc w:val="both"/>
        <w:spacing w:before="154"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提供由省级以上监狱管理局、戒毒管理局</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含新疆生产建设兵团</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出具的属于监狱企业的证明文件。</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112"/>
        <w:jc w:val="both"/>
        <w:spacing w:before="154" w:after="290"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right="112"/>
        <w:jc w:val="both"/>
        <w:spacing w:before="154" w:after="29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附件十</w:t>
      </w:r>
      <w:r>
        <w:rPr>
          <w:rFonts w:hint="eastAsia" w:ascii="宋体" w:hAnsi="宋体" w:eastAsia="宋体" w:cs="宋体"/>
          <w:b/>
          <w:color w:val="auto"/>
          <w:sz w:val="24"/>
          <w:highlight w:val="none"/>
        </w:rPr>
        <w:t xml:space="preserve">四</w:t>
      </w:r>
      <w:r>
        <w:rPr>
          <w:rFonts w:ascii="宋体" w:hAnsi="宋体" w:eastAsia="宋体" w:cs="宋体"/>
          <w:b/>
          <w:color w:val="auto"/>
          <w:sz w:val="24"/>
          <w:highlight w:val="none"/>
        </w:rPr>
        <w:t xml:space="preserve">、节能产品认证文件（如有</w:t>
      </w:r>
      <w:r>
        <w:rPr>
          <w:rFonts w:hint="eastAsia" w:ascii="宋体" w:hAnsi="宋体" w:eastAsia="宋体" w:cs="宋体"/>
          <w:b/>
          <w:color w:val="auto"/>
          <w:sz w:val="24"/>
          <w:highlight w:val="none"/>
        </w:rPr>
        <w:t xml:space="preserve">需</w:t>
      </w:r>
      <w:r>
        <w:rPr>
          <w:rFonts w:ascii="宋体" w:hAnsi="宋体" w:eastAsia="宋体" w:cs="宋体"/>
          <w:b/>
          <w:color w:val="auto"/>
          <w:sz w:val="24"/>
          <w:highlight w:val="none"/>
        </w:rPr>
        <w:t xml:space="preserve">提供）</w:t>
      </w:r>
      <w:r/>
    </w:p>
    <w:p>
      <w:pPr>
        <w:jc w:val="both"/>
        <w:spacing w:before="154"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以提供经国家确定的认证机构出具的、处于有效期之内的节能产品认证证书</w:t>
      </w:r>
      <w:r>
        <w:rPr>
          <w:rFonts w:hint="eastAsia" w:ascii="宋体" w:hAnsi="宋体" w:eastAsia="宋体" w:cs="宋体"/>
          <w:color w:val="auto"/>
          <w:highlight w:val="none"/>
        </w:rPr>
        <w:t xml:space="preserve">扫描件</w:t>
      </w:r>
      <w:r>
        <w:rPr>
          <w:rFonts w:ascii="宋体" w:hAnsi="宋体" w:eastAsia="宋体" w:cs="宋体"/>
          <w:color w:val="auto"/>
          <w:highlight w:val="none"/>
        </w:rPr>
        <w:t xml:space="preserve">为准。</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112"/>
        <w:jc w:val="both"/>
        <w:spacing w:before="154" w:after="290"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right="112"/>
        <w:jc w:val="both"/>
        <w:spacing w:before="154" w:after="29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附件十</w:t>
      </w:r>
      <w:r>
        <w:rPr>
          <w:rFonts w:hint="eastAsia" w:ascii="宋体" w:hAnsi="宋体" w:eastAsia="宋体" w:cs="宋体"/>
          <w:b/>
          <w:color w:val="auto"/>
          <w:sz w:val="24"/>
          <w:highlight w:val="none"/>
        </w:rPr>
        <w:t xml:space="preserve">五</w:t>
      </w:r>
      <w:r>
        <w:rPr>
          <w:rFonts w:ascii="宋体" w:hAnsi="宋体" w:eastAsia="宋体" w:cs="宋体"/>
          <w:b/>
          <w:color w:val="auto"/>
          <w:sz w:val="24"/>
          <w:highlight w:val="none"/>
        </w:rPr>
        <w:t xml:space="preserve">、环境标志产品认证文件（如有</w:t>
      </w:r>
      <w:r>
        <w:rPr>
          <w:rFonts w:hint="eastAsia" w:ascii="宋体" w:hAnsi="宋体" w:eastAsia="宋体" w:cs="宋体"/>
          <w:b/>
          <w:color w:val="auto"/>
          <w:sz w:val="24"/>
          <w:highlight w:val="none"/>
        </w:rPr>
        <w:t xml:space="preserve">需</w:t>
      </w:r>
      <w:r>
        <w:rPr>
          <w:rFonts w:ascii="宋体" w:hAnsi="宋体" w:eastAsia="宋体" w:cs="宋体"/>
          <w:b/>
          <w:color w:val="auto"/>
          <w:sz w:val="24"/>
          <w:highlight w:val="none"/>
        </w:rPr>
        <w:t xml:space="preserve">提供）</w:t>
      </w:r>
      <w:r/>
    </w:p>
    <w:p>
      <w:pPr>
        <w:ind w:right="112"/>
        <w:jc w:val="both"/>
        <w:spacing w:before="154"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以提供经国家确定的认证机构出具的、处于有效期之内的环境标志产品认证证书</w:t>
      </w:r>
      <w:r>
        <w:rPr>
          <w:rFonts w:hint="eastAsia" w:ascii="宋体" w:hAnsi="宋体" w:eastAsia="宋体" w:cs="宋体"/>
          <w:color w:val="auto"/>
          <w:highlight w:val="none"/>
        </w:rPr>
        <w:t xml:space="preserve">扫描件</w:t>
      </w:r>
      <w:r>
        <w:rPr>
          <w:rFonts w:ascii="宋体" w:hAnsi="宋体" w:eastAsia="宋体" w:cs="宋体"/>
          <w:color w:val="auto"/>
          <w:highlight w:val="none"/>
        </w:rPr>
        <w:t xml:space="preserve">为准。</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br w:type="page" w:clear="all"/>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附件十六、</w:t>
      </w:r>
      <w:r>
        <w:rPr>
          <w:rFonts w:ascii="宋体" w:hAnsi="宋体" w:eastAsia="宋体" w:cs="宋体"/>
          <w:b/>
          <w:color w:val="auto"/>
          <w:sz w:val="24"/>
          <w:highlight w:val="none"/>
        </w:rPr>
        <w:t xml:space="preserve">其他</w:t>
      </w:r>
      <w:r/>
    </w:p>
    <w:p>
      <w:pPr>
        <w:ind w:right="633"/>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right="633"/>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（根据采购文件规定的打分细则对应提供相关证明材料等，格式自拟）</w:t>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w:t>
      </w:r>
      <w:r>
        <w:rPr>
          <w:rFonts w:hint="eastAsia" w:ascii="宋体" w:hAnsi="宋体" w:eastAsia="宋体" w:cs="宋体"/>
          <w:b/>
          <w:color w:val="auto"/>
          <w:sz w:val="24"/>
          <w:highlight w:val="none"/>
        </w:rPr>
        <w:t xml:space="preserve">十七</w:t>
      </w:r>
      <w:r>
        <w:rPr>
          <w:rFonts w:ascii="宋体" w:hAnsi="宋体" w:eastAsia="宋体" w:cs="宋体"/>
          <w:b/>
          <w:color w:val="auto"/>
          <w:sz w:val="24"/>
          <w:highlight w:val="none"/>
        </w:rPr>
        <w:t xml:space="preserve">、技术部分</w:t>
      </w:r>
      <w:r/>
    </w:p>
    <w:p>
      <w:pPr>
        <w:ind w:right="633"/>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（技术部分应根据采购人对项目的要求、评标标准的要求及项目本身的特点编写）</w:t>
      </w:r>
      <w:r/>
    </w:p>
    <w:p>
      <w:pPr>
        <w:ind w:right="633"/>
        <w:spacing w:before="240" w:after="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附件十八、相关承诺</w:t>
      </w:r>
      <w:r/>
    </w:p>
    <w:p>
      <w:pPr>
        <w:pStyle w:val="960"/>
        <w:ind w:left="0" w:right="147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（该部分根据采购文件要求提供，格式自拟）</w:t>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left="0" w:right="1470"/>
        <w:rPr>
          <w:rFonts w:hint="eastAsia" w:ascii="宋体" w:hAnsi="宋体" w:eastAsia="宋体" w:cs="宋体"/>
          <w:b/>
          <w:color w:val="auto"/>
          <w:highlight w:val="none"/>
        </w:rPr>
      </w:pPr>
      <w:r>
        <w:rPr>
          <w:rFonts w:hint="eastAsia" w:ascii="宋体" w:hAnsi="宋体" w:eastAsia="宋体" w:cs="宋体"/>
          <w:b/>
          <w:color w:val="auto"/>
          <w:highlight w:val="none"/>
        </w:rPr>
      </w:r>
      <w:bookmarkEnd w:id="42"/>
      <w:r/>
      <w:r/>
    </w:p>
    <w:sectPr>
      <w:footerReference w:type="default" r:id="rId13"/>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仿宋">
    <w:panose1 w:val="02010609060101010101"/>
  </w:font>
  <w:font w:name="Songti SC">
    <w:panose1 w:val="020B0503020202020204"/>
  </w:font>
  <w:font w:name="Calibri">
    <w:panose1 w:val="020F0502020204030204"/>
  </w:font>
  <w:font w:name="Helvetica Neue">
    <w:panose1 w:val="020B0503020202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25</w:t>
    </w:r>
    <w:r>
      <w:rPr>
        <w:lang w:val="zh-CN"/>
      </w:rPr>
      <w:fldChar w:fldCharType="end"/>
    </w:r>
    <w:r/>
  </w:p>
  <w:p>
    <w:pPr>
      <w:spacing w:line="1" w:lineRule="exac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9790430</wp:posOffset>
              </wp:positionV>
              <wp:extent cx="108585" cy="123825"/>
              <wp:effectExtent l="0" t="0" r="0" b="0"/>
              <wp:wrapNone/>
              <wp:docPr id="1" name="文本框 1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8585" cy="123825"/>
                      </a:xfrm>
                      <a:prstGeom prst="rect">
                        <a:avLst/>
                      </a:prstGeom>
                      <a:noFill/>
                      <a:ln>
                        <a:noFill/>
                      </a:ln>
                      <a:effectLst/>
                    </wps:spPr>
                    <wps:txbx>
                      <w:txbxContent>
                        <w:p>
                          <w:pPr>
                            <w:pStyle w:val="1153"/>
                          </w:pPr>
                          <w:r>
                            <w:fldChar w:fldCharType="begin"/>
                          </w:r>
                          <w:r>
                            <w:instrText xml:space="preserve"> PAGE \* MERGEFORMAT </w:instrText>
                          </w:r>
                          <w:r>
                            <w:fldChar w:fldCharType="separate"/>
                          </w:r>
                          <w:r>
                            <w:t xml:space="preserve">19</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page;margin-left:291.1pt;mso-position-horizontal:absolute;mso-position-vertical-relative:page;margin-top:770.9pt;mso-position-vertical:absolute;width:8.5pt;height:9.8pt;mso-wrap-distance-left:9.0pt;mso-wrap-distance-top:0.0pt;mso-wrap-distance-right:9.0pt;mso-wrap-distance-bottom:0.0pt;v-text-anchor:top;visibility:visible;" filled="f" stroked="f">
              <v:textbox inset="0,0,0,0">
                <w:txbxContent>
                  <w:p>
                    <w:pPr>
                      <w:pStyle w:val="115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tabs>
          <w:tab w:val="left" w:pos="360" w:leader="none"/>
        </w:tabs>
      </w:pPr>
    </w:lvl>
    <w:lvl w:ilvl="1">
      <w:start w:val="1"/>
      <w:numFmt w:val="decimal"/>
      <w:pStyle w:val="955"/>
      <w:isLgl w:val="false"/>
      <w:suff w:val="nothing"/>
      <w:lvlText w:val="%1%2　"/>
      <w:lvlJc w:val="left"/>
      <w:pPr>
        <w:ind w:left="0" w:firstLine="0"/>
      </w:pPr>
      <w:rPr>
        <w:rFonts w:hint="eastAsia" w:ascii="Tahoma" w:hAnsi="Tahoma" w:eastAsia="Tahoma"/>
        <w:b/>
        <w:i w:val="0"/>
        <w:sz w:val="21"/>
      </w:rPr>
    </w:lvl>
    <w:lvl w:ilvl="2">
      <w:start w:val="1"/>
      <w:numFmt w:val="decimal"/>
      <w:pStyle w:val="95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876"/>
    <w:link w:val="867"/>
    <w:uiPriority w:val="9"/>
    <w:rPr>
      <w:rFonts w:ascii="Arial" w:hAnsi="Arial" w:eastAsia="Arial" w:cs="Arial"/>
      <w:sz w:val="40"/>
      <w:szCs w:val="40"/>
    </w:rPr>
  </w:style>
  <w:style w:type="character" w:styleId="830">
    <w:name w:val="Heading 2 Char"/>
    <w:basedOn w:val="876"/>
    <w:link w:val="868"/>
    <w:uiPriority w:val="9"/>
    <w:rPr>
      <w:rFonts w:ascii="Arial" w:hAnsi="Arial" w:eastAsia="Arial" w:cs="Arial"/>
      <w:sz w:val="34"/>
    </w:rPr>
  </w:style>
  <w:style w:type="character" w:styleId="831">
    <w:name w:val="Heading 3 Char"/>
    <w:basedOn w:val="876"/>
    <w:link w:val="869"/>
    <w:uiPriority w:val="9"/>
    <w:rPr>
      <w:rFonts w:ascii="Arial" w:hAnsi="Arial" w:eastAsia="Arial" w:cs="Arial"/>
      <w:sz w:val="30"/>
      <w:szCs w:val="30"/>
    </w:rPr>
  </w:style>
  <w:style w:type="character" w:styleId="832">
    <w:name w:val="Heading 4 Char"/>
    <w:basedOn w:val="876"/>
    <w:link w:val="870"/>
    <w:uiPriority w:val="9"/>
    <w:rPr>
      <w:rFonts w:ascii="Arial" w:hAnsi="Arial" w:eastAsia="Arial" w:cs="Arial"/>
      <w:b/>
      <w:bCs/>
      <w:sz w:val="26"/>
      <w:szCs w:val="26"/>
    </w:rPr>
  </w:style>
  <w:style w:type="character" w:styleId="833">
    <w:name w:val="Heading 5 Char"/>
    <w:basedOn w:val="876"/>
    <w:link w:val="871"/>
    <w:uiPriority w:val="9"/>
    <w:rPr>
      <w:rFonts w:ascii="Arial" w:hAnsi="Arial" w:eastAsia="Arial" w:cs="Arial"/>
      <w:b/>
      <w:bCs/>
      <w:sz w:val="24"/>
      <w:szCs w:val="24"/>
    </w:rPr>
  </w:style>
  <w:style w:type="character" w:styleId="834">
    <w:name w:val="Heading 6 Char"/>
    <w:basedOn w:val="876"/>
    <w:link w:val="872"/>
    <w:uiPriority w:val="9"/>
    <w:rPr>
      <w:rFonts w:ascii="Arial" w:hAnsi="Arial" w:eastAsia="Arial" w:cs="Arial"/>
      <w:b/>
      <w:bCs/>
      <w:sz w:val="22"/>
      <w:szCs w:val="22"/>
    </w:rPr>
  </w:style>
  <w:style w:type="character" w:styleId="835">
    <w:name w:val="Heading 7 Char"/>
    <w:basedOn w:val="876"/>
    <w:link w:val="873"/>
    <w:uiPriority w:val="9"/>
    <w:rPr>
      <w:rFonts w:ascii="Arial" w:hAnsi="Arial" w:eastAsia="Arial" w:cs="Arial"/>
      <w:b/>
      <w:bCs/>
      <w:i/>
      <w:iCs/>
      <w:sz w:val="22"/>
      <w:szCs w:val="22"/>
    </w:rPr>
  </w:style>
  <w:style w:type="character" w:styleId="836">
    <w:name w:val="Heading 8 Char"/>
    <w:basedOn w:val="876"/>
    <w:link w:val="874"/>
    <w:uiPriority w:val="9"/>
    <w:rPr>
      <w:rFonts w:ascii="Arial" w:hAnsi="Arial" w:eastAsia="Arial" w:cs="Arial"/>
      <w:i/>
      <w:iCs/>
      <w:sz w:val="22"/>
      <w:szCs w:val="22"/>
    </w:rPr>
  </w:style>
  <w:style w:type="character" w:styleId="837">
    <w:name w:val="Heading 9 Char"/>
    <w:basedOn w:val="876"/>
    <w:link w:val="875"/>
    <w:uiPriority w:val="9"/>
    <w:rPr>
      <w:rFonts w:ascii="Arial" w:hAnsi="Arial" w:eastAsia="Arial" w:cs="Arial"/>
      <w:i/>
      <w:iCs/>
      <w:sz w:val="21"/>
      <w:szCs w:val="21"/>
    </w:rPr>
  </w:style>
  <w:style w:type="character" w:styleId="838">
    <w:name w:val="Title Char"/>
    <w:basedOn w:val="876"/>
    <w:link w:val="898"/>
    <w:uiPriority w:val="10"/>
    <w:rPr>
      <w:sz w:val="48"/>
      <w:szCs w:val="48"/>
    </w:rPr>
  </w:style>
  <w:style w:type="character" w:styleId="839">
    <w:name w:val="Subtitle Char"/>
    <w:basedOn w:val="876"/>
    <w:link w:val="892"/>
    <w:uiPriority w:val="11"/>
    <w:rPr>
      <w:sz w:val="24"/>
      <w:szCs w:val="24"/>
    </w:rPr>
  </w:style>
  <w:style w:type="character" w:styleId="840">
    <w:name w:val="Quote Char"/>
    <w:link w:val="919"/>
    <w:uiPriority w:val="29"/>
    <w:rPr>
      <w:i/>
    </w:rPr>
  </w:style>
  <w:style w:type="character" w:styleId="841">
    <w:name w:val="Intense Quote Char"/>
    <w:link w:val="921"/>
    <w:uiPriority w:val="30"/>
    <w:rPr>
      <w:i/>
    </w:rPr>
  </w:style>
  <w:style w:type="character" w:styleId="842">
    <w:name w:val="Header Char"/>
    <w:basedOn w:val="876"/>
    <w:link w:val="889"/>
    <w:uiPriority w:val="99"/>
  </w:style>
  <w:style w:type="character" w:styleId="843">
    <w:name w:val="Caption Char"/>
    <w:basedOn w:val="880"/>
    <w:link w:val="888"/>
    <w:uiPriority w:val="99"/>
  </w:style>
  <w:style w:type="table" w:styleId="844">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3">
    <w:name w:val="Footnote Text Char"/>
    <w:link w:val="893"/>
    <w:uiPriority w:val="99"/>
    <w:rPr>
      <w:sz w:val="18"/>
    </w:rPr>
  </w:style>
  <w:style w:type="character" w:styleId="864">
    <w:name w:val="Endnote Text Char"/>
    <w:link w:val="887"/>
    <w:uiPriority w:val="99"/>
    <w:rPr>
      <w:sz w:val="20"/>
    </w:rPr>
  </w:style>
  <w:style w:type="paragraph" w:styleId="865">
    <w:name w:val="TOC Heading"/>
    <w:uiPriority w:val="39"/>
    <w:unhideWhenUsed/>
  </w:style>
  <w:style w:type="paragraph" w:styleId="866" w:default="1">
    <w:name w:val="Normal"/>
    <w:uiPriority w:val="0"/>
    <w:qFormat/>
    <w:rPr>
      <w:rFonts w:ascii="Times New Roman" w:hAnsi="Times New Roman" w:eastAsia="Arial" w:cs="Times New Roman"/>
      <w:sz w:val="21"/>
      <w:szCs w:val="22"/>
      <w:lang w:val="en-US" w:eastAsia="zh-CN" w:bidi="ar-SA"/>
    </w:rPr>
  </w:style>
  <w:style w:type="paragraph" w:styleId="867">
    <w:name w:val="Heading 1"/>
    <w:basedOn w:val="866"/>
    <w:next w:val="866"/>
    <w:link w:val="906"/>
    <w:uiPriority w:val="9"/>
    <w:qFormat/>
    <w:pPr>
      <w:keepLines/>
      <w:keepNext/>
      <w:spacing w:before="480" w:after="200"/>
      <w:outlineLvl w:val="0"/>
    </w:pPr>
    <w:rPr>
      <w:rFonts w:ascii="Arial" w:hAnsi="Arial" w:cs="Arial"/>
      <w:sz w:val="40"/>
      <w:szCs w:val="40"/>
    </w:rPr>
  </w:style>
  <w:style w:type="paragraph" w:styleId="868">
    <w:name w:val="Heading 2"/>
    <w:basedOn w:val="866"/>
    <w:next w:val="866"/>
    <w:link w:val="907"/>
    <w:uiPriority w:val="9"/>
    <w:unhideWhenUsed/>
    <w:qFormat/>
    <w:pPr>
      <w:keepLines/>
      <w:keepNext/>
      <w:spacing w:before="360" w:after="200"/>
      <w:outlineLvl w:val="1"/>
    </w:pPr>
    <w:rPr>
      <w:rFonts w:ascii="Arial" w:hAnsi="Arial" w:cs="Arial"/>
      <w:sz w:val="34"/>
    </w:rPr>
  </w:style>
  <w:style w:type="paragraph" w:styleId="869">
    <w:name w:val="Heading 3"/>
    <w:basedOn w:val="866"/>
    <w:next w:val="866"/>
    <w:link w:val="908"/>
    <w:uiPriority w:val="9"/>
    <w:unhideWhenUsed/>
    <w:qFormat/>
    <w:pPr>
      <w:keepLines/>
      <w:keepNext/>
      <w:spacing w:before="320" w:after="200"/>
      <w:outlineLvl w:val="2"/>
    </w:pPr>
    <w:rPr>
      <w:rFonts w:ascii="Arial" w:hAnsi="Arial" w:cs="Arial"/>
      <w:sz w:val="30"/>
      <w:szCs w:val="30"/>
    </w:rPr>
  </w:style>
  <w:style w:type="paragraph" w:styleId="870">
    <w:name w:val="Heading 4"/>
    <w:basedOn w:val="866"/>
    <w:next w:val="866"/>
    <w:link w:val="909"/>
    <w:uiPriority w:val="9"/>
    <w:unhideWhenUsed/>
    <w:qFormat/>
    <w:pPr>
      <w:keepLines/>
      <w:keepNext/>
      <w:spacing w:before="320" w:after="200"/>
      <w:outlineLvl w:val="3"/>
    </w:pPr>
    <w:rPr>
      <w:rFonts w:ascii="Arial" w:hAnsi="Arial" w:cs="Arial"/>
      <w:b/>
      <w:bCs/>
      <w:sz w:val="26"/>
      <w:szCs w:val="26"/>
    </w:rPr>
  </w:style>
  <w:style w:type="paragraph" w:styleId="871">
    <w:name w:val="Heading 5"/>
    <w:basedOn w:val="866"/>
    <w:next w:val="866"/>
    <w:link w:val="910"/>
    <w:uiPriority w:val="9"/>
    <w:unhideWhenUsed/>
    <w:qFormat/>
    <w:pPr>
      <w:keepLines/>
      <w:keepNext/>
      <w:spacing w:before="320" w:after="200"/>
      <w:outlineLvl w:val="4"/>
    </w:pPr>
    <w:rPr>
      <w:rFonts w:ascii="Arial" w:hAnsi="Arial" w:cs="Arial"/>
      <w:b/>
      <w:bCs/>
      <w:sz w:val="24"/>
      <w:szCs w:val="24"/>
    </w:rPr>
  </w:style>
  <w:style w:type="paragraph" w:styleId="872">
    <w:name w:val="Heading 6"/>
    <w:basedOn w:val="866"/>
    <w:next w:val="866"/>
    <w:link w:val="911"/>
    <w:uiPriority w:val="9"/>
    <w:unhideWhenUsed/>
    <w:qFormat/>
    <w:pPr>
      <w:keepLines/>
      <w:keepNext/>
      <w:spacing w:before="320" w:after="200"/>
      <w:outlineLvl w:val="5"/>
    </w:pPr>
    <w:rPr>
      <w:rFonts w:ascii="Arial" w:hAnsi="Arial" w:cs="Arial"/>
      <w:b/>
      <w:bCs/>
      <w:sz w:val="22"/>
    </w:rPr>
  </w:style>
  <w:style w:type="paragraph" w:styleId="873">
    <w:name w:val="Heading 7"/>
    <w:basedOn w:val="866"/>
    <w:next w:val="866"/>
    <w:link w:val="912"/>
    <w:uiPriority w:val="9"/>
    <w:unhideWhenUsed/>
    <w:qFormat/>
    <w:pPr>
      <w:keepLines/>
      <w:keepNext/>
      <w:spacing w:before="320" w:after="200"/>
      <w:outlineLvl w:val="6"/>
    </w:pPr>
    <w:rPr>
      <w:rFonts w:ascii="Arial" w:hAnsi="Arial" w:cs="Arial"/>
      <w:b/>
      <w:bCs/>
      <w:i/>
      <w:iCs/>
      <w:sz w:val="22"/>
    </w:rPr>
  </w:style>
  <w:style w:type="paragraph" w:styleId="874">
    <w:name w:val="Heading 8"/>
    <w:basedOn w:val="866"/>
    <w:next w:val="866"/>
    <w:link w:val="913"/>
    <w:uiPriority w:val="9"/>
    <w:unhideWhenUsed/>
    <w:qFormat/>
    <w:pPr>
      <w:keepLines/>
      <w:keepNext/>
      <w:spacing w:before="320" w:after="200"/>
      <w:outlineLvl w:val="7"/>
    </w:pPr>
    <w:rPr>
      <w:rFonts w:ascii="Arial" w:hAnsi="Arial" w:cs="Arial"/>
      <w:i/>
      <w:iCs/>
      <w:sz w:val="22"/>
    </w:rPr>
  </w:style>
  <w:style w:type="paragraph" w:styleId="875">
    <w:name w:val="Heading 9"/>
    <w:basedOn w:val="866"/>
    <w:next w:val="866"/>
    <w:link w:val="914"/>
    <w:uiPriority w:val="9"/>
    <w:unhideWhenUsed/>
    <w:qFormat/>
    <w:pPr>
      <w:keepLines/>
      <w:keepNext/>
      <w:spacing w:before="320" w:after="200"/>
      <w:outlineLvl w:val="8"/>
    </w:pPr>
    <w:rPr>
      <w:rFonts w:ascii="Arial" w:hAnsi="Arial" w:cs="Arial"/>
      <w:i/>
      <w:iCs/>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spacing w:after="57"/>
    </w:pPr>
  </w:style>
  <w:style w:type="paragraph" w:styleId="879">
    <w:name w:val="Normal Indent"/>
    <w:basedOn w:val="866"/>
    <w:uiPriority w:val="99"/>
    <w:qFormat/>
    <w:pPr>
      <w:ind w:firstLine="420"/>
    </w:pPr>
    <w:rPr>
      <w:szCs w:val="20"/>
    </w:rPr>
  </w:style>
  <w:style w:type="paragraph" w:styleId="880">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1">
    <w:name w:val="annotation text"/>
    <w:basedOn w:val="866"/>
    <w:link w:val="1154"/>
    <w:uiPriority w:val="99"/>
    <w:semiHidden/>
    <w:unhideWhenUsed/>
    <w:qFormat/>
  </w:style>
  <w:style w:type="paragraph" w:styleId="882">
    <w:name w:val="Body Text"/>
    <w:basedOn w:val="866"/>
    <w:uiPriority w:val="0"/>
    <w:qFormat/>
    <w:pPr>
      <w:ind w:left="118"/>
      <w:spacing w:before="34"/>
    </w:pPr>
    <w:rPr>
      <w:rFonts w:ascii="宋体" w:hAnsi="宋体" w:eastAsia="宋体"/>
      <w:sz w:val="24"/>
      <w:szCs w:val="24"/>
      <w:lang w:val="zh-CN"/>
    </w:rPr>
  </w:style>
  <w:style w:type="paragraph" w:styleId="883">
    <w:name w:val="index 4"/>
    <w:basedOn w:val="866"/>
    <w:next w:val="866"/>
    <w:uiPriority w:val="99"/>
    <w:unhideWhenUsed/>
    <w:qFormat/>
    <w:pPr>
      <w:ind w:left="600"/>
    </w:pPr>
    <w:rPr>
      <w:rFonts w:ascii="宋体"/>
      <w:b/>
      <w:position w:val="-10"/>
      <w:sz w:val="24"/>
      <w:szCs w:val="20"/>
    </w:rPr>
  </w:style>
  <w:style w:type="paragraph" w:styleId="884">
    <w:name w:val="toc 5"/>
    <w:basedOn w:val="866"/>
    <w:next w:val="866"/>
    <w:uiPriority w:val="39"/>
    <w:unhideWhenUsed/>
    <w:qFormat/>
    <w:pPr>
      <w:ind w:left="1134"/>
      <w:spacing w:after="57"/>
    </w:pPr>
  </w:style>
  <w:style w:type="paragraph" w:styleId="885">
    <w:name w:val="toc 3"/>
    <w:basedOn w:val="866"/>
    <w:next w:val="866"/>
    <w:uiPriority w:val="39"/>
    <w:unhideWhenUsed/>
    <w:qFormat/>
    <w:pPr>
      <w:ind w:left="567"/>
      <w:spacing w:after="57"/>
    </w:pPr>
  </w:style>
  <w:style w:type="paragraph" w:styleId="886">
    <w:name w:val="toc 8"/>
    <w:basedOn w:val="866"/>
    <w:next w:val="866"/>
    <w:uiPriority w:val="39"/>
    <w:unhideWhenUsed/>
    <w:qFormat/>
    <w:pPr>
      <w:ind w:left="1984"/>
      <w:spacing w:after="57"/>
    </w:pPr>
  </w:style>
  <w:style w:type="paragraph" w:styleId="887">
    <w:name w:val="endnote text"/>
    <w:basedOn w:val="866"/>
    <w:link w:val="927"/>
    <w:uiPriority w:val="99"/>
    <w:semiHidden/>
    <w:unhideWhenUsed/>
    <w:qFormat/>
    <w:rPr>
      <w:sz w:val="20"/>
    </w:rPr>
  </w:style>
  <w:style w:type="paragraph" w:styleId="888">
    <w:name w:val="Footer"/>
    <w:basedOn w:val="866"/>
    <w:link w:val="925"/>
    <w:uiPriority w:val="99"/>
    <w:unhideWhenUsed/>
    <w:qFormat/>
    <w:pPr>
      <w:tabs>
        <w:tab w:val="center" w:pos="7143" w:leader="none"/>
        <w:tab w:val="right" w:pos="14287" w:leader="none"/>
      </w:tabs>
    </w:pPr>
  </w:style>
  <w:style w:type="paragraph" w:styleId="889">
    <w:name w:val="Header"/>
    <w:basedOn w:val="866"/>
    <w:link w:val="923"/>
    <w:uiPriority w:val="99"/>
    <w:unhideWhenUsed/>
    <w:qFormat/>
    <w:pPr>
      <w:tabs>
        <w:tab w:val="center" w:pos="7143" w:leader="none"/>
        <w:tab w:val="right" w:pos="14287" w:leader="none"/>
      </w:tabs>
    </w:pPr>
  </w:style>
  <w:style w:type="paragraph" w:styleId="890">
    <w:name w:val="toc 1"/>
    <w:basedOn w:val="866"/>
    <w:next w:val="866"/>
    <w:uiPriority w:val="39"/>
    <w:unhideWhenUsed/>
    <w:qFormat/>
    <w:pPr>
      <w:spacing w:after="57"/>
    </w:pPr>
  </w:style>
  <w:style w:type="paragraph" w:styleId="891">
    <w:name w:val="toc 4"/>
    <w:basedOn w:val="866"/>
    <w:next w:val="866"/>
    <w:uiPriority w:val="39"/>
    <w:unhideWhenUsed/>
    <w:qFormat/>
    <w:pPr>
      <w:ind w:left="850"/>
      <w:spacing w:after="57"/>
    </w:pPr>
  </w:style>
  <w:style w:type="paragraph" w:styleId="892">
    <w:name w:val="Subtitle"/>
    <w:basedOn w:val="866"/>
    <w:next w:val="866"/>
    <w:link w:val="918"/>
    <w:uiPriority w:val="11"/>
    <w:qFormat/>
    <w:pPr>
      <w:spacing w:before="200" w:after="200"/>
    </w:pPr>
    <w:rPr>
      <w:sz w:val="24"/>
      <w:szCs w:val="24"/>
    </w:rPr>
  </w:style>
  <w:style w:type="paragraph" w:styleId="893">
    <w:name w:val="footnote text"/>
    <w:basedOn w:val="866"/>
    <w:link w:val="926"/>
    <w:uiPriority w:val="99"/>
    <w:semiHidden/>
    <w:unhideWhenUsed/>
    <w:qFormat/>
    <w:pPr>
      <w:spacing w:after="40"/>
    </w:pPr>
    <w:rPr>
      <w:sz w:val="18"/>
    </w:rPr>
  </w:style>
  <w:style w:type="paragraph" w:styleId="894">
    <w:name w:val="toc 6"/>
    <w:basedOn w:val="866"/>
    <w:next w:val="866"/>
    <w:uiPriority w:val="39"/>
    <w:unhideWhenUsed/>
    <w:qFormat/>
    <w:pPr>
      <w:ind w:left="1417"/>
      <w:spacing w:after="57"/>
    </w:pPr>
  </w:style>
  <w:style w:type="paragraph" w:styleId="895">
    <w:name w:val="table of figures"/>
    <w:basedOn w:val="866"/>
    <w:next w:val="866"/>
    <w:uiPriority w:val="99"/>
    <w:unhideWhenUsed/>
    <w:qFormat/>
  </w:style>
  <w:style w:type="paragraph" w:styleId="896">
    <w:name w:val="toc 2"/>
    <w:basedOn w:val="866"/>
    <w:next w:val="866"/>
    <w:uiPriority w:val="39"/>
    <w:unhideWhenUsed/>
    <w:qFormat/>
    <w:pPr>
      <w:ind w:left="283"/>
      <w:spacing w:after="57"/>
    </w:pPr>
  </w:style>
  <w:style w:type="paragraph" w:styleId="897">
    <w:name w:val="toc 9"/>
    <w:basedOn w:val="866"/>
    <w:next w:val="866"/>
    <w:uiPriority w:val="39"/>
    <w:unhideWhenUsed/>
    <w:qFormat/>
    <w:pPr>
      <w:ind w:left="2268"/>
      <w:spacing w:after="57"/>
    </w:pPr>
  </w:style>
  <w:style w:type="paragraph" w:styleId="898">
    <w:name w:val="Title"/>
    <w:basedOn w:val="866"/>
    <w:next w:val="866"/>
    <w:link w:val="917"/>
    <w:uiPriority w:val="10"/>
    <w:qFormat/>
    <w:pPr>
      <w:contextualSpacing/>
      <w:spacing w:before="300" w:after="200"/>
    </w:pPr>
    <w:rPr>
      <w:sz w:val="48"/>
      <w:szCs w:val="48"/>
    </w:rPr>
  </w:style>
  <w:style w:type="paragraph" w:styleId="899">
    <w:name w:val="annotation subject"/>
    <w:basedOn w:val="881"/>
    <w:next w:val="881"/>
    <w:link w:val="1155"/>
    <w:uiPriority w:val="99"/>
    <w:semiHidden/>
    <w:unhideWhenUsed/>
    <w:qFormat/>
    <w:rPr>
      <w:b/>
      <w:bCs/>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annotation reference"/>
    <w:basedOn w:val="876"/>
    <w:uiPriority w:val="99"/>
    <w:semiHidden/>
    <w:unhideWhenUsed/>
    <w:qFormat/>
    <w:rPr>
      <w:sz w:val="21"/>
      <w:szCs w:val="21"/>
    </w:rPr>
  </w:style>
  <w:style w:type="character" w:styleId="904">
    <w:name w:val="footnote reference"/>
    <w:uiPriority w:val="99"/>
    <w:unhideWhenUsed/>
    <w:qFormat/>
    <w:rPr>
      <w:vertAlign w:val="superscript"/>
    </w:rPr>
  </w:style>
  <w:style w:type="paragraph" w:styleId="905" w:customStyle="1">
    <w:name w:val="Body Text First Indent1"/>
    <w:basedOn w:val="882"/>
    <w:uiPriority w:val="0"/>
    <w:qFormat/>
    <w:pPr>
      <w:ind w:firstLine="425"/>
    </w:pPr>
  </w:style>
  <w:style w:type="character" w:styleId="906" w:customStyle="1">
    <w:name w:val="标题 1 字符1"/>
    <w:link w:val="867"/>
    <w:uiPriority w:val="9"/>
    <w:qFormat/>
    <w:rPr>
      <w:rFonts w:ascii="Arial" w:hAnsi="Arial" w:eastAsia="Arial" w:cs="Arial"/>
      <w:sz w:val="40"/>
      <w:szCs w:val="40"/>
    </w:rPr>
  </w:style>
  <w:style w:type="character" w:styleId="907" w:customStyle="1">
    <w:name w:val="标题 2 字符1"/>
    <w:link w:val="868"/>
    <w:uiPriority w:val="9"/>
    <w:qFormat/>
    <w:rPr>
      <w:rFonts w:ascii="Arial" w:hAnsi="Arial" w:eastAsia="Arial" w:cs="Arial"/>
      <w:sz w:val="34"/>
    </w:rPr>
  </w:style>
  <w:style w:type="character" w:styleId="908" w:customStyle="1">
    <w:name w:val="标题 3 字符1"/>
    <w:link w:val="869"/>
    <w:uiPriority w:val="9"/>
    <w:qFormat/>
    <w:rPr>
      <w:rFonts w:ascii="Arial" w:hAnsi="Arial" w:eastAsia="Arial" w:cs="Arial"/>
      <w:sz w:val="30"/>
      <w:szCs w:val="30"/>
    </w:rPr>
  </w:style>
  <w:style w:type="character" w:styleId="909" w:customStyle="1">
    <w:name w:val="标题 4 字符1"/>
    <w:link w:val="870"/>
    <w:uiPriority w:val="9"/>
    <w:qFormat/>
    <w:rPr>
      <w:rFonts w:ascii="Arial" w:hAnsi="Arial" w:eastAsia="Arial" w:cs="Arial"/>
      <w:b/>
      <w:bCs/>
      <w:sz w:val="26"/>
      <w:szCs w:val="26"/>
    </w:rPr>
  </w:style>
  <w:style w:type="character" w:styleId="910" w:customStyle="1">
    <w:name w:val="标题 5 字符1"/>
    <w:link w:val="871"/>
    <w:uiPriority w:val="9"/>
    <w:qFormat/>
    <w:rPr>
      <w:rFonts w:ascii="Arial" w:hAnsi="Arial" w:eastAsia="Arial" w:cs="Arial"/>
      <w:b/>
      <w:bCs/>
      <w:sz w:val="24"/>
      <w:szCs w:val="24"/>
    </w:rPr>
  </w:style>
  <w:style w:type="character" w:styleId="911" w:customStyle="1">
    <w:name w:val="标题 6 字符1"/>
    <w:link w:val="872"/>
    <w:uiPriority w:val="9"/>
    <w:qFormat/>
    <w:rPr>
      <w:rFonts w:ascii="Arial" w:hAnsi="Arial" w:eastAsia="Arial" w:cs="Arial"/>
      <w:b/>
      <w:bCs/>
      <w:sz w:val="22"/>
      <w:szCs w:val="22"/>
    </w:rPr>
  </w:style>
  <w:style w:type="character" w:styleId="912" w:customStyle="1">
    <w:name w:val="标题 7 字符1"/>
    <w:link w:val="873"/>
    <w:uiPriority w:val="9"/>
    <w:qFormat/>
    <w:rPr>
      <w:rFonts w:ascii="Arial" w:hAnsi="Arial" w:eastAsia="Arial" w:cs="Arial"/>
      <w:b/>
      <w:bCs/>
      <w:i/>
      <w:iCs/>
      <w:sz w:val="22"/>
      <w:szCs w:val="22"/>
    </w:rPr>
  </w:style>
  <w:style w:type="character" w:styleId="913" w:customStyle="1">
    <w:name w:val="标题 8 字符1"/>
    <w:link w:val="874"/>
    <w:uiPriority w:val="9"/>
    <w:qFormat/>
    <w:rPr>
      <w:rFonts w:ascii="Arial" w:hAnsi="Arial" w:eastAsia="Arial" w:cs="Arial"/>
      <w:i/>
      <w:iCs/>
      <w:sz w:val="22"/>
      <w:szCs w:val="22"/>
    </w:rPr>
  </w:style>
  <w:style w:type="character" w:styleId="914" w:customStyle="1">
    <w:name w:val="标题 9 字符1"/>
    <w:link w:val="875"/>
    <w:uiPriority w:val="9"/>
    <w:qFormat/>
    <w:rPr>
      <w:rFonts w:ascii="Arial" w:hAnsi="Arial" w:eastAsia="Arial" w:cs="Arial"/>
      <w:i/>
      <w:iCs/>
      <w:sz w:val="21"/>
      <w:szCs w:val="21"/>
    </w:rPr>
  </w:style>
  <w:style w:type="paragraph" w:styleId="915">
    <w:name w:val="List Paragraph"/>
    <w:basedOn w:val="866"/>
    <w:uiPriority w:val="34"/>
    <w:qFormat/>
    <w:pPr>
      <w:contextualSpacing/>
      <w:ind w:left="720"/>
    </w:pPr>
  </w:style>
  <w:style w:type="paragraph" w:styleId="916">
    <w:name w:val="No Spacing"/>
    <w:uiPriority w:val="1"/>
    <w:qFormat/>
    <w:rPr>
      <w:rFonts w:ascii="Times New Roman" w:hAnsi="Times New Roman" w:eastAsia="宋体" w:cs="Times New Roman"/>
      <w:lang w:val="en-US" w:eastAsia="zh-CN" w:bidi="ar-SA"/>
    </w:rPr>
  </w:style>
  <w:style w:type="character" w:styleId="917" w:customStyle="1">
    <w:name w:val="标题 字符1"/>
    <w:link w:val="898"/>
    <w:uiPriority w:val="10"/>
    <w:qFormat/>
    <w:rPr>
      <w:sz w:val="48"/>
      <w:szCs w:val="48"/>
    </w:rPr>
  </w:style>
  <w:style w:type="character" w:styleId="918" w:customStyle="1">
    <w:name w:val="副标题 字符1"/>
    <w:link w:val="892"/>
    <w:uiPriority w:val="11"/>
    <w:qFormat/>
    <w:rPr>
      <w:sz w:val="24"/>
      <w:szCs w:val="24"/>
    </w:rPr>
  </w:style>
  <w:style w:type="paragraph" w:styleId="919">
    <w:name w:val="Quote"/>
    <w:basedOn w:val="866"/>
    <w:next w:val="866"/>
    <w:link w:val="920"/>
    <w:uiPriority w:val="29"/>
    <w:qFormat/>
    <w:pPr>
      <w:ind w:left="720" w:right="720"/>
    </w:pPr>
    <w:rPr>
      <w:i/>
    </w:rPr>
  </w:style>
  <w:style w:type="character" w:styleId="920" w:customStyle="1">
    <w:name w:val="引用 字符1"/>
    <w:link w:val="919"/>
    <w:uiPriority w:val="29"/>
    <w:qFormat/>
    <w:rPr>
      <w:i/>
    </w:rPr>
  </w:style>
  <w:style w:type="paragraph" w:styleId="921">
    <w:name w:val="Intense Quote"/>
    <w:basedOn w:val="866"/>
    <w:next w:val="866"/>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1"/>
    <w:link w:val="921"/>
    <w:uiPriority w:val="30"/>
    <w:qFormat/>
    <w:rPr>
      <w:i/>
    </w:rPr>
  </w:style>
  <w:style w:type="character" w:styleId="923" w:customStyle="1">
    <w:name w:val="页眉 字符1"/>
    <w:link w:val="889"/>
    <w:uiPriority w:val="99"/>
    <w:qFormat/>
  </w:style>
  <w:style w:type="character" w:styleId="924" w:customStyle="1">
    <w:name w:val="Footer Char"/>
    <w:uiPriority w:val="99"/>
    <w:qFormat/>
  </w:style>
  <w:style w:type="character" w:styleId="925" w:customStyle="1">
    <w:name w:val="页脚 字符2"/>
    <w:link w:val="888"/>
    <w:uiPriority w:val="99"/>
    <w:qFormat/>
  </w:style>
  <w:style w:type="character" w:styleId="926" w:customStyle="1">
    <w:name w:val="脚注文本 字符1"/>
    <w:link w:val="893"/>
    <w:uiPriority w:val="99"/>
    <w:qFormat/>
    <w:rPr>
      <w:sz w:val="18"/>
    </w:rPr>
  </w:style>
  <w:style w:type="character" w:styleId="927" w:customStyle="1">
    <w:name w:val="尾注文本 字符1"/>
    <w:link w:val="887"/>
    <w:uiPriority w:val="99"/>
    <w:qFormat/>
    <w:rPr>
      <w:sz w:val="20"/>
    </w:rPr>
  </w:style>
  <w:style w:type="paragraph" w:styleId="928" w:customStyle="1">
    <w:name w:val="标题 11"/>
    <w:next w:val="866"/>
    <w:link w:val="939"/>
    <w:uiPriority w:val="9"/>
    <w:qFormat/>
    <w:pPr>
      <w:keepLines/>
      <w:keepNext/>
      <w:spacing w:before="480" w:after="200"/>
      <w:outlineLvl w:val="0"/>
    </w:pPr>
    <w:rPr>
      <w:rFonts w:ascii="Arial" w:hAnsi="Arial" w:eastAsia="Arial" w:cs="Times New Roman"/>
      <w:sz w:val="40"/>
      <w:szCs w:val="40"/>
      <w:lang w:val="en-US" w:eastAsia="zh-CN" w:bidi="ar-SA"/>
    </w:rPr>
  </w:style>
  <w:style w:type="paragraph" w:styleId="929" w:customStyle="1">
    <w:name w:val="标题 21"/>
    <w:basedOn w:val="866"/>
    <w:next w:val="866"/>
    <w:link w:val="940"/>
    <w:uiPriority w:val="9"/>
    <w:qFormat/>
    <w:pPr>
      <w:keepLines/>
      <w:keepNext/>
      <w:spacing w:before="360" w:after="200"/>
      <w:outlineLvl w:val="1"/>
    </w:pPr>
    <w:rPr>
      <w:rFonts w:ascii="Arial" w:hAnsi="Arial"/>
      <w:sz w:val="34"/>
    </w:rPr>
  </w:style>
  <w:style w:type="paragraph" w:styleId="930" w:customStyle="1">
    <w:name w:val="标题 31"/>
    <w:basedOn w:val="866"/>
    <w:next w:val="866"/>
    <w:link w:val="941"/>
    <w:uiPriority w:val="9"/>
    <w:qFormat/>
    <w:pPr>
      <w:keepLines/>
      <w:keepNext/>
      <w:spacing w:before="320" w:after="200"/>
      <w:outlineLvl w:val="2"/>
    </w:pPr>
    <w:rPr>
      <w:rFonts w:ascii="Arial" w:hAnsi="Arial"/>
      <w:sz w:val="30"/>
      <w:szCs w:val="30"/>
    </w:rPr>
  </w:style>
  <w:style w:type="paragraph" w:styleId="931" w:customStyle="1">
    <w:name w:val="标题 41"/>
    <w:basedOn w:val="866"/>
    <w:next w:val="866"/>
    <w:link w:val="942"/>
    <w:uiPriority w:val="9"/>
    <w:qFormat/>
    <w:pPr>
      <w:keepLines/>
      <w:keepNext/>
      <w:spacing w:before="320" w:after="200"/>
      <w:outlineLvl w:val="3"/>
    </w:pPr>
    <w:rPr>
      <w:rFonts w:ascii="Arial" w:hAnsi="Arial"/>
      <w:b/>
      <w:bCs/>
      <w:sz w:val="26"/>
      <w:szCs w:val="26"/>
    </w:rPr>
  </w:style>
  <w:style w:type="paragraph" w:styleId="932" w:customStyle="1">
    <w:name w:val="标题 51"/>
    <w:next w:val="866"/>
    <w:link w:val="943"/>
    <w:uiPriority w:val="9"/>
    <w:qFormat/>
    <w:pPr>
      <w:keepLines/>
      <w:keepNext/>
      <w:spacing w:before="320" w:after="200"/>
      <w:outlineLvl w:val="4"/>
    </w:pPr>
    <w:rPr>
      <w:rFonts w:ascii="Arial" w:hAnsi="Arial" w:eastAsia="Arial" w:cs="Times New Roman"/>
      <w:b/>
      <w:bCs/>
      <w:sz w:val="24"/>
      <w:szCs w:val="24"/>
      <w:lang w:val="en-US" w:eastAsia="zh-CN" w:bidi="ar-SA"/>
    </w:rPr>
  </w:style>
  <w:style w:type="paragraph" w:styleId="933" w:customStyle="1">
    <w:name w:val="标题 61"/>
    <w:next w:val="866"/>
    <w:link w:val="944"/>
    <w:uiPriority w:val="9"/>
    <w:qFormat/>
    <w:pPr>
      <w:keepLines/>
      <w:keepNext/>
      <w:spacing w:before="320" w:after="200"/>
      <w:outlineLvl w:val="5"/>
    </w:pPr>
    <w:rPr>
      <w:rFonts w:ascii="Arial" w:hAnsi="Arial" w:eastAsia="Arial" w:cs="Times New Roman"/>
      <w:b/>
      <w:bCs/>
      <w:sz w:val="22"/>
      <w:szCs w:val="22"/>
      <w:lang w:val="en-US" w:eastAsia="zh-CN" w:bidi="ar-SA"/>
    </w:rPr>
  </w:style>
  <w:style w:type="paragraph" w:styleId="934" w:customStyle="1">
    <w:name w:val="标题 71"/>
    <w:next w:val="866"/>
    <w:link w:val="945"/>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paragraph" w:styleId="935" w:customStyle="1">
    <w:name w:val="标题 81"/>
    <w:next w:val="866"/>
    <w:link w:val="946"/>
    <w:uiPriority w:val="9"/>
    <w:qFormat/>
    <w:pPr>
      <w:keepLines/>
      <w:keepNext/>
      <w:spacing w:before="320" w:after="200"/>
      <w:outlineLvl w:val="7"/>
    </w:pPr>
    <w:rPr>
      <w:rFonts w:ascii="Arial" w:hAnsi="Arial" w:eastAsia="Arial" w:cs="Times New Roman"/>
      <w:i/>
      <w:iCs/>
      <w:sz w:val="22"/>
      <w:szCs w:val="22"/>
      <w:lang w:val="en-US" w:eastAsia="zh-CN" w:bidi="ar-SA"/>
    </w:rPr>
  </w:style>
  <w:style w:type="paragraph" w:styleId="936" w:customStyle="1">
    <w:name w:val="标题 91"/>
    <w:next w:val="866"/>
    <w:link w:val="947"/>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937" w:customStyle="1">
    <w:name w:val="默认段落字体1"/>
    <w:uiPriority w:val="1"/>
    <w:unhideWhenUsed/>
    <w:qFormat/>
  </w:style>
  <w:style w:type="table" w:styleId="938" w:customStyle="1">
    <w:name w:val="普通表格11"/>
    <w:uiPriority w:val="99"/>
    <w:unhideWhenUsed/>
    <w:qFormat/>
    <w:tblPr>
      <w:tblCellMar>
        <w:left w:w="0" w:type="dxa"/>
        <w:top w:w="0" w:type="dxa"/>
        <w:right w:w="0" w:type="dxa"/>
        <w:bottom w:w="0" w:type="dxa"/>
      </w:tblCellMar>
    </w:tblPr>
  </w:style>
  <w:style w:type="character" w:styleId="939" w:customStyle="1">
    <w:name w:val="标题 1 字符"/>
    <w:link w:val="928"/>
    <w:uiPriority w:val="9"/>
    <w:qFormat/>
    <w:rPr>
      <w:rFonts w:ascii="Arial" w:hAnsi="Arial" w:eastAsia="Arial"/>
      <w:sz w:val="40"/>
      <w:szCs w:val="40"/>
      <w:lang w:bidi="ar-SA"/>
    </w:rPr>
  </w:style>
  <w:style w:type="character" w:styleId="940" w:customStyle="1">
    <w:name w:val="标题 2 字符"/>
    <w:link w:val="929"/>
    <w:uiPriority w:val="9"/>
    <w:qFormat/>
    <w:rPr>
      <w:rFonts w:ascii="Arial" w:hAnsi="Arial" w:eastAsia="Arial"/>
      <w:sz w:val="34"/>
      <w:lang w:bidi="ar-SA"/>
    </w:rPr>
  </w:style>
  <w:style w:type="character" w:styleId="941" w:customStyle="1">
    <w:name w:val="标题 3 字符"/>
    <w:link w:val="930"/>
    <w:uiPriority w:val="9"/>
    <w:qFormat/>
    <w:rPr>
      <w:rFonts w:ascii="Arial" w:hAnsi="Arial" w:eastAsia="Arial"/>
      <w:sz w:val="30"/>
      <w:szCs w:val="30"/>
      <w:lang w:bidi="ar-SA"/>
    </w:rPr>
  </w:style>
  <w:style w:type="character" w:styleId="942" w:customStyle="1">
    <w:name w:val="标题 4 字符"/>
    <w:link w:val="931"/>
    <w:uiPriority w:val="9"/>
    <w:qFormat/>
    <w:rPr>
      <w:rFonts w:ascii="Arial" w:hAnsi="Arial" w:eastAsia="Arial" w:cs="Arial"/>
      <w:b/>
      <w:bCs/>
      <w:sz w:val="26"/>
      <w:szCs w:val="26"/>
    </w:rPr>
  </w:style>
  <w:style w:type="character" w:styleId="943" w:customStyle="1">
    <w:name w:val="标题 5 字符"/>
    <w:link w:val="932"/>
    <w:uiPriority w:val="9"/>
    <w:qFormat/>
    <w:rPr>
      <w:rFonts w:ascii="Arial" w:hAnsi="Arial" w:eastAsia="Arial"/>
      <w:b/>
      <w:bCs/>
      <w:sz w:val="24"/>
      <w:szCs w:val="24"/>
      <w:lang w:bidi="ar-SA"/>
    </w:rPr>
  </w:style>
  <w:style w:type="character" w:styleId="944" w:customStyle="1">
    <w:name w:val="标题 6 字符"/>
    <w:link w:val="933"/>
    <w:uiPriority w:val="9"/>
    <w:qFormat/>
    <w:rPr>
      <w:rFonts w:ascii="Arial" w:hAnsi="Arial" w:eastAsia="Arial"/>
      <w:b/>
      <w:bCs/>
      <w:sz w:val="22"/>
      <w:szCs w:val="22"/>
      <w:lang w:bidi="ar-SA"/>
    </w:rPr>
  </w:style>
  <w:style w:type="character" w:styleId="945" w:customStyle="1">
    <w:name w:val="标题 7 字符"/>
    <w:link w:val="934"/>
    <w:uiPriority w:val="9"/>
    <w:qFormat/>
    <w:rPr>
      <w:rFonts w:ascii="Arial" w:hAnsi="Arial" w:eastAsia="Arial"/>
      <w:b/>
      <w:bCs/>
      <w:i/>
      <w:iCs/>
      <w:sz w:val="22"/>
      <w:szCs w:val="22"/>
      <w:lang w:bidi="ar-SA"/>
    </w:rPr>
  </w:style>
  <w:style w:type="character" w:styleId="946" w:customStyle="1">
    <w:name w:val="标题 8 字符"/>
    <w:link w:val="935"/>
    <w:uiPriority w:val="9"/>
    <w:qFormat/>
    <w:rPr>
      <w:rFonts w:ascii="Arial" w:hAnsi="Arial" w:eastAsia="Arial"/>
      <w:i/>
      <w:iCs/>
      <w:sz w:val="22"/>
      <w:szCs w:val="22"/>
      <w:lang w:bidi="ar-SA"/>
    </w:rPr>
  </w:style>
  <w:style w:type="character" w:styleId="947" w:customStyle="1">
    <w:name w:val="标题 9 字符"/>
    <w:link w:val="936"/>
    <w:uiPriority w:val="9"/>
    <w:qFormat/>
    <w:rPr>
      <w:rFonts w:ascii="Arial" w:hAnsi="Arial" w:eastAsia="Arial"/>
      <w:i/>
      <w:iCs/>
      <w:sz w:val="21"/>
      <w:szCs w:val="21"/>
      <w:lang w:bidi="ar-SA"/>
    </w:rPr>
  </w:style>
  <w:style w:type="paragraph" w:styleId="948" w:customStyle="1">
    <w:name w:val="目录 71"/>
    <w:next w:val="866"/>
    <w:uiPriority w:val="39"/>
    <w:unhideWhenUsed/>
    <w:qFormat/>
    <w:pPr>
      <w:ind w:left="1701"/>
      <w:spacing w:after="57"/>
    </w:pPr>
    <w:rPr>
      <w:rFonts w:ascii="Times New Roman" w:hAnsi="Times New Roman" w:eastAsia="Arial" w:cs="Times New Roman"/>
      <w:sz w:val="21"/>
      <w:szCs w:val="22"/>
      <w:lang w:val="en-US" w:eastAsia="zh-CN" w:bidi="ar-SA"/>
    </w:rPr>
  </w:style>
  <w:style w:type="paragraph" w:styleId="949" w:customStyle="1">
    <w:name w:val="正文缩进1"/>
    <w:basedOn w:val="866"/>
    <w:uiPriority w:val="0"/>
    <w:qFormat/>
    <w:pPr>
      <w:ind w:firstLine="420"/>
    </w:pPr>
    <w:rPr>
      <w:szCs w:val="20"/>
    </w:rPr>
  </w:style>
  <w:style w:type="paragraph" w:styleId="950" w:customStyle="1">
    <w:name w:val="题注1"/>
    <w:next w:val="866"/>
    <w:uiPriority w:val="35"/>
    <w:qFormat/>
    <w:pPr>
      <w:spacing w:line="276" w:lineRule="auto"/>
    </w:pPr>
    <w:rPr>
      <w:rFonts w:ascii="Times New Roman" w:hAnsi="Times New Roman" w:eastAsia="Arial" w:cs="Times New Roman"/>
      <w:b/>
      <w:bCs/>
      <w:color w:val="4f81bd"/>
      <w:sz w:val="18"/>
      <w:szCs w:val="18"/>
      <w:lang w:val="en-US" w:eastAsia="zh-CN" w:bidi="ar-SA"/>
    </w:rPr>
  </w:style>
  <w:style w:type="paragraph" w:styleId="951" w:customStyle="1">
    <w:name w:val="批注文字1"/>
    <w:basedOn w:val="866"/>
    <w:link w:val="952"/>
    <w:uiPriority w:val="99"/>
    <w:unhideWhenUsed/>
    <w:qFormat/>
  </w:style>
  <w:style w:type="character" w:styleId="952" w:customStyle="1">
    <w:name w:val="批注文字 字符"/>
    <w:link w:val="951"/>
    <w:uiPriority w:val="99"/>
    <w:qFormat/>
    <w:rPr>
      <w:rFonts w:eastAsia="Arial"/>
      <w:sz w:val="21"/>
      <w:szCs w:val="22"/>
    </w:rPr>
  </w:style>
  <w:style w:type="paragraph" w:styleId="953" w:customStyle="1">
    <w:name w:val="正文文本1"/>
    <w:basedOn w:val="866"/>
    <w:next w:val="954"/>
    <w:link w:val="957"/>
    <w:uiPriority w:val="0"/>
    <w:qFormat/>
    <w:pPr>
      <w:spacing w:after="120"/>
    </w:pPr>
    <w:rPr>
      <w:szCs w:val="20"/>
    </w:rPr>
  </w:style>
  <w:style w:type="paragraph" w:styleId="954" w:customStyle="1">
    <w:name w:val="一级条标题"/>
    <w:basedOn w:val="955"/>
    <w:next w:val="956"/>
    <w:uiPriority w:val="0"/>
    <w:qFormat/>
    <w:pPr>
      <w:numPr>
        <w:ilvl w:val="2"/>
      </w:numPr>
    </w:pPr>
    <w:rPr>
      <w:rFonts w:ascii="Calibri" w:hAnsi="Calibri" w:eastAsia="宋体"/>
    </w:rPr>
  </w:style>
  <w:style w:type="paragraph" w:styleId="955" w:customStyle="1">
    <w:name w:val="章标题"/>
    <w:basedOn w:val="866"/>
    <w:next w:val="866"/>
    <w:uiPriority w:val="0"/>
    <w:qFormat/>
    <w:pPr>
      <w:numPr>
        <w:ilvl w:val="1"/>
        <w:numId w:val="1"/>
      </w:numPr>
    </w:pPr>
    <w:rPr>
      <w:rFonts w:ascii="Songti SC" w:hAnsi="Songti SC" w:eastAsia="仿宋"/>
      <w:sz w:val="24"/>
      <w:szCs w:val="24"/>
    </w:rPr>
  </w:style>
  <w:style w:type="paragraph" w:styleId="956" w:customStyle="1">
    <w:name w:val="段"/>
    <w:basedOn w:val="866"/>
    <w:next w:val="866"/>
    <w:uiPriority w:val="0"/>
    <w:qFormat/>
    <w:pPr>
      <w:ind w:firstLine="200"/>
    </w:pPr>
    <w:rPr>
      <w:rFonts w:hint="eastAsia" w:ascii="宋体" w:eastAsia="宋体"/>
      <w:szCs w:val="20"/>
    </w:rPr>
  </w:style>
  <w:style w:type="character" w:styleId="957" w:customStyle="1">
    <w:name w:val="正文文本 字符"/>
    <w:link w:val="953"/>
    <w:uiPriority w:val="0"/>
    <w:qFormat/>
    <w:rPr>
      <w:rFonts w:eastAsia="Arial"/>
      <w:sz w:val="21"/>
    </w:rPr>
  </w:style>
  <w:style w:type="paragraph" w:styleId="958" w:customStyle="1">
    <w:name w:val="正文文本缩进11"/>
    <w:basedOn w:val="866"/>
    <w:next w:val="959"/>
    <w:uiPriority w:val="0"/>
    <w:qFormat/>
    <w:pPr>
      <w:ind w:firstLine="645"/>
    </w:pPr>
    <w:rPr>
      <w:rFonts w:ascii="楷体_GB2312" w:eastAsia="楷体_GB2312"/>
      <w:sz w:val="32"/>
      <w:szCs w:val="32"/>
    </w:rPr>
  </w:style>
  <w:style w:type="paragraph" w:styleId="959" w:customStyle="1">
    <w:name w:val="寄信人地址11"/>
    <w:basedOn w:val="866"/>
    <w:uiPriority w:val="0"/>
    <w:qFormat/>
    <w:rPr>
      <w:rFonts w:ascii="Calibri" w:hAnsi="Calibri" w:eastAsia="Helvetica Neue"/>
    </w:rPr>
  </w:style>
  <w:style w:type="paragraph" w:styleId="960" w:customStyle="1">
    <w:name w:val="文本块1"/>
    <w:basedOn w:val="866"/>
    <w:uiPriority w:val="99"/>
    <w:unhideWhenUsed/>
    <w:qFormat/>
    <w:pPr>
      <w:ind w:left="1440" w:right="1440"/>
      <w:spacing w:after="120"/>
    </w:pPr>
    <w:rPr>
      <w:sz w:val="24"/>
    </w:rPr>
  </w:style>
  <w:style w:type="paragraph" w:styleId="961" w:customStyle="1">
    <w:name w:val="索引 411"/>
    <w:basedOn w:val="866"/>
    <w:next w:val="866"/>
    <w:uiPriority w:val="0"/>
    <w:qFormat/>
    <w:pPr>
      <w:ind w:left="840" w:hanging="210"/>
    </w:pPr>
    <w:rPr>
      <w:sz w:val="20"/>
    </w:rPr>
  </w:style>
  <w:style w:type="paragraph" w:styleId="962" w:customStyle="1">
    <w:name w:val="目录 51"/>
    <w:next w:val="866"/>
    <w:uiPriority w:val="39"/>
    <w:unhideWhenUsed/>
    <w:qFormat/>
    <w:pPr>
      <w:ind w:left="1134"/>
      <w:spacing w:after="57"/>
    </w:pPr>
    <w:rPr>
      <w:rFonts w:ascii="Times New Roman" w:hAnsi="Times New Roman" w:eastAsia="Arial" w:cs="Times New Roman"/>
      <w:sz w:val="21"/>
      <w:szCs w:val="22"/>
      <w:lang w:val="en-US" w:eastAsia="zh-CN" w:bidi="ar-SA"/>
    </w:rPr>
  </w:style>
  <w:style w:type="paragraph" w:styleId="963" w:customStyle="1">
    <w:name w:val="目录 31"/>
    <w:next w:val="866"/>
    <w:uiPriority w:val="39"/>
    <w:unhideWhenUsed/>
    <w:qFormat/>
    <w:pPr>
      <w:ind w:left="567"/>
      <w:spacing w:after="57"/>
    </w:pPr>
    <w:rPr>
      <w:rFonts w:ascii="Times New Roman" w:hAnsi="Times New Roman" w:eastAsia="Arial" w:cs="Times New Roman"/>
      <w:sz w:val="21"/>
      <w:szCs w:val="22"/>
      <w:lang w:val="en-US" w:eastAsia="zh-CN" w:bidi="ar-SA"/>
    </w:rPr>
  </w:style>
  <w:style w:type="paragraph" w:styleId="964" w:customStyle="1">
    <w:name w:val="目录 81"/>
    <w:next w:val="866"/>
    <w:uiPriority w:val="39"/>
    <w:unhideWhenUsed/>
    <w:qFormat/>
    <w:pPr>
      <w:ind w:left="1984"/>
      <w:spacing w:after="57"/>
    </w:pPr>
    <w:rPr>
      <w:rFonts w:ascii="Times New Roman" w:hAnsi="Times New Roman" w:eastAsia="Arial" w:cs="Times New Roman"/>
      <w:sz w:val="21"/>
      <w:szCs w:val="22"/>
      <w:lang w:val="en-US" w:eastAsia="zh-CN" w:bidi="ar-SA"/>
    </w:rPr>
  </w:style>
  <w:style w:type="paragraph" w:styleId="965" w:customStyle="1">
    <w:name w:val="正文文本缩进 21"/>
    <w:basedOn w:val="866"/>
    <w:next w:val="966"/>
    <w:uiPriority w:val="0"/>
    <w:qFormat/>
    <w:pPr>
      <w:ind w:left="630" w:firstLine="645"/>
    </w:pPr>
    <w:rPr>
      <w:rFonts w:ascii="Arial" w:hAnsi="Arial" w:eastAsia="仿宋_GB2312"/>
      <w:sz w:val="32"/>
    </w:rPr>
  </w:style>
  <w:style w:type="paragraph" w:styleId="966" w:customStyle="1">
    <w:name w:val="xl75"/>
    <w:basedOn w:val="866"/>
    <w:next w:val="967"/>
    <w:uiPriority w:val="0"/>
    <w:qFormat/>
    <w:pPr>
      <w:ind w:left="200" w:firstLine="5320"/>
      <w:jc w:val="center"/>
      <w:spacing w:before="280" w:after="280"/>
    </w:pPr>
    <w:rPr>
      <w:rFonts w:ascii="宋体"/>
    </w:rPr>
  </w:style>
  <w:style w:type="paragraph" w:styleId="967" w:customStyle="1">
    <w:name w:val="Test2"/>
    <w:basedOn w:val="929"/>
    <w:next w:val="968"/>
    <w:uiPriority w:val="0"/>
    <w:qFormat/>
    <w:pPr>
      <w:jc w:val="center"/>
      <w:spacing w:line="480" w:lineRule="exact"/>
    </w:pPr>
    <w:rPr>
      <w:rFonts w:ascii="黑体" w:eastAsia="黑体"/>
      <w:bCs/>
      <w:sz w:val="24"/>
    </w:rPr>
  </w:style>
  <w:style w:type="paragraph" w:styleId="968" w:customStyle="1">
    <w:name w:val="xl59"/>
    <w:basedOn w:val="866"/>
    <w:next w:val="969"/>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rPr>
  </w:style>
  <w:style w:type="paragraph" w:styleId="969" w:customStyle="1">
    <w:name w:val="方案正文"/>
    <w:basedOn w:val="866"/>
    <w:next w:val="970"/>
    <w:uiPriority w:val="0"/>
    <w:qFormat/>
    <w:pPr>
      <w:ind w:firstLine="359"/>
      <w:spacing w:before="156" w:line="360" w:lineRule="auto"/>
    </w:pPr>
    <w:rPr>
      <w:rFonts w:ascii="Arial" w:hAnsi="Arial" w:cs="宋体"/>
      <w:sz w:val="24"/>
      <w:szCs w:val="21"/>
    </w:rPr>
  </w:style>
  <w:style w:type="paragraph" w:styleId="970" w:customStyle="1">
    <w:name w:val="小四 段落 宋体 Char Char Char Char"/>
    <w:basedOn w:val="866"/>
    <w:next w:val="971"/>
    <w:uiPriority w:val="0"/>
    <w:qFormat/>
    <w:pPr>
      <w:ind w:right="-33" w:firstLine="480"/>
      <w:spacing w:line="360" w:lineRule="auto"/>
    </w:pPr>
    <w:rPr>
      <w:sz w:val="24"/>
      <w:szCs w:val="24"/>
    </w:rPr>
  </w:style>
  <w:style w:type="paragraph" w:styleId="971" w:customStyle="1">
    <w:name w:val="flType"/>
    <w:basedOn w:val="972"/>
    <w:next w:val="866"/>
    <w:uiPriority w:val="0"/>
    <w:qFormat/>
    <w:pPr>
      <w:spacing w:after="284"/>
    </w:pPr>
    <w:rPr>
      <w:rFonts w:eastAsia="宋体"/>
      <w:b w:val="0"/>
    </w:rPr>
  </w:style>
  <w:style w:type="paragraph" w:styleId="972" w:customStyle="1">
    <w:name w:val="flName"/>
    <w:basedOn w:val="973"/>
    <w:uiPriority w:val="0"/>
    <w:qFormat/>
    <w:pPr>
      <w:spacing w:before="0" w:line="113" w:lineRule="atLeast"/>
    </w:pPr>
  </w:style>
  <w:style w:type="paragraph" w:styleId="973" w:customStyle="1">
    <w:name w:val="flNote"/>
    <w:basedOn w:val="866"/>
    <w:uiPriority w:val="0"/>
    <w:qFormat/>
    <w:pPr>
      <w:jc w:val="center"/>
      <w:spacing w:before="567" w:line="360" w:lineRule="atLeast"/>
    </w:pPr>
    <w:rPr>
      <w:rFonts w:eastAsia="黑体"/>
      <w:b/>
      <w:sz w:val="24"/>
    </w:rPr>
  </w:style>
  <w:style w:type="paragraph" w:styleId="974" w:customStyle="1">
    <w:name w:val="尾注文本1"/>
    <w:link w:val="975"/>
    <w:uiPriority w:val="99"/>
    <w:unhideWhenUsed/>
    <w:qFormat/>
    <w:rPr>
      <w:rFonts w:ascii="Times New Roman" w:hAnsi="Times New Roman" w:eastAsia="宋体" w:cs="Times New Roman"/>
      <w:lang w:val="en-US" w:eastAsia="zh-CN" w:bidi="ar-SA"/>
    </w:rPr>
  </w:style>
  <w:style w:type="character" w:styleId="975" w:customStyle="1">
    <w:name w:val="尾注文本 字符"/>
    <w:link w:val="974"/>
    <w:uiPriority w:val="99"/>
    <w:qFormat/>
    <w:rPr>
      <w:lang w:val="en-US" w:eastAsia="zh-CN" w:bidi="ar-SA"/>
    </w:rPr>
  </w:style>
  <w:style w:type="paragraph" w:styleId="976" w:customStyle="1">
    <w:name w:val="批注框文本1"/>
    <w:basedOn w:val="866"/>
    <w:link w:val="977"/>
    <w:uiPriority w:val="99"/>
    <w:unhideWhenUsed/>
    <w:qFormat/>
    <w:rPr>
      <w:sz w:val="18"/>
      <w:szCs w:val="18"/>
    </w:rPr>
  </w:style>
  <w:style w:type="character" w:styleId="977" w:customStyle="1">
    <w:name w:val="批注框文本 字符"/>
    <w:link w:val="976"/>
    <w:uiPriority w:val="99"/>
    <w:semiHidden/>
    <w:qFormat/>
    <w:rPr>
      <w:rFonts w:eastAsia="Arial"/>
      <w:sz w:val="18"/>
      <w:szCs w:val="18"/>
    </w:rPr>
  </w:style>
  <w:style w:type="paragraph" w:styleId="978" w:customStyle="1">
    <w:name w:val="页脚1"/>
    <w:link w:val="979"/>
    <w:uiPriority w:val="99"/>
    <w:unhideWhenUsed/>
    <w:qFormat/>
    <w:pPr>
      <w:tabs>
        <w:tab w:val="center" w:pos="7143" w:leader="none"/>
        <w:tab w:val="right" w:pos="14287" w:leader="none"/>
      </w:tabs>
    </w:pPr>
    <w:rPr>
      <w:rFonts w:ascii="Times New Roman" w:hAnsi="Times New Roman" w:eastAsia="Arial" w:cs="Times New Roman"/>
      <w:sz w:val="21"/>
      <w:szCs w:val="22"/>
      <w:lang w:val="en-US" w:eastAsia="zh-CN" w:bidi="ar-SA"/>
    </w:rPr>
  </w:style>
  <w:style w:type="character" w:styleId="979" w:customStyle="1">
    <w:name w:val="页脚 字符1"/>
    <w:link w:val="978"/>
    <w:uiPriority w:val="99"/>
    <w:qFormat/>
    <w:rPr>
      <w:rFonts w:eastAsia="Arial"/>
      <w:sz w:val="21"/>
      <w:szCs w:val="22"/>
      <w:lang w:val="en-US" w:eastAsia="zh-CN" w:bidi="ar-SA"/>
    </w:rPr>
  </w:style>
  <w:style w:type="paragraph" w:styleId="980" w:customStyle="1">
    <w:name w:val="页眉1"/>
    <w:basedOn w:val="866"/>
    <w:link w:val="981"/>
    <w:uiPriority w:val="99"/>
    <w:unhideWhenUsed/>
    <w:qFormat/>
    <w:pPr>
      <w:tabs>
        <w:tab w:val="center" w:pos="7143" w:leader="none"/>
        <w:tab w:val="right" w:pos="14287" w:leader="none"/>
      </w:tabs>
    </w:pPr>
  </w:style>
  <w:style w:type="character" w:styleId="981" w:customStyle="1">
    <w:name w:val="页眉 字符"/>
    <w:link w:val="980"/>
    <w:uiPriority w:val="99"/>
    <w:qFormat/>
  </w:style>
  <w:style w:type="paragraph" w:styleId="982" w:customStyle="1">
    <w:name w:val="目录 11"/>
    <w:next w:val="866"/>
    <w:uiPriority w:val="39"/>
    <w:unhideWhenUsed/>
    <w:qFormat/>
    <w:pPr>
      <w:spacing w:after="57"/>
    </w:pPr>
    <w:rPr>
      <w:rFonts w:ascii="Times New Roman" w:hAnsi="Times New Roman" w:eastAsia="Arial" w:cs="Times New Roman"/>
      <w:sz w:val="21"/>
      <w:szCs w:val="22"/>
      <w:lang w:val="en-US" w:eastAsia="zh-CN" w:bidi="ar-SA"/>
    </w:rPr>
  </w:style>
  <w:style w:type="paragraph" w:styleId="983" w:customStyle="1">
    <w:name w:val="目录 41"/>
    <w:next w:val="866"/>
    <w:uiPriority w:val="39"/>
    <w:unhideWhenUsed/>
    <w:qFormat/>
    <w:pPr>
      <w:ind w:left="850"/>
      <w:spacing w:after="57"/>
    </w:pPr>
    <w:rPr>
      <w:rFonts w:ascii="Times New Roman" w:hAnsi="Times New Roman" w:eastAsia="Arial" w:cs="Times New Roman"/>
      <w:sz w:val="21"/>
      <w:szCs w:val="22"/>
      <w:lang w:val="en-US" w:eastAsia="zh-CN" w:bidi="ar-SA"/>
    </w:rPr>
  </w:style>
  <w:style w:type="paragraph" w:styleId="984" w:customStyle="1">
    <w:name w:val="副标题1"/>
    <w:link w:val="985"/>
    <w:uiPriority w:val="11"/>
    <w:qFormat/>
    <w:pPr>
      <w:spacing w:before="200" w:after="200"/>
    </w:pPr>
    <w:rPr>
      <w:rFonts w:ascii="Times New Roman" w:hAnsi="Times New Roman" w:eastAsia="宋体" w:cs="Times New Roman"/>
      <w:sz w:val="24"/>
      <w:szCs w:val="24"/>
      <w:lang w:val="en-US" w:eastAsia="zh-CN" w:bidi="ar-SA"/>
    </w:rPr>
  </w:style>
  <w:style w:type="character" w:styleId="985" w:customStyle="1">
    <w:name w:val="副标题 字符"/>
    <w:link w:val="984"/>
    <w:uiPriority w:val="11"/>
    <w:qFormat/>
    <w:rPr>
      <w:sz w:val="24"/>
      <w:szCs w:val="24"/>
      <w:lang w:bidi="ar-SA"/>
    </w:rPr>
  </w:style>
  <w:style w:type="paragraph" w:styleId="986" w:customStyle="1">
    <w:name w:val="脚注文本1"/>
    <w:link w:val="987"/>
    <w:uiPriority w:val="99"/>
    <w:unhideWhenUsed/>
    <w:qFormat/>
    <w:pPr>
      <w:spacing w:after="40"/>
    </w:pPr>
    <w:rPr>
      <w:rFonts w:ascii="Times New Roman" w:hAnsi="Times New Roman" w:eastAsia="宋体" w:cs="Times New Roman"/>
      <w:sz w:val="18"/>
      <w:lang w:val="en-US" w:eastAsia="zh-CN" w:bidi="ar-SA"/>
    </w:rPr>
  </w:style>
  <w:style w:type="character" w:styleId="987" w:customStyle="1">
    <w:name w:val="脚注文本 字符"/>
    <w:link w:val="986"/>
    <w:uiPriority w:val="99"/>
    <w:qFormat/>
    <w:rPr>
      <w:sz w:val="18"/>
      <w:lang w:bidi="ar-SA"/>
    </w:rPr>
  </w:style>
  <w:style w:type="paragraph" w:styleId="988" w:customStyle="1">
    <w:name w:val="目录 61"/>
    <w:next w:val="866"/>
    <w:uiPriority w:val="39"/>
    <w:unhideWhenUsed/>
    <w:qFormat/>
    <w:pPr>
      <w:ind w:left="1417"/>
      <w:spacing w:after="57"/>
    </w:pPr>
    <w:rPr>
      <w:rFonts w:ascii="Times New Roman" w:hAnsi="Times New Roman" w:eastAsia="Arial" w:cs="Times New Roman"/>
      <w:sz w:val="21"/>
      <w:szCs w:val="22"/>
      <w:lang w:val="en-US" w:eastAsia="zh-CN" w:bidi="ar-SA"/>
    </w:rPr>
  </w:style>
  <w:style w:type="paragraph" w:styleId="989" w:customStyle="1">
    <w:name w:val="图表目录1"/>
    <w:next w:val="866"/>
    <w:uiPriority w:val="99"/>
    <w:unhideWhenUsed/>
    <w:qFormat/>
    <w:rPr>
      <w:rFonts w:ascii="Times New Roman" w:hAnsi="Times New Roman" w:eastAsia="Arial" w:cs="Times New Roman"/>
      <w:sz w:val="21"/>
      <w:szCs w:val="22"/>
      <w:lang w:val="en-US" w:eastAsia="zh-CN" w:bidi="ar-SA"/>
    </w:rPr>
  </w:style>
  <w:style w:type="paragraph" w:styleId="990" w:customStyle="1">
    <w:name w:val="目录 21"/>
    <w:next w:val="866"/>
    <w:uiPriority w:val="39"/>
    <w:unhideWhenUsed/>
    <w:qFormat/>
    <w:pPr>
      <w:ind w:left="283"/>
      <w:spacing w:after="57"/>
    </w:pPr>
    <w:rPr>
      <w:rFonts w:ascii="Times New Roman" w:hAnsi="Times New Roman" w:eastAsia="Arial" w:cs="Times New Roman"/>
      <w:sz w:val="21"/>
      <w:szCs w:val="22"/>
      <w:lang w:val="en-US" w:eastAsia="zh-CN" w:bidi="ar-SA"/>
    </w:rPr>
  </w:style>
  <w:style w:type="paragraph" w:styleId="991" w:customStyle="1">
    <w:name w:val="目录 91"/>
    <w:next w:val="866"/>
    <w:uiPriority w:val="39"/>
    <w:unhideWhenUsed/>
    <w:qFormat/>
    <w:pPr>
      <w:ind w:left="2268"/>
      <w:spacing w:after="57"/>
    </w:pPr>
    <w:rPr>
      <w:rFonts w:ascii="Times New Roman" w:hAnsi="Times New Roman" w:eastAsia="Arial" w:cs="Times New Roman"/>
      <w:sz w:val="21"/>
      <w:szCs w:val="22"/>
      <w:lang w:val="en-US" w:eastAsia="zh-CN" w:bidi="ar-SA"/>
    </w:rPr>
  </w:style>
  <w:style w:type="paragraph" w:styleId="992" w:customStyle="1">
    <w:name w:val="普通(网站)1"/>
    <w:basedOn w:val="866"/>
    <w:uiPriority w:val="99"/>
    <w:qFormat/>
    <w:pPr>
      <w:spacing w:before="100" w:beforeAutospacing="1" w:after="100" w:afterAutospacing="1"/>
    </w:pPr>
    <w:rPr>
      <w:sz w:val="24"/>
      <w:szCs w:val="24"/>
    </w:rPr>
  </w:style>
  <w:style w:type="paragraph" w:styleId="993" w:customStyle="1">
    <w:name w:val="标题1"/>
    <w:basedOn w:val="866"/>
    <w:next w:val="866"/>
    <w:link w:val="994"/>
    <w:uiPriority w:val="10"/>
    <w:qFormat/>
    <w:pPr>
      <w:contextualSpacing/>
      <w:spacing w:before="300" w:after="200"/>
    </w:pPr>
    <w:rPr>
      <w:rFonts w:eastAsia="宋体"/>
      <w:sz w:val="48"/>
      <w:szCs w:val="48"/>
    </w:rPr>
  </w:style>
  <w:style w:type="character" w:styleId="994" w:customStyle="1">
    <w:name w:val="标题 字符"/>
    <w:link w:val="993"/>
    <w:uiPriority w:val="10"/>
    <w:qFormat/>
    <w:rPr>
      <w:sz w:val="48"/>
      <w:szCs w:val="48"/>
    </w:rPr>
  </w:style>
  <w:style w:type="paragraph" w:styleId="995" w:customStyle="1">
    <w:name w:val="批注主题1"/>
    <w:basedOn w:val="951"/>
    <w:next w:val="951"/>
    <w:link w:val="996"/>
    <w:uiPriority w:val="99"/>
    <w:unhideWhenUsed/>
    <w:qFormat/>
    <w:rPr>
      <w:b/>
      <w:bCs/>
    </w:rPr>
  </w:style>
  <w:style w:type="character" w:styleId="996" w:customStyle="1">
    <w:name w:val="批注主题 字符"/>
    <w:link w:val="995"/>
    <w:uiPriority w:val="99"/>
    <w:semiHidden/>
    <w:qFormat/>
    <w:rPr>
      <w:rFonts w:eastAsia="Arial"/>
      <w:b/>
      <w:bCs/>
      <w:sz w:val="21"/>
      <w:szCs w:val="22"/>
    </w:rPr>
  </w:style>
  <w:style w:type="paragraph" w:styleId="997" w:customStyle="1">
    <w:name w:val="正文首行缩进1"/>
    <w:basedOn w:val="953"/>
    <w:link w:val="998"/>
    <w:uiPriority w:val="99"/>
    <w:unhideWhenUsed/>
    <w:qFormat/>
    <w:pPr>
      <w:ind w:firstLine="420"/>
    </w:pPr>
    <w:rPr>
      <w:szCs w:val="22"/>
    </w:rPr>
  </w:style>
  <w:style w:type="character" w:styleId="998" w:customStyle="1">
    <w:name w:val="正文文本首行缩进 字符"/>
    <w:link w:val="997"/>
    <w:uiPriority w:val="99"/>
    <w:qFormat/>
    <w:rPr>
      <w:rFonts w:eastAsia="Arial"/>
      <w:sz w:val="21"/>
      <w:szCs w:val="22"/>
    </w:rPr>
  </w:style>
  <w:style w:type="paragraph" w:styleId="999" w:customStyle="1">
    <w:name w:val="正文首行缩进 211"/>
    <w:basedOn w:val="958"/>
    <w:next w:val="866"/>
    <w:uiPriority w:val="0"/>
    <w:qFormat/>
    <w:pPr>
      <w:ind w:firstLine="420"/>
    </w:pPr>
    <w:rPr>
      <w:sz w:val="21"/>
      <w:szCs w:val="24"/>
    </w:rPr>
  </w:style>
  <w:style w:type="table" w:styleId="1000" w:customStyle="1">
    <w:name w:val="网格型11"/>
    <w:uiPriority w:val="59"/>
    <w:qFormat/>
    <w:tblPr>
      <w:tblCellMar>
        <w:left w:w="0" w:type="dxa"/>
        <w:top w:w="0" w:type="dxa"/>
        <w:right w:w="0" w:type="dxa"/>
        <w:bottom w:w="0" w:type="dxa"/>
      </w:tblCellMar>
    </w:tblPr>
  </w:style>
  <w:style w:type="character" w:styleId="1001" w:customStyle="1">
    <w:name w:val="要点1"/>
    <w:uiPriority w:val="22"/>
    <w:qFormat/>
    <w:rPr>
      <w:b/>
    </w:rPr>
  </w:style>
  <w:style w:type="character" w:styleId="1002" w:customStyle="1">
    <w:name w:val="尾注引用1"/>
    <w:uiPriority w:val="99"/>
    <w:unhideWhenUsed/>
    <w:qFormat/>
    <w:rPr>
      <w:vertAlign w:val="superscript"/>
    </w:rPr>
  </w:style>
  <w:style w:type="character" w:styleId="1003" w:customStyle="1">
    <w:name w:val="强调1"/>
    <w:uiPriority w:val="20"/>
    <w:qFormat/>
    <w:rPr>
      <w:i/>
    </w:rPr>
  </w:style>
  <w:style w:type="character" w:styleId="1004" w:customStyle="1">
    <w:name w:val="超链接1"/>
    <w:uiPriority w:val="99"/>
    <w:unhideWhenUsed/>
    <w:qFormat/>
    <w:rPr>
      <w:color w:val="0000ff"/>
      <w:u w:val="single"/>
    </w:rPr>
  </w:style>
  <w:style w:type="character" w:styleId="1005" w:customStyle="1">
    <w:name w:val="批注引用1"/>
    <w:uiPriority w:val="99"/>
    <w:unhideWhenUsed/>
    <w:qFormat/>
    <w:rPr>
      <w:sz w:val="21"/>
      <w:szCs w:val="21"/>
    </w:rPr>
  </w:style>
  <w:style w:type="character" w:styleId="1006" w:customStyle="1">
    <w:name w:val="脚注引用1"/>
    <w:uiPriority w:val="99"/>
    <w:unhideWhenUsed/>
    <w:qFormat/>
    <w:rPr>
      <w:vertAlign w:val="superscript"/>
    </w:rPr>
  </w:style>
  <w:style w:type="paragraph" w:styleId="1007" w:customStyle="1">
    <w:name w:val="正文文本12"/>
    <w:basedOn w:val="866"/>
    <w:next w:val="866"/>
    <w:uiPriority w:val="0"/>
    <w:unhideWhenUsed/>
    <w:qFormat/>
    <w:pPr>
      <w:spacing w:after="120"/>
    </w:pPr>
  </w:style>
  <w:style w:type="paragraph" w:styleId="1008" w:customStyle="1">
    <w:name w:val="列表段落1"/>
    <w:basedOn w:val="866"/>
    <w:link w:val="1009"/>
    <w:uiPriority w:val="34"/>
    <w:qFormat/>
    <w:pPr>
      <w:contextualSpacing/>
      <w:ind w:left="720"/>
    </w:pPr>
  </w:style>
  <w:style w:type="character" w:styleId="1009" w:customStyle="1">
    <w:name w:val="列表段落 字符"/>
    <w:link w:val="1008"/>
    <w:uiPriority w:val="34"/>
    <w:qFormat/>
    <w:rPr>
      <w:rFonts w:eastAsia="Arial"/>
      <w:sz w:val="21"/>
      <w:szCs w:val="22"/>
    </w:rPr>
  </w:style>
  <w:style w:type="character" w:styleId="1010" w:customStyle="1">
    <w:name w:val="页脚 字符"/>
    <w:uiPriority w:val="99"/>
    <w:qFormat/>
  </w:style>
  <w:style w:type="paragraph" w:styleId="1011" w:customStyle="1">
    <w:name w:val="正文首行缩进 21"/>
    <w:basedOn w:val="1012"/>
    <w:next w:val="866"/>
    <w:uiPriority w:val="0"/>
    <w:qFormat/>
    <w:pPr>
      <w:ind w:firstLine="420"/>
      <w:spacing w:line="360" w:lineRule="auto"/>
    </w:pPr>
    <w:rPr>
      <w:szCs w:val="20"/>
    </w:rPr>
  </w:style>
  <w:style w:type="paragraph" w:styleId="1012" w:customStyle="1">
    <w:name w:val="正文文本缩进1"/>
    <w:basedOn w:val="866"/>
    <w:next w:val="1013"/>
    <w:uiPriority w:val="0"/>
    <w:qFormat/>
    <w:pPr>
      <w:ind w:firstLine="403"/>
      <w:spacing w:line="440" w:lineRule="exact"/>
    </w:pPr>
    <w:rPr>
      <w:rFonts w:ascii="宋体" w:hAnsi="宋体" w:eastAsia="宋体"/>
      <w:sz w:val="20"/>
      <w:szCs w:val="21"/>
    </w:rPr>
  </w:style>
  <w:style w:type="paragraph" w:styleId="1013" w:customStyle="1">
    <w:name w:val="寄信人地址1"/>
    <w:basedOn w:val="866"/>
    <w:uiPriority w:val="0"/>
    <w:qFormat/>
  </w:style>
  <w:style w:type="paragraph" w:styleId="1014" w:customStyle="1">
    <w:name w:val="无间隔1"/>
    <w:uiPriority w:val="1"/>
    <w:qFormat/>
    <w:rPr>
      <w:rFonts w:ascii="Times New Roman" w:hAnsi="Times New Roman" w:eastAsia="Arial" w:cs="Times New Roman"/>
      <w:sz w:val="21"/>
      <w:szCs w:val="22"/>
      <w:lang w:val="en-US" w:eastAsia="zh-CN" w:bidi="ar-SA"/>
    </w:rPr>
  </w:style>
  <w:style w:type="paragraph" w:styleId="1015" w:customStyle="1">
    <w:name w:val="引用1"/>
    <w:link w:val="1016"/>
    <w:uiPriority w:val="29"/>
    <w:qFormat/>
    <w:pPr>
      <w:ind w:left="720" w:right="720"/>
    </w:pPr>
    <w:rPr>
      <w:rFonts w:ascii="Times New Roman" w:hAnsi="Times New Roman" w:eastAsia="宋体" w:cs="Times New Roman"/>
      <w:i/>
      <w:lang w:val="en-US" w:eastAsia="zh-CN" w:bidi="ar-SA"/>
    </w:rPr>
  </w:style>
  <w:style w:type="character" w:styleId="1016" w:customStyle="1">
    <w:name w:val="引用 字符"/>
    <w:link w:val="1015"/>
    <w:uiPriority w:val="29"/>
    <w:qFormat/>
    <w:rPr>
      <w:i/>
      <w:lang w:val="en-US" w:eastAsia="zh-CN" w:bidi="ar-SA"/>
    </w:rPr>
  </w:style>
  <w:style w:type="paragraph" w:styleId="1017" w:customStyle="1">
    <w:name w:val="明显引用1"/>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18" w:customStyle="1">
    <w:name w:val="明显引用 字符"/>
    <w:link w:val="1017"/>
    <w:uiPriority w:val="30"/>
    <w:qFormat/>
    <w:rPr>
      <w:i/>
      <w:shd w:val="clear" w:color="auto" w:fill="f2f2f2"/>
      <w:lang w:val="en-US" w:eastAsia="zh-CN" w:bidi="ar-SA"/>
    </w:rPr>
  </w:style>
  <w:style w:type="table" w:styleId="1019" w:customStyle="1">
    <w:name w:val="Table Grid Light"/>
    <w:uiPriority w:val="59"/>
    <w:qFormat/>
    <w:tblPr>
      <w:tblCellMar>
        <w:left w:w="0" w:type="dxa"/>
        <w:top w:w="0" w:type="dxa"/>
        <w:right w:w="0" w:type="dxa"/>
        <w:bottom w:w="0" w:type="dxa"/>
      </w:tblCellMar>
    </w:tblPr>
  </w:style>
  <w:style w:type="table" w:styleId="1020" w:customStyle="1">
    <w:name w:val="无格式表格 11"/>
    <w:uiPriority w:val="59"/>
    <w:qFormat/>
    <w:tblPr>
      <w:tblCellMar>
        <w:left w:w="0" w:type="dxa"/>
        <w:top w:w="0" w:type="dxa"/>
        <w:right w:w="0" w:type="dxa"/>
        <w:bottom w:w="0" w:type="dxa"/>
      </w:tblCellMar>
    </w:tblPr>
  </w:style>
  <w:style w:type="table" w:styleId="1021" w:customStyle="1">
    <w:name w:val="无格式表格 21"/>
    <w:uiPriority w:val="59"/>
    <w:qFormat/>
    <w:tblPr>
      <w:tblCellMar>
        <w:left w:w="0" w:type="dxa"/>
        <w:top w:w="0" w:type="dxa"/>
        <w:right w:w="0" w:type="dxa"/>
        <w:bottom w:w="0" w:type="dxa"/>
      </w:tblCellMar>
    </w:tblPr>
  </w:style>
  <w:style w:type="table" w:styleId="1022" w:customStyle="1">
    <w:name w:val="无格式表格 31"/>
    <w:uiPriority w:val="99"/>
    <w:qFormat/>
    <w:tblPr>
      <w:tblCellMar>
        <w:left w:w="0" w:type="dxa"/>
        <w:top w:w="0" w:type="dxa"/>
        <w:right w:w="0" w:type="dxa"/>
        <w:bottom w:w="0" w:type="dxa"/>
      </w:tblCellMar>
    </w:tblPr>
  </w:style>
  <w:style w:type="table" w:styleId="1023" w:customStyle="1">
    <w:name w:val="无格式表格 41"/>
    <w:uiPriority w:val="99"/>
    <w:qFormat/>
    <w:tblPr>
      <w:tblCellMar>
        <w:left w:w="0" w:type="dxa"/>
        <w:top w:w="0" w:type="dxa"/>
        <w:right w:w="0" w:type="dxa"/>
        <w:bottom w:w="0" w:type="dxa"/>
      </w:tblCellMar>
    </w:tblPr>
  </w:style>
  <w:style w:type="table" w:styleId="1024" w:customStyle="1">
    <w:name w:val="无格式表格 51"/>
    <w:uiPriority w:val="99"/>
    <w:qFormat/>
    <w:tblPr>
      <w:tblCellMar>
        <w:left w:w="0" w:type="dxa"/>
        <w:top w:w="0" w:type="dxa"/>
        <w:right w:w="0" w:type="dxa"/>
        <w:bottom w:w="0" w:type="dxa"/>
      </w:tblCellMar>
    </w:tblPr>
  </w:style>
  <w:style w:type="table" w:styleId="1025" w:customStyle="1">
    <w:name w:val="网格表 1 浅色1"/>
    <w:uiPriority w:val="99"/>
    <w:qFormat/>
    <w:tblPr>
      <w:tblCellMar>
        <w:left w:w="0" w:type="dxa"/>
        <w:top w:w="0" w:type="dxa"/>
        <w:right w:w="0" w:type="dxa"/>
        <w:bottom w:w="0" w:type="dxa"/>
      </w:tblCellMar>
    </w:tblPr>
  </w:style>
  <w:style w:type="table" w:styleId="1026" w:customStyle="1">
    <w:name w:val="Grid Table 1 Light - Accent 1"/>
    <w:uiPriority w:val="99"/>
    <w:qFormat/>
    <w:tblPr>
      <w:tblCellMar>
        <w:left w:w="0" w:type="dxa"/>
        <w:top w:w="0" w:type="dxa"/>
        <w:right w:w="0" w:type="dxa"/>
        <w:bottom w:w="0" w:type="dxa"/>
      </w:tblCellMar>
    </w:tblPr>
  </w:style>
  <w:style w:type="table" w:styleId="1027" w:customStyle="1">
    <w:name w:val="Grid Table 1 Light - Accent 2"/>
    <w:uiPriority w:val="99"/>
    <w:qFormat/>
    <w:tblPr>
      <w:tblCellMar>
        <w:left w:w="0" w:type="dxa"/>
        <w:top w:w="0" w:type="dxa"/>
        <w:right w:w="0" w:type="dxa"/>
        <w:bottom w:w="0" w:type="dxa"/>
      </w:tblCellMar>
    </w:tblPr>
  </w:style>
  <w:style w:type="table" w:styleId="1028" w:customStyle="1">
    <w:name w:val="Grid Table 1 Light - Accent 3"/>
    <w:uiPriority w:val="99"/>
    <w:qFormat/>
    <w:tblPr>
      <w:tblCellMar>
        <w:left w:w="0" w:type="dxa"/>
        <w:top w:w="0" w:type="dxa"/>
        <w:right w:w="0" w:type="dxa"/>
        <w:bottom w:w="0" w:type="dxa"/>
      </w:tblCellMar>
    </w:tblPr>
  </w:style>
  <w:style w:type="table" w:styleId="1029" w:customStyle="1">
    <w:name w:val="Grid Table 1 Light - Accent 4"/>
    <w:uiPriority w:val="99"/>
    <w:qFormat/>
    <w:tblPr>
      <w:tblCellMar>
        <w:left w:w="0" w:type="dxa"/>
        <w:top w:w="0" w:type="dxa"/>
        <w:right w:w="0" w:type="dxa"/>
        <w:bottom w:w="0" w:type="dxa"/>
      </w:tblCellMar>
    </w:tblPr>
  </w:style>
  <w:style w:type="table" w:styleId="1030" w:customStyle="1">
    <w:name w:val="Grid Table 1 Light - Accent 5"/>
    <w:uiPriority w:val="99"/>
    <w:qFormat/>
    <w:tblPr>
      <w:tblCellMar>
        <w:left w:w="0" w:type="dxa"/>
        <w:top w:w="0" w:type="dxa"/>
        <w:right w:w="0" w:type="dxa"/>
        <w:bottom w:w="0" w:type="dxa"/>
      </w:tblCellMar>
    </w:tblPr>
  </w:style>
  <w:style w:type="table" w:styleId="1031" w:customStyle="1">
    <w:name w:val="Grid Table 1 Light - Accent 6"/>
    <w:uiPriority w:val="99"/>
    <w:qFormat/>
    <w:tblPr>
      <w:tblCellMar>
        <w:left w:w="0" w:type="dxa"/>
        <w:top w:w="0" w:type="dxa"/>
        <w:right w:w="0" w:type="dxa"/>
        <w:bottom w:w="0" w:type="dxa"/>
      </w:tblCellMar>
    </w:tblPr>
  </w:style>
  <w:style w:type="table" w:styleId="1032" w:customStyle="1">
    <w:name w:val="网格表 21"/>
    <w:uiPriority w:val="99"/>
    <w:qFormat/>
    <w:tblPr>
      <w:tblCellMar>
        <w:left w:w="0" w:type="dxa"/>
        <w:top w:w="0" w:type="dxa"/>
        <w:right w:w="0" w:type="dxa"/>
        <w:bottom w:w="0" w:type="dxa"/>
      </w:tblCellMar>
    </w:tblPr>
  </w:style>
  <w:style w:type="table" w:styleId="1033" w:customStyle="1">
    <w:name w:val="Grid Table 2 - Accent 1"/>
    <w:uiPriority w:val="99"/>
    <w:qFormat/>
    <w:tblPr>
      <w:tblCellMar>
        <w:left w:w="0" w:type="dxa"/>
        <w:top w:w="0" w:type="dxa"/>
        <w:right w:w="0" w:type="dxa"/>
        <w:bottom w:w="0" w:type="dxa"/>
      </w:tblCellMar>
    </w:tblPr>
  </w:style>
  <w:style w:type="table" w:styleId="1034" w:customStyle="1">
    <w:name w:val="Grid Table 2 - Accent 2"/>
    <w:uiPriority w:val="99"/>
    <w:qFormat/>
    <w:tblPr>
      <w:tblCellMar>
        <w:left w:w="0" w:type="dxa"/>
        <w:top w:w="0" w:type="dxa"/>
        <w:right w:w="0" w:type="dxa"/>
        <w:bottom w:w="0" w:type="dxa"/>
      </w:tblCellMar>
    </w:tblPr>
  </w:style>
  <w:style w:type="table" w:styleId="1035" w:customStyle="1">
    <w:name w:val="Grid Table 2 - Accent 3"/>
    <w:uiPriority w:val="99"/>
    <w:qFormat/>
    <w:tblPr>
      <w:tblCellMar>
        <w:left w:w="0" w:type="dxa"/>
        <w:top w:w="0" w:type="dxa"/>
        <w:right w:w="0" w:type="dxa"/>
        <w:bottom w:w="0" w:type="dxa"/>
      </w:tblCellMar>
    </w:tblPr>
  </w:style>
  <w:style w:type="table" w:styleId="1036" w:customStyle="1">
    <w:name w:val="Grid Table 2 - Accent 4"/>
    <w:uiPriority w:val="99"/>
    <w:qFormat/>
    <w:tblPr>
      <w:tblCellMar>
        <w:left w:w="0" w:type="dxa"/>
        <w:top w:w="0" w:type="dxa"/>
        <w:right w:w="0" w:type="dxa"/>
        <w:bottom w:w="0" w:type="dxa"/>
      </w:tblCellMar>
    </w:tblPr>
  </w:style>
  <w:style w:type="table" w:styleId="1037" w:customStyle="1">
    <w:name w:val="Grid Table 2 - Accent 5"/>
    <w:uiPriority w:val="99"/>
    <w:qFormat/>
    <w:tblPr>
      <w:tblCellMar>
        <w:left w:w="0" w:type="dxa"/>
        <w:top w:w="0" w:type="dxa"/>
        <w:right w:w="0" w:type="dxa"/>
        <w:bottom w:w="0" w:type="dxa"/>
      </w:tblCellMar>
    </w:tblPr>
  </w:style>
  <w:style w:type="table" w:styleId="1038" w:customStyle="1">
    <w:name w:val="Grid Table 2 - Accent 6"/>
    <w:uiPriority w:val="99"/>
    <w:qFormat/>
    <w:tblPr>
      <w:tblCellMar>
        <w:left w:w="0" w:type="dxa"/>
        <w:top w:w="0" w:type="dxa"/>
        <w:right w:w="0" w:type="dxa"/>
        <w:bottom w:w="0" w:type="dxa"/>
      </w:tblCellMar>
    </w:tblPr>
  </w:style>
  <w:style w:type="table" w:styleId="1039" w:customStyle="1">
    <w:name w:val="网格表 31"/>
    <w:uiPriority w:val="99"/>
    <w:qFormat/>
    <w:tblPr>
      <w:tblCellMar>
        <w:left w:w="0" w:type="dxa"/>
        <w:top w:w="0" w:type="dxa"/>
        <w:right w:w="0" w:type="dxa"/>
        <w:bottom w:w="0" w:type="dxa"/>
      </w:tblCellMar>
    </w:tblPr>
  </w:style>
  <w:style w:type="table" w:styleId="1040" w:customStyle="1">
    <w:name w:val="Grid Table 3 - Accent 1"/>
    <w:uiPriority w:val="99"/>
    <w:qFormat/>
    <w:tblPr>
      <w:tblCellMar>
        <w:left w:w="0" w:type="dxa"/>
        <w:top w:w="0" w:type="dxa"/>
        <w:right w:w="0" w:type="dxa"/>
        <w:bottom w:w="0" w:type="dxa"/>
      </w:tblCellMar>
    </w:tblPr>
  </w:style>
  <w:style w:type="table" w:styleId="1041" w:customStyle="1">
    <w:name w:val="Grid Table 3 - Accent 2"/>
    <w:uiPriority w:val="99"/>
    <w:qFormat/>
    <w:tblPr>
      <w:tblCellMar>
        <w:left w:w="0" w:type="dxa"/>
        <w:top w:w="0" w:type="dxa"/>
        <w:right w:w="0" w:type="dxa"/>
        <w:bottom w:w="0" w:type="dxa"/>
      </w:tblCellMar>
    </w:tblPr>
  </w:style>
  <w:style w:type="table" w:styleId="1042" w:customStyle="1">
    <w:name w:val="Grid Table 3 - Accent 3"/>
    <w:uiPriority w:val="99"/>
    <w:qFormat/>
    <w:tblPr>
      <w:tblCellMar>
        <w:left w:w="0" w:type="dxa"/>
        <w:top w:w="0" w:type="dxa"/>
        <w:right w:w="0" w:type="dxa"/>
        <w:bottom w:w="0" w:type="dxa"/>
      </w:tblCellMar>
    </w:tblPr>
  </w:style>
  <w:style w:type="table" w:styleId="1043" w:customStyle="1">
    <w:name w:val="Grid Table 3 - Accent 4"/>
    <w:uiPriority w:val="99"/>
    <w:qFormat/>
    <w:tblPr>
      <w:tblCellMar>
        <w:left w:w="0" w:type="dxa"/>
        <w:top w:w="0" w:type="dxa"/>
        <w:right w:w="0" w:type="dxa"/>
        <w:bottom w:w="0" w:type="dxa"/>
      </w:tblCellMar>
    </w:tblPr>
  </w:style>
  <w:style w:type="table" w:styleId="1044" w:customStyle="1">
    <w:name w:val="Grid Table 3 - Accent 5"/>
    <w:uiPriority w:val="99"/>
    <w:qFormat/>
    <w:tblPr>
      <w:tblCellMar>
        <w:left w:w="0" w:type="dxa"/>
        <w:top w:w="0" w:type="dxa"/>
        <w:right w:w="0" w:type="dxa"/>
        <w:bottom w:w="0" w:type="dxa"/>
      </w:tblCellMar>
    </w:tblPr>
  </w:style>
  <w:style w:type="table" w:styleId="1045" w:customStyle="1">
    <w:name w:val="Grid Table 3 - Accent 6"/>
    <w:uiPriority w:val="99"/>
    <w:qFormat/>
    <w:tblPr>
      <w:tblCellMar>
        <w:left w:w="0" w:type="dxa"/>
        <w:top w:w="0" w:type="dxa"/>
        <w:right w:w="0" w:type="dxa"/>
        <w:bottom w:w="0" w:type="dxa"/>
      </w:tblCellMar>
    </w:tblPr>
  </w:style>
  <w:style w:type="table" w:styleId="1046" w:customStyle="1">
    <w:name w:val="网格表 41"/>
    <w:uiPriority w:val="59"/>
    <w:qFormat/>
    <w:tblPr>
      <w:tblCellMar>
        <w:left w:w="0" w:type="dxa"/>
        <w:top w:w="0" w:type="dxa"/>
        <w:right w:w="0" w:type="dxa"/>
        <w:bottom w:w="0" w:type="dxa"/>
      </w:tblCellMar>
    </w:tblPr>
  </w:style>
  <w:style w:type="table" w:styleId="1047" w:customStyle="1">
    <w:name w:val="Grid Table 4 - Accent 1"/>
    <w:uiPriority w:val="59"/>
    <w:qFormat/>
    <w:tblPr>
      <w:tblCellMar>
        <w:left w:w="0" w:type="dxa"/>
        <w:top w:w="0" w:type="dxa"/>
        <w:right w:w="0" w:type="dxa"/>
        <w:bottom w:w="0" w:type="dxa"/>
      </w:tblCellMar>
    </w:tblPr>
  </w:style>
  <w:style w:type="table" w:styleId="1048" w:customStyle="1">
    <w:name w:val="Grid Table 4 - Accent 2"/>
    <w:uiPriority w:val="59"/>
    <w:qFormat/>
    <w:tblPr>
      <w:tblCellMar>
        <w:left w:w="0" w:type="dxa"/>
        <w:top w:w="0" w:type="dxa"/>
        <w:right w:w="0" w:type="dxa"/>
        <w:bottom w:w="0" w:type="dxa"/>
      </w:tblCellMar>
    </w:tblPr>
  </w:style>
  <w:style w:type="table" w:styleId="1049" w:customStyle="1">
    <w:name w:val="Grid Table 4 - Accent 3"/>
    <w:uiPriority w:val="59"/>
    <w:qFormat/>
    <w:tblPr>
      <w:tblCellMar>
        <w:left w:w="0" w:type="dxa"/>
        <w:top w:w="0" w:type="dxa"/>
        <w:right w:w="0" w:type="dxa"/>
        <w:bottom w:w="0" w:type="dxa"/>
      </w:tblCellMar>
    </w:tblPr>
  </w:style>
  <w:style w:type="table" w:styleId="1050" w:customStyle="1">
    <w:name w:val="Grid Table 4 - Accent 4"/>
    <w:uiPriority w:val="59"/>
    <w:qFormat/>
    <w:tblPr>
      <w:tblCellMar>
        <w:left w:w="0" w:type="dxa"/>
        <w:top w:w="0" w:type="dxa"/>
        <w:right w:w="0" w:type="dxa"/>
        <w:bottom w:w="0" w:type="dxa"/>
      </w:tblCellMar>
    </w:tblPr>
  </w:style>
  <w:style w:type="table" w:styleId="1051" w:customStyle="1">
    <w:name w:val="Grid Table 4 - Accent 5"/>
    <w:uiPriority w:val="59"/>
    <w:qFormat/>
    <w:tblPr>
      <w:tblCellMar>
        <w:left w:w="0" w:type="dxa"/>
        <w:top w:w="0" w:type="dxa"/>
        <w:right w:w="0" w:type="dxa"/>
        <w:bottom w:w="0" w:type="dxa"/>
      </w:tblCellMar>
    </w:tblPr>
  </w:style>
  <w:style w:type="table" w:styleId="1052" w:customStyle="1">
    <w:name w:val="Grid Table 4 - Accent 6"/>
    <w:uiPriority w:val="59"/>
    <w:qFormat/>
    <w:tblPr>
      <w:tblCellMar>
        <w:left w:w="0" w:type="dxa"/>
        <w:top w:w="0" w:type="dxa"/>
        <w:right w:w="0" w:type="dxa"/>
        <w:bottom w:w="0" w:type="dxa"/>
      </w:tblCellMar>
    </w:tblPr>
  </w:style>
  <w:style w:type="table" w:styleId="1053" w:customStyle="1">
    <w:name w:val="网格表 5 深色1"/>
    <w:uiPriority w:val="99"/>
    <w:qFormat/>
    <w:tblPr>
      <w:tblCellMar>
        <w:left w:w="0" w:type="dxa"/>
        <w:top w:w="0" w:type="dxa"/>
        <w:right w:w="0" w:type="dxa"/>
        <w:bottom w:w="0" w:type="dxa"/>
      </w:tblCellMar>
    </w:tblPr>
  </w:style>
  <w:style w:type="table" w:styleId="1054" w:customStyle="1">
    <w:name w:val="Grid Table 5 Dark- Accent 1"/>
    <w:uiPriority w:val="99"/>
    <w:qFormat/>
    <w:tblPr>
      <w:tblCellMar>
        <w:left w:w="0" w:type="dxa"/>
        <w:top w:w="0" w:type="dxa"/>
        <w:right w:w="0" w:type="dxa"/>
        <w:bottom w:w="0" w:type="dxa"/>
      </w:tblCellMar>
    </w:tblPr>
  </w:style>
  <w:style w:type="table" w:styleId="1055" w:customStyle="1">
    <w:name w:val="Grid Table 5 Dark - Accent 2"/>
    <w:uiPriority w:val="99"/>
    <w:qFormat/>
    <w:tblPr>
      <w:tblCellMar>
        <w:left w:w="0" w:type="dxa"/>
        <w:top w:w="0" w:type="dxa"/>
        <w:right w:w="0" w:type="dxa"/>
        <w:bottom w:w="0" w:type="dxa"/>
      </w:tblCellMar>
    </w:tblPr>
  </w:style>
  <w:style w:type="table" w:styleId="1056" w:customStyle="1">
    <w:name w:val="Grid Table 5 Dark - Accent 3"/>
    <w:uiPriority w:val="99"/>
    <w:qFormat/>
    <w:tblPr>
      <w:tblCellMar>
        <w:left w:w="0" w:type="dxa"/>
        <w:top w:w="0" w:type="dxa"/>
        <w:right w:w="0" w:type="dxa"/>
        <w:bottom w:w="0" w:type="dxa"/>
      </w:tblCellMar>
    </w:tblPr>
  </w:style>
  <w:style w:type="table" w:styleId="1057" w:customStyle="1">
    <w:name w:val="Grid Table 5 Dark- Accent 4"/>
    <w:uiPriority w:val="99"/>
    <w:qFormat/>
    <w:tblPr>
      <w:tblCellMar>
        <w:left w:w="0" w:type="dxa"/>
        <w:top w:w="0" w:type="dxa"/>
        <w:right w:w="0" w:type="dxa"/>
        <w:bottom w:w="0" w:type="dxa"/>
      </w:tblCellMar>
    </w:tblPr>
  </w:style>
  <w:style w:type="table" w:styleId="1058" w:customStyle="1">
    <w:name w:val="Grid Table 5 Dark - Accent 5"/>
    <w:uiPriority w:val="99"/>
    <w:qFormat/>
    <w:tblPr>
      <w:tblCellMar>
        <w:left w:w="0" w:type="dxa"/>
        <w:top w:w="0" w:type="dxa"/>
        <w:right w:w="0" w:type="dxa"/>
        <w:bottom w:w="0" w:type="dxa"/>
      </w:tblCellMar>
    </w:tblPr>
  </w:style>
  <w:style w:type="table" w:styleId="1059" w:customStyle="1">
    <w:name w:val="Grid Table 5 Dark - Accent 6"/>
    <w:uiPriority w:val="99"/>
    <w:qFormat/>
    <w:tblPr>
      <w:tblCellMar>
        <w:left w:w="0" w:type="dxa"/>
        <w:top w:w="0" w:type="dxa"/>
        <w:right w:w="0" w:type="dxa"/>
        <w:bottom w:w="0" w:type="dxa"/>
      </w:tblCellMar>
    </w:tblPr>
  </w:style>
  <w:style w:type="table" w:styleId="1060" w:customStyle="1">
    <w:name w:val="网格表 6 彩色1"/>
    <w:uiPriority w:val="99"/>
    <w:qFormat/>
    <w:tblPr>
      <w:tblCellMar>
        <w:left w:w="0" w:type="dxa"/>
        <w:top w:w="0" w:type="dxa"/>
        <w:right w:w="0" w:type="dxa"/>
        <w:bottom w:w="0" w:type="dxa"/>
      </w:tblCellMar>
    </w:tblPr>
  </w:style>
  <w:style w:type="table" w:styleId="1061" w:customStyle="1">
    <w:name w:val="Grid Table 6 Colorful - Accent 1"/>
    <w:uiPriority w:val="99"/>
    <w:qFormat/>
    <w:tblPr>
      <w:tblCellMar>
        <w:left w:w="0" w:type="dxa"/>
        <w:top w:w="0" w:type="dxa"/>
        <w:right w:w="0" w:type="dxa"/>
        <w:bottom w:w="0" w:type="dxa"/>
      </w:tblCellMar>
    </w:tblPr>
  </w:style>
  <w:style w:type="table" w:styleId="1062" w:customStyle="1">
    <w:name w:val="Grid Table 6 Colorful - Accent 2"/>
    <w:uiPriority w:val="99"/>
    <w:qFormat/>
    <w:tblPr>
      <w:tblCellMar>
        <w:left w:w="0" w:type="dxa"/>
        <w:top w:w="0" w:type="dxa"/>
        <w:right w:w="0" w:type="dxa"/>
        <w:bottom w:w="0" w:type="dxa"/>
      </w:tblCellMar>
    </w:tblPr>
  </w:style>
  <w:style w:type="table" w:styleId="1063" w:customStyle="1">
    <w:name w:val="Grid Table 6 Colorful - Accent 3"/>
    <w:uiPriority w:val="99"/>
    <w:qFormat/>
    <w:tblPr>
      <w:tblCellMar>
        <w:left w:w="0" w:type="dxa"/>
        <w:top w:w="0" w:type="dxa"/>
        <w:right w:w="0" w:type="dxa"/>
        <w:bottom w:w="0" w:type="dxa"/>
      </w:tblCellMar>
    </w:tblPr>
  </w:style>
  <w:style w:type="table" w:styleId="1064" w:customStyle="1">
    <w:name w:val="Grid Table 6 Colorful - Accent 4"/>
    <w:uiPriority w:val="99"/>
    <w:qFormat/>
    <w:tblPr>
      <w:tblCellMar>
        <w:left w:w="0" w:type="dxa"/>
        <w:top w:w="0" w:type="dxa"/>
        <w:right w:w="0" w:type="dxa"/>
        <w:bottom w:w="0" w:type="dxa"/>
      </w:tblCellMar>
    </w:tblPr>
  </w:style>
  <w:style w:type="table" w:styleId="1065" w:customStyle="1">
    <w:name w:val="Grid Table 6 Colorful - Accent 5"/>
    <w:uiPriority w:val="99"/>
    <w:qFormat/>
    <w:tblPr>
      <w:tblCellMar>
        <w:left w:w="0" w:type="dxa"/>
        <w:top w:w="0" w:type="dxa"/>
        <w:right w:w="0" w:type="dxa"/>
        <w:bottom w:w="0" w:type="dxa"/>
      </w:tblCellMar>
    </w:tblPr>
  </w:style>
  <w:style w:type="table" w:styleId="1066" w:customStyle="1">
    <w:name w:val="Grid Table 6 Colorful - Accent 6"/>
    <w:uiPriority w:val="99"/>
    <w:qFormat/>
    <w:tblPr>
      <w:tblCellMar>
        <w:left w:w="0" w:type="dxa"/>
        <w:top w:w="0" w:type="dxa"/>
        <w:right w:w="0" w:type="dxa"/>
        <w:bottom w:w="0" w:type="dxa"/>
      </w:tblCellMar>
    </w:tblPr>
  </w:style>
  <w:style w:type="table" w:styleId="1067" w:customStyle="1">
    <w:name w:val="网格表 7 彩色1"/>
    <w:uiPriority w:val="99"/>
    <w:qFormat/>
    <w:tblPr>
      <w:tblCellMar>
        <w:left w:w="0" w:type="dxa"/>
        <w:top w:w="0" w:type="dxa"/>
        <w:right w:w="0" w:type="dxa"/>
        <w:bottom w:w="0" w:type="dxa"/>
      </w:tblCellMar>
    </w:tblPr>
  </w:style>
  <w:style w:type="table" w:styleId="1068" w:customStyle="1">
    <w:name w:val="Grid Table 7 Colorful - Accent 1"/>
    <w:uiPriority w:val="99"/>
    <w:qFormat/>
    <w:tblPr>
      <w:tblCellMar>
        <w:left w:w="0" w:type="dxa"/>
        <w:top w:w="0" w:type="dxa"/>
        <w:right w:w="0" w:type="dxa"/>
        <w:bottom w:w="0" w:type="dxa"/>
      </w:tblCellMar>
    </w:tblPr>
  </w:style>
  <w:style w:type="table" w:styleId="1069" w:customStyle="1">
    <w:name w:val="Grid Table 7 Colorful - Accent 2"/>
    <w:uiPriority w:val="99"/>
    <w:qFormat/>
    <w:tblPr>
      <w:tblCellMar>
        <w:left w:w="0" w:type="dxa"/>
        <w:top w:w="0" w:type="dxa"/>
        <w:right w:w="0" w:type="dxa"/>
        <w:bottom w:w="0" w:type="dxa"/>
      </w:tblCellMar>
    </w:tblPr>
  </w:style>
  <w:style w:type="table" w:styleId="1070" w:customStyle="1">
    <w:name w:val="Grid Table 7 Colorful - Accent 3"/>
    <w:uiPriority w:val="99"/>
    <w:qFormat/>
    <w:tblPr>
      <w:tblCellMar>
        <w:left w:w="0" w:type="dxa"/>
        <w:top w:w="0" w:type="dxa"/>
        <w:right w:w="0" w:type="dxa"/>
        <w:bottom w:w="0" w:type="dxa"/>
      </w:tblCellMar>
    </w:tblPr>
  </w:style>
  <w:style w:type="table" w:styleId="1071" w:customStyle="1">
    <w:name w:val="Grid Table 7 Colorful - Accent 4"/>
    <w:uiPriority w:val="99"/>
    <w:qFormat/>
    <w:tblPr>
      <w:tblCellMar>
        <w:left w:w="0" w:type="dxa"/>
        <w:top w:w="0" w:type="dxa"/>
        <w:right w:w="0" w:type="dxa"/>
        <w:bottom w:w="0" w:type="dxa"/>
      </w:tblCellMar>
    </w:tblPr>
  </w:style>
  <w:style w:type="table" w:styleId="1072" w:customStyle="1">
    <w:name w:val="Grid Table 7 Colorful - Accent 5"/>
    <w:uiPriority w:val="99"/>
    <w:qFormat/>
    <w:tblPr>
      <w:tblCellMar>
        <w:left w:w="0" w:type="dxa"/>
        <w:top w:w="0" w:type="dxa"/>
        <w:right w:w="0" w:type="dxa"/>
        <w:bottom w:w="0" w:type="dxa"/>
      </w:tblCellMar>
    </w:tblPr>
  </w:style>
  <w:style w:type="table" w:styleId="1073" w:customStyle="1">
    <w:name w:val="Grid Table 7 Colorful - Accent 6"/>
    <w:uiPriority w:val="99"/>
    <w:qFormat/>
    <w:tblPr>
      <w:tblCellMar>
        <w:left w:w="0" w:type="dxa"/>
        <w:top w:w="0" w:type="dxa"/>
        <w:right w:w="0" w:type="dxa"/>
        <w:bottom w:w="0" w:type="dxa"/>
      </w:tblCellMar>
    </w:tblPr>
  </w:style>
  <w:style w:type="table" w:styleId="1074" w:customStyle="1">
    <w:name w:val="清单表 1 浅色1"/>
    <w:uiPriority w:val="99"/>
    <w:qFormat/>
    <w:tblPr>
      <w:tblCellMar>
        <w:left w:w="0" w:type="dxa"/>
        <w:top w:w="0" w:type="dxa"/>
        <w:right w:w="0" w:type="dxa"/>
        <w:bottom w:w="0" w:type="dxa"/>
      </w:tblCellMar>
    </w:tblPr>
  </w:style>
  <w:style w:type="table" w:styleId="1075" w:customStyle="1">
    <w:name w:val="List Table 1 Light - Accent 1"/>
    <w:uiPriority w:val="99"/>
    <w:qFormat/>
    <w:tblPr>
      <w:tblCellMar>
        <w:left w:w="0" w:type="dxa"/>
        <w:top w:w="0" w:type="dxa"/>
        <w:right w:w="0" w:type="dxa"/>
        <w:bottom w:w="0" w:type="dxa"/>
      </w:tblCellMar>
    </w:tblPr>
  </w:style>
  <w:style w:type="table" w:styleId="1076" w:customStyle="1">
    <w:name w:val="List Table 1 Light - Accent 2"/>
    <w:uiPriority w:val="99"/>
    <w:qFormat/>
    <w:tblPr>
      <w:tblCellMar>
        <w:left w:w="0" w:type="dxa"/>
        <w:top w:w="0" w:type="dxa"/>
        <w:right w:w="0" w:type="dxa"/>
        <w:bottom w:w="0" w:type="dxa"/>
      </w:tblCellMar>
    </w:tblPr>
  </w:style>
  <w:style w:type="table" w:styleId="1077" w:customStyle="1">
    <w:name w:val="List Table 1 Light - Accent 3"/>
    <w:uiPriority w:val="99"/>
    <w:qFormat/>
    <w:tblPr>
      <w:tblCellMar>
        <w:left w:w="0" w:type="dxa"/>
        <w:top w:w="0" w:type="dxa"/>
        <w:right w:w="0" w:type="dxa"/>
        <w:bottom w:w="0" w:type="dxa"/>
      </w:tblCellMar>
    </w:tblPr>
  </w:style>
  <w:style w:type="table" w:styleId="1078" w:customStyle="1">
    <w:name w:val="List Table 1 Light - Accent 4"/>
    <w:uiPriority w:val="99"/>
    <w:qFormat/>
    <w:tblPr>
      <w:tblCellMar>
        <w:left w:w="0" w:type="dxa"/>
        <w:top w:w="0" w:type="dxa"/>
        <w:right w:w="0" w:type="dxa"/>
        <w:bottom w:w="0" w:type="dxa"/>
      </w:tblCellMar>
    </w:tblPr>
  </w:style>
  <w:style w:type="table" w:styleId="1079" w:customStyle="1">
    <w:name w:val="List Table 1 Light - Accent 5"/>
    <w:uiPriority w:val="99"/>
    <w:qFormat/>
    <w:tblPr>
      <w:tblCellMar>
        <w:left w:w="0" w:type="dxa"/>
        <w:top w:w="0" w:type="dxa"/>
        <w:right w:w="0" w:type="dxa"/>
        <w:bottom w:w="0" w:type="dxa"/>
      </w:tblCellMar>
    </w:tblPr>
  </w:style>
  <w:style w:type="table" w:styleId="1080" w:customStyle="1">
    <w:name w:val="List Table 1 Light - Accent 6"/>
    <w:uiPriority w:val="99"/>
    <w:qFormat/>
    <w:tblPr>
      <w:tblCellMar>
        <w:left w:w="0" w:type="dxa"/>
        <w:top w:w="0" w:type="dxa"/>
        <w:right w:w="0" w:type="dxa"/>
        <w:bottom w:w="0" w:type="dxa"/>
      </w:tblCellMar>
    </w:tblPr>
  </w:style>
  <w:style w:type="table" w:styleId="1081" w:customStyle="1">
    <w:name w:val="清单表 21"/>
    <w:uiPriority w:val="99"/>
    <w:qFormat/>
    <w:tblPr>
      <w:tblCellMar>
        <w:left w:w="0" w:type="dxa"/>
        <w:top w:w="0" w:type="dxa"/>
        <w:right w:w="0" w:type="dxa"/>
        <w:bottom w:w="0" w:type="dxa"/>
      </w:tblCellMar>
    </w:tblPr>
  </w:style>
  <w:style w:type="table" w:styleId="1082" w:customStyle="1">
    <w:name w:val="List Table 2 - Accent 1"/>
    <w:uiPriority w:val="99"/>
    <w:qFormat/>
    <w:tblPr>
      <w:tblCellMar>
        <w:left w:w="0" w:type="dxa"/>
        <w:top w:w="0" w:type="dxa"/>
        <w:right w:w="0" w:type="dxa"/>
        <w:bottom w:w="0" w:type="dxa"/>
      </w:tblCellMar>
    </w:tblPr>
  </w:style>
  <w:style w:type="table" w:styleId="1083" w:customStyle="1">
    <w:name w:val="List Table 2 - Accent 2"/>
    <w:uiPriority w:val="99"/>
    <w:qFormat/>
    <w:tblPr>
      <w:tblCellMar>
        <w:left w:w="0" w:type="dxa"/>
        <w:top w:w="0" w:type="dxa"/>
        <w:right w:w="0" w:type="dxa"/>
        <w:bottom w:w="0" w:type="dxa"/>
      </w:tblCellMar>
    </w:tblPr>
  </w:style>
  <w:style w:type="table" w:styleId="1084" w:customStyle="1">
    <w:name w:val="List Table 2 - Accent 3"/>
    <w:uiPriority w:val="99"/>
    <w:qFormat/>
    <w:tblPr>
      <w:tblCellMar>
        <w:left w:w="0" w:type="dxa"/>
        <w:top w:w="0" w:type="dxa"/>
        <w:right w:w="0" w:type="dxa"/>
        <w:bottom w:w="0" w:type="dxa"/>
      </w:tblCellMar>
    </w:tblPr>
  </w:style>
  <w:style w:type="table" w:styleId="1085" w:customStyle="1">
    <w:name w:val="List Table 2 - Accent 4"/>
    <w:uiPriority w:val="99"/>
    <w:qFormat/>
    <w:tblPr>
      <w:tblCellMar>
        <w:left w:w="0" w:type="dxa"/>
        <w:top w:w="0" w:type="dxa"/>
        <w:right w:w="0" w:type="dxa"/>
        <w:bottom w:w="0" w:type="dxa"/>
      </w:tblCellMar>
    </w:tblPr>
  </w:style>
  <w:style w:type="table" w:styleId="1086" w:customStyle="1">
    <w:name w:val="List Table 2 - Accent 5"/>
    <w:uiPriority w:val="99"/>
    <w:qFormat/>
    <w:tblPr>
      <w:tblCellMar>
        <w:left w:w="0" w:type="dxa"/>
        <w:top w:w="0" w:type="dxa"/>
        <w:right w:w="0" w:type="dxa"/>
        <w:bottom w:w="0" w:type="dxa"/>
      </w:tblCellMar>
    </w:tblPr>
  </w:style>
  <w:style w:type="table" w:styleId="1087" w:customStyle="1">
    <w:name w:val="List Table 2 - Accent 6"/>
    <w:uiPriority w:val="99"/>
    <w:qFormat/>
    <w:tblPr>
      <w:tblCellMar>
        <w:left w:w="0" w:type="dxa"/>
        <w:top w:w="0" w:type="dxa"/>
        <w:right w:w="0" w:type="dxa"/>
        <w:bottom w:w="0" w:type="dxa"/>
      </w:tblCellMar>
    </w:tblPr>
  </w:style>
  <w:style w:type="table" w:styleId="1088" w:customStyle="1">
    <w:name w:val="清单表 31"/>
    <w:uiPriority w:val="99"/>
    <w:qFormat/>
    <w:tblPr>
      <w:tblCellMar>
        <w:left w:w="0" w:type="dxa"/>
        <w:top w:w="0" w:type="dxa"/>
        <w:right w:w="0" w:type="dxa"/>
        <w:bottom w:w="0" w:type="dxa"/>
      </w:tblCellMar>
    </w:tblPr>
  </w:style>
  <w:style w:type="table" w:styleId="1089" w:customStyle="1">
    <w:name w:val="List Table 3 - Accent 1"/>
    <w:uiPriority w:val="99"/>
    <w:qFormat/>
    <w:tblPr>
      <w:tblCellMar>
        <w:left w:w="0" w:type="dxa"/>
        <w:top w:w="0" w:type="dxa"/>
        <w:right w:w="0" w:type="dxa"/>
        <w:bottom w:w="0" w:type="dxa"/>
      </w:tblCellMar>
    </w:tblPr>
  </w:style>
  <w:style w:type="table" w:styleId="1090" w:customStyle="1">
    <w:name w:val="List Table 3 - Accent 2"/>
    <w:uiPriority w:val="99"/>
    <w:qFormat/>
    <w:tblPr>
      <w:tblCellMar>
        <w:left w:w="0" w:type="dxa"/>
        <w:top w:w="0" w:type="dxa"/>
        <w:right w:w="0" w:type="dxa"/>
        <w:bottom w:w="0" w:type="dxa"/>
      </w:tblCellMar>
    </w:tblPr>
  </w:style>
  <w:style w:type="table" w:styleId="1091" w:customStyle="1">
    <w:name w:val="List Table 3 - Accent 3"/>
    <w:uiPriority w:val="99"/>
    <w:qFormat/>
    <w:tblPr>
      <w:tblCellMar>
        <w:left w:w="0" w:type="dxa"/>
        <w:top w:w="0" w:type="dxa"/>
        <w:right w:w="0" w:type="dxa"/>
        <w:bottom w:w="0" w:type="dxa"/>
      </w:tblCellMar>
    </w:tblPr>
  </w:style>
  <w:style w:type="table" w:styleId="1092" w:customStyle="1">
    <w:name w:val="List Table 3 - Accent 4"/>
    <w:uiPriority w:val="99"/>
    <w:qFormat/>
    <w:tblPr>
      <w:tblCellMar>
        <w:left w:w="0" w:type="dxa"/>
        <w:top w:w="0" w:type="dxa"/>
        <w:right w:w="0" w:type="dxa"/>
        <w:bottom w:w="0" w:type="dxa"/>
      </w:tblCellMar>
    </w:tblPr>
  </w:style>
  <w:style w:type="table" w:styleId="1093" w:customStyle="1">
    <w:name w:val="List Table 3 - Accent 5"/>
    <w:uiPriority w:val="99"/>
    <w:qFormat/>
    <w:tblPr>
      <w:tblCellMar>
        <w:left w:w="0" w:type="dxa"/>
        <w:top w:w="0" w:type="dxa"/>
        <w:right w:w="0" w:type="dxa"/>
        <w:bottom w:w="0" w:type="dxa"/>
      </w:tblCellMar>
    </w:tblPr>
  </w:style>
  <w:style w:type="table" w:styleId="1094" w:customStyle="1">
    <w:name w:val="List Table 3 - Accent 6"/>
    <w:uiPriority w:val="99"/>
    <w:qFormat/>
    <w:tblPr>
      <w:tblCellMar>
        <w:left w:w="0" w:type="dxa"/>
        <w:top w:w="0" w:type="dxa"/>
        <w:right w:w="0" w:type="dxa"/>
        <w:bottom w:w="0" w:type="dxa"/>
      </w:tblCellMar>
    </w:tblPr>
  </w:style>
  <w:style w:type="table" w:styleId="1095" w:customStyle="1">
    <w:name w:val="清单表 41"/>
    <w:uiPriority w:val="99"/>
    <w:qFormat/>
    <w:tblPr>
      <w:tblCellMar>
        <w:left w:w="0" w:type="dxa"/>
        <w:top w:w="0" w:type="dxa"/>
        <w:right w:w="0" w:type="dxa"/>
        <w:bottom w:w="0" w:type="dxa"/>
      </w:tblCellMar>
    </w:tblPr>
  </w:style>
  <w:style w:type="table" w:styleId="1096" w:customStyle="1">
    <w:name w:val="List Table 4 - Accent 1"/>
    <w:uiPriority w:val="99"/>
    <w:qFormat/>
    <w:tblPr>
      <w:tblCellMar>
        <w:left w:w="0" w:type="dxa"/>
        <w:top w:w="0" w:type="dxa"/>
        <w:right w:w="0" w:type="dxa"/>
        <w:bottom w:w="0" w:type="dxa"/>
      </w:tblCellMar>
    </w:tblPr>
  </w:style>
  <w:style w:type="table" w:styleId="1097" w:customStyle="1">
    <w:name w:val="List Table 4 - Accent 2"/>
    <w:uiPriority w:val="99"/>
    <w:qFormat/>
    <w:tblPr>
      <w:tblCellMar>
        <w:left w:w="0" w:type="dxa"/>
        <w:top w:w="0" w:type="dxa"/>
        <w:right w:w="0" w:type="dxa"/>
        <w:bottom w:w="0" w:type="dxa"/>
      </w:tblCellMar>
    </w:tblPr>
  </w:style>
  <w:style w:type="table" w:styleId="1098" w:customStyle="1">
    <w:name w:val="List Table 4 - Accent 3"/>
    <w:uiPriority w:val="99"/>
    <w:qFormat/>
    <w:tblPr>
      <w:tblCellMar>
        <w:left w:w="0" w:type="dxa"/>
        <w:top w:w="0" w:type="dxa"/>
        <w:right w:w="0" w:type="dxa"/>
        <w:bottom w:w="0" w:type="dxa"/>
      </w:tblCellMar>
    </w:tblPr>
  </w:style>
  <w:style w:type="table" w:styleId="1099" w:customStyle="1">
    <w:name w:val="List Table 4 - Accent 4"/>
    <w:uiPriority w:val="99"/>
    <w:qFormat/>
    <w:tblPr>
      <w:tblCellMar>
        <w:left w:w="0" w:type="dxa"/>
        <w:top w:w="0" w:type="dxa"/>
        <w:right w:w="0" w:type="dxa"/>
        <w:bottom w:w="0" w:type="dxa"/>
      </w:tblCellMar>
    </w:tblPr>
  </w:style>
  <w:style w:type="table" w:styleId="1100" w:customStyle="1">
    <w:name w:val="List Table 4 - Accent 5"/>
    <w:uiPriority w:val="99"/>
    <w:qFormat/>
    <w:tblPr>
      <w:tblCellMar>
        <w:left w:w="0" w:type="dxa"/>
        <w:top w:w="0" w:type="dxa"/>
        <w:right w:w="0" w:type="dxa"/>
        <w:bottom w:w="0" w:type="dxa"/>
      </w:tblCellMar>
    </w:tblPr>
  </w:style>
  <w:style w:type="table" w:styleId="1101" w:customStyle="1">
    <w:name w:val="List Table 4 - Accent 6"/>
    <w:uiPriority w:val="99"/>
    <w:qFormat/>
    <w:tblPr>
      <w:tblCellMar>
        <w:left w:w="0" w:type="dxa"/>
        <w:top w:w="0" w:type="dxa"/>
        <w:right w:w="0" w:type="dxa"/>
        <w:bottom w:w="0" w:type="dxa"/>
      </w:tblCellMar>
    </w:tblPr>
  </w:style>
  <w:style w:type="table" w:styleId="1102" w:customStyle="1">
    <w:name w:val="清单表 5 深色1"/>
    <w:uiPriority w:val="99"/>
    <w:qFormat/>
    <w:tblPr>
      <w:tblCellMar>
        <w:left w:w="0" w:type="dxa"/>
        <w:top w:w="0" w:type="dxa"/>
        <w:right w:w="0" w:type="dxa"/>
        <w:bottom w:w="0" w:type="dxa"/>
      </w:tblCellMar>
    </w:tblPr>
  </w:style>
  <w:style w:type="table" w:styleId="1103" w:customStyle="1">
    <w:name w:val="List Table 5 Dark - Accent 1"/>
    <w:uiPriority w:val="99"/>
    <w:qFormat/>
    <w:tblPr>
      <w:tblCellMar>
        <w:left w:w="0" w:type="dxa"/>
        <w:top w:w="0" w:type="dxa"/>
        <w:right w:w="0" w:type="dxa"/>
        <w:bottom w:w="0" w:type="dxa"/>
      </w:tblCellMar>
    </w:tblPr>
  </w:style>
  <w:style w:type="table" w:styleId="1104" w:customStyle="1">
    <w:name w:val="List Table 5 Dark - Accent 2"/>
    <w:uiPriority w:val="99"/>
    <w:qFormat/>
    <w:tblPr>
      <w:tblCellMar>
        <w:left w:w="0" w:type="dxa"/>
        <w:top w:w="0" w:type="dxa"/>
        <w:right w:w="0" w:type="dxa"/>
        <w:bottom w:w="0" w:type="dxa"/>
      </w:tblCellMar>
    </w:tblPr>
  </w:style>
  <w:style w:type="table" w:styleId="1105" w:customStyle="1">
    <w:name w:val="List Table 5 Dark - Accent 3"/>
    <w:uiPriority w:val="99"/>
    <w:qFormat/>
    <w:tblPr>
      <w:tblCellMar>
        <w:left w:w="0" w:type="dxa"/>
        <w:top w:w="0" w:type="dxa"/>
        <w:right w:w="0" w:type="dxa"/>
        <w:bottom w:w="0" w:type="dxa"/>
      </w:tblCellMar>
    </w:tblPr>
  </w:style>
  <w:style w:type="table" w:styleId="1106" w:customStyle="1">
    <w:name w:val="List Table 5 Dark - Accent 4"/>
    <w:uiPriority w:val="99"/>
    <w:qFormat/>
    <w:tblPr>
      <w:tblCellMar>
        <w:left w:w="0" w:type="dxa"/>
        <w:top w:w="0" w:type="dxa"/>
        <w:right w:w="0" w:type="dxa"/>
        <w:bottom w:w="0" w:type="dxa"/>
      </w:tblCellMar>
    </w:tblPr>
  </w:style>
  <w:style w:type="table" w:styleId="1107" w:customStyle="1">
    <w:name w:val="List Table 5 Dark - Accent 5"/>
    <w:uiPriority w:val="99"/>
    <w:qFormat/>
    <w:tblPr>
      <w:tblCellMar>
        <w:left w:w="0" w:type="dxa"/>
        <w:top w:w="0" w:type="dxa"/>
        <w:right w:w="0" w:type="dxa"/>
        <w:bottom w:w="0" w:type="dxa"/>
      </w:tblCellMar>
    </w:tblPr>
  </w:style>
  <w:style w:type="table" w:styleId="1108" w:customStyle="1">
    <w:name w:val="List Table 5 Dark - Accent 6"/>
    <w:uiPriority w:val="99"/>
    <w:qFormat/>
    <w:tblPr>
      <w:tblCellMar>
        <w:left w:w="0" w:type="dxa"/>
        <w:top w:w="0" w:type="dxa"/>
        <w:right w:w="0" w:type="dxa"/>
        <w:bottom w:w="0" w:type="dxa"/>
      </w:tblCellMar>
    </w:tblPr>
  </w:style>
  <w:style w:type="table" w:styleId="1109" w:customStyle="1">
    <w:name w:val="清单表 6 彩色1"/>
    <w:uiPriority w:val="99"/>
    <w:qFormat/>
    <w:tblPr>
      <w:tblCellMar>
        <w:left w:w="0" w:type="dxa"/>
        <w:top w:w="0" w:type="dxa"/>
        <w:right w:w="0" w:type="dxa"/>
        <w:bottom w:w="0" w:type="dxa"/>
      </w:tblCellMar>
    </w:tblPr>
  </w:style>
  <w:style w:type="table" w:styleId="1110" w:customStyle="1">
    <w:name w:val="List Table 6 Colorful - Accent 1"/>
    <w:uiPriority w:val="99"/>
    <w:qFormat/>
    <w:tblPr>
      <w:tblCellMar>
        <w:left w:w="0" w:type="dxa"/>
        <w:top w:w="0" w:type="dxa"/>
        <w:right w:w="0" w:type="dxa"/>
        <w:bottom w:w="0" w:type="dxa"/>
      </w:tblCellMar>
    </w:tblPr>
  </w:style>
  <w:style w:type="table" w:styleId="1111" w:customStyle="1">
    <w:name w:val="List Table 6 Colorful - Accent 2"/>
    <w:uiPriority w:val="99"/>
    <w:qFormat/>
    <w:tblPr>
      <w:tblCellMar>
        <w:left w:w="0" w:type="dxa"/>
        <w:top w:w="0" w:type="dxa"/>
        <w:right w:w="0" w:type="dxa"/>
        <w:bottom w:w="0" w:type="dxa"/>
      </w:tblCellMar>
    </w:tblPr>
  </w:style>
  <w:style w:type="table" w:styleId="1112" w:customStyle="1">
    <w:name w:val="List Table 6 Colorful - Accent 3"/>
    <w:uiPriority w:val="99"/>
    <w:qFormat/>
    <w:tblPr>
      <w:tblCellMar>
        <w:left w:w="0" w:type="dxa"/>
        <w:top w:w="0" w:type="dxa"/>
        <w:right w:w="0" w:type="dxa"/>
        <w:bottom w:w="0" w:type="dxa"/>
      </w:tblCellMar>
    </w:tblPr>
  </w:style>
  <w:style w:type="table" w:styleId="1113" w:customStyle="1">
    <w:name w:val="List Table 6 Colorful - Accent 4"/>
    <w:uiPriority w:val="99"/>
    <w:qFormat/>
    <w:tblPr>
      <w:tblCellMar>
        <w:left w:w="0" w:type="dxa"/>
        <w:top w:w="0" w:type="dxa"/>
        <w:right w:w="0" w:type="dxa"/>
        <w:bottom w:w="0" w:type="dxa"/>
      </w:tblCellMar>
    </w:tblPr>
  </w:style>
  <w:style w:type="table" w:styleId="1114" w:customStyle="1">
    <w:name w:val="List Table 6 Colorful - Accent 5"/>
    <w:uiPriority w:val="99"/>
    <w:qFormat/>
    <w:tblPr>
      <w:tblCellMar>
        <w:left w:w="0" w:type="dxa"/>
        <w:top w:w="0" w:type="dxa"/>
        <w:right w:w="0" w:type="dxa"/>
        <w:bottom w:w="0" w:type="dxa"/>
      </w:tblCellMar>
    </w:tblPr>
  </w:style>
  <w:style w:type="table" w:styleId="1115" w:customStyle="1">
    <w:name w:val="List Table 6 Colorful - Accent 6"/>
    <w:uiPriority w:val="99"/>
    <w:qFormat/>
    <w:tblPr>
      <w:tblCellMar>
        <w:left w:w="0" w:type="dxa"/>
        <w:top w:w="0" w:type="dxa"/>
        <w:right w:w="0" w:type="dxa"/>
        <w:bottom w:w="0" w:type="dxa"/>
      </w:tblCellMar>
    </w:tblPr>
  </w:style>
  <w:style w:type="table" w:styleId="1116" w:customStyle="1">
    <w:name w:val="清单表 7 彩色1"/>
    <w:uiPriority w:val="99"/>
    <w:qFormat/>
    <w:tblPr>
      <w:tblCellMar>
        <w:left w:w="0" w:type="dxa"/>
        <w:top w:w="0" w:type="dxa"/>
        <w:right w:w="0" w:type="dxa"/>
        <w:bottom w:w="0" w:type="dxa"/>
      </w:tblCellMar>
    </w:tblPr>
  </w:style>
  <w:style w:type="table" w:styleId="1117" w:customStyle="1">
    <w:name w:val="List Table 7 Colorful - Accent 1"/>
    <w:uiPriority w:val="99"/>
    <w:qFormat/>
    <w:tblPr>
      <w:tblCellMar>
        <w:left w:w="0" w:type="dxa"/>
        <w:top w:w="0" w:type="dxa"/>
        <w:right w:w="0" w:type="dxa"/>
        <w:bottom w:w="0" w:type="dxa"/>
      </w:tblCellMar>
    </w:tblPr>
  </w:style>
  <w:style w:type="table" w:styleId="1118" w:customStyle="1">
    <w:name w:val="List Table 7 Colorful - Accent 2"/>
    <w:uiPriority w:val="99"/>
    <w:qFormat/>
    <w:tblPr>
      <w:tblCellMar>
        <w:left w:w="0" w:type="dxa"/>
        <w:top w:w="0" w:type="dxa"/>
        <w:right w:w="0" w:type="dxa"/>
        <w:bottom w:w="0" w:type="dxa"/>
      </w:tblCellMar>
    </w:tblPr>
  </w:style>
  <w:style w:type="table" w:styleId="1119" w:customStyle="1">
    <w:name w:val="List Table 7 Colorful - Accent 3"/>
    <w:uiPriority w:val="99"/>
    <w:qFormat/>
    <w:tblPr>
      <w:tblCellMar>
        <w:left w:w="0" w:type="dxa"/>
        <w:top w:w="0" w:type="dxa"/>
        <w:right w:w="0" w:type="dxa"/>
        <w:bottom w:w="0" w:type="dxa"/>
      </w:tblCellMar>
    </w:tblPr>
  </w:style>
  <w:style w:type="table" w:styleId="1120" w:customStyle="1">
    <w:name w:val="List Table 7 Colorful - Accent 4"/>
    <w:uiPriority w:val="99"/>
    <w:qFormat/>
    <w:tblPr>
      <w:tblCellMar>
        <w:left w:w="0" w:type="dxa"/>
        <w:top w:w="0" w:type="dxa"/>
        <w:right w:w="0" w:type="dxa"/>
        <w:bottom w:w="0" w:type="dxa"/>
      </w:tblCellMar>
    </w:tblPr>
  </w:style>
  <w:style w:type="table" w:styleId="1121" w:customStyle="1">
    <w:name w:val="List Table 7 Colorful - Accent 5"/>
    <w:uiPriority w:val="99"/>
    <w:qFormat/>
    <w:tblPr>
      <w:tblCellMar>
        <w:left w:w="0" w:type="dxa"/>
        <w:top w:w="0" w:type="dxa"/>
        <w:right w:w="0" w:type="dxa"/>
        <w:bottom w:w="0" w:type="dxa"/>
      </w:tblCellMar>
    </w:tblPr>
  </w:style>
  <w:style w:type="table" w:styleId="1122" w:customStyle="1">
    <w:name w:val="List Table 7 Colorful - Accent 6"/>
    <w:uiPriority w:val="99"/>
    <w:qFormat/>
    <w:tblPr>
      <w:tblCellMar>
        <w:left w:w="0" w:type="dxa"/>
        <w:top w:w="0" w:type="dxa"/>
        <w:right w:w="0" w:type="dxa"/>
        <w:bottom w:w="0" w:type="dxa"/>
      </w:tblCellMar>
    </w:tblPr>
  </w:style>
  <w:style w:type="table" w:styleId="1123" w:customStyle="1">
    <w:name w:val="Lined - Accent"/>
    <w:uiPriority w:val="99"/>
    <w:qFormat/>
    <w:rPr>
      <w:color w:val="404040"/>
    </w:rPr>
    <w:tblPr>
      <w:tblCellMar>
        <w:left w:w="0" w:type="dxa"/>
        <w:top w:w="0" w:type="dxa"/>
        <w:right w:w="0" w:type="dxa"/>
        <w:bottom w:w="0" w:type="dxa"/>
      </w:tblCellMar>
    </w:tblPr>
  </w:style>
  <w:style w:type="table" w:styleId="1124" w:customStyle="1">
    <w:name w:val="Lined - Accent 1"/>
    <w:uiPriority w:val="99"/>
    <w:qFormat/>
    <w:rPr>
      <w:color w:val="404040"/>
    </w:rPr>
    <w:tblPr>
      <w:tblCellMar>
        <w:left w:w="0" w:type="dxa"/>
        <w:top w:w="0" w:type="dxa"/>
        <w:right w:w="0" w:type="dxa"/>
        <w:bottom w:w="0" w:type="dxa"/>
      </w:tblCellMar>
    </w:tblPr>
  </w:style>
  <w:style w:type="table" w:styleId="1125" w:customStyle="1">
    <w:name w:val="Lined - Accent 2"/>
    <w:uiPriority w:val="99"/>
    <w:qFormat/>
    <w:rPr>
      <w:color w:val="404040"/>
    </w:rPr>
    <w:tblPr>
      <w:tblCellMar>
        <w:left w:w="0" w:type="dxa"/>
        <w:top w:w="0" w:type="dxa"/>
        <w:right w:w="0" w:type="dxa"/>
        <w:bottom w:w="0" w:type="dxa"/>
      </w:tblCellMar>
    </w:tblPr>
  </w:style>
  <w:style w:type="table" w:styleId="1126" w:customStyle="1">
    <w:name w:val="Lined - Accent 3"/>
    <w:uiPriority w:val="99"/>
    <w:qFormat/>
    <w:rPr>
      <w:color w:val="404040"/>
    </w:rPr>
    <w:tblPr>
      <w:tblCellMar>
        <w:left w:w="0" w:type="dxa"/>
        <w:top w:w="0" w:type="dxa"/>
        <w:right w:w="0" w:type="dxa"/>
        <w:bottom w:w="0" w:type="dxa"/>
      </w:tblCellMar>
    </w:tblPr>
  </w:style>
  <w:style w:type="table" w:styleId="1127" w:customStyle="1">
    <w:name w:val="Lined - Accent 4"/>
    <w:uiPriority w:val="99"/>
    <w:qFormat/>
    <w:rPr>
      <w:color w:val="404040"/>
    </w:rPr>
    <w:tblPr>
      <w:tblCellMar>
        <w:left w:w="0" w:type="dxa"/>
        <w:top w:w="0" w:type="dxa"/>
        <w:right w:w="0" w:type="dxa"/>
        <w:bottom w:w="0" w:type="dxa"/>
      </w:tblCellMar>
    </w:tblPr>
  </w:style>
  <w:style w:type="table" w:styleId="1128" w:customStyle="1">
    <w:name w:val="Lined - Accent 5"/>
    <w:uiPriority w:val="99"/>
    <w:qFormat/>
    <w:rPr>
      <w:color w:val="404040"/>
    </w:rPr>
    <w:tblPr>
      <w:tblCellMar>
        <w:left w:w="0" w:type="dxa"/>
        <w:top w:w="0" w:type="dxa"/>
        <w:right w:w="0" w:type="dxa"/>
        <w:bottom w:w="0" w:type="dxa"/>
      </w:tblCellMar>
    </w:tblPr>
  </w:style>
  <w:style w:type="table" w:styleId="1129" w:customStyle="1">
    <w:name w:val="Lined - Accent 6"/>
    <w:uiPriority w:val="99"/>
    <w:qFormat/>
    <w:rPr>
      <w:color w:val="404040"/>
    </w:rPr>
    <w:tblPr>
      <w:tblCellMar>
        <w:left w:w="0" w:type="dxa"/>
        <w:top w:w="0" w:type="dxa"/>
        <w:right w:w="0" w:type="dxa"/>
        <w:bottom w:w="0" w:type="dxa"/>
      </w:tblCellMar>
    </w:tblPr>
  </w:style>
  <w:style w:type="table" w:styleId="1130" w:customStyle="1">
    <w:name w:val="Bordered &amp; Lined - Accent"/>
    <w:uiPriority w:val="99"/>
    <w:qFormat/>
    <w:rPr>
      <w:color w:val="404040"/>
    </w:rPr>
    <w:tblPr>
      <w:tblCellMar>
        <w:left w:w="0" w:type="dxa"/>
        <w:top w:w="0" w:type="dxa"/>
        <w:right w:w="0" w:type="dxa"/>
        <w:bottom w:w="0" w:type="dxa"/>
      </w:tblCellMar>
    </w:tblPr>
  </w:style>
  <w:style w:type="table" w:styleId="1131" w:customStyle="1">
    <w:name w:val="Bordered &amp; Lined - Accent 1"/>
    <w:uiPriority w:val="99"/>
    <w:qFormat/>
    <w:rPr>
      <w:color w:val="404040"/>
    </w:rPr>
    <w:tblPr>
      <w:tblCellMar>
        <w:left w:w="0" w:type="dxa"/>
        <w:top w:w="0" w:type="dxa"/>
        <w:right w:w="0" w:type="dxa"/>
        <w:bottom w:w="0" w:type="dxa"/>
      </w:tblCellMar>
    </w:tblPr>
  </w:style>
  <w:style w:type="table" w:styleId="1132" w:customStyle="1">
    <w:name w:val="Bordered &amp; Lined - Accent 2"/>
    <w:uiPriority w:val="99"/>
    <w:qFormat/>
    <w:rPr>
      <w:color w:val="404040"/>
    </w:rPr>
    <w:tblPr>
      <w:tblCellMar>
        <w:left w:w="0" w:type="dxa"/>
        <w:top w:w="0" w:type="dxa"/>
        <w:right w:w="0" w:type="dxa"/>
        <w:bottom w:w="0" w:type="dxa"/>
      </w:tblCellMar>
    </w:tblPr>
  </w:style>
  <w:style w:type="table" w:styleId="1133" w:customStyle="1">
    <w:name w:val="Bordered &amp; Lined - Accent 3"/>
    <w:uiPriority w:val="99"/>
    <w:qFormat/>
    <w:rPr>
      <w:color w:val="404040"/>
    </w:rPr>
    <w:tblPr>
      <w:tblCellMar>
        <w:left w:w="0" w:type="dxa"/>
        <w:top w:w="0" w:type="dxa"/>
        <w:right w:w="0" w:type="dxa"/>
        <w:bottom w:w="0" w:type="dxa"/>
      </w:tblCellMar>
    </w:tblPr>
  </w:style>
  <w:style w:type="table" w:styleId="1134" w:customStyle="1">
    <w:name w:val="Bordered &amp; Lined - Accent 4"/>
    <w:uiPriority w:val="99"/>
    <w:qFormat/>
    <w:rPr>
      <w:color w:val="404040"/>
    </w:rPr>
    <w:tblPr>
      <w:tblCellMar>
        <w:left w:w="0" w:type="dxa"/>
        <w:top w:w="0" w:type="dxa"/>
        <w:right w:w="0" w:type="dxa"/>
        <w:bottom w:w="0" w:type="dxa"/>
      </w:tblCellMar>
    </w:tblPr>
  </w:style>
  <w:style w:type="table" w:styleId="1135" w:customStyle="1">
    <w:name w:val="Bordered &amp; Lined - Accent 5"/>
    <w:uiPriority w:val="99"/>
    <w:qFormat/>
    <w:rPr>
      <w:color w:val="404040"/>
    </w:rPr>
    <w:tblPr>
      <w:tblCellMar>
        <w:left w:w="0" w:type="dxa"/>
        <w:top w:w="0" w:type="dxa"/>
        <w:right w:w="0" w:type="dxa"/>
        <w:bottom w:w="0" w:type="dxa"/>
      </w:tblCellMar>
    </w:tblPr>
  </w:style>
  <w:style w:type="table" w:styleId="1136" w:customStyle="1">
    <w:name w:val="Bordered &amp; Lined - Accent 6"/>
    <w:uiPriority w:val="99"/>
    <w:qFormat/>
    <w:rPr>
      <w:color w:val="404040"/>
    </w:rPr>
    <w:tblPr>
      <w:tblCellMar>
        <w:left w:w="0" w:type="dxa"/>
        <w:top w:w="0" w:type="dxa"/>
        <w:right w:w="0" w:type="dxa"/>
        <w:bottom w:w="0" w:type="dxa"/>
      </w:tblCellMar>
    </w:tblPr>
  </w:style>
  <w:style w:type="table" w:styleId="1137" w:customStyle="1">
    <w:name w:val="Bordered"/>
    <w:uiPriority w:val="99"/>
    <w:qFormat/>
    <w:tblPr>
      <w:tblCellMar>
        <w:left w:w="0" w:type="dxa"/>
        <w:top w:w="0" w:type="dxa"/>
        <w:right w:w="0" w:type="dxa"/>
        <w:bottom w:w="0" w:type="dxa"/>
      </w:tblCellMar>
    </w:tblPr>
  </w:style>
  <w:style w:type="table" w:styleId="1138" w:customStyle="1">
    <w:name w:val="Bordered - Accent 1"/>
    <w:uiPriority w:val="99"/>
    <w:qFormat/>
    <w:tblPr>
      <w:tblCellMar>
        <w:left w:w="0" w:type="dxa"/>
        <w:top w:w="0" w:type="dxa"/>
        <w:right w:w="0" w:type="dxa"/>
        <w:bottom w:w="0" w:type="dxa"/>
      </w:tblCellMar>
    </w:tblPr>
  </w:style>
  <w:style w:type="table" w:styleId="1139" w:customStyle="1">
    <w:name w:val="Bordered - Accent 2"/>
    <w:uiPriority w:val="99"/>
    <w:qFormat/>
    <w:tblPr>
      <w:tblCellMar>
        <w:left w:w="0" w:type="dxa"/>
        <w:top w:w="0" w:type="dxa"/>
        <w:right w:w="0" w:type="dxa"/>
        <w:bottom w:w="0" w:type="dxa"/>
      </w:tblCellMar>
    </w:tblPr>
  </w:style>
  <w:style w:type="table" w:styleId="1140" w:customStyle="1">
    <w:name w:val="Bordered - Accent 3"/>
    <w:uiPriority w:val="99"/>
    <w:qFormat/>
    <w:tblPr>
      <w:tblCellMar>
        <w:left w:w="0" w:type="dxa"/>
        <w:top w:w="0" w:type="dxa"/>
        <w:right w:w="0" w:type="dxa"/>
        <w:bottom w:w="0" w:type="dxa"/>
      </w:tblCellMar>
    </w:tblPr>
  </w:style>
  <w:style w:type="table" w:styleId="1141" w:customStyle="1">
    <w:name w:val="Bordered - Accent 4"/>
    <w:uiPriority w:val="99"/>
    <w:qFormat/>
    <w:tblPr>
      <w:tblCellMar>
        <w:left w:w="0" w:type="dxa"/>
        <w:top w:w="0" w:type="dxa"/>
        <w:right w:w="0" w:type="dxa"/>
        <w:bottom w:w="0" w:type="dxa"/>
      </w:tblCellMar>
    </w:tblPr>
  </w:style>
  <w:style w:type="table" w:styleId="1142" w:customStyle="1">
    <w:name w:val="Bordered - Accent 5"/>
    <w:uiPriority w:val="99"/>
    <w:qFormat/>
    <w:tblPr>
      <w:tblCellMar>
        <w:left w:w="0" w:type="dxa"/>
        <w:top w:w="0" w:type="dxa"/>
        <w:right w:w="0" w:type="dxa"/>
        <w:bottom w:w="0" w:type="dxa"/>
      </w:tblCellMar>
    </w:tblPr>
  </w:style>
  <w:style w:type="table" w:styleId="1143" w:customStyle="1">
    <w:name w:val="Bordered - Accent 6"/>
    <w:uiPriority w:val="99"/>
    <w:qFormat/>
    <w:tblPr>
      <w:tblCellMar>
        <w:left w:w="0" w:type="dxa"/>
        <w:top w:w="0" w:type="dxa"/>
        <w:right w:w="0" w:type="dxa"/>
        <w:bottom w:w="0" w:type="dxa"/>
      </w:tblCellMar>
    </w:tblPr>
  </w:style>
  <w:style w:type="paragraph" w:styleId="1144" w:customStyle="1">
    <w:name w:val="TOC 标题1"/>
    <w:uiPriority w:val="39"/>
    <w:unhideWhenUsed/>
    <w:qFormat/>
    <w:rPr>
      <w:rFonts w:ascii="Times New Roman" w:hAnsi="Times New Roman" w:eastAsia="Arial" w:cs="Times New Roman"/>
      <w:sz w:val="21"/>
      <w:szCs w:val="22"/>
      <w:lang w:val="en-US" w:eastAsia="zh-CN" w:bidi="ar-SA"/>
    </w:rPr>
  </w:style>
  <w:style w:type="paragraph" w:styleId="1145" w:customStyle="1">
    <w:name w:val="纯文本1"/>
    <w:basedOn w:val="866"/>
    <w:uiPriority w:val="0"/>
    <w:qFormat/>
    <w:rPr>
      <w:rFonts w:ascii="宋体" w:hAnsi="Courier New" w:eastAsia="宋体"/>
      <w:sz w:val="28"/>
      <w:szCs w:val="28"/>
    </w:rPr>
  </w:style>
  <w:style w:type="paragraph" w:styleId="1146" w:customStyle="1">
    <w:name w:val="索引 41"/>
    <w:basedOn w:val="866"/>
    <w:next w:val="866"/>
    <w:uiPriority w:val="99"/>
    <w:unhideWhenUsed/>
    <w:qFormat/>
    <w:pPr>
      <w:ind w:left="600"/>
    </w:pPr>
    <w:rPr>
      <w:rFonts w:ascii="Verdana" w:hAnsi="Verdana"/>
      <w:szCs w:val="20"/>
    </w:rPr>
  </w:style>
  <w:style w:type="paragraph" w:styleId="1147" w:customStyle="1">
    <w:name w:val="首行缩进"/>
    <w:basedOn w:val="866"/>
    <w:uiPriority w:val="0"/>
    <w:qFormat/>
    <w:pPr>
      <w:ind w:firstLine="480"/>
      <w:spacing w:line="360" w:lineRule="auto"/>
    </w:pPr>
    <w:rPr>
      <w:rFonts w:ascii="宋体" w:hAnsi="宋体"/>
      <w:sz w:val="24"/>
      <w:szCs w:val="24"/>
    </w:rPr>
  </w:style>
  <w:style w:type="paragraph" w:styleId="1148" w:customStyle="1">
    <w:name w:val="修订1"/>
    <w:uiPriority w:val="99"/>
    <w:unhideWhenUsed/>
    <w:qFormat/>
    <w:rPr>
      <w:rFonts w:ascii="Times New Roman" w:hAnsi="Times New Roman" w:eastAsia="Arial" w:cs="Times New Roman"/>
      <w:sz w:val="21"/>
      <w:szCs w:val="22"/>
      <w:lang w:val="en-US" w:eastAsia="zh-CN" w:bidi="ar-SA"/>
    </w:rPr>
  </w:style>
  <w:style w:type="paragraph" w:styleId="114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150" w:customStyle="1">
    <w:name w:val="网格型1"/>
    <w:basedOn w:val="1151"/>
    <w:uiPriority w:val="59"/>
    <w:qFormat/>
    <w:tblPr>
      <w:tblCellMar>
        <w:left w:w="0" w:type="dxa"/>
        <w:top w:w="0" w:type="dxa"/>
        <w:right w:w="0" w:type="dxa"/>
        <w:bottom w:w="0" w:type="dxa"/>
      </w:tblCellMar>
    </w:tblPr>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font11"/>
    <w:uiPriority w:val="0"/>
    <w:qFormat/>
    <w:rPr>
      <w:rFonts w:hint="eastAsia" w:ascii="宋体" w:hAnsi="宋体" w:eastAsia="宋体" w:cs="宋体"/>
      <w:color w:val="000000"/>
      <w:sz w:val="22"/>
      <w:szCs w:val="22"/>
      <w:u w:val="none"/>
    </w:rPr>
  </w:style>
  <w:style w:type="paragraph" w:styleId="1153" w:customStyle="1">
    <w:name w:val="Header or footer|1"/>
    <w:basedOn w:val="866"/>
    <w:uiPriority w:val="0"/>
    <w:qFormat/>
    <w:pPr>
      <w:widowControl w:val="off"/>
    </w:pPr>
    <w:rPr>
      <w:sz w:val="17"/>
      <w:szCs w:val="17"/>
      <w:lang w:val="zh-TW" w:eastAsia="zh-TW" w:bidi="zh-TW"/>
    </w:rPr>
  </w:style>
  <w:style w:type="character" w:styleId="1154" w:customStyle="1">
    <w:name w:val="批注文字 字符1"/>
    <w:basedOn w:val="876"/>
    <w:link w:val="881"/>
    <w:uiPriority w:val="99"/>
    <w:semiHidden/>
    <w:qFormat/>
    <w:rPr>
      <w:rFonts w:eastAsia="Arial"/>
      <w:sz w:val="21"/>
      <w:szCs w:val="22"/>
    </w:rPr>
  </w:style>
  <w:style w:type="character" w:styleId="1155" w:customStyle="1">
    <w:name w:val="批注主题 字符1"/>
    <w:basedOn w:val="1154"/>
    <w:link w:val="899"/>
    <w:uiPriority w:val="99"/>
    <w:semiHidden/>
    <w:qFormat/>
    <w:rPr>
      <w:rFonts w:eastAsia="Arial"/>
      <w:b/>
      <w:bCs/>
      <w:sz w:val="21"/>
      <w:szCs w:val="22"/>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曹雪（南京江城）</cp:lastModifiedBy>
  <cp:revision>15</cp:revision>
  <dcterms:created xsi:type="dcterms:W3CDTF">2026-06-10T06:08:00Z</dcterms:created>
  <dcterms:modified xsi:type="dcterms:W3CDTF">2026-06-18T06:48:05Z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F8EF3D39BEF94A72BB9353BFA51339D1_13</vt:lpwstr>
  </property>
  <property fmtid="{D5CDD505-2E9C-101B-9397-08002B2CF9AE}" pid="4" name="KSOTemplateDocerSaveRecord">
    <vt:lpwstr>eyJoZGlkIjoiYmM5MDUyMmExYmEzN2NlMTM1ZjlmYjE5M2E4ZDA2OTMiLCJ1c2VySWQiOiIzNzkyMjY1MTgifQ==</vt:lpwstr>
  </property>
</Properties>
</file>