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831B05B">
      <w:pPr>
        <w:jc w:val="left"/>
        <w:rPr>
          <w:color w:val="auto"/>
          <w:highlight w:val="none"/>
        </w:rPr>
      </w:pPr>
    </w:p>
    <w:p w14:paraId="0B0E78AA">
      <w:pPr>
        <w:rPr>
          <w:color w:val="auto"/>
          <w:highlight w:val="none"/>
        </w:rPr>
      </w:pPr>
      <w:bookmarkStart w:id="0" w:name="EB3ace3d43b98b41779337deb808be6fa3"/>
      <w:r>
        <w:rPr>
          <w:rFonts w:hint="eastAsia"/>
          <w:color w:val="auto"/>
          <w:sz w:val="20"/>
          <w:highlight w:val="none"/>
        </w:rPr>
        <w:t xml:space="preserve"> </w:t>
      </w:r>
      <w:bookmarkEnd w:id="0"/>
      <w:bookmarkStart w:id="1" w:name="EB57dd2a69e2b54b0cb3f5c2f03a1ab7bf"/>
      <w:r>
        <w:rPr>
          <w:rFonts w:hint="eastAsia"/>
          <w:color w:val="auto"/>
          <w:sz w:val="20"/>
          <w:highlight w:val="none"/>
        </w:rPr>
        <w:t xml:space="preserve"> </w:t>
      </w:r>
      <w:bookmarkEnd w:id="1"/>
    </w:p>
    <w:p w14:paraId="74841F79">
      <w:pPr>
        <w:rPr>
          <w:color w:val="auto"/>
          <w:highlight w:val="none"/>
        </w:rPr>
      </w:pPr>
    </w:p>
    <w:p w14:paraId="250196B3">
      <w:pPr>
        <w:spacing w:before="120" w:after="120" w:line="360" w:lineRule="auto"/>
        <w:jc w:val="center"/>
        <w:rPr>
          <w:rFonts w:hint="eastAsia" w:ascii="Arial" w:hAnsi="Arial" w:eastAsia="黑体" w:cs="黑体"/>
          <w:b/>
          <w:color w:val="auto"/>
          <w:sz w:val="84"/>
          <w:szCs w:val="24"/>
          <w:highlight w:val="none"/>
          <w:lang w:bidi="ar"/>
        </w:rPr>
      </w:pPr>
      <w:r>
        <w:rPr>
          <w:rFonts w:hint="eastAsia" w:ascii="Arial" w:hAnsi="Arial" w:eastAsia="黑体" w:cs="黑体"/>
          <w:b/>
          <w:color w:val="auto"/>
          <w:sz w:val="84"/>
          <w:szCs w:val="24"/>
          <w:highlight w:val="none"/>
          <w:lang w:bidi="ar"/>
        </w:rPr>
        <w:t>招　标　文　件</w:t>
      </w:r>
    </w:p>
    <w:p w14:paraId="070EAFDA">
      <w:pPr>
        <w:rPr>
          <w:rFonts w:hint="eastAsia" w:ascii="Times New Roman" w:hAnsi="Times New Roman" w:cs="宋体"/>
          <w:b/>
          <w:color w:val="auto"/>
          <w:sz w:val="30"/>
          <w:szCs w:val="30"/>
          <w:highlight w:val="none"/>
          <w:lang w:bidi="ar"/>
        </w:rPr>
      </w:pPr>
    </w:p>
    <w:p w14:paraId="49F6CC78">
      <w:pPr>
        <w:rPr>
          <w:rFonts w:hint="eastAsia" w:ascii="Times New Roman" w:hAnsi="Times New Roman" w:cs="宋体"/>
          <w:b/>
          <w:color w:val="auto"/>
          <w:sz w:val="30"/>
          <w:szCs w:val="30"/>
          <w:highlight w:val="none"/>
          <w:lang w:bidi="ar"/>
        </w:rPr>
      </w:pPr>
    </w:p>
    <w:p w14:paraId="40727781">
      <w:pPr>
        <w:ind w:left="2800" w:hanging="2800"/>
        <w:rPr>
          <w:rFonts w:ascii="宋体" w:hAnsi="宋体" w:cs="宋体"/>
          <w:color w:val="auto"/>
          <w:sz w:val="24"/>
          <w:szCs w:val="24"/>
          <w:highlight w:val="none"/>
        </w:rPr>
      </w:pPr>
      <w:r>
        <w:rPr>
          <w:rFonts w:ascii="Times New Roman" w:hAnsi="Times New Roman"/>
          <w:color w:val="auto"/>
          <w:sz w:val="28"/>
          <w:szCs w:val="28"/>
          <w:highlight w:val="none"/>
          <w:lang w:bidi="ar"/>
        </w:rPr>
        <w:t xml:space="preserve">       </w:t>
      </w:r>
      <w:r>
        <w:rPr>
          <w:rFonts w:hint="eastAsia" w:ascii="Times New Roman" w:hAnsi="Times New Roman"/>
          <w:color w:val="auto"/>
          <w:sz w:val="28"/>
          <w:szCs w:val="28"/>
          <w:highlight w:val="none"/>
          <w:lang w:bidi="ar"/>
        </w:rPr>
        <w:t xml:space="preserve">   </w:t>
      </w:r>
      <w:r>
        <w:rPr>
          <w:rFonts w:ascii="Times New Roman" w:hAnsi="Times New Roman"/>
          <w:b/>
          <w:color w:val="auto"/>
          <w:sz w:val="28"/>
          <w:szCs w:val="28"/>
          <w:highlight w:val="none"/>
          <w:lang w:bidi="ar"/>
        </w:rPr>
        <w:t xml:space="preserve"> </w:t>
      </w:r>
    </w:p>
    <w:p w14:paraId="0A45C219">
      <w:pPr>
        <w:spacing w:line="360" w:lineRule="auto"/>
        <w:jc w:val="left"/>
        <w:rPr>
          <w:rFonts w:ascii="宋体" w:hAnsi="宋体" w:cs="宋体"/>
          <w:color w:val="auto"/>
          <w:sz w:val="24"/>
          <w:szCs w:val="24"/>
          <w:highlight w:val="none"/>
        </w:rPr>
      </w:pPr>
    </w:p>
    <w:p w14:paraId="557877DF">
      <w:pPr>
        <w:spacing w:line="360" w:lineRule="auto"/>
        <w:jc w:val="left"/>
        <w:rPr>
          <w:rFonts w:ascii="宋体" w:hAnsi="宋体" w:cs="宋体"/>
          <w:color w:val="auto"/>
          <w:sz w:val="24"/>
          <w:szCs w:val="24"/>
          <w:highlight w:val="none"/>
        </w:rPr>
      </w:pPr>
    </w:p>
    <w:p w14:paraId="1CA6146F">
      <w:pPr>
        <w:spacing w:line="360" w:lineRule="auto"/>
        <w:jc w:val="left"/>
        <w:rPr>
          <w:rFonts w:ascii="宋体" w:hAnsi="宋体" w:cs="宋体"/>
          <w:color w:val="auto"/>
          <w:sz w:val="24"/>
          <w:szCs w:val="24"/>
          <w:highlight w:val="none"/>
        </w:rPr>
      </w:pPr>
    </w:p>
    <w:tbl>
      <w:tblPr>
        <w:tblStyle w:val="28"/>
        <w:tblpPr w:leftFromText="180" w:rightFromText="180" w:vertAnchor="text" w:horzAnchor="page" w:tblpX="2413" w:tblpY="466"/>
        <w:tblW w:w="0" w:type="auto"/>
        <w:tblInd w:w="-108" w:type="dxa"/>
        <w:tblLayout w:type="autofit"/>
        <w:tblCellMar>
          <w:top w:w="0" w:type="dxa"/>
          <w:left w:w="108" w:type="dxa"/>
          <w:bottom w:w="0" w:type="dxa"/>
          <w:right w:w="108" w:type="dxa"/>
        </w:tblCellMar>
      </w:tblPr>
      <w:tblGrid>
        <w:gridCol w:w="2675"/>
        <w:gridCol w:w="4752"/>
      </w:tblGrid>
      <w:tr w14:paraId="6491F485">
        <w:tblPrEx>
          <w:tblCellMar>
            <w:top w:w="0" w:type="dxa"/>
            <w:left w:w="108" w:type="dxa"/>
            <w:bottom w:w="0" w:type="dxa"/>
            <w:right w:w="108" w:type="dxa"/>
          </w:tblCellMar>
        </w:tblPrEx>
        <w:trPr>
          <w:trHeight w:val="586" w:hRule="atLeast"/>
        </w:trPr>
        <w:tc>
          <w:tcPr>
            <w:tcW w:w="2675" w:type="dxa"/>
            <w:tcBorders>
              <w:top w:val="nil"/>
              <w:left w:val="nil"/>
              <w:bottom w:val="nil"/>
              <w:right w:val="nil"/>
            </w:tcBorders>
            <w:noWrap w:val="0"/>
            <w:vAlign w:val="center"/>
          </w:tcPr>
          <w:p w14:paraId="5844DC08">
            <w:pPr>
              <w:spacing w:line="500" w:lineRule="exact"/>
              <w:jc w:val="left"/>
              <w:rPr>
                <w:rFonts w:ascii="仿宋" w:hAnsi="仿宋" w:eastAsia="仿宋" w:cs="仿宋"/>
                <w:color w:val="auto"/>
                <w:sz w:val="28"/>
                <w:szCs w:val="28"/>
                <w:highlight w:val="none"/>
              </w:rPr>
            </w:pPr>
            <w:r>
              <w:rPr>
                <w:rFonts w:hint="eastAsia" w:ascii="Times New Roman" w:hAnsi="Times New Roman" w:cs="宋体"/>
                <w:b/>
                <w:color w:val="auto"/>
                <w:sz w:val="28"/>
                <w:szCs w:val="28"/>
                <w:highlight w:val="none"/>
                <w:lang w:bidi="ar"/>
              </w:rPr>
              <w:t>项目名称：</w:t>
            </w:r>
          </w:p>
        </w:tc>
        <w:tc>
          <w:tcPr>
            <w:tcW w:w="4752" w:type="dxa"/>
            <w:tcBorders>
              <w:top w:val="nil"/>
              <w:left w:val="nil"/>
              <w:bottom w:val="nil"/>
              <w:right w:val="nil"/>
            </w:tcBorders>
            <w:noWrap w:val="0"/>
            <w:vAlign w:val="center"/>
          </w:tcPr>
          <w:p w14:paraId="1F6C4042">
            <w:pPr>
              <w:spacing w:line="500" w:lineRule="exact"/>
              <w:jc w:val="left"/>
              <w:rPr>
                <w:rFonts w:hint="eastAsia" w:ascii="仿宋" w:hAnsi="仿宋" w:eastAsia="宋体" w:cs="仿宋"/>
                <w:color w:val="auto"/>
                <w:sz w:val="24"/>
                <w:szCs w:val="24"/>
                <w:highlight w:val="none"/>
                <w:lang w:eastAsia="zh-CN"/>
              </w:rPr>
            </w:pPr>
            <w:r>
              <w:rPr>
                <w:rFonts w:hint="eastAsia" w:ascii="仿宋" w:hAnsi="仿宋" w:eastAsia="宋体" w:cs="仿宋"/>
                <w:color w:val="auto"/>
                <w:sz w:val="24"/>
                <w:szCs w:val="24"/>
                <w:highlight w:val="none"/>
                <w:lang w:eastAsia="zh-CN"/>
              </w:rPr>
              <w:t>沭阳县2026-2028年残疾儿童基本康复服务--</w:t>
            </w:r>
            <w:r>
              <w:rPr>
                <w:rFonts w:hint="eastAsia" w:ascii="仿宋" w:hAnsi="仿宋" w:cs="仿宋"/>
                <w:color w:val="auto"/>
                <w:sz w:val="24"/>
                <w:szCs w:val="24"/>
                <w:highlight w:val="none"/>
                <w:lang w:eastAsia="zh-CN"/>
              </w:rPr>
              <w:t>孤独症2</w:t>
            </w:r>
            <w:r>
              <w:rPr>
                <w:rFonts w:hint="eastAsia" w:ascii="仿宋" w:hAnsi="仿宋" w:eastAsia="宋体" w:cs="仿宋"/>
                <w:color w:val="auto"/>
                <w:sz w:val="24"/>
                <w:szCs w:val="24"/>
                <w:highlight w:val="none"/>
                <w:lang w:eastAsia="zh-CN"/>
              </w:rPr>
              <w:t>康复服务机构采购项目</w:t>
            </w:r>
          </w:p>
        </w:tc>
      </w:tr>
      <w:tr w14:paraId="7EB069A1">
        <w:tblPrEx>
          <w:tblCellMar>
            <w:top w:w="0" w:type="dxa"/>
            <w:left w:w="108" w:type="dxa"/>
            <w:bottom w:w="0" w:type="dxa"/>
            <w:right w:w="108" w:type="dxa"/>
          </w:tblCellMar>
        </w:tblPrEx>
        <w:trPr>
          <w:trHeight w:val="617" w:hRule="atLeast"/>
        </w:trPr>
        <w:tc>
          <w:tcPr>
            <w:tcW w:w="2675" w:type="dxa"/>
            <w:tcBorders>
              <w:top w:val="nil"/>
              <w:left w:val="nil"/>
              <w:bottom w:val="nil"/>
              <w:right w:val="nil"/>
            </w:tcBorders>
            <w:noWrap w:val="0"/>
            <w:vAlign w:val="center"/>
          </w:tcPr>
          <w:p w14:paraId="755373FD">
            <w:pPr>
              <w:spacing w:line="500" w:lineRule="exact"/>
              <w:jc w:val="left"/>
              <w:rPr>
                <w:rFonts w:hint="eastAsia" w:ascii="Times New Roman" w:hAnsi="Times New Roman"/>
                <w:b/>
                <w:bCs/>
                <w:color w:val="auto"/>
                <w:spacing w:val="45"/>
                <w:sz w:val="28"/>
                <w:szCs w:val="28"/>
                <w:highlight w:val="none"/>
              </w:rPr>
            </w:pPr>
            <w:r>
              <w:rPr>
                <w:rFonts w:hint="eastAsia" w:ascii="Times New Roman" w:hAnsi="Times New Roman" w:cs="宋体"/>
                <w:b/>
                <w:color w:val="auto"/>
                <w:sz w:val="28"/>
                <w:szCs w:val="28"/>
                <w:highlight w:val="none"/>
                <w:lang w:bidi="ar"/>
              </w:rPr>
              <w:t>项目编号：</w:t>
            </w:r>
          </w:p>
        </w:tc>
        <w:tc>
          <w:tcPr>
            <w:tcW w:w="4752" w:type="dxa"/>
            <w:tcBorders>
              <w:top w:val="nil"/>
              <w:left w:val="nil"/>
              <w:bottom w:val="nil"/>
              <w:right w:val="nil"/>
            </w:tcBorders>
            <w:noWrap w:val="0"/>
            <w:vAlign w:val="center"/>
          </w:tcPr>
          <w:p w14:paraId="0FDC49A7">
            <w:pPr>
              <w:spacing w:line="500" w:lineRule="exact"/>
              <w:jc w:val="left"/>
              <w:rPr>
                <w:rFonts w:hint="eastAsia" w:ascii="仿宋" w:hAnsi="仿宋" w:cs="仿宋"/>
                <w:color w:val="auto"/>
                <w:sz w:val="24"/>
                <w:szCs w:val="24"/>
                <w:highlight w:val="none"/>
              </w:rPr>
            </w:pPr>
            <w:r>
              <w:rPr>
                <w:rFonts w:hint="eastAsia" w:ascii="仿宋" w:hAnsi="仿宋" w:cs="仿宋"/>
                <w:color w:val="auto"/>
                <w:sz w:val="24"/>
                <w:szCs w:val="24"/>
                <w:highlight w:val="none"/>
                <w:lang w:eastAsia="zh-CN"/>
              </w:rPr>
              <w:t>JSZC-321322-QYXM-G2026-0009</w:t>
            </w:r>
            <w:r>
              <w:rPr>
                <w:rFonts w:hint="eastAsia" w:ascii="仿宋" w:hAnsi="仿宋" w:cs="仿宋"/>
                <w:color w:val="auto"/>
                <w:sz w:val="24"/>
                <w:szCs w:val="24"/>
                <w:highlight w:val="none"/>
                <w:lang w:val="en-US" w:eastAsia="zh-CN"/>
              </w:rPr>
              <w:t xml:space="preserve"> </w:t>
            </w:r>
          </w:p>
        </w:tc>
      </w:tr>
      <w:tr w14:paraId="21B33D2F">
        <w:tblPrEx>
          <w:tblCellMar>
            <w:top w:w="0" w:type="dxa"/>
            <w:left w:w="108" w:type="dxa"/>
            <w:bottom w:w="0" w:type="dxa"/>
            <w:right w:w="108" w:type="dxa"/>
          </w:tblCellMar>
        </w:tblPrEx>
        <w:trPr>
          <w:trHeight w:val="617" w:hRule="atLeast"/>
        </w:trPr>
        <w:tc>
          <w:tcPr>
            <w:tcW w:w="2675" w:type="dxa"/>
            <w:tcBorders>
              <w:top w:val="nil"/>
              <w:left w:val="nil"/>
              <w:bottom w:val="nil"/>
              <w:right w:val="nil"/>
            </w:tcBorders>
            <w:noWrap w:val="0"/>
            <w:vAlign w:val="center"/>
          </w:tcPr>
          <w:p w14:paraId="3740AA5C">
            <w:pPr>
              <w:spacing w:line="500" w:lineRule="exact"/>
              <w:jc w:val="left"/>
              <w:rPr>
                <w:rFonts w:hint="eastAsia" w:ascii="Times New Roman" w:hAnsi="Times New Roman"/>
                <w:b/>
                <w:bCs/>
                <w:color w:val="auto"/>
                <w:sz w:val="28"/>
                <w:szCs w:val="28"/>
                <w:highlight w:val="none"/>
              </w:rPr>
            </w:pPr>
          </w:p>
        </w:tc>
        <w:tc>
          <w:tcPr>
            <w:tcW w:w="4752" w:type="dxa"/>
            <w:tcBorders>
              <w:top w:val="nil"/>
              <w:left w:val="nil"/>
              <w:bottom w:val="nil"/>
              <w:right w:val="nil"/>
            </w:tcBorders>
            <w:noWrap w:val="0"/>
            <w:vAlign w:val="center"/>
          </w:tcPr>
          <w:p w14:paraId="12D3DC57">
            <w:pPr>
              <w:spacing w:line="500" w:lineRule="exact"/>
              <w:jc w:val="left"/>
              <w:rPr>
                <w:rFonts w:hint="eastAsia" w:ascii="仿宋" w:hAnsi="仿宋" w:cs="仿宋"/>
                <w:color w:val="auto"/>
                <w:sz w:val="24"/>
                <w:szCs w:val="24"/>
                <w:highlight w:val="none"/>
              </w:rPr>
            </w:pPr>
          </w:p>
        </w:tc>
      </w:tr>
      <w:tr w14:paraId="699D18DD">
        <w:tblPrEx>
          <w:tblCellMar>
            <w:top w:w="0" w:type="dxa"/>
            <w:left w:w="108" w:type="dxa"/>
            <w:bottom w:w="0" w:type="dxa"/>
            <w:right w:w="108" w:type="dxa"/>
          </w:tblCellMar>
        </w:tblPrEx>
        <w:trPr>
          <w:trHeight w:val="617" w:hRule="atLeast"/>
        </w:trPr>
        <w:tc>
          <w:tcPr>
            <w:tcW w:w="2675" w:type="dxa"/>
            <w:tcBorders>
              <w:top w:val="nil"/>
              <w:left w:val="nil"/>
              <w:bottom w:val="nil"/>
              <w:right w:val="nil"/>
            </w:tcBorders>
            <w:noWrap w:val="0"/>
            <w:vAlign w:val="center"/>
          </w:tcPr>
          <w:p w14:paraId="3DA9718B">
            <w:pPr>
              <w:spacing w:line="500" w:lineRule="exact"/>
              <w:jc w:val="left"/>
              <w:rPr>
                <w:rFonts w:hint="eastAsia" w:ascii="仿宋" w:hAnsi="仿宋" w:eastAsia="仿宋" w:cs="仿宋"/>
                <w:color w:val="auto"/>
                <w:sz w:val="28"/>
                <w:szCs w:val="28"/>
                <w:highlight w:val="none"/>
                <w:lang w:val="en-US" w:eastAsia="zh-CN" w:bidi="ar-SA"/>
              </w:rPr>
            </w:pPr>
            <w:r>
              <w:rPr>
                <w:rFonts w:hint="eastAsia" w:ascii="Times New Roman" w:hAnsi="Times New Roman"/>
                <w:b/>
                <w:bCs/>
                <w:color w:val="auto"/>
                <w:spacing w:val="45"/>
                <w:sz w:val="28"/>
                <w:szCs w:val="28"/>
                <w:highlight w:val="none"/>
              </w:rPr>
              <w:t>采  购 人</w:t>
            </w:r>
            <w:r>
              <w:rPr>
                <w:rFonts w:hint="eastAsia" w:ascii="Times New Roman" w:hAnsi="Times New Roman"/>
                <w:b/>
                <w:bCs/>
                <w:color w:val="auto"/>
                <w:spacing w:val="1"/>
                <w:sz w:val="28"/>
                <w:szCs w:val="28"/>
                <w:highlight w:val="none"/>
              </w:rPr>
              <w:t>：</w:t>
            </w:r>
          </w:p>
        </w:tc>
        <w:tc>
          <w:tcPr>
            <w:tcW w:w="4752" w:type="dxa"/>
            <w:tcBorders>
              <w:top w:val="nil"/>
              <w:left w:val="nil"/>
              <w:bottom w:val="nil"/>
              <w:right w:val="nil"/>
            </w:tcBorders>
            <w:noWrap w:val="0"/>
            <w:vAlign w:val="center"/>
          </w:tcPr>
          <w:p w14:paraId="3E03A752">
            <w:pPr>
              <w:spacing w:line="500" w:lineRule="exact"/>
              <w:jc w:val="left"/>
              <w:rPr>
                <w:rFonts w:hint="eastAsia" w:ascii="仿宋" w:hAnsi="仿宋" w:eastAsia="宋体" w:cs="仿宋"/>
                <w:color w:val="auto"/>
                <w:sz w:val="24"/>
                <w:szCs w:val="24"/>
                <w:highlight w:val="none"/>
                <w:lang w:val="en-US" w:eastAsia="zh-CN"/>
              </w:rPr>
            </w:pPr>
            <w:r>
              <w:rPr>
                <w:rFonts w:hint="eastAsia" w:ascii="仿宋" w:hAnsi="仿宋" w:eastAsia="宋体" w:cs="仿宋"/>
                <w:color w:val="auto"/>
                <w:sz w:val="24"/>
                <w:szCs w:val="24"/>
                <w:highlight w:val="none"/>
                <w:lang w:val="en-US" w:eastAsia="zh-CN"/>
              </w:rPr>
              <w:t>沭阳县</w:t>
            </w:r>
            <w:r>
              <w:rPr>
                <w:rFonts w:hint="eastAsia" w:ascii="仿宋" w:hAnsi="仿宋" w:eastAsia="宋体" w:cs="仿宋"/>
                <w:color w:val="auto"/>
                <w:sz w:val="24"/>
                <w:szCs w:val="24"/>
                <w:highlight w:val="none"/>
              </w:rPr>
              <w:t>残疾人联合会</w:t>
            </w:r>
          </w:p>
        </w:tc>
      </w:tr>
      <w:tr w14:paraId="2F0E757F">
        <w:tblPrEx>
          <w:tblCellMar>
            <w:top w:w="0" w:type="dxa"/>
            <w:left w:w="108" w:type="dxa"/>
            <w:bottom w:w="0" w:type="dxa"/>
            <w:right w:w="108" w:type="dxa"/>
          </w:tblCellMar>
        </w:tblPrEx>
        <w:trPr>
          <w:trHeight w:val="617" w:hRule="atLeast"/>
        </w:trPr>
        <w:tc>
          <w:tcPr>
            <w:tcW w:w="2675" w:type="dxa"/>
            <w:tcBorders>
              <w:top w:val="nil"/>
              <w:left w:val="nil"/>
              <w:bottom w:val="nil"/>
              <w:right w:val="nil"/>
            </w:tcBorders>
            <w:noWrap w:val="0"/>
            <w:vAlign w:val="center"/>
          </w:tcPr>
          <w:p w14:paraId="6D210AAC">
            <w:pPr>
              <w:spacing w:line="500" w:lineRule="exact"/>
              <w:jc w:val="left"/>
              <w:rPr>
                <w:rFonts w:hint="eastAsia" w:ascii="Times New Roman" w:hAnsi="Times New Roman"/>
                <w:b/>
                <w:bCs/>
                <w:color w:val="auto"/>
                <w:spacing w:val="45"/>
                <w:sz w:val="28"/>
                <w:szCs w:val="28"/>
                <w:highlight w:val="none"/>
                <w:lang w:val="en-US" w:eastAsia="zh-CN" w:bidi="ar-SA"/>
              </w:rPr>
            </w:pPr>
            <w:r>
              <w:rPr>
                <w:rFonts w:hint="eastAsia" w:ascii="Times New Roman" w:hAnsi="Times New Roman"/>
                <w:b/>
                <w:bCs/>
                <w:color w:val="auto"/>
                <w:sz w:val="28"/>
                <w:szCs w:val="28"/>
                <w:highlight w:val="none"/>
              </w:rPr>
              <w:t>采购代理机构：</w:t>
            </w:r>
          </w:p>
        </w:tc>
        <w:tc>
          <w:tcPr>
            <w:tcW w:w="4752" w:type="dxa"/>
            <w:tcBorders>
              <w:top w:val="nil"/>
              <w:left w:val="nil"/>
              <w:bottom w:val="nil"/>
              <w:right w:val="nil"/>
            </w:tcBorders>
            <w:noWrap w:val="0"/>
            <w:vAlign w:val="center"/>
          </w:tcPr>
          <w:p w14:paraId="1A8BDECD">
            <w:pPr>
              <w:spacing w:line="500" w:lineRule="exact"/>
              <w:jc w:val="left"/>
              <w:rPr>
                <w:rFonts w:ascii="仿宋" w:hAnsi="仿宋" w:eastAsia="宋体" w:cs="仿宋"/>
                <w:color w:val="auto"/>
                <w:sz w:val="24"/>
                <w:szCs w:val="24"/>
                <w:highlight w:val="none"/>
                <w:lang w:val="en-US" w:eastAsia="zh-CN"/>
              </w:rPr>
            </w:pPr>
            <w:r>
              <w:rPr>
                <w:rFonts w:hint="eastAsia" w:ascii="仿宋" w:hAnsi="仿宋" w:eastAsia="宋体" w:cs="仿宋"/>
                <w:color w:val="auto"/>
                <w:sz w:val="24"/>
                <w:szCs w:val="24"/>
                <w:highlight w:val="none"/>
                <w:lang w:val="en-US" w:eastAsia="zh-CN"/>
              </w:rPr>
              <w:t>江苏仟亿项目管理有限公司</w:t>
            </w:r>
          </w:p>
        </w:tc>
      </w:tr>
      <w:tr w14:paraId="132C3AE4">
        <w:tblPrEx>
          <w:tblCellMar>
            <w:top w:w="0" w:type="dxa"/>
            <w:left w:w="108" w:type="dxa"/>
            <w:bottom w:w="0" w:type="dxa"/>
            <w:right w:w="108" w:type="dxa"/>
          </w:tblCellMar>
        </w:tblPrEx>
        <w:trPr>
          <w:trHeight w:val="617" w:hRule="atLeast"/>
        </w:trPr>
        <w:tc>
          <w:tcPr>
            <w:tcW w:w="2675" w:type="dxa"/>
            <w:tcBorders>
              <w:top w:val="nil"/>
              <w:left w:val="nil"/>
              <w:bottom w:val="nil"/>
              <w:right w:val="nil"/>
            </w:tcBorders>
            <w:noWrap w:val="0"/>
            <w:vAlign w:val="center"/>
          </w:tcPr>
          <w:p w14:paraId="624315C7">
            <w:pPr>
              <w:spacing w:line="500" w:lineRule="exact"/>
              <w:jc w:val="left"/>
              <w:rPr>
                <w:rFonts w:hint="eastAsia" w:ascii="Times New Roman" w:hAnsi="Times New Roman" w:eastAsia="宋体"/>
                <w:b/>
                <w:bCs/>
                <w:color w:val="auto"/>
                <w:sz w:val="28"/>
                <w:szCs w:val="28"/>
                <w:highlight w:val="none"/>
                <w:lang w:val="en-US" w:eastAsia="zh-CN"/>
              </w:rPr>
            </w:pPr>
            <w:r>
              <w:rPr>
                <w:rFonts w:hint="eastAsia" w:ascii="Times New Roman" w:hAnsi="Times New Roman"/>
                <w:b/>
                <w:bCs/>
                <w:color w:val="auto"/>
                <w:sz w:val="28"/>
                <w:szCs w:val="28"/>
                <w:highlight w:val="none"/>
                <w:lang w:val="en-US" w:eastAsia="zh-CN"/>
              </w:rPr>
              <w:t>日期：</w:t>
            </w:r>
          </w:p>
        </w:tc>
        <w:tc>
          <w:tcPr>
            <w:tcW w:w="4752" w:type="dxa"/>
            <w:tcBorders>
              <w:top w:val="nil"/>
              <w:left w:val="nil"/>
              <w:bottom w:val="nil"/>
              <w:right w:val="nil"/>
            </w:tcBorders>
            <w:noWrap w:val="0"/>
            <w:vAlign w:val="center"/>
          </w:tcPr>
          <w:p w14:paraId="33E1E780">
            <w:pPr>
              <w:spacing w:line="500" w:lineRule="exact"/>
              <w:jc w:val="left"/>
              <w:rPr>
                <w:rFonts w:hint="eastAsia" w:ascii="仿宋" w:hAnsi="仿宋" w:cs="仿宋"/>
                <w:color w:val="auto"/>
                <w:sz w:val="24"/>
                <w:szCs w:val="24"/>
                <w:highlight w:val="none"/>
              </w:rPr>
            </w:pPr>
            <w:r>
              <w:rPr>
                <w:rFonts w:hint="eastAsia" w:ascii="仿宋" w:hAnsi="仿宋" w:eastAsia="宋体" w:cs="仿宋"/>
                <w:color w:val="auto"/>
                <w:sz w:val="24"/>
                <w:szCs w:val="24"/>
                <w:highlight w:val="none"/>
                <w:lang w:val="en-US" w:eastAsia="zh-CN"/>
              </w:rPr>
              <w:t>202</w:t>
            </w:r>
            <w:r>
              <w:rPr>
                <w:rFonts w:hint="eastAsia" w:ascii="仿宋" w:hAnsi="仿宋" w:cs="仿宋"/>
                <w:color w:val="auto"/>
                <w:sz w:val="24"/>
                <w:szCs w:val="24"/>
                <w:highlight w:val="none"/>
                <w:lang w:val="en-US" w:eastAsia="zh-CN"/>
              </w:rPr>
              <w:t>6</w:t>
            </w:r>
            <w:r>
              <w:rPr>
                <w:rFonts w:hint="eastAsia" w:ascii="仿宋" w:hAnsi="仿宋" w:eastAsia="宋体" w:cs="仿宋"/>
                <w:color w:val="auto"/>
                <w:sz w:val="24"/>
                <w:szCs w:val="24"/>
                <w:highlight w:val="none"/>
                <w:lang w:val="en-US" w:eastAsia="zh-CN"/>
              </w:rPr>
              <w:t>年</w:t>
            </w:r>
            <w:r>
              <w:rPr>
                <w:rFonts w:hint="eastAsia" w:ascii="仿宋" w:hAnsi="仿宋" w:cs="仿宋"/>
                <w:color w:val="auto"/>
                <w:sz w:val="24"/>
                <w:szCs w:val="24"/>
                <w:highlight w:val="none"/>
                <w:lang w:val="en-US" w:eastAsia="zh-CN"/>
              </w:rPr>
              <w:t>7</w:t>
            </w:r>
            <w:r>
              <w:rPr>
                <w:rFonts w:hint="eastAsia" w:ascii="仿宋" w:hAnsi="仿宋" w:eastAsia="宋体" w:cs="仿宋"/>
                <w:color w:val="auto"/>
                <w:sz w:val="24"/>
                <w:szCs w:val="24"/>
                <w:highlight w:val="none"/>
                <w:lang w:val="en-US" w:eastAsia="zh-CN"/>
              </w:rPr>
              <w:t>月</w:t>
            </w:r>
            <w:r>
              <w:rPr>
                <w:rFonts w:hint="eastAsia" w:ascii="仿宋" w:hAnsi="仿宋" w:cs="仿宋"/>
                <w:color w:val="auto"/>
                <w:sz w:val="24"/>
                <w:szCs w:val="24"/>
                <w:highlight w:val="none"/>
                <w:lang w:val="en-US" w:eastAsia="zh-CN"/>
              </w:rPr>
              <w:t>9</w:t>
            </w:r>
            <w:r>
              <w:rPr>
                <w:rFonts w:hint="eastAsia" w:ascii="仿宋" w:hAnsi="仿宋" w:eastAsia="宋体" w:cs="仿宋"/>
                <w:color w:val="auto"/>
                <w:sz w:val="24"/>
                <w:szCs w:val="24"/>
                <w:highlight w:val="none"/>
                <w:lang w:val="en-US" w:eastAsia="zh-CN"/>
              </w:rPr>
              <w:t>日</w:t>
            </w:r>
          </w:p>
        </w:tc>
      </w:tr>
    </w:tbl>
    <w:p w14:paraId="7050FBAD">
      <w:pPr>
        <w:spacing w:line="360" w:lineRule="auto"/>
        <w:jc w:val="left"/>
        <w:rPr>
          <w:rFonts w:ascii="宋体" w:hAnsi="宋体" w:cs="宋体"/>
          <w:color w:val="auto"/>
          <w:sz w:val="24"/>
          <w:szCs w:val="24"/>
          <w:highlight w:val="none"/>
        </w:rPr>
      </w:pPr>
    </w:p>
    <w:p w14:paraId="0331A4A9">
      <w:pPr>
        <w:spacing w:before="120" w:after="120" w:line="360" w:lineRule="auto"/>
        <w:ind w:firstLine="964"/>
        <w:jc w:val="left"/>
        <w:rPr>
          <w:rFonts w:ascii="Arial" w:hAnsi="Arial"/>
          <w:b/>
          <w:color w:val="auto"/>
          <w:sz w:val="32"/>
          <w:szCs w:val="24"/>
          <w:highlight w:val="none"/>
        </w:rPr>
      </w:pPr>
      <w:r>
        <w:rPr>
          <w:rFonts w:hint="eastAsia" w:ascii="Times New Roman" w:hAnsi="Times New Roman"/>
          <w:b/>
          <w:bCs/>
          <w:color w:val="auto"/>
          <w:sz w:val="32"/>
          <w:szCs w:val="24"/>
          <w:highlight w:val="none"/>
        </w:rPr>
        <w:t xml:space="preserve"> </w:t>
      </w:r>
    </w:p>
    <w:p w14:paraId="1E9E3369">
      <w:pPr>
        <w:spacing w:before="120" w:after="120" w:line="360" w:lineRule="auto"/>
        <w:jc w:val="center"/>
        <w:rPr>
          <w:rFonts w:hint="eastAsia" w:ascii="Arial" w:hAnsi="Arial" w:eastAsia="宋体"/>
          <w:b/>
          <w:color w:val="auto"/>
          <w:sz w:val="32"/>
          <w:szCs w:val="24"/>
          <w:highlight w:val="none"/>
          <w:lang w:val="en-US" w:eastAsia="zh-CN"/>
        </w:rPr>
      </w:pPr>
      <w:r>
        <w:rPr>
          <w:rFonts w:hint="eastAsia" w:ascii="Arial" w:hAnsi="Arial"/>
          <w:b/>
          <w:color w:val="auto"/>
          <w:sz w:val="32"/>
          <w:szCs w:val="24"/>
          <w:highlight w:val="none"/>
          <w:lang w:val="en-US" w:eastAsia="zh-CN"/>
        </w:rPr>
        <w:t xml:space="preserve"> </w:t>
      </w:r>
    </w:p>
    <w:p w14:paraId="76490A97">
      <w:pPr>
        <w:keepNext/>
        <w:keepLines/>
        <w:pageBreakBefore/>
        <w:jc w:val="center"/>
        <w:rPr>
          <w:b/>
          <w:color w:val="auto"/>
          <w:sz w:val="44"/>
          <w:szCs w:val="44"/>
          <w:highlight w:val="none"/>
        </w:rPr>
      </w:pPr>
      <w:r>
        <w:rPr>
          <w:rFonts w:hint="eastAsia"/>
          <w:b/>
          <w:color w:val="auto"/>
          <w:sz w:val="44"/>
          <w:szCs w:val="44"/>
          <w:highlight w:val="none"/>
        </w:rPr>
        <w:t>目 录</w:t>
      </w:r>
    </w:p>
    <w:p w14:paraId="65586679">
      <w:pPr>
        <w:pStyle w:val="96"/>
        <w:tabs>
          <w:tab w:val="right" w:leader="dot" w:pos="9185"/>
        </w:tabs>
        <w:spacing w:line="600" w:lineRule="exact"/>
        <w:rPr>
          <w:rFonts w:ascii="Times New Roman" w:hAnsi="Times New Roman" w:eastAsia="黑体"/>
          <w:b w:val="0"/>
          <w:bCs w:val="0"/>
          <w:color w:val="auto"/>
          <w:sz w:val="32"/>
          <w:highlight w:val="none"/>
        </w:rPr>
      </w:pPr>
      <w:r>
        <w:rPr>
          <w:color w:val="auto"/>
          <w:highlight w:val="none"/>
        </w:rPr>
        <w:fldChar w:fldCharType="begin"/>
      </w:r>
      <w:r>
        <w:rPr>
          <w:color w:val="auto"/>
          <w:highlight w:val="none"/>
        </w:rPr>
        <w:instrText xml:space="preserve">TOC \o "1-1" \h \u </w:instrText>
      </w:r>
      <w:r>
        <w:rPr>
          <w:color w:val="auto"/>
          <w:highlight w:val="none"/>
        </w:rPr>
        <w:fldChar w:fldCharType="separate"/>
      </w:r>
      <w:r>
        <w:rPr>
          <w:rFonts w:ascii="Times New Roman" w:hAnsi="Times New Roman" w:eastAsia="黑体"/>
          <w:b w:val="0"/>
          <w:bCs w:val="0"/>
          <w:color w:val="auto"/>
          <w:sz w:val="32"/>
          <w:highlight w:val="none"/>
        </w:rPr>
        <w:fldChar w:fldCharType="begin"/>
      </w:r>
      <w:r>
        <w:rPr>
          <w:rFonts w:ascii="Times New Roman" w:hAnsi="Times New Roman" w:eastAsia="黑体"/>
          <w:b w:val="0"/>
          <w:bCs w:val="0"/>
          <w:color w:val="auto"/>
          <w:sz w:val="32"/>
          <w:highlight w:val="none"/>
        </w:rPr>
        <w:instrText xml:space="preserve"> HYPERLINK \l _Toc10813 </w:instrText>
      </w:r>
      <w:r>
        <w:rPr>
          <w:rFonts w:ascii="Times New Roman" w:hAnsi="Times New Roman" w:eastAsia="黑体"/>
          <w:b w:val="0"/>
          <w:bCs w:val="0"/>
          <w:color w:val="auto"/>
          <w:sz w:val="32"/>
          <w:highlight w:val="none"/>
        </w:rPr>
        <w:fldChar w:fldCharType="separate"/>
      </w:r>
      <w:r>
        <w:rPr>
          <w:rFonts w:hint="eastAsia" w:ascii="Times New Roman" w:hAnsi="Times New Roman" w:eastAsia="黑体"/>
          <w:b w:val="0"/>
          <w:bCs w:val="0"/>
          <w:color w:val="auto"/>
          <w:sz w:val="32"/>
          <w:highlight w:val="none"/>
        </w:rPr>
        <w:t>第一章  投标邀请</w:t>
      </w:r>
      <w:r>
        <w:rPr>
          <w:rFonts w:ascii="Times New Roman" w:hAnsi="Times New Roman" w:eastAsia="黑体"/>
          <w:b w:val="0"/>
          <w:bCs w:val="0"/>
          <w:color w:val="auto"/>
          <w:sz w:val="32"/>
          <w:highlight w:val="none"/>
        </w:rPr>
        <w:tab/>
      </w:r>
      <w:r>
        <w:rPr>
          <w:rFonts w:ascii="Times New Roman" w:hAnsi="Times New Roman" w:eastAsia="黑体"/>
          <w:b w:val="0"/>
          <w:bCs w:val="0"/>
          <w:color w:val="auto"/>
          <w:sz w:val="32"/>
          <w:highlight w:val="none"/>
        </w:rPr>
        <w:fldChar w:fldCharType="begin"/>
      </w:r>
      <w:r>
        <w:rPr>
          <w:rFonts w:ascii="Times New Roman" w:hAnsi="Times New Roman" w:eastAsia="黑体"/>
          <w:b w:val="0"/>
          <w:bCs w:val="0"/>
          <w:color w:val="auto"/>
          <w:sz w:val="32"/>
          <w:highlight w:val="none"/>
        </w:rPr>
        <w:instrText xml:space="preserve"> PAGEREF _Toc10813 \h </w:instrText>
      </w:r>
      <w:r>
        <w:rPr>
          <w:rFonts w:ascii="Times New Roman" w:hAnsi="Times New Roman" w:eastAsia="黑体"/>
          <w:b w:val="0"/>
          <w:bCs w:val="0"/>
          <w:color w:val="auto"/>
          <w:sz w:val="32"/>
          <w:highlight w:val="none"/>
        </w:rPr>
        <w:fldChar w:fldCharType="separate"/>
      </w:r>
      <w:r>
        <w:rPr>
          <w:rFonts w:ascii="Times New Roman" w:hAnsi="Times New Roman" w:eastAsia="黑体"/>
          <w:b w:val="0"/>
          <w:bCs w:val="0"/>
          <w:color w:val="auto"/>
          <w:sz w:val="32"/>
          <w:highlight w:val="none"/>
        </w:rPr>
        <w:t>3</w:t>
      </w:r>
      <w:r>
        <w:rPr>
          <w:rFonts w:ascii="Times New Roman" w:hAnsi="Times New Roman" w:eastAsia="黑体"/>
          <w:b w:val="0"/>
          <w:bCs w:val="0"/>
          <w:color w:val="auto"/>
          <w:sz w:val="32"/>
          <w:highlight w:val="none"/>
        </w:rPr>
        <w:fldChar w:fldCharType="end"/>
      </w:r>
      <w:r>
        <w:rPr>
          <w:rFonts w:ascii="Times New Roman" w:hAnsi="Times New Roman" w:eastAsia="黑体"/>
          <w:b w:val="0"/>
          <w:bCs w:val="0"/>
          <w:color w:val="auto"/>
          <w:sz w:val="32"/>
          <w:highlight w:val="none"/>
        </w:rPr>
        <w:fldChar w:fldCharType="end"/>
      </w:r>
    </w:p>
    <w:p w14:paraId="3CE0BB2A">
      <w:pPr>
        <w:pStyle w:val="96"/>
        <w:tabs>
          <w:tab w:val="right" w:leader="dot" w:pos="9185"/>
        </w:tabs>
        <w:spacing w:line="600" w:lineRule="exact"/>
        <w:rPr>
          <w:rFonts w:ascii="Times New Roman" w:hAnsi="Times New Roman" w:eastAsia="黑体"/>
          <w:b w:val="0"/>
          <w:bCs w:val="0"/>
          <w:color w:val="auto"/>
          <w:sz w:val="32"/>
          <w:highlight w:val="none"/>
        </w:rPr>
      </w:pPr>
      <w:r>
        <w:rPr>
          <w:rFonts w:ascii="Times New Roman" w:hAnsi="Times New Roman" w:eastAsia="黑体"/>
          <w:b w:val="0"/>
          <w:bCs w:val="0"/>
          <w:color w:val="auto"/>
          <w:sz w:val="32"/>
          <w:highlight w:val="none"/>
        </w:rPr>
        <w:fldChar w:fldCharType="begin"/>
      </w:r>
      <w:r>
        <w:rPr>
          <w:rFonts w:ascii="Times New Roman" w:hAnsi="Times New Roman" w:eastAsia="黑体"/>
          <w:b w:val="0"/>
          <w:bCs w:val="0"/>
          <w:color w:val="auto"/>
          <w:sz w:val="32"/>
          <w:highlight w:val="none"/>
        </w:rPr>
        <w:instrText xml:space="preserve"> HYPERLINK \l _Toc9425 </w:instrText>
      </w:r>
      <w:r>
        <w:rPr>
          <w:rFonts w:ascii="Times New Roman" w:hAnsi="Times New Roman" w:eastAsia="黑体"/>
          <w:b w:val="0"/>
          <w:bCs w:val="0"/>
          <w:color w:val="auto"/>
          <w:sz w:val="32"/>
          <w:highlight w:val="none"/>
        </w:rPr>
        <w:fldChar w:fldCharType="separate"/>
      </w:r>
      <w:r>
        <w:rPr>
          <w:rFonts w:hint="eastAsia" w:ascii="Times New Roman" w:hAnsi="Times New Roman" w:eastAsia="黑体"/>
          <w:b w:val="0"/>
          <w:bCs w:val="0"/>
          <w:color w:val="auto"/>
          <w:sz w:val="32"/>
          <w:highlight w:val="none"/>
        </w:rPr>
        <w:t>第二章  投标人须知</w:t>
      </w:r>
      <w:r>
        <w:rPr>
          <w:rFonts w:ascii="Times New Roman" w:hAnsi="Times New Roman" w:eastAsia="黑体"/>
          <w:b w:val="0"/>
          <w:bCs w:val="0"/>
          <w:color w:val="auto"/>
          <w:sz w:val="32"/>
          <w:highlight w:val="none"/>
        </w:rPr>
        <w:tab/>
      </w:r>
      <w:r>
        <w:rPr>
          <w:rFonts w:ascii="Times New Roman" w:hAnsi="Times New Roman" w:eastAsia="黑体"/>
          <w:b w:val="0"/>
          <w:bCs w:val="0"/>
          <w:color w:val="auto"/>
          <w:sz w:val="32"/>
          <w:highlight w:val="none"/>
        </w:rPr>
        <w:fldChar w:fldCharType="begin"/>
      </w:r>
      <w:r>
        <w:rPr>
          <w:rFonts w:ascii="Times New Roman" w:hAnsi="Times New Roman" w:eastAsia="黑体"/>
          <w:b w:val="0"/>
          <w:bCs w:val="0"/>
          <w:color w:val="auto"/>
          <w:sz w:val="32"/>
          <w:highlight w:val="none"/>
        </w:rPr>
        <w:instrText xml:space="preserve"> PAGEREF _Toc9425 \h </w:instrText>
      </w:r>
      <w:r>
        <w:rPr>
          <w:rFonts w:ascii="Times New Roman" w:hAnsi="Times New Roman" w:eastAsia="黑体"/>
          <w:b w:val="0"/>
          <w:bCs w:val="0"/>
          <w:color w:val="auto"/>
          <w:sz w:val="32"/>
          <w:highlight w:val="none"/>
        </w:rPr>
        <w:fldChar w:fldCharType="separate"/>
      </w:r>
      <w:r>
        <w:rPr>
          <w:rFonts w:ascii="Times New Roman" w:hAnsi="Times New Roman" w:eastAsia="黑体"/>
          <w:b w:val="0"/>
          <w:bCs w:val="0"/>
          <w:color w:val="auto"/>
          <w:sz w:val="32"/>
          <w:highlight w:val="none"/>
        </w:rPr>
        <w:t>6</w:t>
      </w:r>
      <w:r>
        <w:rPr>
          <w:rFonts w:ascii="Times New Roman" w:hAnsi="Times New Roman" w:eastAsia="黑体"/>
          <w:b w:val="0"/>
          <w:bCs w:val="0"/>
          <w:color w:val="auto"/>
          <w:sz w:val="32"/>
          <w:highlight w:val="none"/>
        </w:rPr>
        <w:fldChar w:fldCharType="end"/>
      </w:r>
      <w:r>
        <w:rPr>
          <w:rFonts w:ascii="Times New Roman" w:hAnsi="Times New Roman" w:eastAsia="黑体"/>
          <w:b w:val="0"/>
          <w:bCs w:val="0"/>
          <w:color w:val="auto"/>
          <w:sz w:val="32"/>
          <w:highlight w:val="none"/>
        </w:rPr>
        <w:fldChar w:fldCharType="end"/>
      </w:r>
    </w:p>
    <w:p w14:paraId="247B3324">
      <w:pPr>
        <w:pStyle w:val="96"/>
        <w:tabs>
          <w:tab w:val="right" w:leader="dot" w:pos="9185"/>
        </w:tabs>
        <w:spacing w:line="600" w:lineRule="exact"/>
        <w:rPr>
          <w:rFonts w:hint="eastAsia" w:ascii="Times New Roman" w:hAnsi="Times New Roman" w:eastAsia="黑体"/>
          <w:b w:val="0"/>
          <w:bCs w:val="0"/>
          <w:color w:val="auto"/>
          <w:sz w:val="32"/>
          <w:highlight w:val="none"/>
          <w:lang w:val="en-US" w:eastAsia="zh-CN"/>
        </w:rPr>
      </w:pPr>
      <w:r>
        <w:rPr>
          <w:rFonts w:ascii="Times New Roman" w:hAnsi="Times New Roman" w:eastAsia="黑体"/>
          <w:b w:val="0"/>
          <w:bCs w:val="0"/>
          <w:color w:val="auto"/>
          <w:sz w:val="32"/>
          <w:highlight w:val="none"/>
        </w:rPr>
        <w:fldChar w:fldCharType="begin"/>
      </w:r>
      <w:r>
        <w:rPr>
          <w:rFonts w:ascii="Times New Roman" w:hAnsi="Times New Roman" w:eastAsia="黑体"/>
          <w:b w:val="0"/>
          <w:bCs w:val="0"/>
          <w:color w:val="auto"/>
          <w:sz w:val="32"/>
          <w:highlight w:val="none"/>
        </w:rPr>
        <w:instrText xml:space="preserve"> HYPERLINK \l _Toc17996 </w:instrText>
      </w:r>
      <w:r>
        <w:rPr>
          <w:rFonts w:ascii="Times New Roman" w:hAnsi="Times New Roman" w:eastAsia="黑体"/>
          <w:b w:val="0"/>
          <w:bCs w:val="0"/>
          <w:color w:val="auto"/>
          <w:sz w:val="32"/>
          <w:highlight w:val="none"/>
        </w:rPr>
        <w:fldChar w:fldCharType="separate"/>
      </w:r>
      <w:r>
        <w:rPr>
          <w:rFonts w:hint="eastAsia" w:ascii="Times New Roman" w:hAnsi="Times New Roman" w:eastAsia="黑体" w:cs="Times New Roman"/>
          <w:b w:val="0"/>
          <w:bCs w:val="0"/>
          <w:color w:val="auto"/>
          <w:sz w:val="32"/>
          <w:szCs w:val="44"/>
          <w:highlight w:val="none"/>
        </w:rPr>
        <w:t>第三章  资格审查及评标办法</w:t>
      </w:r>
      <w:r>
        <w:rPr>
          <w:rFonts w:ascii="Times New Roman" w:hAnsi="Times New Roman" w:eastAsia="黑体"/>
          <w:b w:val="0"/>
          <w:bCs w:val="0"/>
          <w:color w:val="auto"/>
          <w:sz w:val="32"/>
          <w:highlight w:val="none"/>
        </w:rPr>
        <w:tab/>
      </w:r>
      <w:r>
        <w:rPr>
          <w:rFonts w:hint="eastAsia" w:ascii="Times New Roman" w:hAnsi="Times New Roman" w:eastAsia="黑体"/>
          <w:b w:val="0"/>
          <w:bCs w:val="0"/>
          <w:color w:val="auto"/>
          <w:sz w:val="32"/>
          <w:highlight w:val="none"/>
          <w:lang w:val="en-US" w:eastAsia="zh-CN"/>
        </w:rPr>
        <w:t>1</w:t>
      </w:r>
      <w:r>
        <w:rPr>
          <w:rFonts w:ascii="Times New Roman" w:hAnsi="Times New Roman" w:eastAsia="黑体"/>
          <w:b w:val="0"/>
          <w:bCs w:val="0"/>
          <w:color w:val="auto"/>
          <w:sz w:val="32"/>
          <w:highlight w:val="none"/>
        </w:rPr>
        <w:fldChar w:fldCharType="end"/>
      </w:r>
      <w:r>
        <w:rPr>
          <w:rFonts w:hint="eastAsia" w:ascii="Times New Roman" w:hAnsi="Times New Roman" w:eastAsia="黑体"/>
          <w:b w:val="0"/>
          <w:bCs w:val="0"/>
          <w:color w:val="auto"/>
          <w:sz w:val="32"/>
          <w:highlight w:val="none"/>
          <w:lang w:val="en-US" w:eastAsia="zh-CN"/>
        </w:rPr>
        <w:t>7</w:t>
      </w:r>
    </w:p>
    <w:p w14:paraId="6D161FE0">
      <w:pPr>
        <w:pStyle w:val="96"/>
        <w:tabs>
          <w:tab w:val="right" w:leader="dot" w:pos="9185"/>
        </w:tabs>
        <w:spacing w:line="600" w:lineRule="exact"/>
        <w:rPr>
          <w:rFonts w:hint="default" w:ascii="Times New Roman" w:hAnsi="Times New Roman" w:eastAsia="黑体"/>
          <w:b w:val="0"/>
          <w:bCs w:val="0"/>
          <w:color w:val="auto"/>
          <w:sz w:val="32"/>
          <w:highlight w:val="none"/>
          <w:lang w:val="en-US" w:eastAsia="zh-CN"/>
        </w:rPr>
      </w:pPr>
      <w:r>
        <w:rPr>
          <w:rFonts w:ascii="Times New Roman" w:hAnsi="Times New Roman" w:eastAsia="黑体"/>
          <w:b w:val="0"/>
          <w:bCs w:val="0"/>
          <w:color w:val="auto"/>
          <w:sz w:val="32"/>
          <w:highlight w:val="none"/>
        </w:rPr>
        <w:fldChar w:fldCharType="begin"/>
      </w:r>
      <w:r>
        <w:rPr>
          <w:rFonts w:ascii="Times New Roman" w:hAnsi="Times New Roman" w:eastAsia="黑体"/>
          <w:b w:val="0"/>
          <w:bCs w:val="0"/>
          <w:color w:val="auto"/>
          <w:sz w:val="32"/>
          <w:highlight w:val="none"/>
        </w:rPr>
        <w:instrText xml:space="preserve"> HYPERLINK \l _Toc22314 </w:instrText>
      </w:r>
      <w:r>
        <w:rPr>
          <w:rFonts w:ascii="Times New Roman" w:hAnsi="Times New Roman" w:eastAsia="黑体"/>
          <w:b w:val="0"/>
          <w:bCs w:val="0"/>
          <w:color w:val="auto"/>
          <w:sz w:val="32"/>
          <w:highlight w:val="none"/>
        </w:rPr>
        <w:fldChar w:fldCharType="separate"/>
      </w:r>
      <w:r>
        <w:rPr>
          <w:rFonts w:hint="eastAsia" w:ascii="Times New Roman" w:hAnsi="Times New Roman" w:eastAsia="黑体"/>
          <w:b w:val="0"/>
          <w:bCs w:val="0"/>
          <w:color w:val="auto"/>
          <w:sz w:val="32"/>
          <w:szCs w:val="44"/>
          <w:highlight w:val="none"/>
        </w:rPr>
        <w:t>第四章</w:t>
      </w:r>
      <w:r>
        <w:rPr>
          <w:rFonts w:ascii="Times New Roman" w:hAnsi="Times New Roman" w:eastAsia="黑体"/>
          <w:b w:val="0"/>
          <w:bCs w:val="0"/>
          <w:color w:val="auto"/>
          <w:sz w:val="32"/>
          <w:szCs w:val="44"/>
          <w:highlight w:val="none"/>
        </w:rPr>
        <w:t xml:space="preserve">  </w:t>
      </w:r>
      <w:r>
        <w:rPr>
          <w:rFonts w:hint="eastAsia" w:ascii="Times New Roman" w:hAnsi="Times New Roman" w:eastAsia="黑体"/>
          <w:b w:val="0"/>
          <w:bCs w:val="0"/>
          <w:color w:val="auto"/>
          <w:sz w:val="32"/>
          <w:szCs w:val="44"/>
          <w:highlight w:val="none"/>
        </w:rPr>
        <w:t>采购需求</w:t>
      </w:r>
      <w:r>
        <w:rPr>
          <w:rFonts w:ascii="Times New Roman" w:hAnsi="Times New Roman" w:eastAsia="黑体"/>
          <w:b w:val="0"/>
          <w:bCs w:val="0"/>
          <w:color w:val="auto"/>
          <w:sz w:val="32"/>
          <w:highlight w:val="none"/>
        </w:rPr>
        <w:tab/>
      </w:r>
      <w:r>
        <w:rPr>
          <w:rFonts w:hint="eastAsia" w:ascii="Times New Roman" w:hAnsi="Times New Roman" w:eastAsia="黑体"/>
          <w:b w:val="0"/>
          <w:bCs w:val="0"/>
          <w:color w:val="auto"/>
          <w:sz w:val="32"/>
          <w:highlight w:val="none"/>
          <w:lang w:val="en-US" w:eastAsia="zh-CN"/>
        </w:rPr>
        <w:t xml:space="preserve"> </w:t>
      </w:r>
      <w:r>
        <w:rPr>
          <w:rFonts w:ascii="Times New Roman" w:hAnsi="Times New Roman" w:eastAsia="黑体"/>
          <w:b w:val="0"/>
          <w:bCs w:val="0"/>
          <w:color w:val="auto"/>
          <w:sz w:val="32"/>
          <w:highlight w:val="none"/>
        </w:rPr>
        <w:fldChar w:fldCharType="end"/>
      </w:r>
      <w:r>
        <w:rPr>
          <w:rFonts w:hint="eastAsia" w:ascii="Times New Roman" w:hAnsi="Times New Roman" w:eastAsia="黑体"/>
          <w:b w:val="0"/>
          <w:bCs w:val="0"/>
          <w:color w:val="auto"/>
          <w:sz w:val="32"/>
          <w:highlight w:val="none"/>
          <w:lang w:val="en-US" w:eastAsia="zh-CN"/>
        </w:rPr>
        <w:t>20</w:t>
      </w:r>
    </w:p>
    <w:p w14:paraId="77BBA7E7">
      <w:pPr>
        <w:pStyle w:val="96"/>
        <w:tabs>
          <w:tab w:val="right" w:leader="dot" w:pos="9185"/>
        </w:tabs>
        <w:spacing w:line="600" w:lineRule="exact"/>
        <w:rPr>
          <w:rFonts w:hint="eastAsia" w:ascii="Times New Roman" w:hAnsi="Times New Roman" w:eastAsia="黑体"/>
          <w:b w:val="0"/>
          <w:bCs w:val="0"/>
          <w:color w:val="auto"/>
          <w:sz w:val="32"/>
          <w:highlight w:val="none"/>
          <w:lang w:val="en-US" w:eastAsia="zh-CN"/>
        </w:rPr>
      </w:pPr>
      <w:r>
        <w:rPr>
          <w:rFonts w:ascii="Times New Roman" w:hAnsi="Times New Roman" w:eastAsia="黑体"/>
          <w:b w:val="0"/>
          <w:bCs w:val="0"/>
          <w:color w:val="auto"/>
          <w:sz w:val="32"/>
          <w:highlight w:val="none"/>
        </w:rPr>
        <w:fldChar w:fldCharType="begin"/>
      </w:r>
      <w:r>
        <w:rPr>
          <w:rFonts w:ascii="Times New Roman" w:hAnsi="Times New Roman" w:eastAsia="黑体"/>
          <w:b w:val="0"/>
          <w:bCs w:val="0"/>
          <w:color w:val="auto"/>
          <w:sz w:val="32"/>
          <w:highlight w:val="none"/>
        </w:rPr>
        <w:instrText xml:space="preserve"> HYPERLINK \l _Toc2513 </w:instrText>
      </w:r>
      <w:r>
        <w:rPr>
          <w:rFonts w:ascii="Times New Roman" w:hAnsi="Times New Roman" w:eastAsia="黑体"/>
          <w:b w:val="0"/>
          <w:bCs w:val="0"/>
          <w:color w:val="auto"/>
          <w:sz w:val="32"/>
          <w:highlight w:val="none"/>
        </w:rPr>
        <w:fldChar w:fldCharType="separate"/>
      </w:r>
      <w:r>
        <w:rPr>
          <w:rFonts w:hint="eastAsia" w:ascii="Times New Roman" w:hAnsi="Times New Roman" w:eastAsia="黑体"/>
          <w:b w:val="0"/>
          <w:bCs w:val="0"/>
          <w:color w:val="auto"/>
          <w:sz w:val="32"/>
          <w:szCs w:val="44"/>
          <w:highlight w:val="none"/>
        </w:rPr>
        <w:t>第五章</w:t>
      </w:r>
      <w:r>
        <w:rPr>
          <w:rFonts w:ascii="Times New Roman" w:hAnsi="Times New Roman" w:eastAsia="黑体"/>
          <w:b w:val="0"/>
          <w:bCs w:val="0"/>
          <w:color w:val="auto"/>
          <w:sz w:val="32"/>
          <w:szCs w:val="44"/>
          <w:highlight w:val="none"/>
        </w:rPr>
        <w:t xml:space="preserve">  </w:t>
      </w:r>
      <w:r>
        <w:rPr>
          <w:rFonts w:hint="eastAsia" w:ascii="Times New Roman" w:hAnsi="Times New Roman" w:eastAsia="黑体"/>
          <w:b w:val="0"/>
          <w:bCs w:val="0"/>
          <w:color w:val="auto"/>
          <w:sz w:val="32"/>
          <w:szCs w:val="44"/>
          <w:highlight w:val="none"/>
        </w:rPr>
        <w:t>合同文本</w:t>
      </w:r>
      <w:r>
        <w:rPr>
          <w:rFonts w:ascii="Times New Roman" w:hAnsi="Times New Roman" w:eastAsia="黑体"/>
          <w:b w:val="0"/>
          <w:bCs w:val="0"/>
          <w:color w:val="auto"/>
          <w:sz w:val="32"/>
          <w:highlight w:val="none"/>
        </w:rPr>
        <w:tab/>
      </w:r>
      <w:r>
        <w:rPr>
          <w:rFonts w:hint="eastAsia" w:ascii="Times New Roman" w:hAnsi="Times New Roman" w:eastAsia="黑体"/>
          <w:b w:val="0"/>
          <w:bCs w:val="0"/>
          <w:color w:val="auto"/>
          <w:sz w:val="32"/>
          <w:highlight w:val="none"/>
          <w:lang w:val="en-US" w:eastAsia="zh-CN"/>
        </w:rPr>
        <w:t>2</w:t>
      </w:r>
      <w:r>
        <w:rPr>
          <w:rFonts w:ascii="Times New Roman" w:hAnsi="Times New Roman" w:eastAsia="黑体"/>
          <w:b w:val="0"/>
          <w:bCs w:val="0"/>
          <w:color w:val="auto"/>
          <w:sz w:val="32"/>
          <w:highlight w:val="none"/>
        </w:rPr>
        <w:fldChar w:fldCharType="end"/>
      </w:r>
      <w:r>
        <w:rPr>
          <w:rFonts w:hint="eastAsia" w:ascii="Times New Roman" w:hAnsi="Times New Roman" w:eastAsia="黑体"/>
          <w:b w:val="0"/>
          <w:bCs w:val="0"/>
          <w:color w:val="auto"/>
          <w:sz w:val="32"/>
          <w:highlight w:val="none"/>
          <w:lang w:val="en-US" w:eastAsia="zh-CN"/>
        </w:rPr>
        <w:t>7</w:t>
      </w:r>
    </w:p>
    <w:p w14:paraId="77377589">
      <w:pPr>
        <w:pStyle w:val="96"/>
        <w:tabs>
          <w:tab w:val="right" w:leader="dot" w:pos="9185"/>
        </w:tabs>
        <w:spacing w:line="600" w:lineRule="exact"/>
        <w:rPr>
          <w:rFonts w:hint="eastAsia" w:eastAsia="黑体"/>
          <w:color w:val="auto"/>
          <w:highlight w:val="none"/>
          <w:lang w:val="en-US" w:eastAsia="zh-CN"/>
        </w:rPr>
      </w:pPr>
      <w:r>
        <w:rPr>
          <w:rFonts w:ascii="Times New Roman" w:hAnsi="Times New Roman" w:eastAsia="黑体"/>
          <w:b w:val="0"/>
          <w:bCs w:val="0"/>
          <w:color w:val="auto"/>
          <w:sz w:val="32"/>
          <w:highlight w:val="none"/>
        </w:rPr>
        <w:fldChar w:fldCharType="begin"/>
      </w:r>
      <w:r>
        <w:rPr>
          <w:rFonts w:ascii="Times New Roman" w:hAnsi="Times New Roman" w:eastAsia="黑体"/>
          <w:b w:val="0"/>
          <w:bCs w:val="0"/>
          <w:color w:val="auto"/>
          <w:sz w:val="32"/>
          <w:highlight w:val="none"/>
        </w:rPr>
        <w:instrText xml:space="preserve"> HYPERLINK \l _Toc12937 </w:instrText>
      </w:r>
      <w:r>
        <w:rPr>
          <w:rFonts w:ascii="Times New Roman" w:hAnsi="Times New Roman" w:eastAsia="黑体"/>
          <w:b w:val="0"/>
          <w:bCs w:val="0"/>
          <w:color w:val="auto"/>
          <w:sz w:val="32"/>
          <w:highlight w:val="none"/>
        </w:rPr>
        <w:fldChar w:fldCharType="separate"/>
      </w:r>
      <w:r>
        <w:rPr>
          <w:rFonts w:hint="eastAsia" w:ascii="Times New Roman" w:hAnsi="Times New Roman" w:eastAsia="黑体"/>
          <w:b w:val="0"/>
          <w:bCs w:val="0"/>
          <w:color w:val="auto"/>
          <w:sz w:val="32"/>
          <w:szCs w:val="44"/>
          <w:highlight w:val="none"/>
        </w:rPr>
        <w:t>第六章  投标文件格式</w:t>
      </w:r>
      <w:r>
        <w:rPr>
          <w:rFonts w:ascii="Times New Roman" w:hAnsi="Times New Roman" w:eastAsia="黑体"/>
          <w:b w:val="0"/>
          <w:bCs w:val="0"/>
          <w:color w:val="auto"/>
          <w:sz w:val="32"/>
          <w:highlight w:val="none"/>
        </w:rPr>
        <w:tab/>
      </w:r>
      <w:r>
        <w:rPr>
          <w:rFonts w:hint="eastAsia" w:ascii="Times New Roman" w:hAnsi="Times New Roman" w:eastAsia="黑体"/>
          <w:b w:val="0"/>
          <w:bCs w:val="0"/>
          <w:color w:val="auto"/>
          <w:sz w:val="32"/>
          <w:highlight w:val="none"/>
          <w:lang w:val="en-US" w:eastAsia="zh-CN"/>
        </w:rPr>
        <w:t>3</w:t>
      </w:r>
      <w:r>
        <w:rPr>
          <w:rFonts w:ascii="Times New Roman" w:hAnsi="Times New Roman" w:eastAsia="黑体"/>
          <w:b w:val="0"/>
          <w:bCs w:val="0"/>
          <w:color w:val="auto"/>
          <w:sz w:val="32"/>
          <w:highlight w:val="none"/>
        </w:rPr>
        <w:fldChar w:fldCharType="end"/>
      </w:r>
      <w:r>
        <w:rPr>
          <w:rFonts w:hint="eastAsia" w:ascii="Times New Roman" w:hAnsi="Times New Roman" w:eastAsia="黑体"/>
          <w:b w:val="0"/>
          <w:bCs w:val="0"/>
          <w:color w:val="auto"/>
          <w:sz w:val="32"/>
          <w:highlight w:val="none"/>
          <w:lang w:val="en-US" w:eastAsia="zh-CN"/>
        </w:rPr>
        <w:t>7</w:t>
      </w:r>
    </w:p>
    <w:p w14:paraId="2E6B54A5">
      <w:pPr>
        <w:rPr>
          <w:color w:val="auto"/>
          <w:highlight w:val="none"/>
        </w:rPr>
      </w:pPr>
      <w:r>
        <w:rPr>
          <w:color w:val="auto"/>
          <w:highlight w:val="none"/>
        </w:rPr>
        <w:fldChar w:fldCharType="end"/>
      </w:r>
    </w:p>
    <w:p w14:paraId="59E7BB0D">
      <w:pPr>
        <w:keepNext/>
        <w:keepLines/>
        <w:pageBreakBefore/>
        <w:jc w:val="center"/>
        <w:outlineLvl w:val="0"/>
        <w:rPr>
          <w:b/>
          <w:color w:val="auto"/>
          <w:sz w:val="44"/>
          <w:szCs w:val="44"/>
          <w:highlight w:val="none"/>
        </w:rPr>
        <w:sectPr>
          <w:footerReference r:id="rId5" w:type="first"/>
          <w:headerReference r:id="rId3" w:type="default"/>
          <w:footerReference r:id="rId4" w:type="default"/>
          <w:pgSz w:w="11907" w:h="16840"/>
          <w:pgMar w:top="1474" w:right="1304" w:bottom="1474" w:left="1418" w:header="851" w:footer="851" w:gutter="0"/>
          <w:cols w:space="1701" w:num="1"/>
          <w:docGrid w:linePitch="360" w:charSpace="0"/>
        </w:sectPr>
      </w:pPr>
      <w:bookmarkStart w:id="2" w:name="_Toc81575152"/>
      <w:bookmarkStart w:id="3" w:name="_Toc81575189"/>
    </w:p>
    <w:p w14:paraId="0F29EF00">
      <w:pPr>
        <w:pStyle w:val="38"/>
        <w:spacing w:before="200"/>
        <w:jc w:val="center"/>
        <w:rPr>
          <w:rFonts w:hint="eastAsia" w:eastAsia="黑体"/>
          <w:color w:val="auto"/>
          <w:sz w:val="44"/>
          <w:highlight w:val="none"/>
        </w:rPr>
      </w:pPr>
      <w:bookmarkStart w:id="4" w:name="_Toc10813"/>
      <w:bookmarkStart w:id="5" w:name="_Toc30943"/>
      <w:bookmarkStart w:id="6" w:name="_Toc25722"/>
      <w:r>
        <w:rPr>
          <w:rFonts w:hint="eastAsia" w:eastAsia="黑体"/>
          <w:color w:val="auto"/>
          <w:sz w:val="44"/>
          <w:highlight w:val="none"/>
        </w:rPr>
        <w:t>第一章  投标邀请</w:t>
      </w:r>
      <w:bookmarkEnd w:id="2"/>
      <w:bookmarkEnd w:id="3"/>
      <w:bookmarkEnd w:id="4"/>
      <w:bookmarkEnd w:id="5"/>
      <w:bookmarkEnd w:id="6"/>
    </w:p>
    <w:p w14:paraId="3FAF892E">
      <w:pPr>
        <w:spacing w:line="480" w:lineRule="exact"/>
        <w:ind w:firstLine="480"/>
        <w:rPr>
          <w:rFonts w:ascii="Times New Roman" w:hAnsi="Times New Roman" w:cs="方正仿宋_GBK"/>
          <w:color w:val="auto"/>
          <w:sz w:val="24"/>
          <w:szCs w:val="24"/>
          <w:highlight w:val="none"/>
        </w:rPr>
      </w:pPr>
      <w:r>
        <w:rPr>
          <w:rFonts w:hint="eastAsia" w:ascii="宋体" w:hAnsi="宋体"/>
          <w:color w:val="auto"/>
          <w:sz w:val="24"/>
          <w:szCs w:val="24"/>
          <w:highlight w:val="none"/>
        </w:rPr>
        <w:t>受</w:t>
      </w:r>
      <w:r>
        <w:rPr>
          <w:rFonts w:hint="eastAsia" w:ascii="宋体" w:hAnsi="宋体"/>
          <w:color w:val="auto"/>
          <w:sz w:val="24"/>
          <w:szCs w:val="24"/>
          <w:highlight w:val="none"/>
          <w:u w:val="single"/>
          <w:lang w:val="en-US" w:eastAsia="zh-CN"/>
        </w:rPr>
        <w:t>沭阳县残疾人联合会</w:t>
      </w:r>
      <w:r>
        <w:rPr>
          <w:rFonts w:hint="eastAsia" w:ascii="宋体" w:hAnsi="宋体"/>
          <w:color w:val="auto"/>
          <w:sz w:val="24"/>
          <w:szCs w:val="24"/>
          <w:highlight w:val="none"/>
        </w:rPr>
        <w:t>的委托，</w:t>
      </w:r>
      <w:r>
        <w:rPr>
          <w:rFonts w:hint="eastAsia" w:ascii="宋体" w:hAnsi="宋体" w:eastAsia="宋体" w:cs="Times New Roman"/>
          <w:color w:val="auto"/>
          <w:sz w:val="24"/>
          <w:szCs w:val="24"/>
          <w:highlight w:val="none"/>
          <w:u w:val="single"/>
          <w:lang w:val="en-US" w:eastAsia="zh-CN"/>
        </w:rPr>
        <w:t>江苏仟亿项目管理有限公司</w:t>
      </w:r>
      <w:r>
        <w:rPr>
          <w:rFonts w:hint="eastAsia" w:ascii="宋体" w:hAnsi="宋体" w:eastAsia="宋体" w:cs="Times New Roman"/>
          <w:color w:val="auto"/>
          <w:sz w:val="24"/>
          <w:szCs w:val="24"/>
          <w:highlight w:val="none"/>
          <w:u w:val="none"/>
          <w:lang w:val="en-US" w:eastAsia="zh-CN"/>
        </w:rPr>
        <w:t>就</w:t>
      </w:r>
      <w:r>
        <w:rPr>
          <w:rFonts w:hint="eastAsia" w:ascii="宋体" w:hAnsi="宋体" w:eastAsia="宋体" w:cs="宋体"/>
          <w:color w:val="auto"/>
          <w:sz w:val="24"/>
          <w:szCs w:val="24"/>
          <w:highlight w:val="none"/>
          <w:u w:val="single"/>
        </w:rPr>
        <w:t>沭阳县2026-2028年残疾儿童基本康复服务--</w:t>
      </w:r>
      <w:r>
        <w:rPr>
          <w:rFonts w:hint="eastAsia" w:ascii="宋体" w:hAnsi="宋体" w:cs="宋体"/>
          <w:color w:val="auto"/>
          <w:sz w:val="24"/>
          <w:szCs w:val="24"/>
          <w:highlight w:val="none"/>
          <w:u w:val="single"/>
          <w:lang w:eastAsia="zh-CN"/>
        </w:rPr>
        <w:t>孤独症2</w:t>
      </w:r>
      <w:r>
        <w:rPr>
          <w:rFonts w:hint="eastAsia" w:ascii="宋体" w:hAnsi="宋体" w:eastAsia="宋体" w:cs="宋体"/>
          <w:color w:val="auto"/>
          <w:sz w:val="24"/>
          <w:szCs w:val="24"/>
          <w:highlight w:val="none"/>
          <w:u w:val="single"/>
        </w:rPr>
        <w:t>康复服务机构采购项目</w:t>
      </w:r>
      <w:r>
        <w:rPr>
          <w:rFonts w:hint="eastAsia" w:ascii="宋体" w:hAnsi="宋体"/>
          <w:color w:val="auto"/>
          <w:sz w:val="24"/>
          <w:szCs w:val="24"/>
          <w:highlight w:val="none"/>
        </w:rPr>
        <w:t>(</w:t>
      </w:r>
      <w:r>
        <w:rPr>
          <w:rFonts w:hint="eastAsia" w:ascii="宋体" w:hAnsi="宋体"/>
          <w:color w:val="auto"/>
          <w:sz w:val="24"/>
          <w:szCs w:val="24"/>
          <w:highlight w:val="none"/>
          <w:lang w:eastAsia="zh-CN"/>
        </w:rPr>
        <w:t>JSZC-321322-QYXM-G2026-0009</w:t>
      </w:r>
      <w:r>
        <w:rPr>
          <w:rFonts w:hint="eastAsia" w:ascii="宋体" w:hAnsi="宋体"/>
          <w:color w:val="auto"/>
          <w:sz w:val="24"/>
          <w:szCs w:val="24"/>
          <w:highlight w:val="none"/>
        </w:rPr>
        <w:t>)</w:t>
      </w:r>
      <w:r>
        <w:rPr>
          <w:rFonts w:hint="eastAsia" w:ascii="Times New Roman" w:hAnsi="Times New Roman" w:cs="方正仿宋_GBK"/>
          <w:color w:val="auto"/>
          <w:sz w:val="24"/>
          <w:szCs w:val="24"/>
          <w:highlight w:val="none"/>
        </w:rPr>
        <w:t>进行公开招标采购，欢迎符合条件的投标人投标。</w:t>
      </w:r>
    </w:p>
    <w:p w14:paraId="61230680">
      <w:pPr>
        <w:pBdr>
          <w:top w:val="single" w:color="000000" w:sz="4" w:space="1"/>
          <w:left w:val="single" w:color="000000" w:sz="4" w:space="4"/>
          <w:bottom w:val="single" w:color="000000" w:sz="4" w:space="1"/>
          <w:right w:val="single" w:color="000000" w:sz="4" w:space="4"/>
        </w:pBdr>
        <w:spacing w:line="480" w:lineRule="exact"/>
        <w:ind w:firstLine="480"/>
        <w:rPr>
          <w:rFonts w:ascii="Times New Roman" w:hAnsi="Times New Roman" w:cs="方正仿宋_GBK"/>
          <w:color w:val="auto"/>
          <w:sz w:val="24"/>
          <w:szCs w:val="24"/>
          <w:highlight w:val="none"/>
        </w:rPr>
      </w:pPr>
      <w:r>
        <w:rPr>
          <w:rFonts w:hint="eastAsia" w:ascii="Times New Roman" w:hAnsi="Times New Roman" w:cs="方正仿宋_GBK"/>
          <w:color w:val="auto"/>
          <w:sz w:val="24"/>
          <w:szCs w:val="24"/>
          <w:highlight w:val="none"/>
        </w:rPr>
        <w:t>项目概况</w:t>
      </w:r>
    </w:p>
    <w:p w14:paraId="50D84FDC">
      <w:pPr>
        <w:pBdr>
          <w:top w:val="single" w:color="000000" w:sz="4" w:space="1"/>
          <w:left w:val="single" w:color="000000" w:sz="4" w:space="4"/>
          <w:bottom w:val="single" w:color="000000" w:sz="4" w:space="1"/>
          <w:right w:val="single" w:color="000000" w:sz="4" w:space="4"/>
        </w:pBdr>
        <w:spacing w:line="480" w:lineRule="exact"/>
        <w:ind w:firstLine="480"/>
        <w:rPr>
          <w:rFonts w:ascii="方正仿宋_GBK" w:hAnsi="方正仿宋_GBK" w:eastAsia="方正仿宋_GBK" w:cs="方正仿宋_GBK"/>
          <w:color w:val="auto"/>
          <w:sz w:val="24"/>
          <w:szCs w:val="24"/>
          <w:highlight w:val="none"/>
        </w:rPr>
      </w:pPr>
      <w:r>
        <w:rPr>
          <w:rFonts w:hint="eastAsia" w:ascii="宋体" w:hAnsi="宋体" w:eastAsia="宋体" w:cs="宋体"/>
          <w:color w:val="auto"/>
          <w:sz w:val="24"/>
          <w:szCs w:val="24"/>
          <w:highlight w:val="none"/>
        </w:rPr>
        <w:t>沭阳县2026-2028年残疾儿童基本康复服务--</w:t>
      </w:r>
      <w:r>
        <w:rPr>
          <w:rFonts w:hint="eastAsia" w:ascii="宋体" w:hAnsi="宋体" w:cs="宋体"/>
          <w:color w:val="auto"/>
          <w:sz w:val="24"/>
          <w:szCs w:val="24"/>
          <w:highlight w:val="none"/>
          <w:lang w:eastAsia="zh-CN"/>
        </w:rPr>
        <w:t>孤独症2</w:t>
      </w:r>
      <w:r>
        <w:rPr>
          <w:rFonts w:hint="eastAsia" w:ascii="宋体" w:hAnsi="宋体" w:eastAsia="宋体" w:cs="宋体"/>
          <w:color w:val="auto"/>
          <w:sz w:val="24"/>
          <w:szCs w:val="24"/>
          <w:highlight w:val="none"/>
        </w:rPr>
        <w:t>康复服务机构采购项目</w:t>
      </w:r>
      <w:r>
        <w:rPr>
          <w:rFonts w:hint="eastAsia" w:ascii="宋体" w:hAnsi="宋体" w:eastAsia="宋体" w:cs="Times New Roman"/>
          <w:color w:val="auto"/>
          <w:sz w:val="24"/>
          <w:szCs w:val="24"/>
          <w:highlight w:val="none"/>
          <w:u w:val="single"/>
          <w:lang w:val="en-US" w:eastAsia="zh-CN"/>
        </w:rPr>
        <w:t>（JSZC-321322-QYXM-G2026-0009）</w:t>
      </w:r>
      <w:r>
        <w:rPr>
          <w:rFonts w:hint="eastAsia" w:ascii="Times New Roman" w:hAnsi="Times New Roman" w:cs="方正仿宋_GBK"/>
          <w:color w:val="auto"/>
          <w:sz w:val="24"/>
          <w:szCs w:val="24"/>
          <w:highlight w:val="none"/>
        </w:rPr>
        <w:t>招标项目的潜在投标人可在“江苏政府采购网”、</w:t>
      </w:r>
      <w:r>
        <w:rPr>
          <w:rFonts w:hint="eastAsia" w:ascii="Times New Roman" w:hAnsi="Times New Roman" w:cs="方正仿宋_GBK"/>
          <w:color w:val="auto"/>
          <w:sz w:val="24"/>
          <w:szCs w:val="24"/>
          <w:highlight w:val="none"/>
          <w:u w:val="single"/>
        </w:rPr>
        <w:t>“宿迁市政府采购网”自行免费</w:t>
      </w:r>
      <w:r>
        <w:rPr>
          <w:rFonts w:hint="eastAsia" w:ascii="Times New Roman" w:hAnsi="Times New Roman" w:cs="方正仿宋_GBK"/>
          <w:color w:val="auto"/>
          <w:sz w:val="24"/>
          <w:szCs w:val="24"/>
          <w:highlight w:val="none"/>
        </w:rPr>
        <w:t>获取招标文件，并于</w:t>
      </w:r>
      <w:r>
        <w:rPr>
          <w:rFonts w:hint="eastAsia" w:ascii="宋体" w:hAnsi="宋体"/>
          <w:color w:val="auto"/>
          <w:sz w:val="24"/>
          <w:szCs w:val="24"/>
          <w:highlight w:val="none"/>
          <w:u w:val="single"/>
        </w:rPr>
        <w:t>202</w:t>
      </w:r>
      <w:r>
        <w:rPr>
          <w:rFonts w:hint="eastAsia" w:ascii="宋体" w:hAnsi="宋体"/>
          <w:color w:val="auto"/>
          <w:sz w:val="24"/>
          <w:szCs w:val="24"/>
          <w:highlight w:val="none"/>
          <w:u w:val="single"/>
          <w:lang w:val="en-US" w:eastAsia="zh-CN"/>
        </w:rPr>
        <w:t>6</w:t>
      </w:r>
      <w:r>
        <w:rPr>
          <w:rFonts w:hint="eastAsia" w:ascii="宋体" w:hAnsi="宋体"/>
          <w:bCs/>
          <w:color w:val="auto"/>
          <w:sz w:val="24"/>
          <w:szCs w:val="24"/>
          <w:highlight w:val="none"/>
          <w:u w:val="single"/>
        </w:rPr>
        <w:t>年</w:t>
      </w:r>
      <w:r>
        <w:rPr>
          <w:rFonts w:hint="eastAsia" w:ascii="宋体" w:hAnsi="宋体"/>
          <w:bCs/>
          <w:color w:val="auto"/>
          <w:sz w:val="24"/>
          <w:szCs w:val="24"/>
          <w:highlight w:val="none"/>
          <w:u w:val="single"/>
          <w:lang w:val="en-US" w:eastAsia="zh-CN"/>
        </w:rPr>
        <w:t>7</w:t>
      </w:r>
      <w:r>
        <w:rPr>
          <w:rFonts w:hint="eastAsia" w:ascii="宋体" w:hAnsi="宋体"/>
          <w:bCs/>
          <w:color w:val="auto"/>
          <w:sz w:val="24"/>
          <w:szCs w:val="24"/>
          <w:highlight w:val="none"/>
          <w:u w:val="single"/>
        </w:rPr>
        <w:t>月</w:t>
      </w:r>
      <w:r>
        <w:rPr>
          <w:rFonts w:hint="eastAsia" w:ascii="宋体" w:hAnsi="宋体"/>
          <w:bCs/>
          <w:color w:val="auto"/>
          <w:sz w:val="24"/>
          <w:szCs w:val="24"/>
          <w:highlight w:val="none"/>
          <w:u w:val="single"/>
          <w:lang w:val="en-US" w:eastAsia="zh-CN"/>
        </w:rPr>
        <w:t>31</w:t>
      </w:r>
      <w:r>
        <w:rPr>
          <w:rFonts w:hint="eastAsia" w:ascii="宋体" w:hAnsi="宋体"/>
          <w:bCs/>
          <w:color w:val="auto"/>
          <w:sz w:val="24"/>
          <w:szCs w:val="24"/>
          <w:highlight w:val="none"/>
          <w:u w:val="single"/>
        </w:rPr>
        <w:t>日09点30分（</w:t>
      </w:r>
      <w:r>
        <w:rPr>
          <w:rFonts w:hint="eastAsia" w:ascii="宋体" w:hAnsi="宋体"/>
          <w:bCs/>
          <w:color w:val="auto"/>
          <w:sz w:val="24"/>
          <w:szCs w:val="24"/>
          <w:highlight w:val="none"/>
        </w:rPr>
        <w:t>北京时间）</w:t>
      </w:r>
      <w:r>
        <w:rPr>
          <w:rFonts w:hint="eastAsia" w:ascii="Times New Roman" w:hAnsi="Times New Roman" w:cs="方正仿宋_GBK"/>
          <w:bCs/>
          <w:color w:val="auto"/>
          <w:sz w:val="24"/>
          <w:szCs w:val="24"/>
          <w:highlight w:val="none"/>
        </w:rPr>
        <w:t>前递交投标文件</w:t>
      </w:r>
      <w:r>
        <w:rPr>
          <w:rFonts w:hint="eastAsia" w:ascii="Times New Roman" w:hAnsi="Times New Roman" w:cs="方正仿宋_GBK"/>
          <w:color w:val="auto"/>
          <w:sz w:val="24"/>
          <w:szCs w:val="24"/>
          <w:highlight w:val="none"/>
        </w:rPr>
        <w:t>。</w:t>
      </w:r>
    </w:p>
    <w:p w14:paraId="12B60651">
      <w:pPr>
        <w:pStyle w:val="39"/>
        <w:spacing w:before="0" w:after="0" w:line="480" w:lineRule="exact"/>
        <w:ind w:firstLine="643"/>
        <w:rPr>
          <w:rFonts w:hint="eastAsia" w:eastAsia="宋体" w:cs="Arial"/>
          <w:bCs/>
          <w:color w:val="auto"/>
          <w:szCs w:val="22"/>
          <w:highlight w:val="none"/>
        </w:rPr>
      </w:pPr>
      <w:bookmarkStart w:id="7" w:name="_Toc35393790"/>
      <w:bookmarkStart w:id="8" w:name="_Toc28359079"/>
      <w:bookmarkStart w:id="9" w:name="_Toc28359002"/>
      <w:bookmarkStart w:id="10" w:name="_Toc38985263"/>
      <w:bookmarkStart w:id="11" w:name="_Toc35393621"/>
      <w:bookmarkStart w:id="12" w:name="_Toc2584"/>
      <w:bookmarkStart w:id="13" w:name="_Hlk24379207"/>
      <w:r>
        <w:rPr>
          <w:rFonts w:hint="eastAsia" w:eastAsia="宋体" w:cs="Arial"/>
          <w:bCs/>
          <w:color w:val="auto"/>
          <w:szCs w:val="22"/>
          <w:highlight w:val="none"/>
        </w:rPr>
        <w:t>一、项目基本情况</w:t>
      </w:r>
      <w:bookmarkEnd w:id="7"/>
      <w:bookmarkEnd w:id="8"/>
      <w:bookmarkEnd w:id="9"/>
      <w:bookmarkEnd w:id="10"/>
      <w:bookmarkEnd w:id="11"/>
      <w:bookmarkEnd w:id="12"/>
    </w:p>
    <w:p w14:paraId="570BF25F">
      <w:pPr>
        <w:spacing w:line="480" w:lineRule="exact"/>
        <w:ind w:firstLine="480"/>
        <w:rPr>
          <w:rFonts w:hint="eastAsia" w:ascii="Times New Roman" w:hAnsi="Times New Roman" w:eastAsia="宋体" w:cs="仿宋"/>
          <w:color w:val="auto"/>
          <w:sz w:val="24"/>
          <w:szCs w:val="24"/>
          <w:highlight w:val="none"/>
          <w:lang w:eastAsia="zh-CN"/>
        </w:rPr>
      </w:pPr>
      <w:r>
        <w:rPr>
          <w:rFonts w:hint="eastAsia" w:ascii="Times New Roman" w:hAnsi="Times New Roman" w:cs="仿宋"/>
          <w:color w:val="auto"/>
          <w:sz w:val="24"/>
          <w:szCs w:val="24"/>
          <w:highlight w:val="none"/>
        </w:rPr>
        <w:t>1.项目编号：</w:t>
      </w:r>
      <w:r>
        <w:rPr>
          <w:rFonts w:hint="eastAsia" w:ascii="宋体" w:hAnsi="宋体"/>
          <w:color w:val="auto"/>
          <w:sz w:val="24"/>
          <w:szCs w:val="24"/>
          <w:highlight w:val="none"/>
          <w:lang w:eastAsia="zh-CN"/>
        </w:rPr>
        <w:t>JSZC-321322-QYXM-G2026-0009</w:t>
      </w:r>
    </w:p>
    <w:p w14:paraId="6EC1EF7D">
      <w:pPr>
        <w:spacing w:line="480" w:lineRule="exact"/>
        <w:ind w:firstLine="480"/>
        <w:rPr>
          <w:rFonts w:hint="eastAsia" w:ascii="仿宋_GB2312"/>
          <w:color w:val="auto"/>
          <w:sz w:val="24"/>
          <w:highlight w:val="none"/>
          <w:lang w:eastAsia="zh-CN"/>
        </w:rPr>
      </w:pPr>
      <w:r>
        <w:rPr>
          <w:rFonts w:hint="eastAsia" w:ascii="Times New Roman" w:hAnsi="Times New Roman" w:cs="仿宋"/>
          <w:color w:val="auto"/>
          <w:sz w:val="24"/>
          <w:szCs w:val="24"/>
          <w:highlight w:val="none"/>
        </w:rPr>
        <w:t>2.项目名称：</w:t>
      </w:r>
      <w:bookmarkEnd w:id="13"/>
      <w:r>
        <w:rPr>
          <w:rFonts w:hint="eastAsia" w:ascii="宋体" w:hAnsi="宋体" w:eastAsia="宋体" w:cs="宋体"/>
          <w:color w:val="auto"/>
          <w:sz w:val="24"/>
          <w:szCs w:val="24"/>
          <w:highlight w:val="none"/>
        </w:rPr>
        <w:t>沭阳县2026-2028年残疾儿童基本康复服务--</w:t>
      </w:r>
      <w:r>
        <w:rPr>
          <w:rFonts w:hint="eastAsia" w:ascii="宋体" w:hAnsi="宋体" w:cs="宋体"/>
          <w:color w:val="auto"/>
          <w:sz w:val="24"/>
          <w:szCs w:val="24"/>
          <w:highlight w:val="none"/>
          <w:lang w:eastAsia="zh-CN"/>
        </w:rPr>
        <w:t>孤独症2</w:t>
      </w:r>
      <w:r>
        <w:rPr>
          <w:rFonts w:hint="eastAsia" w:ascii="宋体" w:hAnsi="宋体" w:eastAsia="宋体" w:cs="宋体"/>
          <w:color w:val="auto"/>
          <w:sz w:val="24"/>
          <w:szCs w:val="24"/>
          <w:highlight w:val="none"/>
        </w:rPr>
        <w:t>康复服务机构采购项目</w:t>
      </w:r>
    </w:p>
    <w:p w14:paraId="3F225CD0">
      <w:pPr>
        <w:spacing w:line="480" w:lineRule="exact"/>
        <w:ind w:firstLine="480"/>
        <w:rPr>
          <w:rFonts w:ascii="仿宋" w:hAnsi="仿宋" w:eastAsia="宋体"/>
          <w:color w:val="auto"/>
          <w:sz w:val="24"/>
          <w:szCs w:val="24"/>
          <w:highlight w:val="none"/>
          <w:lang w:val="en-US" w:eastAsia="zh-CN"/>
        </w:rPr>
      </w:pPr>
      <w:r>
        <w:rPr>
          <w:rFonts w:hint="eastAsia" w:ascii="Times New Roman" w:hAnsi="Times New Roman" w:cs="仿宋"/>
          <w:color w:val="auto"/>
          <w:sz w:val="24"/>
          <w:szCs w:val="24"/>
          <w:highlight w:val="none"/>
        </w:rPr>
        <w:t>3.预算金额：</w:t>
      </w:r>
      <w:r>
        <w:rPr>
          <w:rFonts w:hint="eastAsia" w:ascii="宋体" w:hAnsi="宋体" w:eastAsia="宋体" w:cs="宋体"/>
          <w:color w:val="auto"/>
          <w:sz w:val="24"/>
          <w:szCs w:val="24"/>
          <w:highlight w:val="none"/>
          <w:lang w:val="en-US" w:eastAsia="zh-CN"/>
        </w:rPr>
        <w:t>362.07万元/年</w:t>
      </w:r>
    </w:p>
    <w:p w14:paraId="4FF41577">
      <w:pPr>
        <w:spacing w:line="480" w:lineRule="exact"/>
        <w:ind w:firstLine="480"/>
        <w:rPr>
          <w:rFonts w:hint="eastAsia" w:ascii="仿宋" w:hAnsi="仿宋"/>
          <w:b w:val="0"/>
          <w:bCs w:val="0"/>
          <w:color w:val="auto"/>
          <w:sz w:val="24"/>
          <w:szCs w:val="24"/>
          <w:highlight w:val="none"/>
        </w:rPr>
      </w:pPr>
      <w:r>
        <w:rPr>
          <w:rFonts w:hint="eastAsia" w:ascii="Times New Roman" w:hAnsi="Times New Roman" w:cs="仿宋"/>
          <w:color w:val="auto"/>
          <w:sz w:val="24"/>
          <w:szCs w:val="24"/>
          <w:highlight w:val="none"/>
        </w:rPr>
        <w:t>4.本项目设定最高限价，最高限价为</w:t>
      </w:r>
      <w:r>
        <w:rPr>
          <w:rFonts w:hint="eastAsia" w:ascii="仿宋_GB2312"/>
          <w:color w:val="auto"/>
          <w:sz w:val="24"/>
          <w:highlight w:val="none"/>
        </w:rPr>
        <w:t>：</w:t>
      </w:r>
      <w:bookmarkStart w:id="14" w:name="EB6c1f3d39c6914ae1bada8ccaa777b37a"/>
      <w:r>
        <w:rPr>
          <w:rFonts w:hint="eastAsia" w:ascii="仿宋_GB2312"/>
          <w:b w:val="0"/>
          <w:bCs w:val="0"/>
          <w:color w:val="auto"/>
          <w:sz w:val="24"/>
          <w:highlight w:val="none"/>
        </w:rPr>
        <w:t>本项目执行类别补助标准，</w:t>
      </w:r>
      <w:r>
        <w:rPr>
          <w:rFonts w:hint="eastAsia" w:ascii="仿宋_GB2312"/>
          <w:b w:val="0"/>
          <w:bCs w:val="0"/>
          <w:color w:val="auto"/>
          <w:sz w:val="24"/>
          <w:highlight w:val="none"/>
          <w:lang w:val="en-US" w:eastAsia="zh-CN"/>
        </w:rPr>
        <w:t>只需要单价报价，</w:t>
      </w:r>
      <w:r>
        <w:rPr>
          <w:rFonts w:hint="eastAsia" w:ascii="仿宋_GB2312"/>
          <w:b w:val="0"/>
          <w:bCs w:val="0"/>
          <w:color w:val="auto"/>
          <w:sz w:val="24"/>
          <w:highlight w:val="none"/>
        </w:rPr>
        <w:t>在开标一览表</w:t>
      </w:r>
      <w:r>
        <w:rPr>
          <w:rFonts w:hint="eastAsia" w:ascii="仿宋_GB2312"/>
          <w:b w:val="0"/>
          <w:bCs w:val="0"/>
          <w:color w:val="auto"/>
          <w:sz w:val="24"/>
          <w:highlight w:val="none"/>
          <w:lang w:val="en-US" w:eastAsia="zh-CN"/>
        </w:rPr>
        <w:t>中“单价”统一</w:t>
      </w:r>
      <w:r>
        <w:rPr>
          <w:rFonts w:hint="eastAsia" w:ascii="仿宋_GB2312"/>
          <w:b w:val="0"/>
          <w:bCs w:val="0"/>
          <w:color w:val="auto"/>
          <w:sz w:val="24"/>
          <w:highlight w:val="none"/>
          <w:lang w:val="en-US" w:eastAsia="zh-CN"/>
        </w:rPr>
        <w:t>填入1.8万元，</w:t>
      </w:r>
      <w:r>
        <w:rPr>
          <w:rFonts w:hint="eastAsia" w:ascii="仿宋_GB2312"/>
          <w:b w:val="0"/>
          <w:bCs w:val="0"/>
          <w:color w:val="auto"/>
          <w:sz w:val="24"/>
          <w:highlight w:val="none"/>
          <w:lang w:val="en-US" w:eastAsia="zh-CN"/>
        </w:rPr>
        <w:t>本项目以实际发生的服务进行结算。</w:t>
      </w:r>
      <w:bookmarkEnd w:id="14"/>
    </w:p>
    <w:p w14:paraId="60BBECBD">
      <w:pPr>
        <w:spacing w:line="480" w:lineRule="exact"/>
        <w:ind w:firstLine="480"/>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5.采购需求（简介）：对具有</w:t>
      </w:r>
      <w:r>
        <w:rPr>
          <w:rFonts w:hint="eastAsia" w:ascii="Times New Roman" w:hAnsi="Times New Roman" w:cs="仿宋"/>
          <w:color w:val="auto"/>
          <w:sz w:val="24"/>
          <w:szCs w:val="24"/>
          <w:highlight w:val="none"/>
          <w:lang w:val="en-US" w:eastAsia="zh-CN"/>
        </w:rPr>
        <w:t>沭阳</w:t>
      </w:r>
      <w:r>
        <w:rPr>
          <w:rFonts w:hint="eastAsia" w:ascii="Times New Roman" w:hAnsi="Times New Roman" w:cs="仿宋"/>
          <w:color w:val="auto"/>
          <w:sz w:val="24"/>
          <w:szCs w:val="24"/>
          <w:highlight w:val="none"/>
        </w:rPr>
        <w:t>县户籍，有康复需求和康复意愿，经国内三级医院、县级以上残联指定的残疾评定机构或残疾评定专家组诊断评估有康复训练适应指征的</w:t>
      </w:r>
      <w:r>
        <w:rPr>
          <w:rFonts w:hint="eastAsia" w:ascii="Times New Roman" w:hAnsi="Times New Roman" w:cs="仿宋"/>
          <w:color w:val="auto"/>
          <w:sz w:val="24"/>
          <w:szCs w:val="24"/>
          <w:highlight w:val="none"/>
          <w:lang w:val="en-US" w:eastAsia="zh-CN"/>
        </w:rPr>
        <w:t>残疾儿童</w:t>
      </w:r>
      <w:r>
        <w:rPr>
          <w:rFonts w:hint="eastAsia" w:ascii="Times New Roman" w:hAnsi="Times New Roman" w:cs="仿宋"/>
          <w:color w:val="auto"/>
          <w:sz w:val="24"/>
          <w:szCs w:val="24"/>
          <w:highlight w:val="none"/>
        </w:rPr>
        <w:t>开展基本康复服务</w:t>
      </w:r>
      <w:r>
        <w:rPr>
          <w:rFonts w:hint="eastAsia" w:ascii="Times New Roman" w:hAnsi="Times New Roman" w:cs="仿宋"/>
          <w:color w:val="auto"/>
          <w:sz w:val="24"/>
          <w:szCs w:val="24"/>
          <w:highlight w:val="none"/>
          <w:lang w:eastAsia="zh-CN"/>
        </w:rPr>
        <w:t>，</w:t>
      </w:r>
      <w:r>
        <w:rPr>
          <w:rFonts w:hint="eastAsia" w:ascii="Times New Roman" w:hAnsi="Times New Roman" w:cs="仿宋"/>
          <w:color w:val="auto"/>
          <w:sz w:val="24"/>
          <w:szCs w:val="24"/>
          <w:highlight w:val="none"/>
        </w:rPr>
        <w:t>各残疾儿童可在</w:t>
      </w:r>
      <w:r>
        <w:rPr>
          <w:rFonts w:hint="eastAsia" w:ascii="Times New Roman" w:hAnsi="Times New Roman" w:cs="仿宋"/>
          <w:color w:val="auto"/>
          <w:sz w:val="24"/>
          <w:szCs w:val="24"/>
          <w:highlight w:val="none"/>
          <w:lang w:val="en-US" w:eastAsia="zh-CN"/>
        </w:rPr>
        <w:t>沭阳</w:t>
      </w:r>
      <w:r>
        <w:rPr>
          <w:rFonts w:hint="eastAsia" w:ascii="Times New Roman" w:hAnsi="Times New Roman" w:cs="仿宋"/>
          <w:color w:val="auto"/>
          <w:sz w:val="24"/>
          <w:szCs w:val="24"/>
          <w:highlight w:val="none"/>
        </w:rPr>
        <w:t>县残疾人联合会招标</w:t>
      </w:r>
      <w:r>
        <w:rPr>
          <w:rFonts w:hint="eastAsia" w:ascii="Times New Roman" w:hAnsi="Times New Roman" w:eastAsia="宋体" w:cs="仿宋"/>
          <w:color w:val="auto"/>
          <w:sz w:val="24"/>
          <w:szCs w:val="24"/>
          <w:highlight w:val="none"/>
        </w:rPr>
        <w:t>选定</w:t>
      </w:r>
      <w:r>
        <w:rPr>
          <w:rFonts w:hint="eastAsia" w:ascii="Times New Roman" w:hAnsi="Times New Roman" w:eastAsia="宋体" w:cs="仿宋"/>
          <w:color w:val="auto"/>
          <w:sz w:val="24"/>
          <w:szCs w:val="24"/>
          <w:highlight w:val="none"/>
          <w:lang w:val="en-US" w:eastAsia="zh-CN"/>
        </w:rPr>
        <w:t>的沭阳</w:t>
      </w:r>
      <w:r>
        <w:rPr>
          <w:rFonts w:hint="eastAsia" w:ascii="Times New Roman" w:hAnsi="Times New Roman" w:eastAsia="宋体" w:cs="仿宋"/>
          <w:color w:val="auto"/>
          <w:sz w:val="24"/>
          <w:szCs w:val="24"/>
          <w:highlight w:val="none"/>
        </w:rPr>
        <w:t>县残疾儿童定点康复服务机构中自主选择相应类别的定点机构进行康复训练</w:t>
      </w:r>
      <w:r>
        <w:rPr>
          <w:rFonts w:hint="eastAsia" w:ascii="Times New Roman" w:hAnsi="Times New Roman" w:cs="仿宋"/>
          <w:color w:val="auto"/>
          <w:sz w:val="24"/>
          <w:szCs w:val="24"/>
          <w:highlight w:val="none"/>
        </w:rPr>
        <w:t>。</w:t>
      </w:r>
    </w:p>
    <w:p w14:paraId="7148D520">
      <w:pPr>
        <w:spacing w:line="480" w:lineRule="exact"/>
        <w:ind w:firstLine="480"/>
        <w:rPr>
          <w:rFonts w:hint="eastAsia" w:ascii="Times New Roman" w:hAnsi="Times New Roman" w:eastAsia="宋体" w:cs="仿宋"/>
          <w:color w:val="auto"/>
          <w:sz w:val="24"/>
          <w:szCs w:val="24"/>
          <w:highlight w:val="none"/>
          <w:lang w:eastAsia="zh-CN"/>
        </w:rPr>
      </w:pPr>
      <w:r>
        <w:rPr>
          <w:rFonts w:hint="eastAsia" w:ascii="Times New Roman" w:hAnsi="Times New Roman" w:cs="仿宋"/>
          <w:color w:val="auto"/>
          <w:sz w:val="24"/>
          <w:szCs w:val="24"/>
          <w:highlight w:val="none"/>
        </w:rPr>
        <w:t>6.合同履行期限：</w:t>
      </w:r>
      <w:r>
        <w:rPr>
          <w:rFonts w:hint="eastAsia" w:ascii="Times New Roman" w:hAnsi="Times New Roman" w:cs="仿宋"/>
          <w:color w:val="auto"/>
          <w:sz w:val="24"/>
          <w:szCs w:val="24"/>
          <w:highlight w:val="none"/>
        </w:rPr>
        <w:t>自合同签订之日起至2028年12月31日止</w:t>
      </w:r>
      <w:r>
        <w:rPr>
          <w:rFonts w:hint="eastAsia" w:ascii="Times New Roman" w:hAnsi="Times New Roman" w:cs="仿宋"/>
          <w:color w:val="auto"/>
          <w:sz w:val="24"/>
          <w:szCs w:val="24"/>
          <w:highlight w:val="none"/>
          <w:lang w:eastAsia="zh-CN"/>
        </w:rPr>
        <w:t>。</w:t>
      </w:r>
    </w:p>
    <w:p w14:paraId="6BF08007">
      <w:pPr>
        <w:spacing w:line="480" w:lineRule="exact"/>
        <w:ind w:firstLine="480"/>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7.本项目</w:t>
      </w:r>
      <w:r>
        <w:rPr>
          <w:rFonts w:hint="eastAsia" w:ascii="Times New Roman" w:hAnsi="Times New Roman" w:cs="仿宋"/>
          <w:color w:val="auto"/>
          <w:sz w:val="24"/>
          <w:szCs w:val="24"/>
          <w:highlight w:val="none"/>
          <w:u w:val="single"/>
        </w:rPr>
        <w:t xml:space="preserve"> 不接受 </w:t>
      </w:r>
      <w:r>
        <w:rPr>
          <w:rFonts w:hint="eastAsia" w:ascii="Times New Roman" w:hAnsi="Times New Roman" w:cs="仿宋"/>
          <w:color w:val="auto"/>
          <w:sz w:val="24"/>
          <w:szCs w:val="24"/>
          <w:highlight w:val="none"/>
        </w:rPr>
        <w:t>联合体投标。</w:t>
      </w:r>
    </w:p>
    <w:p w14:paraId="3CFF6559">
      <w:pPr>
        <w:pStyle w:val="39"/>
        <w:spacing w:before="0" w:after="0" w:line="480" w:lineRule="exact"/>
        <w:ind w:firstLine="643"/>
        <w:rPr>
          <w:rFonts w:hint="eastAsia" w:eastAsia="宋体" w:cs="Arial"/>
          <w:bCs/>
          <w:color w:val="auto"/>
          <w:szCs w:val="22"/>
          <w:highlight w:val="none"/>
        </w:rPr>
      </w:pPr>
      <w:bookmarkStart w:id="15" w:name="_Toc35393622"/>
      <w:bookmarkStart w:id="16" w:name="_Toc28359080"/>
      <w:bookmarkStart w:id="17" w:name="_Toc27291"/>
      <w:bookmarkStart w:id="18" w:name="_Toc35393791"/>
      <w:bookmarkStart w:id="19" w:name="_Toc38985264"/>
      <w:bookmarkStart w:id="20" w:name="_Toc28359003"/>
      <w:r>
        <w:rPr>
          <w:rFonts w:hint="eastAsia" w:eastAsia="宋体" w:cs="Arial"/>
          <w:bCs/>
          <w:color w:val="auto"/>
          <w:szCs w:val="22"/>
          <w:highlight w:val="none"/>
        </w:rPr>
        <w:t>二、申请人的资格要求</w:t>
      </w:r>
      <w:bookmarkEnd w:id="15"/>
      <w:bookmarkEnd w:id="16"/>
      <w:bookmarkEnd w:id="17"/>
      <w:bookmarkEnd w:id="18"/>
      <w:bookmarkEnd w:id="19"/>
      <w:bookmarkEnd w:id="20"/>
    </w:p>
    <w:p w14:paraId="015EAAC8">
      <w:pPr>
        <w:spacing w:line="400" w:lineRule="exact"/>
        <w:ind w:firstLine="480"/>
        <w:rPr>
          <w:rFonts w:hint="eastAsia" w:ascii="宋体" w:hAnsi="宋体" w:eastAsia="宋体" w:cs="宋体"/>
          <w:color w:val="auto"/>
          <w:sz w:val="24"/>
          <w:szCs w:val="24"/>
          <w:highlight w:val="none"/>
          <w:lang w:val="en-US" w:eastAsia="zh-CN"/>
        </w:rPr>
      </w:pPr>
      <w:bookmarkStart w:id="21" w:name="_Toc38985265"/>
      <w:bookmarkStart w:id="22" w:name="_Toc35393792"/>
      <w:bookmarkStart w:id="23" w:name="_Toc35393623"/>
      <w:bookmarkStart w:id="24" w:name="_Toc28359004"/>
      <w:bookmarkStart w:id="25" w:name="_Toc28359081"/>
      <w:r>
        <w:rPr>
          <w:rFonts w:hint="eastAsia" w:ascii="宋体" w:hAnsi="宋体" w:eastAsia="宋体" w:cs="宋体"/>
          <w:color w:val="auto"/>
          <w:sz w:val="24"/>
          <w:szCs w:val="24"/>
          <w:highlight w:val="none"/>
          <w:lang w:val="en-US" w:eastAsia="zh-CN"/>
        </w:rPr>
        <w:t>（一）通用资格要求</w:t>
      </w:r>
    </w:p>
    <w:p w14:paraId="50D8710F">
      <w:pPr>
        <w:spacing w:line="400" w:lineRule="exact"/>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1.具备《中华人民共和国政府采购法》第二十二条第一款规定的6项条件（按要求提供投标函）。</w:t>
      </w:r>
    </w:p>
    <w:p w14:paraId="1CD49225">
      <w:pPr>
        <w:spacing w:line="400" w:lineRule="exact"/>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p>
    <w:p w14:paraId="3C3D593B">
      <w:pPr>
        <w:spacing w:line="400" w:lineRule="exact"/>
        <w:ind w:firstLine="480"/>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3.落实政府采购政策需满足的资格要求：</w:t>
      </w:r>
      <w:bookmarkStart w:id="26" w:name="OLE_LINK14"/>
      <w:bookmarkStart w:id="27" w:name="OLE_LINK15"/>
      <w:r>
        <w:rPr>
          <w:rFonts w:hint="eastAsia" w:ascii="宋体" w:hAnsi="宋体" w:eastAsia="宋体" w:cs="宋体"/>
          <w:color w:val="auto"/>
          <w:sz w:val="24"/>
          <w:szCs w:val="24"/>
          <w:highlight w:val="none"/>
          <w:lang w:val="en-US" w:eastAsia="zh-CN"/>
        </w:rPr>
        <w:t>无。</w:t>
      </w:r>
      <w:bookmarkEnd w:id="26"/>
      <w:bookmarkEnd w:id="27"/>
    </w:p>
    <w:p w14:paraId="538028FE">
      <w:pPr>
        <w:spacing w:line="400" w:lineRule="exact"/>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（二）本项目的特定资格要求：</w:t>
      </w:r>
    </w:p>
    <w:p w14:paraId="118BD337">
      <w:pPr>
        <w:spacing w:line="400" w:lineRule="exact"/>
        <w:ind w:firstLine="480"/>
        <w:rPr>
          <w:rFonts w:ascii="宋体" w:hAnsi="宋体" w:eastAsia="宋体" w:cs="宋体"/>
          <w:color w:val="auto"/>
          <w:sz w:val="24"/>
          <w:szCs w:val="24"/>
          <w:highlight w:val="none"/>
          <w:lang w:val="en-US" w:eastAsia="zh-CN"/>
          <w14:ligatures w14:val="none"/>
        </w:rPr>
      </w:pPr>
      <w:r>
        <w:rPr>
          <w:rFonts w:ascii="宋体" w:hAnsi="宋体" w:eastAsia="宋体" w:cs="宋体"/>
          <w:color w:val="auto"/>
          <w:sz w:val="24"/>
          <w:szCs w:val="24"/>
          <w:highlight w:val="none"/>
          <w:lang w:val="en-US" w:eastAsia="zh-CN"/>
        </w:rPr>
        <w:t>1.在相关业务主管部门注册，具有独立法人资格，包括事业单位法人资质的医疗机构、教育机构、残疾人康复机构；企业法人资质的服务机构；民办非企业单位法人资质的社会服务机构。</w:t>
      </w:r>
    </w:p>
    <w:p w14:paraId="048BBFD4">
      <w:pPr>
        <w:spacing w:line="400" w:lineRule="exact"/>
        <w:ind w:firstLine="480"/>
        <w:rPr>
          <w:rFonts w:hint="eastAsia"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lang w:val="en-US" w:eastAsia="zh-CN"/>
        </w:rPr>
        <w:t>2.从事教育康复应有所属地教育行政部门颁发的办学许可证或有公办学校合作开展康教融合服务的协议</w:t>
      </w:r>
      <w:r>
        <w:rPr>
          <w:rFonts w:hint="eastAsia" w:ascii="宋体" w:hAnsi="宋体" w:cs="宋体"/>
          <w:color w:val="auto"/>
          <w:sz w:val="24"/>
          <w:szCs w:val="24"/>
          <w:highlight w:val="none"/>
          <w:lang w:val="en-US" w:eastAsia="zh-CN"/>
        </w:rPr>
        <w:t>；</w:t>
      </w:r>
      <w:r>
        <w:rPr>
          <w:rFonts w:ascii="宋体" w:hAnsi="宋体" w:eastAsia="宋体" w:cs="宋体"/>
          <w:color w:val="auto"/>
          <w:sz w:val="24"/>
          <w:szCs w:val="24"/>
          <w:highlight w:val="none"/>
          <w:lang w:val="en-US" w:eastAsia="zh-CN"/>
        </w:rPr>
        <w:t>从事医疗康复应取得《医疗机构执业许可证》或《诊所备案证》。</w:t>
      </w:r>
    </w:p>
    <w:p w14:paraId="226F6BC6">
      <w:pPr>
        <w:pStyle w:val="39"/>
        <w:spacing w:before="0" w:after="0" w:line="480" w:lineRule="exact"/>
        <w:ind w:firstLine="643"/>
        <w:rPr>
          <w:rFonts w:hint="eastAsia" w:eastAsia="宋体" w:cs="Arial"/>
          <w:bCs/>
          <w:color w:val="auto"/>
          <w:szCs w:val="22"/>
          <w:highlight w:val="none"/>
        </w:rPr>
      </w:pPr>
      <w:bookmarkStart w:id="28" w:name="_Toc22204"/>
      <w:r>
        <w:rPr>
          <w:rFonts w:hint="eastAsia" w:eastAsia="宋体" w:cs="Arial"/>
          <w:bCs/>
          <w:color w:val="auto"/>
          <w:szCs w:val="22"/>
          <w:highlight w:val="none"/>
        </w:rPr>
        <w:t>三、获取招标文件</w:t>
      </w:r>
      <w:bookmarkEnd w:id="21"/>
      <w:bookmarkEnd w:id="22"/>
      <w:bookmarkEnd w:id="23"/>
      <w:bookmarkEnd w:id="24"/>
      <w:bookmarkEnd w:id="25"/>
      <w:bookmarkEnd w:id="28"/>
    </w:p>
    <w:p w14:paraId="06BF3547">
      <w:pPr>
        <w:spacing w:line="480" w:lineRule="exact"/>
        <w:ind w:firstLine="480"/>
        <w:rPr>
          <w:rFonts w:ascii="Times New Roman" w:hAnsi="Times New Roman" w:cs="仿宋"/>
          <w:color w:val="auto"/>
          <w:sz w:val="24"/>
          <w:szCs w:val="24"/>
          <w:highlight w:val="none"/>
        </w:rPr>
      </w:pPr>
      <w:bookmarkStart w:id="29" w:name="_Toc28359082"/>
      <w:bookmarkStart w:id="30" w:name="_Toc28359005"/>
      <w:bookmarkStart w:id="31" w:name="_Toc35393793"/>
      <w:bookmarkStart w:id="32" w:name="_Toc35393624"/>
      <w:bookmarkStart w:id="33" w:name="_Toc38985266"/>
      <w:r>
        <w:rPr>
          <w:rFonts w:hint="eastAsia" w:ascii="Times New Roman" w:hAnsi="Times New Roman" w:cs="仿宋"/>
          <w:color w:val="auto"/>
          <w:sz w:val="24"/>
          <w:szCs w:val="24"/>
          <w:highlight w:val="none"/>
        </w:rPr>
        <w:t>1.时间：招标公告发布之日起5个工作日。</w:t>
      </w:r>
    </w:p>
    <w:p w14:paraId="25FC28B9">
      <w:pPr>
        <w:spacing w:line="480" w:lineRule="exact"/>
        <w:ind w:firstLine="480"/>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2.方式：投标人应在招标文件提供的时间内，通过“苏采云”系统（网址： http://jszfcg.jsczt.cn/），使用CA锁登录系统后，找到本项目获取招标文件（后缀名为“.kedt”）。</w:t>
      </w:r>
    </w:p>
    <w:p w14:paraId="3EED3782">
      <w:pPr>
        <w:spacing w:line="480" w:lineRule="exact"/>
        <w:ind w:firstLine="480"/>
        <w:rPr>
          <w:rFonts w:hint="eastAsia" w:ascii="Times New Roman" w:hAnsi="Times New Roman" w:cs="仿宋"/>
          <w:color w:val="auto"/>
          <w:sz w:val="24"/>
          <w:szCs w:val="24"/>
          <w:highlight w:val="none"/>
        </w:rPr>
      </w:pPr>
      <w:bookmarkStart w:id="34" w:name="EB0c44ff4da61f4af989d119fe214be450"/>
      <w:r>
        <w:rPr>
          <w:rFonts w:hint="eastAsia" w:ascii="Times New Roman" w:hAnsi="Times New Roman" w:cs="仿宋"/>
          <w:color w:val="auto"/>
          <w:sz w:val="24"/>
          <w:szCs w:val="24"/>
          <w:highlight w:val="none"/>
        </w:rPr>
        <w:t>3.本项目共分</w:t>
      </w:r>
      <w:r>
        <w:rPr>
          <w:rFonts w:hint="eastAsia" w:ascii="Times New Roman" w:hAnsi="Times New Roman" w:cs="仿宋"/>
          <w:color w:val="auto"/>
          <w:sz w:val="24"/>
          <w:szCs w:val="24"/>
          <w:highlight w:val="none"/>
          <w:lang w:val="en-US" w:eastAsia="zh-CN"/>
        </w:rPr>
        <w:t>七</w:t>
      </w:r>
      <w:r>
        <w:rPr>
          <w:rFonts w:hint="eastAsia" w:ascii="Times New Roman" w:hAnsi="Times New Roman" w:cs="仿宋"/>
          <w:color w:val="auto"/>
          <w:sz w:val="24"/>
          <w:szCs w:val="24"/>
          <w:highlight w:val="none"/>
        </w:rPr>
        <w:t>个采购包。投标人参与多个采购包投标的，应按采购包分别获取招标文件。投标人未按要求获取招标文件，后果自负（其投标文件不予接受）。</w:t>
      </w:r>
      <w:bookmarkEnd w:id="34"/>
    </w:p>
    <w:p w14:paraId="42EFC6AD">
      <w:pPr>
        <w:pStyle w:val="39"/>
        <w:spacing w:before="0" w:after="0" w:line="480" w:lineRule="exact"/>
        <w:ind w:firstLine="643"/>
        <w:rPr>
          <w:rFonts w:hint="eastAsia" w:eastAsia="宋体" w:cs="Arial"/>
          <w:bCs/>
          <w:color w:val="auto"/>
          <w:szCs w:val="22"/>
          <w:highlight w:val="none"/>
        </w:rPr>
      </w:pPr>
      <w:bookmarkStart w:id="35" w:name="_Toc19148"/>
      <w:r>
        <w:rPr>
          <w:rFonts w:hint="eastAsia" w:eastAsia="宋体" w:cs="Arial"/>
          <w:bCs/>
          <w:color w:val="auto"/>
          <w:szCs w:val="22"/>
          <w:highlight w:val="none"/>
        </w:rPr>
        <w:t>四、提交投标文件</w:t>
      </w:r>
      <w:bookmarkEnd w:id="29"/>
      <w:bookmarkEnd w:id="30"/>
      <w:r>
        <w:rPr>
          <w:rFonts w:hint="eastAsia" w:eastAsia="宋体" w:cs="Arial"/>
          <w:bCs/>
          <w:color w:val="auto"/>
          <w:szCs w:val="22"/>
          <w:highlight w:val="none"/>
        </w:rPr>
        <w:t>截止时间、开标时间和地点</w:t>
      </w:r>
      <w:bookmarkEnd w:id="31"/>
      <w:bookmarkEnd w:id="32"/>
      <w:bookmarkEnd w:id="33"/>
      <w:bookmarkEnd w:id="35"/>
    </w:p>
    <w:p w14:paraId="7D0EB8BD">
      <w:pPr>
        <w:spacing w:line="480" w:lineRule="exact"/>
        <w:ind w:firstLine="480"/>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1.提交投标文件截止时间、开标时间：</w:t>
      </w:r>
      <w:r>
        <w:rPr>
          <w:rFonts w:hint="eastAsia" w:ascii="Times New Roman" w:hAnsi="Times New Roman" w:cs="仿宋"/>
          <w:color w:val="auto"/>
          <w:sz w:val="24"/>
          <w:szCs w:val="24"/>
          <w:highlight w:val="none"/>
        </w:rPr>
        <w:t>202</w:t>
      </w:r>
      <w:r>
        <w:rPr>
          <w:rFonts w:hint="eastAsia" w:ascii="Times New Roman" w:hAnsi="Times New Roman" w:cs="仿宋"/>
          <w:color w:val="auto"/>
          <w:sz w:val="24"/>
          <w:szCs w:val="24"/>
          <w:highlight w:val="none"/>
          <w:lang w:val="en-US" w:eastAsia="zh-CN"/>
        </w:rPr>
        <w:t>6</w:t>
      </w:r>
      <w:r>
        <w:rPr>
          <w:rFonts w:hint="eastAsia" w:ascii="Times New Roman" w:hAnsi="Times New Roman" w:cs="仿宋"/>
          <w:color w:val="auto"/>
          <w:sz w:val="24"/>
          <w:szCs w:val="24"/>
          <w:highlight w:val="none"/>
        </w:rPr>
        <w:t>年</w:t>
      </w:r>
      <w:r>
        <w:rPr>
          <w:rFonts w:hint="eastAsia" w:ascii="Times New Roman" w:hAnsi="Times New Roman" w:cs="仿宋"/>
          <w:color w:val="auto"/>
          <w:sz w:val="24"/>
          <w:szCs w:val="24"/>
          <w:highlight w:val="none"/>
          <w:lang w:val="en-US" w:eastAsia="zh-CN"/>
        </w:rPr>
        <w:t>7</w:t>
      </w:r>
      <w:r>
        <w:rPr>
          <w:rFonts w:hint="eastAsia" w:ascii="Times New Roman" w:hAnsi="Times New Roman" w:cs="仿宋"/>
          <w:color w:val="auto"/>
          <w:sz w:val="24"/>
          <w:szCs w:val="24"/>
          <w:highlight w:val="none"/>
        </w:rPr>
        <w:t>月</w:t>
      </w:r>
      <w:r>
        <w:rPr>
          <w:rFonts w:hint="eastAsia" w:ascii="Times New Roman" w:hAnsi="Times New Roman" w:cs="仿宋"/>
          <w:color w:val="auto"/>
          <w:sz w:val="24"/>
          <w:szCs w:val="24"/>
          <w:highlight w:val="none"/>
          <w:lang w:val="en-US" w:eastAsia="zh-CN"/>
        </w:rPr>
        <w:t>31</w:t>
      </w:r>
      <w:r>
        <w:rPr>
          <w:rFonts w:hint="eastAsia" w:ascii="Times New Roman" w:hAnsi="Times New Roman" w:cs="仿宋"/>
          <w:color w:val="auto"/>
          <w:sz w:val="24"/>
          <w:szCs w:val="24"/>
          <w:highlight w:val="none"/>
        </w:rPr>
        <w:t>日09点30分</w:t>
      </w:r>
      <w:r>
        <w:rPr>
          <w:rFonts w:hint="eastAsia" w:ascii="Times New Roman" w:hAnsi="Times New Roman" w:cs="仿宋"/>
          <w:color w:val="auto"/>
          <w:sz w:val="24"/>
          <w:szCs w:val="24"/>
          <w:highlight w:val="none"/>
        </w:rPr>
        <w:t>（北京时间）</w:t>
      </w:r>
    </w:p>
    <w:p w14:paraId="5229CD15">
      <w:pPr>
        <w:spacing w:line="480" w:lineRule="exact"/>
        <w:ind w:firstLine="480"/>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2.地点：“苏采云”政府采购交易系统网上开标大厅。</w:t>
      </w:r>
    </w:p>
    <w:p w14:paraId="32CBA539">
      <w:pPr>
        <w:pStyle w:val="39"/>
        <w:spacing w:before="0" w:after="0" w:line="480" w:lineRule="exact"/>
        <w:ind w:firstLine="643"/>
        <w:rPr>
          <w:rFonts w:hint="eastAsia" w:eastAsia="宋体" w:cs="Arial"/>
          <w:bCs/>
          <w:color w:val="auto"/>
          <w:szCs w:val="22"/>
          <w:highlight w:val="none"/>
        </w:rPr>
      </w:pPr>
      <w:bookmarkStart w:id="36" w:name="_Toc28359007"/>
      <w:bookmarkStart w:id="37" w:name="_Toc35393794"/>
      <w:bookmarkStart w:id="38" w:name="_Toc24820"/>
      <w:bookmarkStart w:id="39" w:name="_Toc38985267"/>
      <w:bookmarkStart w:id="40" w:name="_Toc28359084"/>
      <w:bookmarkStart w:id="41" w:name="_Toc35393625"/>
      <w:r>
        <w:rPr>
          <w:rFonts w:hint="eastAsia" w:eastAsia="宋体" w:cs="Arial"/>
          <w:bCs/>
          <w:color w:val="auto"/>
          <w:szCs w:val="22"/>
          <w:highlight w:val="none"/>
        </w:rPr>
        <w:t>五、公告期限</w:t>
      </w:r>
      <w:bookmarkEnd w:id="36"/>
      <w:bookmarkEnd w:id="37"/>
      <w:bookmarkEnd w:id="38"/>
      <w:bookmarkEnd w:id="39"/>
      <w:bookmarkEnd w:id="40"/>
      <w:bookmarkEnd w:id="41"/>
    </w:p>
    <w:p w14:paraId="21A07FD0">
      <w:pPr>
        <w:spacing w:line="480" w:lineRule="exact"/>
        <w:ind w:firstLine="480"/>
        <w:rPr>
          <w:rFonts w:hint="eastAsia" w:ascii="Times New Roman" w:hAnsi="Times New Roman" w:cs="仿宋"/>
          <w:color w:val="auto"/>
          <w:sz w:val="24"/>
          <w:szCs w:val="24"/>
          <w:highlight w:val="none"/>
        </w:rPr>
      </w:pPr>
      <w:bookmarkStart w:id="42" w:name="_Toc35393795"/>
      <w:bookmarkStart w:id="43" w:name="_Toc38985268"/>
      <w:bookmarkStart w:id="44" w:name="_Toc35393626"/>
      <w:r>
        <w:rPr>
          <w:rFonts w:hint="eastAsia" w:ascii="Times New Roman" w:hAnsi="Times New Roman" w:cs="仿宋"/>
          <w:color w:val="auto"/>
          <w:sz w:val="24"/>
          <w:szCs w:val="24"/>
          <w:highlight w:val="none"/>
        </w:rPr>
        <w:t>招标公告及招标文件公告期限为自本公告发布之日起5个工作日。</w:t>
      </w:r>
    </w:p>
    <w:p w14:paraId="125E3B2B">
      <w:pPr>
        <w:pStyle w:val="39"/>
        <w:spacing w:before="0" w:after="0" w:line="480" w:lineRule="exact"/>
        <w:ind w:firstLine="643"/>
        <w:rPr>
          <w:rFonts w:hint="eastAsia" w:eastAsia="宋体" w:cs="Arial"/>
          <w:bCs/>
          <w:color w:val="auto"/>
          <w:szCs w:val="22"/>
          <w:highlight w:val="none"/>
        </w:rPr>
      </w:pPr>
      <w:bookmarkStart w:id="45" w:name="_Toc13415"/>
      <w:r>
        <w:rPr>
          <w:rFonts w:hint="eastAsia" w:eastAsia="宋体" w:cs="Arial"/>
          <w:bCs/>
          <w:color w:val="auto"/>
          <w:szCs w:val="22"/>
          <w:highlight w:val="none"/>
        </w:rPr>
        <w:t>六、其他补充事宜</w:t>
      </w:r>
      <w:bookmarkEnd w:id="42"/>
      <w:bookmarkEnd w:id="43"/>
      <w:bookmarkEnd w:id="44"/>
      <w:bookmarkEnd w:id="45"/>
    </w:p>
    <w:p w14:paraId="1420532F">
      <w:pPr>
        <w:spacing w:line="480" w:lineRule="exact"/>
        <w:ind w:firstLine="480"/>
        <w:rPr>
          <w:rFonts w:hint="eastAsia" w:ascii="Times New Roman" w:hAnsi="Times New Roman" w:eastAsia="宋体" w:cs="仿宋"/>
          <w:color w:val="auto"/>
          <w:sz w:val="24"/>
          <w:szCs w:val="24"/>
          <w:highlight w:val="none"/>
        </w:rPr>
      </w:pPr>
      <w:bookmarkStart w:id="46" w:name="EB64e1f522fd8c43fcb4d3ba471386b3e7"/>
      <w:bookmarkStart w:id="47" w:name="_Toc35393627"/>
      <w:bookmarkStart w:id="48" w:name="_Toc35393796"/>
      <w:bookmarkStart w:id="49" w:name="_Toc28359085"/>
      <w:bookmarkStart w:id="50" w:name="_Toc29049"/>
      <w:bookmarkStart w:id="51" w:name="_Toc28359008"/>
      <w:bookmarkStart w:id="52" w:name="_Toc38985269"/>
      <w:r>
        <w:rPr>
          <w:rFonts w:hint="eastAsia" w:ascii="Times New Roman" w:hAnsi="Times New Roman" w:eastAsia="宋体" w:cs="仿宋"/>
          <w:color w:val="auto"/>
          <w:sz w:val="24"/>
          <w:szCs w:val="24"/>
          <w:highlight w:val="none"/>
        </w:rPr>
        <w:t>1.招标公告发布媒体：</w:t>
      </w:r>
      <w:bookmarkStart w:id="53" w:name="OLE_LINK3"/>
      <w:r>
        <w:rPr>
          <w:rFonts w:hint="eastAsia" w:ascii="Times New Roman" w:hAnsi="Times New Roman" w:eastAsia="宋体" w:cs="仿宋"/>
          <w:color w:val="auto"/>
          <w:sz w:val="24"/>
          <w:szCs w:val="24"/>
          <w:highlight w:val="none"/>
        </w:rPr>
        <w:t>江苏政府采购网</w:t>
      </w:r>
      <w:bookmarkEnd w:id="53"/>
      <w:r>
        <w:rPr>
          <w:rFonts w:hint="eastAsia" w:ascii="Times New Roman" w:hAnsi="Times New Roman" w:eastAsia="宋体" w:cs="仿宋"/>
          <w:color w:val="auto"/>
          <w:sz w:val="24"/>
          <w:szCs w:val="24"/>
          <w:highlight w:val="none"/>
        </w:rPr>
        <w:t>、宿迁市政府采购网等。</w:t>
      </w:r>
    </w:p>
    <w:p w14:paraId="5A517AA8">
      <w:pPr>
        <w:spacing w:line="480" w:lineRule="exact"/>
        <w:ind w:firstLine="480"/>
        <w:rPr>
          <w:rFonts w:hint="eastAsia"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2.“CA”数字证书办理：“苏采云”系统目前仅支持“苏采云”系统下的意源CA。省内各地区办理的“苏采云”系统下的意源CA全省通用。宿迁地区CA数字证书办理联系方式：18351098172。</w:t>
      </w:r>
    </w:p>
    <w:p w14:paraId="77EAB3BD">
      <w:pPr>
        <w:spacing w:line="480" w:lineRule="exact"/>
        <w:ind w:firstLine="480"/>
        <w:rPr>
          <w:rFonts w:hint="eastAsia"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3.宿迁地区“苏采云”系统技术支持客服电话：0527-84363067、0519-86722806。</w:t>
      </w:r>
      <w:bookmarkEnd w:id="46"/>
    </w:p>
    <w:p w14:paraId="6144B49A">
      <w:pPr>
        <w:spacing w:line="480" w:lineRule="exact"/>
        <w:ind w:firstLine="480"/>
        <w:rPr>
          <w:rFonts w:hint="eastAsia"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4.如果供应商通过苏采云系统参与政府采购项目，相关操作手册详见链接：http://www.ccgp-jiangsu.gov.cn/jiangsu/zlxz/ee/ee3a4bc5a3454aa2b0d9312230633ce9.html。</w:t>
      </w:r>
    </w:p>
    <w:p w14:paraId="31DAEE77">
      <w:pPr>
        <w:spacing w:line="480" w:lineRule="exact"/>
        <w:ind w:firstLine="480"/>
        <w:rPr>
          <w:rFonts w:hint="eastAsia"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5.现场勘察及答疑：本项目不组织集中勘察及答疑，供应商如对采购需求有疑问，请咨询采购单位联系人。</w:t>
      </w:r>
    </w:p>
    <w:p w14:paraId="16ADA9F7">
      <w:pPr>
        <w:pStyle w:val="39"/>
        <w:spacing w:before="0" w:after="0" w:line="480" w:lineRule="exact"/>
        <w:ind w:firstLine="643"/>
        <w:rPr>
          <w:rFonts w:hint="eastAsia" w:eastAsia="宋体" w:cs="Arial"/>
          <w:bCs/>
          <w:color w:val="auto"/>
          <w:szCs w:val="22"/>
          <w:highlight w:val="none"/>
        </w:rPr>
      </w:pPr>
      <w:r>
        <w:rPr>
          <w:rFonts w:hint="eastAsia" w:eastAsia="宋体" w:cs="Arial"/>
          <w:bCs/>
          <w:color w:val="auto"/>
          <w:szCs w:val="22"/>
          <w:highlight w:val="none"/>
        </w:rPr>
        <w:t>七、本次招标联系方式</w:t>
      </w:r>
      <w:bookmarkEnd w:id="47"/>
      <w:bookmarkEnd w:id="48"/>
      <w:bookmarkEnd w:id="49"/>
      <w:bookmarkEnd w:id="50"/>
      <w:bookmarkEnd w:id="51"/>
      <w:bookmarkEnd w:id="52"/>
    </w:p>
    <w:p w14:paraId="3E67F90C">
      <w:pPr>
        <w:widowControl/>
        <w:spacing w:line="480" w:lineRule="exact"/>
        <w:ind w:firstLine="480"/>
        <w:jc w:val="left"/>
        <w:rPr>
          <w:rFonts w:ascii="宋体" w:hAnsi="宋体"/>
          <w:color w:val="auto"/>
          <w:sz w:val="24"/>
          <w:szCs w:val="24"/>
          <w:highlight w:val="none"/>
        </w:rPr>
      </w:pPr>
      <w:r>
        <w:rPr>
          <w:rFonts w:hint="eastAsia" w:ascii="宋体" w:hAnsi="宋体" w:cs="宋体"/>
          <w:color w:val="auto"/>
          <w:sz w:val="24"/>
          <w:szCs w:val="24"/>
          <w:highlight w:val="none"/>
        </w:rPr>
        <w:t>1.采购人信息</w:t>
      </w:r>
    </w:p>
    <w:p w14:paraId="6923932D">
      <w:pPr>
        <w:spacing w:line="480" w:lineRule="exact"/>
        <w:ind w:firstLine="480"/>
        <w:jc w:val="left"/>
        <w:rPr>
          <w:rFonts w:ascii="宋体" w:hAnsi="宋体"/>
          <w:color w:val="auto"/>
          <w:sz w:val="24"/>
          <w:szCs w:val="24"/>
          <w:highlight w:val="none"/>
        </w:rPr>
      </w:pPr>
      <w:r>
        <w:rPr>
          <w:rFonts w:hint="eastAsia" w:ascii="宋体" w:hAnsi="宋体"/>
          <w:color w:val="auto"/>
          <w:sz w:val="24"/>
          <w:szCs w:val="24"/>
          <w:highlight w:val="none"/>
        </w:rPr>
        <w:t>名   称：</w:t>
      </w:r>
      <w:r>
        <w:rPr>
          <w:rFonts w:hint="eastAsia" w:ascii="宋体" w:hAnsi="宋体"/>
          <w:color w:val="auto"/>
          <w:sz w:val="24"/>
          <w:szCs w:val="24"/>
          <w:highlight w:val="none"/>
          <w:lang w:val="en-US" w:eastAsia="zh-CN"/>
        </w:rPr>
        <w:t>沭阳县</w:t>
      </w:r>
      <w:r>
        <w:rPr>
          <w:rFonts w:hint="eastAsia" w:ascii="宋体" w:hAnsi="宋体" w:cs="宋体"/>
          <w:color w:val="auto"/>
          <w:sz w:val="24"/>
          <w:szCs w:val="24"/>
          <w:highlight w:val="none"/>
        </w:rPr>
        <w:t>残疾人联合会</w:t>
      </w:r>
    </w:p>
    <w:p w14:paraId="64970A94">
      <w:pPr>
        <w:spacing w:line="480" w:lineRule="exact"/>
        <w:ind w:firstLine="480"/>
        <w:jc w:val="left"/>
        <w:rPr>
          <w:rFonts w:ascii="宋体" w:hAnsi="宋体"/>
          <w:color w:val="auto"/>
          <w:sz w:val="24"/>
          <w:szCs w:val="24"/>
          <w:highlight w:val="none"/>
        </w:rPr>
      </w:pPr>
      <w:r>
        <w:rPr>
          <w:rFonts w:hint="eastAsia" w:ascii="宋体" w:hAnsi="宋体"/>
          <w:color w:val="auto"/>
          <w:sz w:val="24"/>
          <w:szCs w:val="24"/>
          <w:highlight w:val="none"/>
        </w:rPr>
        <w:t>地   址：宿迁市沭阳县长安路</w:t>
      </w:r>
    </w:p>
    <w:p w14:paraId="4B5FA653">
      <w:pPr>
        <w:spacing w:line="480" w:lineRule="exact"/>
        <w:ind w:firstLine="480"/>
        <w:jc w:val="left"/>
        <w:rPr>
          <w:rFonts w:ascii="宋体" w:hAnsi="宋体"/>
          <w:color w:val="auto"/>
          <w:sz w:val="24"/>
          <w:szCs w:val="24"/>
          <w:highlight w:val="none"/>
          <w:u w:val="single"/>
        </w:rPr>
      </w:pPr>
      <w:r>
        <w:rPr>
          <w:rFonts w:hint="eastAsia" w:ascii="宋体" w:hAnsi="宋体"/>
          <w:color w:val="auto"/>
          <w:sz w:val="24"/>
          <w:szCs w:val="24"/>
          <w:highlight w:val="none"/>
        </w:rPr>
        <w:t>联系方式：</w:t>
      </w:r>
      <w:bookmarkStart w:id="54" w:name="_Toc28359009"/>
      <w:bookmarkStart w:id="55" w:name="_Toc28359086"/>
      <w:r>
        <w:rPr>
          <w:rFonts w:hint="eastAsia" w:ascii="宋体" w:hAnsi="宋体"/>
          <w:color w:val="auto"/>
          <w:sz w:val="24"/>
          <w:szCs w:val="24"/>
          <w:highlight w:val="none"/>
        </w:rPr>
        <w:t>0527-80906665</w:t>
      </w:r>
    </w:p>
    <w:p w14:paraId="5BD888D1">
      <w:pPr>
        <w:spacing w:line="480" w:lineRule="exact"/>
        <w:ind w:firstLine="480"/>
        <w:jc w:val="left"/>
        <w:rPr>
          <w:rFonts w:ascii="宋体" w:hAnsi="宋体"/>
          <w:color w:val="auto"/>
          <w:sz w:val="24"/>
          <w:szCs w:val="24"/>
          <w:highlight w:val="none"/>
        </w:rPr>
      </w:pPr>
      <w:r>
        <w:rPr>
          <w:rFonts w:hint="eastAsia" w:ascii="宋体" w:hAnsi="宋体" w:cs="宋体"/>
          <w:color w:val="auto"/>
          <w:sz w:val="24"/>
          <w:szCs w:val="24"/>
          <w:highlight w:val="none"/>
        </w:rPr>
        <w:t>2.</w:t>
      </w:r>
      <w:bookmarkEnd w:id="54"/>
      <w:bookmarkEnd w:id="55"/>
      <w:r>
        <w:rPr>
          <w:rFonts w:hint="eastAsia" w:ascii="宋体" w:hAnsi="宋体" w:cs="宋体"/>
          <w:color w:val="auto"/>
          <w:sz w:val="24"/>
          <w:szCs w:val="24"/>
          <w:highlight w:val="none"/>
        </w:rPr>
        <w:t>采购代理机构信息</w:t>
      </w:r>
    </w:p>
    <w:p w14:paraId="04B7BA38">
      <w:pPr>
        <w:spacing w:line="480" w:lineRule="exact"/>
        <w:ind w:firstLine="482"/>
        <w:rPr>
          <w:rFonts w:ascii="Times New Roman" w:hAnsi="Times New Roman" w:eastAsia="宋体" w:cs="仿宋"/>
          <w:color w:val="auto"/>
          <w:sz w:val="24"/>
          <w:szCs w:val="24"/>
          <w:highlight w:val="none"/>
          <w:lang w:val="en-US" w:eastAsia="zh-CN"/>
        </w:rPr>
      </w:pPr>
      <w:r>
        <w:rPr>
          <w:rFonts w:hint="eastAsia" w:ascii="Times New Roman" w:hAnsi="Times New Roman" w:eastAsia="宋体" w:cs="仿宋"/>
          <w:color w:val="auto"/>
          <w:spacing w:val="240"/>
          <w:sz w:val="24"/>
          <w:szCs w:val="24"/>
          <w:highlight w:val="none"/>
        </w:rPr>
        <w:t>名</w:t>
      </w:r>
      <w:r>
        <w:rPr>
          <w:rFonts w:hint="eastAsia" w:ascii="Times New Roman" w:hAnsi="Times New Roman" w:eastAsia="宋体" w:cs="仿宋"/>
          <w:color w:val="auto"/>
          <w:sz w:val="24"/>
          <w:szCs w:val="24"/>
          <w:highlight w:val="none"/>
        </w:rPr>
        <w:t>称：</w:t>
      </w:r>
      <w:r>
        <w:rPr>
          <w:rFonts w:hint="eastAsia" w:ascii="Times New Roman" w:hAnsi="Times New Roman" w:eastAsia="宋体" w:cs="Times New Roman"/>
          <w:color w:val="auto"/>
          <w:sz w:val="24"/>
          <w:highlight w:val="none"/>
        </w:rPr>
        <w:t>江苏仟亿项目管理有限公司</w:t>
      </w:r>
    </w:p>
    <w:p w14:paraId="78B626A3">
      <w:pPr>
        <w:spacing w:line="480" w:lineRule="exact"/>
        <w:ind w:firstLine="482"/>
        <w:rPr>
          <w:rFonts w:ascii="Times New Roman" w:hAnsi="Times New Roman" w:eastAsia="宋体" w:cs="仿宋"/>
          <w:color w:val="auto"/>
          <w:sz w:val="24"/>
          <w:szCs w:val="24"/>
          <w:highlight w:val="none"/>
          <w:lang w:val="en-US" w:eastAsia="zh-CN"/>
        </w:rPr>
      </w:pPr>
      <w:r>
        <w:rPr>
          <w:rFonts w:hint="eastAsia" w:ascii="Times New Roman" w:hAnsi="Times New Roman" w:eastAsia="宋体" w:cs="仿宋"/>
          <w:color w:val="auto"/>
          <w:spacing w:val="240"/>
          <w:sz w:val="24"/>
          <w:szCs w:val="24"/>
          <w:highlight w:val="none"/>
        </w:rPr>
        <w:t>地</w:t>
      </w:r>
      <w:r>
        <w:rPr>
          <w:rFonts w:hint="eastAsia" w:ascii="Times New Roman" w:hAnsi="Times New Roman" w:eastAsia="宋体" w:cs="仿宋"/>
          <w:color w:val="auto"/>
          <w:sz w:val="24"/>
          <w:szCs w:val="24"/>
          <w:highlight w:val="none"/>
        </w:rPr>
        <w:t>址：</w:t>
      </w:r>
      <w:r>
        <w:rPr>
          <w:rFonts w:hint="eastAsia" w:ascii="Times New Roman" w:hAnsi="Times New Roman" w:eastAsia="宋体" w:cs="Times New Roman"/>
          <w:color w:val="auto"/>
          <w:sz w:val="24"/>
          <w:highlight w:val="none"/>
        </w:rPr>
        <w:t>沭阳县大连东路105号（豪园北门东侧）</w:t>
      </w:r>
    </w:p>
    <w:p w14:paraId="32E815EA">
      <w:pPr>
        <w:spacing w:line="480" w:lineRule="exact"/>
        <w:ind w:firstLine="480"/>
        <w:rPr>
          <w:rFonts w:hint="eastAsia" w:ascii="宋体" w:hAnsi="宋体"/>
          <w:color w:val="auto"/>
          <w:sz w:val="24"/>
          <w:szCs w:val="24"/>
          <w:highlight w:val="none"/>
          <w:u w:val="single"/>
        </w:rPr>
      </w:pPr>
      <w:r>
        <w:rPr>
          <w:rFonts w:hint="eastAsia" w:ascii="Times New Roman" w:hAnsi="Times New Roman" w:eastAsia="宋体" w:cs="仿宋"/>
          <w:color w:val="auto"/>
          <w:sz w:val="24"/>
          <w:szCs w:val="24"/>
          <w:highlight w:val="none"/>
        </w:rPr>
        <w:t>联系方式：</w:t>
      </w:r>
      <w:r>
        <w:rPr>
          <w:rFonts w:hint="eastAsia" w:ascii="宋体" w:hAnsi="宋体" w:cs="宋体"/>
          <w:color w:val="auto"/>
          <w:sz w:val="24"/>
          <w:szCs w:val="24"/>
          <w:highlight w:val="none"/>
        </w:rPr>
        <w:t>13365152227</w:t>
      </w:r>
    </w:p>
    <w:p w14:paraId="4BEBBB24">
      <w:pPr>
        <w:spacing w:line="480" w:lineRule="exact"/>
        <w:jc w:val="center"/>
        <w:rPr>
          <w:rFonts w:hint="eastAsia" w:eastAsia="黑体"/>
          <w:color w:val="auto"/>
          <w:sz w:val="44"/>
          <w:highlight w:val="none"/>
        </w:rPr>
      </w:pPr>
      <w:r>
        <w:rPr>
          <w:rFonts w:hint="eastAsia" w:ascii="宋体" w:hAnsi="宋体"/>
          <w:color w:val="auto"/>
          <w:sz w:val="24"/>
          <w:szCs w:val="24"/>
          <w:highlight w:val="none"/>
          <w:u w:val="single"/>
        </w:rPr>
        <w:br w:type="page" w:clear="all"/>
      </w:r>
      <w:bookmarkStart w:id="56" w:name="_Toc81575153"/>
      <w:bookmarkStart w:id="57" w:name="_Toc15265"/>
      <w:bookmarkStart w:id="58" w:name="_Toc11687"/>
      <w:bookmarkStart w:id="59" w:name="_Toc81575190"/>
      <w:bookmarkStart w:id="60" w:name="_Toc9425"/>
      <w:r>
        <w:rPr>
          <w:rFonts w:hint="eastAsia" w:eastAsia="黑体"/>
          <w:color w:val="auto"/>
          <w:sz w:val="44"/>
          <w:highlight w:val="none"/>
        </w:rPr>
        <w:t>第二章  投标人须知</w:t>
      </w:r>
      <w:bookmarkEnd w:id="56"/>
      <w:bookmarkEnd w:id="57"/>
      <w:bookmarkEnd w:id="58"/>
      <w:bookmarkEnd w:id="59"/>
      <w:bookmarkEnd w:id="60"/>
    </w:p>
    <w:p w14:paraId="42AF3567">
      <w:pPr>
        <w:pStyle w:val="39"/>
        <w:spacing w:before="0" w:after="120" w:line="520" w:lineRule="exact"/>
        <w:rPr>
          <w:rFonts w:hint="eastAsia" w:eastAsia="宋体" w:cs="Arial"/>
          <w:bCs/>
          <w:color w:val="auto"/>
          <w:szCs w:val="22"/>
          <w:highlight w:val="none"/>
        </w:rPr>
      </w:pPr>
      <w:bookmarkStart w:id="61" w:name="_Toc4529"/>
      <w:r>
        <w:rPr>
          <w:rFonts w:hint="eastAsia" w:eastAsia="宋体" w:cs="Arial"/>
          <w:bCs/>
          <w:color w:val="auto"/>
          <w:szCs w:val="22"/>
          <w:highlight w:val="none"/>
        </w:rPr>
        <w:t>投标人须知前附表：</w:t>
      </w:r>
      <w:bookmarkEnd w:id="61"/>
    </w:p>
    <w:tbl>
      <w:tblPr>
        <w:tblStyle w:val="28"/>
        <w:tblpPr w:leftFromText="180" w:rightFromText="180" w:vertAnchor="text" w:horzAnchor="page" w:tblpX="1530" w:tblpY="228"/>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58"/>
        <w:gridCol w:w="1772"/>
        <w:gridCol w:w="6579"/>
      </w:tblGrid>
      <w:tr w14:paraId="67DC5F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2" w:hRule="atLeast"/>
        </w:trPr>
        <w:tc>
          <w:tcPr>
            <w:tcW w:w="858" w:type="dxa"/>
            <w:noWrap w:val="0"/>
            <w:vAlign w:val="center"/>
          </w:tcPr>
          <w:p w14:paraId="5EC4A0EB">
            <w:pPr>
              <w:jc w:val="center"/>
              <w:rPr>
                <w:rFonts w:hint="eastAsia" w:ascii="仿宋_GB2312" w:hAnsi="仿宋"/>
                <w:b/>
                <w:color w:val="auto"/>
                <w:sz w:val="24"/>
                <w:szCs w:val="24"/>
                <w:highlight w:val="none"/>
              </w:rPr>
            </w:pPr>
            <w:bookmarkStart w:id="62" w:name="_Toc81575191"/>
            <w:bookmarkStart w:id="63" w:name="_Toc81575154"/>
            <w:bookmarkStart w:id="64" w:name="_Toc29262"/>
            <w:r>
              <w:rPr>
                <w:rFonts w:hint="eastAsia" w:ascii="仿宋_GB2312" w:hAnsi="仿宋"/>
                <w:b/>
                <w:color w:val="auto"/>
                <w:sz w:val="24"/>
                <w:szCs w:val="24"/>
                <w:highlight w:val="none"/>
              </w:rPr>
              <w:t>序号</w:t>
            </w:r>
          </w:p>
        </w:tc>
        <w:tc>
          <w:tcPr>
            <w:tcW w:w="1772" w:type="dxa"/>
            <w:noWrap w:val="0"/>
            <w:vAlign w:val="center"/>
          </w:tcPr>
          <w:p w14:paraId="1BBBD1D0">
            <w:pPr>
              <w:jc w:val="center"/>
              <w:rPr>
                <w:rFonts w:hint="eastAsia" w:ascii="仿宋_GB2312" w:hAnsi="仿宋"/>
                <w:b/>
                <w:color w:val="auto"/>
                <w:sz w:val="24"/>
                <w:szCs w:val="24"/>
                <w:highlight w:val="none"/>
              </w:rPr>
            </w:pPr>
            <w:r>
              <w:rPr>
                <w:rFonts w:hint="eastAsia" w:ascii="仿宋_GB2312" w:hAnsi="仿宋"/>
                <w:b/>
                <w:color w:val="auto"/>
                <w:sz w:val="24"/>
                <w:szCs w:val="24"/>
                <w:highlight w:val="none"/>
              </w:rPr>
              <w:t>内容</w:t>
            </w:r>
          </w:p>
        </w:tc>
        <w:tc>
          <w:tcPr>
            <w:tcW w:w="6579" w:type="dxa"/>
            <w:noWrap w:val="0"/>
            <w:vAlign w:val="center"/>
          </w:tcPr>
          <w:p w14:paraId="75E6CAA1">
            <w:pPr>
              <w:jc w:val="center"/>
              <w:rPr>
                <w:rFonts w:hint="eastAsia" w:ascii="仿宋_GB2312" w:hAnsi="仿宋"/>
                <w:b/>
                <w:color w:val="auto"/>
                <w:sz w:val="24"/>
                <w:szCs w:val="24"/>
                <w:highlight w:val="none"/>
              </w:rPr>
            </w:pPr>
            <w:r>
              <w:rPr>
                <w:rFonts w:hint="eastAsia" w:ascii="仿宋_GB2312" w:hAnsi="仿宋"/>
                <w:b/>
                <w:color w:val="auto"/>
                <w:sz w:val="24"/>
                <w:szCs w:val="24"/>
                <w:highlight w:val="none"/>
              </w:rPr>
              <w:t>说明及要求</w:t>
            </w:r>
          </w:p>
        </w:tc>
      </w:tr>
      <w:tr w14:paraId="2BA089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14:paraId="54137A88">
            <w:pPr>
              <w:spacing w:line="400" w:lineRule="exact"/>
              <w:jc w:val="center"/>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1</w:t>
            </w:r>
          </w:p>
        </w:tc>
        <w:tc>
          <w:tcPr>
            <w:tcW w:w="1772" w:type="dxa"/>
            <w:noWrap w:val="0"/>
            <w:vAlign w:val="center"/>
          </w:tcPr>
          <w:p w14:paraId="6FAAA784">
            <w:pPr>
              <w:spacing w:line="400" w:lineRule="exact"/>
              <w:jc w:val="center"/>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项目属性</w:t>
            </w:r>
          </w:p>
        </w:tc>
        <w:tc>
          <w:tcPr>
            <w:tcW w:w="6579" w:type="dxa"/>
            <w:noWrap w:val="0"/>
            <w:vAlign w:val="center"/>
          </w:tcPr>
          <w:p w14:paraId="0B46230A">
            <w:pPr>
              <w:spacing w:line="400" w:lineRule="exact"/>
              <w:jc w:val="lef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本项目</w:t>
            </w:r>
            <w:bookmarkStart w:id="65" w:name="EB9a5853ee094f4f0ea6ec3169265f6f2c"/>
            <w:r>
              <w:rPr>
                <w:rFonts w:hint="eastAsia" w:ascii="Times New Roman" w:hAnsi="Times New Roman" w:cs="仿宋"/>
                <w:color w:val="auto"/>
                <w:sz w:val="24"/>
                <w:szCs w:val="24"/>
                <w:highlight w:val="none"/>
              </w:rPr>
              <w:t>属性按以下第</w:t>
            </w:r>
            <w:bookmarkEnd w:id="65"/>
            <w:r>
              <w:rPr>
                <w:rFonts w:hint="eastAsia" w:ascii="Times New Roman" w:hAnsi="Times New Roman" w:cs="仿宋"/>
                <w:color w:val="auto"/>
                <w:sz w:val="24"/>
                <w:szCs w:val="24"/>
                <w:highlight w:val="none"/>
                <w:u w:val="single"/>
                <w:lang w:val="en-US" w:eastAsia="zh-CN"/>
              </w:rPr>
              <w:t xml:space="preserve"> 2 </w:t>
            </w:r>
            <w:r>
              <w:rPr>
                <w:rFonts w:hint="eastAsia" w:ascii="Times New Roman" w:hAnsi="Times New Roman" w:cs="仿宋"/>
                <w:color w:val="auto"/>
                <w:sz w:val="24"/>
                <w:szCs w:val="24"/>
                <w:highlight w:val="none"/>
              </w:rPr>
              <w:t>种确定：</w:t>
            </w:r>
          </w:p>
          <w:p w14:paraId="3FD4537D">
            <w:pPr>
              <w:spacing w:line="400" w:lineRule="exact"/>
              <w:jc w:val="lef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1.货物</w:t>
            </w:r>
            <w:bookmarkStart w:id="66" w:name="EBd5c6c026f9674c39b21b31ecd0c1e7fa"/>
            <w:r>
              <w:rPr>
                <w:rFonts w:hint="eastAsia" w:ascii="Times New Roman" w:hAnsi="Times New Roman" w:cs="仿宋"/>
                <w:color w:val="auto"/>
                <w:sz w:val="24"/>
                <w:szCs w:val="24"/>
                <w:highlight w:val="none"/>
              </w:rPr>
              <w:t>采购；2.</w:t>
            </w:r>
            <w:bookmarkEnd w:id="66"/>
            <w:r>
              <w:rPr>
                <w:rFonts w:hint="eastAsia" w:ascii="Times New Roman" w:hAnsi="Times New Roman" w:cs="仿宋"/>
                <w:color w:val="auto"/>
                <w:sz w:val="24"/>
                <w:szCs w:val="24"/>
                <w:highlight w:val="none"/>
              </w:rPr>
              <w:t>服务</w:t>
            </w:r>
            <w:bookmarkStart w:id="67" w:name="EBf7d2a4f44ecb4166a93ea852e73be69f"/>
            <w:r>
              <w:rPr>
                <w:rFonts w:hint="eastAsia" w:ascii="Times New Roman" w:hAnsi="Times New Roman" w:cs="仿宋"/>
                <w:color w:val="auto"/>
                <w:sz w:val="24"/>
                <w:szCs w:val="24"/>
                <w:highlight w:val="none"/>
              </w:rPr>
              <w:t>采购；3.</w:t>
            </w:r>
            <w:bookmarkEnd w:id="67"/>
            <w:r>
              <w:rPr>
                <w:rFonts w:hint="eastAsia" w:ascii="Times New Roman" w:hAnsi="Times New Roman" w:cs="仿宋"/>
                <w:color w:val="auto"/>
                <w:sz w:val="24"/>
                <w:szCs w:val="24"/>
                <w:highlight w:val="none"/>
              </w:rPr>
              <w:t>工程采购。</w:t>
            </w:r>
          </w:p>
        </w:tc>
      </w:tr>
      <w:tr w14:paraId="470FB9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14:paraId="298D8EE1">
            <w:pPr>
              <w:spacing w:line="400" w:lineRule="exact"/>
              <w:jc w:val="center"/>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2</w:t>
            </w:r>
          </w:p>
        </w:tc>
        <w:tc>
          <w:tcPr>
            <w:tcW w:w="1772" w:type="dxa"/>
            <w:noWrap w:val="0"/>
            <w:vAlign w:val="center"/>
          </w:tcPr>
          <w:p w14:paraId="2C847296">
            <w:pPr>
              <w:spacing w:line="400" w:lineRule="exact"/>
              <w:jc w:val="center"/>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投标有效期</w:t>
            </w:r>
          </w:p>
        </w:tc>
        <w:tc>
          <w:tcPr>
            <w:tcW w:w="6579" w:type="dxa"/>
            <w:noWrap w:val="0"/>
            <w:vAlign w:val="center"/>
          </w:tcPr>
          <w:p w14:paraId="33B34F48">
            <w:pPr>
              <w:spacing w:line="400" w:lineRule="exact"/>
              <w:jc w:val="left"/>
              <w:rPr>
                <w:rFonts w:hint="eastAsia" w:ascii="Times New Roman" w:hAnsi="Times New Roman" w:cs="仿宋"/>
                <w:color w:val="auto"/>
                <w:sz w:val="24"/>
                <w:szCs w:val="24"/>
                <w:highlight w:val="none"/>
              </w:rPr>
            </w:pPr>
            <w:bookmarkStart w:id="68" w:name="EBd40b5fb42f2944a3b45e579ce3941f02"/>
            <w:bookmarkEnd w:id="68"/>
            <w:r>
              <w:rPr>
                <w:rFonts w:hint="eastAsia" w:ascii="Times New Roman" w:hAnsi="Times New Roman" w:cs="仿宋"/>
                <w:color w:val="auto"/>
                <w:sz w:val="24"/>
                <w:szCs w:val="24"/>
                <w:highlight w:val="none"/>
              </w:rPr>
              <w:t>60日（从提交投标文件截止之日起算）</w:t>
            </w:r>
          </w:p>
        </w:tc>
      </w:tr>
      <w:tr w14:paraId="7B6226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14:paraId="1E33F29D">
            <w:pPr>
              <w:spacing w:line="400" w:lineRule="exact"/>
              <w:jc w:val="center"/>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3</w:t>
            </w:r>
          </w:p>
        </w:tc>
        <w:tc>
          <w:tcPr>
            <w:tcW w:w="1772" w:type="dxa"/>
            <w:noWrap w:val="0"/>
            <w:vAlign w:val="center"/>
          </w:tcPr>
          <w:p w14:paraId="47AF07F4">
            <w:pPr>
              <w:spacing w:line="400" w:lineRule="exact"/>
              <w:jc w:val="center"/>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投标文件份数</w:t>
            </w:r>
          </w:p>
        </w:tc>
        <w:tc>
          <w:tcPr>
            <w:tcW w:w="6579" w:type="dxa"/>
            <w:noWrap w:val="0"/>
            <w:vAlign w:val="center"/>
          </w:tcPr>
          <w:p w14:paraId="70D27D25">
            <w:pPr>
              <w:spacing w:line="400" w:lineRule="exact"/>
              <w:jc w:val="lef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提交加密电子投标文件</w:t>
            </w:r>
            <w:r>
              <w:rPr>
                <w:rFonts w:hint="eastAsia" w:ascii="Times New Roman" w:hAnsi="Times New Roman" w:cs="仿宋"/>
                <w:color w:val="auto"/>
                <w:sz w:val="24"/>
                <w:szCs w:val="24"/>
                <w:highlight w:val="none"/>
                <w:u w:val="single"/>
              </w:rPr>
              <w:t>1</w:t>
            </w:r>
            <w:r>
              <w:rPr>
                <w:rFonts w:hint="eastAsia" w:ascii="Times New Roman" w:hAnsi="Times New Roman" w:cs="仿宋"/>
                <w:color w:val="auto"/>
                <w:sz w:val="24"/>
                <w:szCs w:val="24"/>
                <w:highlight w:val="none"/>
              </w:rPr>
              <w:t>份。</w:t>
            </w:r>
          </w:p>
        </w:tc>
      </w:tr>
      <w:tr w14:paraId="5E594B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14:paraId="6007C9A2">
            <w:pPr>
              <w:spacing w:line="400" w:lineRule="exact"/>
              <w:jc w:val="center"/>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4</w:t>
            </w:r>
          </w:p>
        </w:tc>
        <w:tc>
          <w:tcPr>
            <w:tcW w:w="1772" w:type="dxa"/>
            <w:noWrap w:val="0"/>
            <w:vAlign w:val="center"/>
          </w:tcPr>
          <w:p w14:paraId="1D486A88">
            <w:pPr>
              <w:spacing w:line="400" w:lineRule="exact"/>
              <w:jc w:val="center"/>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开标</w:t>
            </w:r>
          </w:p>
        </w:tc>
        <w:tc>
          <w:tcPr>
            <w:tcW w:w="6579" w:type="dxa"/>
            <w:noWrap w:val="0"/>
            <w:vAlign w:val="center"/>
          </w:tcPr>
          <w:p w14:paraId="56CA43D2">
            <w:pPr>
              <w:spacing w:line="400" w:lineRule="exact"/>
              <w:jc w:val="lef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“苏采云”政府采购交易系统网上开标大厅进行不见面开标。</w:t>
            </w:r>
          </w:p>
        </w:tc>
      </w:tr>
      <w:tr w14:paraId="6E9176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858" w:type="dxa"/>
            <w:noWrap w:val="0"/>
            <w:vAlign w:val="center"/>
          </w:tcPr>
          <w:p w14:paraId="5C352F24">
            <w:pPr>
              <w:spacing w:line="400" w:lineRule="exact"/>
              <w:jc w:val="center"/>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5</w:t>
            </w:r>
          </w:p>
        </w:tc>
        <w:tc>
          <w:tcPr>
            <w:tcW w:w="1772" w:type="dxa"/>
            <w:noWrap w:val="0"/>
            <w:vAlign w:val="center"/>
          </w:tcPr>
          <w:p w14:paraId="40C0EAB0">
            <w:pPr>
              <w:spacing w:line="400" w:lineRule="exact"/>
              <w:jc w:val="center"/>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进口产品</w:t>
            </w:r>
          </w:p>
        </w:tc>
        <w:tc>
          <w:tcPr>
            <w:tcW w:w="6579" w:type="dxa"/>
            <w:noWrap w:val="0"/>
            <w:vAlign w:val="center"/>
          </w:tcPr>
          <w:p w14:paraId="5D3C32DF">
            <w:pPr>
              <w:spacing w:line="400" w:lineRule="exact"/>
              <w:jc w:val="lef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按以下第</w:t>
            </w:r>
            <w:r>
              <w:rPr>
                <w:rFonts w:hint="eastAsia" w:ascii="Times New Roman" w:hAnsi="Times New Roman" w:cs="仿宋"/>
                <w:color w:val="auto"/>
                <w:sz w:val="24"/>
                <w:szCs w:val="24"/>
                <w:highlight w:val="none"/>
                <w:u w:val="single"/>
              </w:rPr>
              <w:t>2</w:t>
            </w:r>
            <w:r>
              <w:rPr>
                <w:rFonts w:hint="eastAsia" w:ascii="Times New Roman" w:hAnsi="Times New Roman" w:cs="仿宋"/>
                <w:color w:val="auto"/>
                <w:sz w:val="24"/>
                <w:szCs w:val="24"/>
                <w:highlight w:val="none"/>
              </w:rPr>
              <w:t>种方式确定：</w:t>
            </w:r>
          </w:p>
          <w:p w14:paraId="1DD5526E">
            <w:pPr>
              <w:widowControl/>
              <w:spacing w:line="360" w:lineRule="exact"/>
              <w:jc w:val="lef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1.接受进口产品。</w:t>
            </w:r>
            <w:r>
              <w:rPr>
                <w:rFonts w:hint="eastAsia" w:ascii="Times New Roman" w:hAnsi="Times New Roman" w:cs="仿宋"/>
                <w:color w:val="auto"/>
                <w:sz w:val="24"/>
                <w:highlight w:val="none"/>
              </w:rPr>
              <w:t>应当符合《政府采购进口产品管理办法》（财库〔2007〕119号）、《关于政府采购进口产品管理有关问题的通知》（财办库〔2008〕248号）等相关规定</w:t>
            </w:r>
            <w:r>
              <w:rPr>
                <w:rFonts w:hint="eastAsia" w:ascii="Times New Roman" w:hAnsi="Times New Roman" w:cs="仿宋"/>
                <w:color w:val="auto"/>
                <w:sz w:val="24"/>
                <w:szCs w:val="24"/>
                <w:highlight w:val="none"/>
              </w:rPr>
              <w:t>；</w:t>
            </w:r>
          </w:p>
          <w:p w14:paraId="031564EA">
            <w:pPr>
              <w:spacing w:line="400" w:lineRule="exact"/>
              <w:jc w:val="lef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2.不接受进口产品。</w:t>
            </w:r>
          </w:p>
        </w:tc>
      </w:tr>
      <w:tr w14:paraId="538ABA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14:paraId="31510C56">
            <w:pPr>
              <w:spacing w:line="400" w:lineRule="exact"/>
              <w:jc w:val="center"/>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6</w:t>
            </w:r>
          </w:p>
        </w:tc>
        <w:tc>
          <w:tcPr>
            <w:tcW w:w="1772" w:type="dxa"/>
            <w:noWrap w:val="0"/>
            <w:vAlign w:val="center"/>
          </w:tcPr>
          <w:p w14:paraId="04FEA0B7">
            <w:pPr>
              <w:spacing w:line="400" w:lineRule="exact"/>
              <w:jc w:val="center"/>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评标办法</w:t>
            </w:r>
          </w:p>
        </w:tc>
        <w:tc>
          <w:tcPr>
            <w:tcW w:w="6579" w:type="dxa"/>
            <w:noWrap w:val="0"/>
            <w:vAlign w:val="center"/>
          </w:tcPr>
          <w:p w14:paraId="06A6C411">
            <w:pPr>
              <w:spacing w:line="400" w:lineRule="exact"/>
              <w:jc w:val="lef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具体评标办法详见招标文件第三章。</w:t>
            </w:r>
          </w:p>
          <w:p w14:paraId="0F448B2D">
            <w:pPr>
              <w:spacing w:line="400" w:lineRule="exact"/>
              <w:jc w:val="lef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评标委员会依据招标文件规定的评标办法和标准推荐</w:t>
            </w:r>
            <w:r>
              <w:rPr>
                <w:rFonts w:hint="eastAsia" w:ascii="Times New Roman" w:hAnsi="Times New Roman" w:cs="仿宋"/>
                <w:color w:val="auto"/>
                <w:sz w:val="24"/>
                <w:szCs w:val="24"/>
                <w:highlight w:val="none"/>
                <w:u w:val="single"/>
              </w:rPr>
              <w:t>3</w:t>
            </w:r>
            <w:r>
              <w:rPr>
                <w:rFonts w:hint="eastAsia" w:ascii="Times New Roman" w:hAnsi="Times New Roman" w:cs="仿宋"/>
                <w:color w:val="auto"/>
                <w:sz w:val="24"/>
                <w:szCs w:val="24"/>
                <w:highlight w:val="none"/>
              </w:rPr>
              <w:t>名中标候选人。</w:t>
            </w:r>
          </w:p>
        </w:tc>
      </w:tr>
      <w:tr w14:paraId="37E375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14:paraId="3ACDB60E">
            <w:pPr>
              <w:spacing w:line="400" w:lineRule="exact"/>
              <w:jc w:val="center"/>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7</w:t>
            </w:r>
          </w:p>
        </w:tc>
        <w:tc>
          <w:tcPr>
            <w:tcW w:w="1772" w:type="dxa"/>
            <w:noWrap w:val="0"/>
            <w:vAlign w:val="center"/>
          </w:tcPr>
          <w:p w14:paraId="22381351">
            <w:pPr>
              <w:spacing w:line="400" w:lineRule="exact"/>
              <w:jc w:val="center"/>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确定中标人</w:t>
            </w:r>
          </w:p>
        </w:tc>
        <w:tc>
          <w:tcPr>
            <w:tcW w:w="6579" w:type="dxa"/>
            <w:noWrap w:val="0"/>
            <w:vAlign w:val="center"/>
          </w:tcPr>
          <w:p w14:paraId="5A22DE8D">
            <w:pPr>
              <w:spacing w:line="400" w:lineRule="exact"/>
              <w:jc w:val="lef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按以下第</w:t>
            </w:r>
            <w:r>
              <w:rPr>
                <w:rFonts w:hint="eastAsia" w:ascii="Times New Roman" w:hAnsi="Times New Roman" w:cs="仿宋"/>
                <w:color w:val="auto"/>
                <w:sz w:val="24"/>
                <w:szCs w:val="24"/>
                <w:highlight w:val="none"/>
                <w:u w:val="single"/>
                <w:lang w:val="en-US" w:eastAsia="zh-CN"/>
              </w:rPr>
              <w:t>1</w:t>
            </w:r>
            <w:r>
              <w:rPr>
                <w:rFonts w:hint="eastAsia" w:ascii="Times New Roman" w:hAnsi="Times New Roman" w:cs="仿宋"/>
                <w:color w:val="auto"/>
                <w:sz w:val="24"/>
                <w:szCs w:val="24"/>
                <w:highlight w:val="none"/>
              </w:rPr>
              <w:t>种方式确定中标人：</w:t>
            </w:r>
          </w:p>
          <w:p w14:paraId="2027C519">
            <w:pPr>
              <w:spacing w:line="400" w:lineRule="exact"/>
              <w:jc w:val="lef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1.采购人按规定在评标委员会推荐的中标候选人中确定中标人；</w:t>
            </w:r>
          </w:p>
          <w:p w14:paraId="2432B083">
            <w:pPr>
              <w:spacing w:line="400" w:lineRule="exact"/>
              <w:jc w:val="lef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2.采购人授权评标委员会直接确定中标人。</w:t>
            </w:r>
          </w:p>
        </w:tc>
      </w:tr>
      <w:tr w14:paraId="40968B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14:paraId="23C0791C">
            <w:pPr>
              <w:spacing w:line="400" w:lineRule="exact"/>
              <w:jc w:val="center"/>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8</w:t>
            </w:r>
          </w:p>
        </w:tc>
        <w:tc>
          <w:tcPr>
            <w:tcW w:w="1772" w:type="dxa"/>
            <w:noWrap w:val="0"/>
            <w:vAlign w:val="center"/>
          </w:tcPr>
          <w:p w14:paraId="36192D38">
            <w:pPr>
              <w:spacing w:line="400" w:lineRule="exact"/>
              <w:jc w:val="center"/>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分包要求</w:t>
            </w:r>
          </w:p>
        </w:tc>
        <w:tc>
          <w:tcPr>
            <w:tcW w:w="6579" w:type="dxa"/>
            <w:noWrap w:val="0"/>
            <w:vAlign w:val="center"/>
          </w:tcPr>
          <w:p w14:paraId="313CE338">
            <w:pPr>
              <w:spacing w:line="400" w:lineRule="exact"/>
              <w:jc w:val="left"/>
              <w:rPr>
                <w:rFonts w:hint="eastAsia" w:ascii="Times New Roman" w:hAnsi="Times New Roman" w:cs="仿宋"/>
                <w:color w:val="auto"/>
                <w:sz w:val="24"/>
                <w:szCs w:val="24"/>
                <w:highlight w:val="none"/>
              </w:rPr>
            </w:pPr>
            <w:bookmarkStart w:id="69" w:name="EBebac1462c5d9459fbda8a75065c2455d"/>
            <w:r>
              <w:rPr>
                <w:rFonts w:hint="eastAsia" w:ascii="Times New Roman" w:hAnsi="Times New Roman" w:cs="仿宋"/>
                <w:color w:val="auto"/>
                <w:sz w:val="24"/>
                <w:szCs w:val="24"/>
                <w:highlight w:val="none"/>
              </w:rPr>
              <w:t>本项目的非主体、非关键性工作是否允许分包</w:t>
            </w:r>
            <w:bookmarkEnd w:id="69"/>
            <w:r>
              <w:rPr>
                <w:rFonts w:hint="eastAsia" w:ascii="Times New Roman" w:hAnsi="Times New Roman" w:cs="仿宋"/>
                <w:color w:val="auto"/>
                <w:sz w:val="24"/>
                <w:szCs w:val="24"/>
                <w:highlight w:val="none"/>
              </w:rPr>
              <w:t>按以下第</w:t>
            </w:r>
            <w:r>
              <w:rPr>
                <w:rFonts w:hint="eastAsia" w:ascii="Times New Roman" w:hAnsi="Times New Roman" w:cs="仿宋"/>
                <w:color w:val="auto"/>
                <w:sz w:val="24"/>
                <w:szCs w:val="24"/>
                <w:highlight w:val="none"/>
                <w:u w:val="single"/>
              </w:rPr>
              <w:t>  2  </w:t>
            </w:r>
            <w:r>
              <w:rPr>
                <w:rFonts w:hint="eastAsia" w:ascii="Times New Roman" w:hAnsi="Times New Roman" w:cs="仿宋"/>
                <w:color w:val="auto"/>
                <w:sz w:val="24"/>
                <w:szCs w:val="24"/>
                <w:highlight w:val="none"/>
              </w:rPr>
              <w:t>种方式确定：</w:t>
            </w:r>
          </w:p>
          <w:p w14:paraId="68E6D1FA">
            <w:pPr>
              <w:spacing w:line="400" w:lineRule="exact"/>
              <w:jc w:val="lef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1.允许分包，</w:t>
            </w:r>
            <w:bookmarkStart w:id="70" w:name="EB512ba06683724173802e2aae54a26079"/>
            <w:r>
              <w:rPr>
                <w:rFonts w:hint="eastAsia" w:ascii="Times New Roman" w:hAnsi="Times New Roman" w:cs="仿宋"/>
                <w:color w:val="auto"/>
                <w:sz w:val="24"/>
                <w:szCs w:val="24"/>
                <w:highlight w:val="none"/>
              </w:rPr>
              <w:t>允许大中型企业向一家或者多家小微企业分包，分包具体内容、金额或比例：</w:t>
            </w:r>
            <w:bookmarkEnd w:id="70"/>
            <w:r>
              <w:rPr>
                <w:rFonts w:hint="eastAsia" w:ascii="Times New Roman" w:hAnsi="Times New Roman" w:cs="仿宋"/>
                <w:color w:val="auto"/>
                <w:sz w:val="24"/>
                <w:szCs w:val="24"/>
                <w:highlight w:val="none"/>
              </w:rPr>
              <w:t>无</w:t>
            </w:r>
          </w:p>
          <w:p w14:paraId="21527086">
            <w:pPr>
              <w:spacing w:line="400" w:lineRule="exact"/>
              <w:jc w:val="lef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2.不允许分包。</w:t>
            </w:r>
          </w:p>
        </w:tc>
      </w:tr>
      <w:tr w14:paraId="35BE97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14:paraId="67AB489B">
            <w:pPr>
              <w:spacing w:line="400" w:lineRule="exact"/>
              <w:jc w:val="center"/>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9</w:t>
            </w:r>
          </w:p>
        </w:tc>
        <w:tc>
          <w:tcPr>
            <w:tcW w:w="1772" w:type="dxa"/>
            <w:noWrap w:val="0"/>
            <w:vAlign w:val="center"/>
          </w:tcPr>
          <w:p w14:paraId="0E39FF62">
            <w:pPr>
              <w:spacing w:line="400" w:lineRule="exact"/>
              <w:jc w:val="center"/>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代理费用收取方式及标准</w:t>
            </w:r>
          </w:p>
        </w:tc>
        <w:tc>
          <w:tcPr>
            <w:tcW w:w="6579" w:type="dxa"/>
            <w:noWrap w:val="0"/>
            <w:vAlign w:val="center"/>
          </w:tcPr>
          <w:p w14:paraId="7257A5EC">
            <w:pPr>
              <w:spacing w:line="400" w:lineRule="exact"/>
              <w:jc w:val="left"/>
              <w:rPr>
                <w:rFonts w:hint="eastAsia" w:ascii="Times New Roman" w:hAnsi="Times New Roman" w:cs="仿宋"/>
                <w:color w:val="auto"/>
                <w:sz w:val="24"/>
                <w:szCs w:val="24"/>
                <w:highlight w:val="none"/>
              </w:rPr>
            </w:pPr>
            <w:bookmarkStart w:id="71" w:name="EBfe735bb6fc4d4e5e9e350f940db98c5f"/>
            <w:bookmarkEnd w:id="71"/>
            <w:bookmarkStart w:id="72" w:name="EB494c0bc35e674ba8ba0c8d892ff35fa5"/>
            <w:r>
              <w:rPr>
                <w:rFonts w:hint="eastAsia" w:ascii="Times New Roman" w:hAnsi="Times New Roman" w:eastAsia="宋体" w:cs="仿宋"/>
                <w:color w:val="auto"/>
                <w:sz w:val="24"/>
                <w:szCs w:val="24"/>
                <w:highlight w:val="none"/>
                <w:lang w:val="en-US" w:eastAsia="zh-CN"/>
              </w:rPr>
              <w:t>按代理合同约定支付，</w:t>
            </w:r>
            <w:r>
              <w:rPr>
                <w:rFonts w:hint="eastAsia" w:ascii="Times New Roman" w:hAnsi="Times New Roman" w:eastAsia="宋体" w:cs="仿宋"/>
                <w:color w:val="auto"/>
                <w:sz w:val="24"/>
                <w:szCs w:val="24"/>
                <w:highlight w:val="none"/>
              </w:rPr>
              <w:t>可以采用数字人民币方式支付。</w:t>
            </w:r>
            <w:bookmarkEnd w:id="72"/>
          </w:p>
        </w:tc>
      </w:tr>
      <w:tr w14:paraId="3F14A9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14:paraId="65430072">
            <w:pPr>
              <w:spacing w:line="400" w:lineRule="exact"/>
              <w:jc w:val="center"/>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10</w:t>
            </w:r>
          </w:p>
        </w:tc>
        <w:tc>
          <w:tcPr>
            <w:tcW w:w="1772" w:type="dxa"/>
            <w:noWrap w:val="0"/>
            <w:vAlign w:val="center"/>
          </w:tcPr>
          <w:p w14:paraId="02DCA1ED">
            <w:pPr>
              <w:spacing w:line="400" w:lineRule="exact"/>
              <w:jc w:val="center"/>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其他</w:t>
            </w:r>
            <w:bookmarkEnd w:id="62"/>
            <w:bookmarkEnd w:id="63"/>
            <w:bookmarkEnd w:id="64"/>
          </w:p>
        </w:tc>
        <w:tc>
          <w:tcPr>
            <w:tcW w:w="6579" w:type="dxa"/>
            <w:noWrap w:val="0"/>
            <w:vAlign w:val="center"/>
          </w:tcPr>
          <w:p w14:paraId="11C3136E">
            <w:pPr>
              <w:spacing w:line="400" w:lineRule="exact"/>
              <w:jc w:val="lef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信用信息查询截止时间：资格审查结束前。由采购人在资格审查现场查询信用信息，查询结果留存并归档。</w:t>
            </w:r>
          </w:p>
          <w:p w14:paraId="76321EB0">
            <w:pPr>
              <w:spacing w:line="400" w:lineRule="exact"/>
              <w:jc w:val="left"/>
              <w:rPr>
                <w:rFonts w:hint="default" w:ascii="Times New Roman" w:hAnsi="Times New Roman" w:cs="仿宋"/>
                <w:color w:val="auto"/>
                <w:sz w:val="24"/>
                <w:szCs w:val="24"/>
                <w:highlight w:val="none"/>
                <w:lang w:val="en-US"/>
              </w:rPr>
            </w:pPr>
            <w:r>
              <w:rPr>
                <w:rFonts w:hint="eastAsia" w:ascii="仿宋" w:hAnsi="仿宋" w:eastAsia="宋体" w:cs="仿宋"/>
                <w:color w:val="auto"/>
                <w:sz w:val="24"/>
                <w:szCs w:val="24"/>
                <w:highlight w:val="none"/>
                <w:lang w:eastAsia="zh-CN"/>
              </w:rPr>
              <w:t>沭阳县2026-2028年残疾儿童基本康复服务--</w:t>
            </w:r>
            <w:r>
              <w:rPr>
                <w:rFonts w:hint="eastAsia" w:ascii="仿宋" w:hAnsi="仿宋" w:cs="仿宋"/>
                <w:color w:val="auto"/>
                <w:sz w:val="24"/>
                <w:szCs w:val="24"/>
                <w:highlight w:val="none"/>
                <w:lang w:eastAsia="zh-CN"/>
              </w:rPr>
              <w:t>孤独症</w:t>
            </w:r>
            <w:r>
              <w:rPr>
                <w:rFonts w:hint="eastAsia" w:ascii="仿宋" w:hAnsi="仿宋" w:cs="仿宋"/>
                <w:color w:val="auto"/>
                <w:sz w:val="24"/>
                <w:szCs w:val="24"/>
                <w:highlight w:val="none"/>
                <w:lang w:val="en-US" w:eastAsia="zh-CN"/>
              </w:rPr>
              <w:t>1</w:t>
            </w:r>
            <w:r>
              <w:rPr>
                <w:rFonts w:hint="eastAsia" w:ascii="仿宋" w:hAnsi="仿宋" w:eastAsia="宋体" w:cs="仿宋"/>
                <w:color w:val="auto"/>
                <w:sz w:val="24"/>
                <w:szCs w:val="24"/>
                <w:highlight w:val="none"/>
                <w:lang w:eastAsia="zh-CN"/>
              </w:rPr>
              <w:t>康复服务机构采购项目</w:t>
            </w:r>
            <w:r>
              <w:rPr>
                <w:rFonts w:hint="eastAsia" w:ascii="仿宋" w:hAnsi="仿宋" w:cs="仿宋"/>
                <w:color w:val="auto"/>
                <w:sz w:val="24"/>
                <w:szCs w:val="24"/>
                <w:highlight w:val="none"/>
                <w:lang w:val="en-US" w:eastAsia="zh-CN"/>
              </w:rPr>
              <w:t>中标单位</w:t>
            </w:r>
            <w:r>
              <w:rPr>
                <w:rFonts w:hint="eastAsia" w:ascii="宋体" w:hAnsi="宋体" w:eastAsia="宋体" w:cs="宋体"/>
                <w:color w:val="auto"/>
                <w:sz w:val="24"/>
                <w:szCs w:val="24"/>
                <w:highlight w:val="none"/>
                <w:lang w:val="en-US" w:eastAsia="zh-CN" w:bidi="ar"/>
              </w:rPr>
              <w:t>沭阳县启聪儿童康复中心不得参加本次招标项目的投标。</w:t>
            </w:r>
          </w:p>
        </w:tc>
      </w:tr>
    </w:tbl>
    <w:p w14:paraId="11AD3C5A">
      <w:pPr>
        <w:rPr>
          <w:color w:val="auto"/>
          <w:sz w:val="20"/>
          <w:highlight w:val="none"/>
        </w:rPr>
      </w:pPr>
    </w:p>
    <w:p w14:paraId="5D37BD40">
      <w:pPr>
        <w:pStyle w:val="39"/>
        <w:spacing w:before="0" w:after="0" w:line="480" w:lineRule="exact"/>
        <w:ind w:firstLine="321"/>
        <w:rPr>
          <w:rFonts w:hint="eastAsia" w:eastAsia="宋体" w:cs="Arial"/>
          <w:bCs/>
          <w:color w:val="auto"/>
          <w:szCs w:val="22"/>
          <w:highlight w:val="none"/>
        </w:rPr>
      </w:pPr>
      <w:bookmarkStart w:id="73" w:name="EB6eaaf474639940df900ef4965d71f450"/>
      <w:bookmarkEnd w:id="73"/>
      <w:bookmarkStart w:id="74" w:name="_Toc8239"/>
      <w:bookmarkStart w:id="75" w:name="_Toc30953"/>
      <w:bookmarkStart w:id="76" w:name="_Toc81575155"/>
      <w:bookmarkStart w:id="77" w:name="_Toc81575192"/>
      <w:r>
        <w:rPr>
          <w:rFonts w:hint="eastAsia" w:eastAsia="宋体" w:cs="Arial"/>
          <w:bCs/>
          <w:color w:val="auto"/>
          <w:szCs w:val="22"/>
          <w:highlight w:val="none"/>
        </w:rPr>
        <w:t>一、总 则</w:t>
      </w:r>
      <w:bookmarkEnd w:id="74"/>
      <w:bookmarkEnd w:id="75"/>
      <w:bookmarkEnd w:id="76"/>
      <w:bookmarkEnd w:id="77"/>
    </w:p>
    <w:p w14:paraId="227EB732">
      <w:pPr>
        <w:spacing w:line="480" w:lineRule="exact"/>
        <w:ind w:firstLine="482"/>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1、招标方式</w:t>
      </w:r>
    </w:p>
    <w:p w14:paraId="5199434C">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本次采购采取公开招标方式。</w:t>
      </w:r>
    </w:p>
    <w:p w14:paraId="1F0D0CD0">
      <w:pPr>
        <w:spacing w:line="480" w:lineRule="exact"/>
        <w:ind w:firstLine="482"/>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2、合格的投标人</w:t>
      </w:r>
    </w:p>
    <w:p w14:paraId="22A3050F">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2.1合格的投标人必须符合招标文件第一章《投标邀请》第二条及投标人须知前附表相关规定，且具备完成本项目的能力，中标后不允许转包。</w:t>
      </w:r>
    </w:p>
    <w:p w14:paraId="765CEC81">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2.2满足本文件实质性要求的规定。</w:t>
      </w:r>
    </w:p>
    <w:p w14:paraId="37187C8E">
      <w:pPr>
        <w:spacing w:line="480" w:lineRule="exact"/>
        <w:ind w:firstLine="482"/>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3、适用法律</w:t>
      </w:r>
    </w:p>
    <w:p w14:paraId="0E7CA342">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本次招标及由招标产生的合同受中华人民共和国的相关法律、法规制约和保护。</w:t>
      </w:r>
    </w:p>
    <w:p w14:paraId="4FDD45AF">
      <w:pPr>
        <w:spacing w:line="480" w:lineRule="exact"/>
        <w:ind w:firstLine="482"/>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4、投标费用</w:t>
      </w:r>
    </w:p>
    <w:p w14:paraId="0C0E7944">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投标人应自行承担所有参加投标有关的费用。</w:t>
      </w:r>
    </w:p>
    <w:p w14:paraId="388859E6">
      <w:pPr>
        <w:pStyle w:val="39"/>
        <w:spacing w:before="0" w:after="0" w:line="480" w:lineRule="exact"/>
        <w:ind w:firstLine="321"/>
        <w:rPr>
          <w:rFonts w:hint="eastAsia" w:eastAsia="宋体" w:cs="Arial"/>
          <w:bCs/>
          <w:color w:val="auto"/>
          <w:szCs w:val="22"/>
          <w:highlight w:val="none"/>
        </w:rPr>
      </w:pPr>
      <w:bookmarkStart w:id="78" w:name="_Toc81575193"/>
      <w:bookmarkStart w:id="79" w:name="_Toc81575156"/>
      <w:bookmarkStart w:id="80" w:name="_Toc15995"/>
      <w:bookmarkStart w:id="81" w:name="_Toc29306"/>
      <w:r>
        <w:rPr>
          <w:rFonts w:hint="eastAsia" w:eastAsia="宋体" w:cs="Arial"/>
          <w:bCs/>
          <w:color w:val="auto"/>
          <w:szCs w:val="22"/>
          <w:highlight w:val="none"/>
        </w:rPr>
        <w:t>二、招标文件</w:t>
      </w:r>
      <w:bookmarkEnd w:id="78"/>
      <w:bookmarkEnd w:id="79"/>
      <w:bookmarkEnd w:id="80"/>
      <w:bookmarkEnd w:id="81"/>
    </w:p>
    <w:p w14:paraId="0FEDF23D">
      <w:pPr>
        <w:spacing w:line="480" w:lineRule="exact"/>
        <w:ind w:firstLine="482"/>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5、招标文件构成</w:t>
      </w:r>
    </w:p>
    <w:p w14:paraId="1E8834AA">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5.1招标文件由以下部分组成：</w:t>
      </w:r>
    </w:p>
    <w:p w14:paraId="22EA9974">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第一章：投标邀请；</w:t>
      </w:r>
    </w:p>
    <w:p w14:paraId="598EFE73">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第二章：投标人须知；</w:t>
      </w:r>
    </w:p>
    <w:p w14:paraId="52D7DF2E">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第三章：资格审查及评标办法；</w:t>
      </w:r>
    </w:p>
    <w:p w14:paraId="05D2010A">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第四章：采购需求；</w:t>
      </w:r>
    </w:p>
    <w:p w14:paraId="3E9E7E1F">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第五章：合同文本；</w:t>
      </w:r>
    </w:p>
    <w:p w14:paraId="3D722E0A">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第六章：投标文件格式。</w:t>
      </w:r>
    </w:p>
    <w:p w14:paraId="5B3A8810">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请仔细检查招标文件是否齐全，如有缺漏请立即与代理机构联系解决。</w:t>
      </w:r>
    </w:p>
    <w:p w14:paraId="42E7261E">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5.2投标人应认真阅读招标文件中所有的事项、格式、条款和规范等要求，按招标文件要求和规定编制投标文件，并保证所提供的全部资料的真实性，以使其投标文件对招标文件作出实质性响应，否则风险由投标人自行承担。</w:t>
      </w:r>
    </w:p>
    <w:p w14:paraId="29230036">
      <w:pPr>
        <w:spacing w:line="480" w:lineRule="exact"/>
        <w:ind w:firstLine="482"/>
        <w:rPr>
          <w:rFonts w:ascii="Times New Roman" w:hAnsi="Times New Roman" w:eastAsia="宋体" w:cs="仿宋"/>
          <w:b/>
          <w:color w:val="auto"/>
          <w:sz w:val="24"/>
          <w:highlight w:val="none"/>
          <w:lang w:val="en-US" w:eastAsia="zh-CN"/>
        </w:rPr>
      </w:pPr>
      <w:r>
        <w:rPr>
          <w:rFonts w:hint="eastAsia" w:ascii="Times New Roman" w:hAnsi="Times New Roman" w:cs="仿宋"/>
          <w:b/>
          <w:color w:val="auto"/>
          <w:sz w:val="24"/>
          <w:highlight w:val="none"/>
        </w:rPr>
        <w:t>6、政府采购政策功能落实</w:t>
      </w:r>
      <w:r>
        <w:rPr>
          <w:rFonts w:hint="eastAsia" w:ascii="Times New Roman" w:hAnsi="Times New Roman" w:cs="仿宋"/>
          <w:b/>
          <w:color w:val="auto"/>
          <w:sz w:val="24"/>
          <w:highlight w:val="none"/>
          <w:lang w:eastAsia="zh-CN"/>
        </w:rPr>
        <w:t>：</w:t>
      </w:r>
      <w:r>
        <w:rPr>
          <w:rFonts w:hint="eastAsia" w:ascii="Times New Roman" w:hAnsi="Times New Roman" w:cs="仿宋"/>
          <w:b/>
          <w:color w:val="auto"/>
          <w:sz w:val="24"/>
          <w:highlight w:val="none"/>
          <w:u w:val="single"/>
          <w:lang w:val="en-US" w:eastAsia="zh-CN"/>
        </w:rPr>
        <w:t>1</w:t>
      </w:r>
    </w:p>
    <w:p w14:paraId="5C89D7A9">
      <w:pPr>
        <w:spacing w:line="480" w:lineRule="exact"/>
        <w:ind w:firstLine="482"/>
        <w:rPr>
          <w:rFonts w:hint="eastAsia" w:ascii="Times New Roman" w:hAnsi="Times New Roman" w:cs="仿宋"/>
          <w:b w:val="0"/>
          <w:bCs/>
          <w:color w:val="auto"/>
          <w:sz w:val="24"/>
          <w:highlight w:val="none"/>
        </w:rPr>
      </w:pPr>
      <w:r>
        <w:rPr>
          <w:rFonts w:hint="eastAsia" w:ascii="Times New Roman" w:hAnsi="Times New Roman" w:cs="仿宋"/>
          <w:b w:val="0"/>
          <w:bCs/>
          <w:color w:val="auto"/>
          <w:sz w:val="24"/>
          <w:highlight w:val="none"/>
        </w:rPr>
        <w:t>1、采购本国货物、工程和服务</w:t>
      </w:r>
    </w:p>
    <w:p w14:paraId="429AE0F2">
      <w:pPr>
        <w:spacing w:line="480" w:lineRule="exact"/>
        <w:ind w:firstLine="482"/>
        <w:rPr>
          <w:rFonts w:hint="eastAsia" w:ascii="Times New Roman" w:hAnsi="Times New Roman" w:cs="仿宋"/>
          <w:b w:val="0"/>
          <w:bCs/>
          <w:color w:val="auto"/>
          <w:sz w:val="24"/>
          <w:highlight w:val="none"/>
        </w:rPr>
      </w:pPr>
      <w:r>
        <w:rPr>
          <w:rFonts w:hint="eastAsia" w:ascii="Times New Roman" w:hAnsi="Times New Roman" w:cs="仿宋"/>
          <w:b w:val="0"/>
          <w:bCs/>
          <w:color w:val="auto"/>
          <w:sz w:val="24"/>
          <w:highlight w:val="none"/>
        </w:rPr>
        <w:t>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p>
    <w:p w14:paraId="681D34D6">
      <w:pPr>
        <w:spacing w:line="480" w:lineRule="exact"/>
        <w:ind w:firstLine="482"/>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7、招标文件的澄清或修改</w:t>
      </w:r>
    </w:p>
    <w:p w14:paraId="34D3BD4F">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7.1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p>
    <w:p w14:paraId="09925CF8">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7.2招标文件的澄清、修改将在原公告媒体上发布更正公告，澄清、修改文件均作为招标文件的组成部分，并对投标人具有约束力。</w:t>
      </w:r>
    </w:p>
    <w:p w14:paraId="596ABBD5">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7.3投标人应及时登录“苏采云”系统获取澄清答疑文件（修改后的招标文件），如投标人未能及时下载澄清答疑文件，造成的相关责任由投标人承担。</w:t>
      </w:r>
    </w:p>
    <w:p w14:paraId="681C4594">
      <w:pPr>
        <w:pStyle w:val="39"/>
        <w:spacing w:before="0" w:after="0" w:line="480" w:lineRule="exact"/>
        <w:ind w:firstLine="321"/>
        <w:rPr>
          <w:rFonts w:hint="eastAsia" w:eastAsia="宋体" w:cs="Arial"/>
          <w:bCs/>
          <w:color w:val="auto"/>
          <w:szCs w:val="22"/>
          <w:highlight w:val="none"/>
        </w:rPr>
      </w:pPr>
      <w:bookmarkStart w:id="82" w:name="_Toc81575157"/>
      <w:bookmarkStart w:id="83" w:name="_Toc11461"/>
      <w:bookmarkStart w:id="84" w:name="_Toc5574"/>
      <w:bookmarkStart w:id="85" w:name="_Toc81575194"/>
      <w:r>
        <w:rPr>
          <w:rFonts w:hint="eastAsia" w:eastAsia="宋体" w:cs="Arial"/>
          <w:bCs/>
          <w:color w:val="auto"/>
          <w:szCs w:val="22"/>
          <w:highlight w:val="none"/>
        </w:rPr>
        <w:t>三、投标文件的编制</w:t>
      </w:r>
      <w:bookmarkEnd w:id="82"/>
      <w:bookmarkEnd w:id="83"/>
      <w:bookmarkEnd w:id="84"/>
      <w:bookmarkEnd w:id="85"/>
    </w:p>
    <w:p w14:paraId="663C1BC8">
      <w:pPr>
        <w:keepNext w:val="0"/>
        <w:keepLines w:val="0"/>
        <w:pageBreakBefore w:val="0"/>
        <w:widowControl w:val="0"/>
        <w:spacing w:line="460" w:lineRule="exact"/>
        <w:ind w:firstLine="482"/>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8、投标文件的编制要求</w:t>
      </w:r>
    </w:p>
    <w:p w14:paraId="7B209A05">
      <w:pPr>
        <w:keepNext w:val="0"/>
        <w:keepLines w:val="0"/>
        <w:pageBreakBefore w:val="0"/>
        <w:widowControl w:val="0"/>
        <w:spacing w:line="46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8.1投标人应仔细阅读“招标文件”的所有内容，保证所提供的全部资料的真实性、完整性及有效性，以使其投标对“招标文件”作出实质性响应。</w:t>
      </w:r>
    </w:p>
    <w:p w14:paraId="52EBB578">
      <w:pPr>
        <w:keepNext w:val="0"/>
        <w:keepLines w:val="0"/>
        <w:pageBreakBefore w:val="0"/>
        <w:widowControl w:val="0"/>
        <w:spacing w:line="46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8.2投标文件要求加盖电子签章之处，应按要求加盖投标人数字证书的电子签章。其他需要盖章但未明确要求电子签章的，投标人可按要求加盖公章后上传材料电子件或直接加盖电子签章。</w:t>
      </w:r>
    </w:p>
    <w:p w14:paraId="765A94D9">
      <w:pPr>
        <w:keepNext w:val="0"/>
        <w:keepLines w:val="0"/>
        <w:pageBreakBefore w:val="0"/>
        <w:widowControl w:val="0"/>
        <w:spacing w:line="46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8.3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p>
    <w:p w14:paraId="443BB4A5">
      <w:pPr>
        <w:keepNext w:val="0"/>
        <w:keepLines w:val="0"/>
        <w:pageBreakBefore w:val="0"/>
        <w:widowControl w:val="0"/>
        <w:spacing w:line="460" w:lineRule="exact"/>
        <w:ind w:firstLine="482"/>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9、投标文件构成</w:t>
      </w:r>
    </w:p>
    <w:p w14:paraId="51A2E7CC">
      <w:pPr>
        <w:keepNext w:val="0"/>
        <w:keepLines w:val="0"/>
        <w:pageBreakBefore w:val="0"/>
        <w:widowControl w:val="0"/>
        <w:spacing w:line="460" w:lineRule="exact"/>
        <w:ind w:firstLine="480"/>
        <w:rPr>
          <w:rFonts w:ascii="Times New Roman" w:hAnsi="Times New Roman" w:cs="仿宋"/>
          <w:bCs/>
          <w:color w:val="auto"/>
          <w:sz w:val="24"/>
          <w:highlight w:val="none"/>
        </w:rPr>
      </w:pPr>
      <w:r>
        <w:rPr>
          <w:rFonts w:hint="eastAsia" w:ascii="Times New Roman" w:hAnsi="Times New Roman" w:cs="仿宋"/>
          <w:color w:val="auto"/>
          <w:sz w:val="24"/>
          <w:highlight w:val="none"/>
        </w:rPr>
        <w:t>9.1投标文件包括资格证明文件、开标一览表、分项报价表、响应及偏离表、投标函、其他证明文件等部分。</w:t>
      </w:r>
      <w:r>
        <w:rPr>
          <w:rFonts w:hint="eastAsia" w:ascii="Times New Roman" w:hAnsi="Times New Roman" w:cs="仿宋"/>
          <w:bCs/>
          <w:color w:val="auto"/>
          <w:sz w:val="24"/>
          <w:highlight w:val="none"/>
        </w:rPr>
        <w:t>投标文件构成资料为非中文时应提供中文译版。</w:t>
      </w:r>
      <w:bookmarkStart w:id="86" w:name="EBc50e2bb832bb43068403b10c1cce6141"/>
    </w:p>
    <w:p w14:paraId="66F2EB53">
      <w:pPr>
        <w:keepNext w:val="0"/>
        <w:keepLines w:val="0"/>
        <w:pageBreakBefore w:val="0"/>
        <w:widowControl w:val="0"/>
        <w:spacing w:line="460" w:lineRule="exact"/>
        <w:ind w:firstLine="482"/>
        <w:rPr>
          <w:rFonts w:ascii="Times New Roman" w:hAnsi="Times New Roman" w:cs="仿宋"/>
          <w:bCs/>
          <w:color w:val="auto"/>
          <w:sz w:val="24"/>
          <w:highlight w:val="none"/>
        </w:rPr>
      </w:pPr>
      <w:r>
        <w:rPr>
          <w:rFonts w:hint="eastAsia" w:ascii="Times New Roman" w:hAnsi="Times New Roman" w:cs="仿宋"/>
          <w:b/>
          <w:color w:val="auto"/>
          <w:sz w:val="24"/>
          <w:highlight w:val="none"/>
        </w:rPr>
        <w:t>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86"/>
    </w:p>
    <w:p w14:paraId="4A0820FC">
      <w:pPr>
        <w:keepNext w:val="0"/>
        <w:keepLines w:val="0"/>
        <w:pageBreakBefore w:val="0"/>
        <w:widowControl w:val="0"/>
        <w:spacing w:line="460" w:lineRule="exact"/>
        <w:ind w:firstLine="482"/>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10、投标报价</w:t>
      </w:r>
    </w:p>
    <w:p w14:paraId="3C0C0DF2">
      <w:pPr>
        <w:keepNext w:val="0"/>
        <w:keepLines w:val="0"/>
        <w:pageBreakBefore w:val="0"/>
        <w:widowControl w:val="0"/>
        <w:spacing w:line="46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10.1报价为一次报价，本项目不接受备选的投标方案或有选择的报价，只允许有一个报价。</w:t>
      </w:r>
    </w:p>
    <w:p w14:paraId="1A0C6F6B">
      <w:pPr>
        <w:keepNext w:val="0"/>
        <w:keepLines w:val="0"/>
        <w:pageBreakBefore w:val="0"/>
        <w:widowControl w:val="0"/>
        <w:spacing w:line="46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10.2报价注意事项：投标价格一律以人民币计算，以元为单位标注，最多保留至小数点后两位，招标文件有规定的按招标文件执行。</w:t>
      </w:r>
    </w:p>
    <w:p w14:paraId="153059C4">
      <w:pPr>
        <w:keepNext w:val="0"/>
        <w:keepLines w:val="0"/>
        <w:pageBreakBefore w:val="0"/>
        <w:widowControl w:val="0"/>
        <w:spacing w:line="460" w:lineRule="exact"/>
        <w:ind w:firstLine="482"/>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11、投标保证金</w:t>
      </w:r>
      <w:bookmarkStart w:id="87" w:name="EB183a0bf075204c54a4ff090f1aecaaa7"/>
    </w:p>
    <w:p w14:paraId="62A9FB6B">
      <w:pPr>
        <w:keepNext w:val="0"/>
        <w:keepLines w:val="0"/>
        <w:pageBreakBefore w:val="0"/>
        <w:widowControl w:val="0"/>
        <w:spacing w:line="46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本项目不收取投标保证金。</w:t>
      </w:r>
      <w:bookmarkEnd w:id="87"/>
    </w:p>
    <w:p w14:paraId="6D09585C">
      <w:pPr>
        <w:keepNext w:val="0"/>
        <w:keepLines w:val="0"/>
        <w:pageBreakBefore w:val="0"/>
        <w:widowControl w:val="0"/>
        <w:spacing w:line="460" w:lineRule="exact"/>
        <w:ind w:firstLine="482"/>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12、投标有效期</w:t>
      </w:r>
    </w:p>
    <w:p w14:paraId="639EBEAA">
      <w:pPr>
        <w:keepNext w:val="0"/>
        <w:keepLines w:val="0"/>
        <w:pageBreakBefore w:val="0"/>
        <w:widowControl w:val="0"/>
        <w:spacing w:line="46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12.1在投标人须知前附表规定的投标有效期内，投标有效期从提交投标文件的截止之日起算。投标有效期比规定短的将被视为未实质性响应招标文件。</w:t>
      </w:r>
    </w:p>
    <w:p w14:paraId="38AF4BC7">
      <w:pPr>
        <w:keepNext w:val="0"/>
        <w:keepLines w:val="0"/>
        <w:pageBreakBefore w:val="0"/>
        <w:widowControl w:val="0"/>
        <w:spacing w:line="46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p>
    <w:p w14:paraId="617438CA">
      <w:pPr>
        <w:pStyle w:val="39"/>
        <w:spacing w:before="0" w:after="0" w:line="480" w:lineRule="exact"/>
        <w:ind w:firstLine="321"/>
        <w:rPr>
          <w:rFonts w:hint="eastAsia" w:eastAsia="宋体" w:cs="Arial"/>
          <w:bCs/>
          <w:color w:val="auto"/>
          <w:szCs w:val="22"/>
          <w:highlight w:val="none"/>
        </w:rPr>
      </w:pPr>
      <w:bookmarkStart w:id="88" w:name="_Toc23443"/>
      <w:bookmarkStart w:id="89" w:name="_Toc2773"/>
      <w:bookmarkStart w:id="90" w:name="_Toc81575195"/>
      <w:bookmarkStart w:id="91" w:name="_Toc81575158"/>
      <w:r>
        <w:rPr>
          <w:rFonts w:hint="eastAsia" w:eastAsia="宋体" w:cs="Arial"/>
          <w:bCs/>
          <w:color w:val="auto"/>
          <w:szCs w:val="22"/>
          <w:highlight w:val="none"/>
        </w:rPr>
        <w:t>四、投标文件的提交</w:t>
      </w:r>
      <w:bookmarkEnd w:id="88"/>
      <w:bookmarkEnd w:id="89"/>
      <w:bookmarkEnd w:id="90"/>
      <w:bookmarkEnd w:id="91"/>
    </w:p>
    <w:p w14:paraId="549AF6C9">
      <w:pPr>
        <w:spacing w:line="480" w:lineRule="exact"/>
        <w:ind w:firstLine="482"/>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13、投标文件的提交</w:t>
      </w:r>
    </w:p>
    <w:p w14:paraId="1DF93D95">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13.1投标人应在招标文件规定的投标截止时间前提交投标文件并将电子投标文件上传至“苏采云”系统对应的本次开标采购包中。除招标文件另有规定外，投标人所提交的投标文件不予退还。</w:t>
      </w:r>
    </w:p>
    <w:p w14:paraId="111350E4">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13.2投标文件的修改和撤回：在投标截止时间前，投标人可以撤回或重新提交投标文件。投标文件以最终完成上传的为准。</w:t>
      </w:r>
    </w:p>
    <w:p w14:paraId="3711A9D7">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13.3采购人、采购代理机构可以通过修改招标文件酌情延长投标文件接收截止日期，在此情况下，投标人的所有权利和义务以及投标人受制约的截止日期均应以延长后新的截止日期为准。</w:t>
      </w:r>
    </w:p>
    <w:p w14:paraId="33DEE7B9">
      <w:pPr>
        <w:spacing w:line="480" w:lineRule="exact"/>
        <w:ind w:firstLine="482"/>
        <w:rPr>
          <w:rFonts w:ascii="Times New Roman" w:hAnsi="Times New Roman" w:cs="仿宋"/>
          <w:b/>
          <w:color w:val="auto"/>
          <w:sz w:val="24"/>
          <w:highlight w:val="none"/>
        </w:rPr>
      </w:pPr>
      <w:r>
        <w:rPr>
          <w:rFonts w:hint="eastAsia" w:ascii="Times New Roman" w:hAnsi="Times New Roman" w:cs="仿宋"/>
          <w:b/>
          <w:color w:val="auto"/>
          <w:sz w:val="24"/>
          <w:highlight w:val="none"/>
        </w:rPr>
        <w:t>14、投标文件被拒绝接收的情形</w:t>
      </w:r>
    </w:p>
    <w:p w14:paraId="2D634510">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在招标文件规定的投标截止时间后上传的投标文件或对投标报价或其他实质性内容修正的文件。</w:t>
      </w:r>
    </w:p>
    <w:p w14:paraId="59C8BBFE">
      <w:pPr>
        <w:pStyle w:val="39"/>
        <w:spacing w:before="0" w:after="0" w:line="520" w:lineRule="exact"/>
        <w:ind w:firstLine="321"/>
        <w:rPr>
          <w:rFonts w:hint="eastAsia" w:eastAsia="宋体" w:cs="Arial"/>
          <w:bCs/>
          <w:color w:val="auto"/>
          <w:szCs w:val="22"/>
          <w:highlight w:val="none"/>
        </w:rPr>
      </w:pPr>
      <w:bookmarkStart w:id="92" w:name="_Toc81575160"/>
      <w:bookmarkStart w:id="93" w:name="_Toc959"/>
      <w:bookmarkStart w:id="94" w:name="_Toc81575197"/>
      <w:bookmarkStart w:id="95" w:name="_Toc20026"/>
      <w:r>
        <w:rPr>
          <w:rFonts w:hint="eastAsia" w:eastAsia="宋体" w:cs="Arial"/>
          <w:bCs/>
          <w:color w:val="auto"/>
          <w:szCs w:val="22"/>
          <w:highlight w:val="none"/>
        </w:rPr>
        <w:t>五、开标、评标程序</w:t>
      </w:r>
      <w:bookmarkEnd w:id="92"/>
      <w:bookmarkEnd w:id="93"/>
      <w:bookmarkEnd w:id="94"/>
      <w:bookmarkEnd w:id="95"/>
    </w:p>
    <w:p w14:paraId="1476B0C1">
      <w:pPr>
        <w:spacing w:line="480" w:lineRule="exact"/>
        <w:ind w:firstLine="482"/>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15、开标</w:t>
      </w:r>
    </w:p>
    <w:p w14:paraId="10033946">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15.1采购代理机构将在招标公告中规定的时间和地点组织公开开标。投标人应当按照《操作手册》规定，参加开标活动，在“苏采云”系统规定的时间内对投标文件解密。</w:t>
      </w:r>
    </w:p>
    <w:p w14:paraId="54122F43">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15.2开标仪式由采购代理机构组织。“苏采云”系统将自动对项目进行开标，并宣布各投标人名称和投标价格。</w:t>
      </w:r>
    </w:p>
    <w:p w14:paraId="0EC0F257">
      <w:pPr>
        <w:spacing w:line="480" w:lineRule="exact"/>
        <w:ind w:firstLine="482"/>
        <w:rPr>
          <w:rFonts w:hint="eastAsia" w:ascii="Times New Roman" w:hAnsi="Times New Roman" w:cs="仿宋"/>
          <w:b/>
          <w:bCs/>
          <w:color w:val="auto"/>
          <w:sz w:val="24"/>
          <w:highlight w:val="none"/>
        </w:rPr>
      </w:pPr>
      <w:r>
        <w:rPr>
          <w:rFonts w:hint="eastAsia" w:ascii="Times New Roman" w:hAnsi="Times New Roman" w:cs="仿宋"/>
          <w:b/>
          <w:bCs/>
          <w:color w:val="auto"/>
          <w:sz w:val="24"/>
          <w:highlight w:val="none"/>
        </w:rPr>
        <w:t>15.3投标人用于解密的CA证书应为该投标文件生成加密、上传的同一把CA证书。投标人应登录“苏采云”系统进入“开标大厅”，在系统约定时间内使用CA证书解密，未成功解密的视为放弃投标。</w:t>
      </w:r>
    </w:p>
    <w:p w14:paraId="56020BD3">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15.4投标人如果对开标过程和开标记录有疑义，应当根据《操作手册》规定提出。如“苏采云”系统中《开标记录表》宣布后5分钟内未提出的，视同认可开标结果。</w:t>
      </w:r>
    </w:p>
    <w:p w14:paraId="3F3F61CD">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15.5投标人在开、评标全过程中应保持通讯畅通，及时登录“苏采云”系统查阅、答复相关信息。</w:t>
      </w:r>
    </w:p>
    <w:p w14:paraId="6A033460">
      <w:pPr>
        <w:spacing w:line="480" w:lineRule="exact"/>
        <w:ind w:firstLine="482"/>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16、评标委员会</w:t>
      </w:r>
    </w:p>
    <w:p w14:paraId="5F3CEEFB">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p>
    <w:p w14:paraId="22837B53">
      <w:pPr>
        <w:spacing w:line="480" w:lineRule="exact"/>
        <w:ind w:firstLine="482"/>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17、评标程序</w:t>
      </w:r>
    </w:p>
    <w:p w14:paraId="3500E30E">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17.1资格审查</w:t>
      </w:r>
      <w:bookmarkStart w:id="96" w:name="EBa9c0a2c9e523494487594c65b2a92370"/>
    </w:p>
    <w:p w14:paraId="2080A768">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开标结束后，采购人依法根据招标文件的规定对投标人的资格证明文件等进行审查。</w:t>
      </w:r>
      <w:bookmarkEnd w:id="96"/>
    </w:p>
    <w:p w14:paraId="63CEA304">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17.2符合性检查</w:t>
      </w:r>
    </w:p>
    <w:p w14:paraId="654B2361">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17.2.1依据招标文件的规定，由评标委员会从投标文件的有效性、完整性和对招标文件的响应程度进行审查，以确定是否对招标文件的实质性要求作出响应。</w:t>
      </w:r>
    </w:p>
    <w:p w14:paraId="448123B2">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17.2.2在详细评标之前，评标委员会将首先审查每份投标文件是否实质性响应了招标文件的要求。实质性响应的投标应是与招标文件要求的全部条款、条件和规格相符，没有重大偏离的投标。</w:t>
      </w:r>
      <w:bookmarkStart w:id="97" w:name="EB1499356fad43416eb16398733accabf7"/>
      <w:r>
        <w:rPr>
          <w:rFonts w:hint="eastAsia" w:ascii="Times New Roman" w:hAnsi="Times New Roman" w:cs="仿宋"/>
          <w:color w:val="auto"/>
          <w:sz w:val="24"/>
          <w:highlight w:val="none"/>
        </w:rPr>
        <w:t>所谓重大偏离是指投标人投标文件中所述设备质量、技术规格、数量、交货期、服务等明显不能满足招标文件要求。</w:t>
      </w:r>
      <w:bookmarkEnd w:id="97"/>
      <w:r>
        <w:rPr>
          <w:rFonts w:hint="eastAsia" w:ascii="Times New Roman" w:hAnsi="Times New Roman" w:cs="仿宋"/>
          <w:color w:val="auto"/>
          <w:sz w:val="24"/>
          <w:highlight w:val="none"/>
        </w:rPr>
        <w:t>重大偏离的认定需经过评标委员会以少数服从多数的原则作出结论。</w:t>
      </w:r>
    </w:p>
    <w:p w14:paraId="1E118A82">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17.3未通过资格审查或符合性审查的投标人，采购代理机构将在“苏采云”系统中告知未通过资格审查或符合性审查的原因，评标结束后，采购代理机构将不再告知未通过资格审查或符合性审查的原因。</w:t>
      </w:r>
    </w:p>
    <w:p w14:paraId="3A4CB6C9">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17.4评标委员会判断投标文件的响应性，仅基于投标文件本身而不靠外部证据。对非实质性响应的投标文件，投标人不能通过修正或撤销不符之处，而使其成为实质性响应。</w:t>
      </w:r>
    </w:p>
    <w:p w14:paraId="1556DCF7">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17.5相同品牌产品投标</w:t>
      </w:r>
    </w:p>
    <w:p w14:paraId="6B8A22D2">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17.5.1采用最低评标价法的采购项目，提供相同品牌产品的不同投标人参加同一合同项下投标的，以其中通过资格审查、符合性审查且报价最低的参加评标；报价相同的，由采购人采取随机抽取方式确定，其他投标无效。</w:t>
      </w:r>
    </w:p>
    <w:p w14:paraId="739784A7">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p>
    <w:p w14:paraId="6B89DC4C">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17.5.3非单一产品采购项目，采购人确定核心产品，并在招标文件中载明。多家投标人提供的核心产品品牌相同的，按前两款规定处理。</w:t>
      </w:r>
    </w:p>
    <w:p w14:paraId="4BFCEABA">
      <w:pPr>
        <w:spacing w:line="480" w:lineRule="exact"/>
        <w:ind w:firstLine="482"/>
        <w:rPr>
          <w:rFonts w:ascii="Times New Roman" w:hAnsi="Times New Roman" w:cs="仿宋"/>
          <w:b/>
          <w:color w:val="auto"/>
          <w:sz w:val="24"/>
          <w:highlight w:val="none"/>
        </w:rPr>
      </w:pPr>
      <w:r>
        <w:rPr>
          <w:rFonts w:hint="eastAsia" w:ascii="Times New Roman" w:hAnsi="Times New Roman" w:cs="仿宋"/>
          <w:b/>
          <w:color w:val="auto"/>
          <w:sz w:val="24"/>
          <w:highlight w:val="none"/>
        </w:rPr>
        <w:t>17.6有关问题的澄清</w:t>
      </w:r>
    </w:p>
    <w:p w14:paraId="19D7198C">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p>
    <w:p w14:paraId="778460D4">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17.6.2投标文件报价出现前后不一致的，除招标文件另有规定外，按照下列规定修正：</w:t>
      </w:r>
    </w:p>
    <w:p w14:paraId="696D0256">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①投标文件中开标一览表（报价表）内容与投标文件中相应内容不一致的，以开标一览表（报价表）为准；</w:t>
      </w:r>
    </w:p>
    <w:p w14:paraId="565FD12C">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②大写金额和小写金额不一致的，以大写金额为准；</w:t>
      </w:r>
    </w:p>
    <w:p w14:paraId="534F2CA1">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③单价金额小数点或者百分比有明显错位的，以开标一览表的总价为准，并修改单价；</w:t>
      </w:r>
    </w:p>
    <w:p w14:paraId="2C3A7DF0">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④总价金额与按单价汇总金额不一致的，以单价金额计算结果为准。</w:t>
      </w:r>
    </w:p>
    <w:p w14:paraId="43FF4A77">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同时出现两种以上不一致的，按照前款规定的顺序修正。</w:t>
      </w:r>
    </w:p>
    <w:p w14:paraId="3A863FBB">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17.6.3评标委员会将按上述修正错误的方法调整投标文件中的投标报价，并通过“苏采云”系统告知投标人，调整后的价格应对投标人具有约束力。投标人不接受修正后的价格，其投标将被拒绝。</w:t>
      </w:r>
    </w:p>
    <w:p w14:paraId="59EAA74F">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评标过程中，不得去掉报价中的最高报价和最低报价。</w:t>
      </w:r>
    </w:p>
    <w:p w14:paraId="59AD73FB">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17.7比较</w:t>
      </w:r>
    </w:p>
    <w:p w14:paraId="06C66439">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评标委员会将按招标文件中规定的评标方法和标准，对符合性检查合格的投标文件进行商务和技术评比。</w:t>
      </w:r>
    </w:p>
    <w:p w14:paraId="4B7EEAB7">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17.8推荐中标候选人</w:t>
      </w:r>
    </w:p>
    <w:p w14:paraId="645C7272">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评标委员会按照招标文件中规定的评标方法和标准推荐中标候选人。</w:t>
      </w:r>
    </w:p>
    <w:p w14:paraId="53125768">
      <w:pPr>
        <w:pStyle w:val="39"/>
        <w:spacing w:before="0" w:after="0" w:line="480" w:lineRule="exact"/>
        <w:ind w:firstLine="321"/>
        <w:rPr>
          <w:rFonts w:hint="eastAsia" w:eastAsia="宋体" w:cs="Arial"/>
          <w:bCs/>
          <w:color w:val="auto"/>
          <w:szCs w:val="22"/>
          <w:highlight w:val="none"/>
        </w:rPr>
      </w:pPr>
      <w:bookmarkStart w:id="98" w:name="_Toc8712"/>
      <w:bookmarkStart w:id="99" w:name="_Toc8841"/>
      <w:bookmarkStart w:id="100" w:name="_Toc81575159"/>
      <w:bookmarkStart w:id="101" w:name="_Toc81575196"/>
      <w:r>
        <w:rPr>
          <w:rFonts w:hint="eastAsia" w:eastAsia="宋体" w:cs="Arial"/>
          <w:bCs/>
          <w:color w:val="auto"/>
          <w:szCs w:val="22"/>
          <w:highlight w:val="none"/>
        </w:rPr>
        <w:t>六、无效投标、废标、串通投标</w:t>
      </w:r>
      <w:bookmarkEnd w:id="98"/>
      <w:bookmarkEnd w:id="99"/>
      <w:bookmarkEnd w:id="100"/>
      <w:bookmarkEnd w:id="101"/>
      <w:r>
        <w:rPr>
          <w:rFonts w:hint="eastAsia" w:eastAsia="宋体" w:cs="Arial"/>
          <w:bCs/>
          <w:color w:val="auto"/>
          <w:szCs w:val="22"/>
          <w:highlight w:val="none"/>
        </w:rPr>
        <w:t>及取消中标候选人资格情形</w:t>
      </w:r>
    </w:p>
    <w:p w14:paraId="65384134">
      <w:pPr>
        <w:spacing w:line="480" w:lineRule="exact"/>
        <w:ind w:firstLine="482"/>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18、无效投标情形</w:t>
      </w:r>
    </w:p>
    <w:p w14:paraId="00C4B6B3">
      <w:pPr>
        <w:spacing w:line="480" w:lineRule="exact"/>
        <w:ind w:firstLine="480"/>
        <w:rPr>
          <w:rFonts w:hint="eastAsia" w:ascii="Times New Roman" w:hAnsi="Times New Roman" w:cs="仿宋"/>
          <w:strike/>
          <w:color w:val="auto"/>
          <w:sz w:val="24"/>
          <w:highlight w:val="none"/>
        </w:rPr>
      </w:pPr>
      <w:r>
        <w:rPr>
          <w:rFonts w:hint="eastAsia" w:ascii="Times New Roman" w:hAnsi="Times New Roman" w:cs="仿宋"/>
          <w:color w:val="auto"/>
          <w:sz w:val="24"/>
          <w:highlight w:val="none"/>
        </w:rPr>
        <w:t>18.1投标人同一采购包提交两个（含两个）以上不同的投标报价的。</w:t>
      </w:r>
    </w:p>
    <w:p w14:paraId="53B4989F">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18.2投标人不符合招标文件规定资格要求的或未按规定提交资质证件的。</w:t>
      </w:r>
    </w:p>
    <w:p w14:paraId="5896A543">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18.3投标人的报价超过了采购预算或最高限价的。</w:t>
      </w:r>
    </w:p>
    <w:p w14:paraId="136D80BA">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18.4投标文件未通过符合性审查的。</w:t>
      </w:r>
    </w:p>
    <w:p w14:paraId="60A73429">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18.5投标文件出现重大偏离，不符合招标文件中规定的实质性要求的（★部分为实质性要求）。</w:t>
      </w:r>
    </w:p>
    <w:p w14:paraId="11ADAA69">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18.6评标委员会认为投标人的报价明显低于其他通过符合性审查投标人的报价，有可能影响产品质量或者不能诚信履约的，且投标人不能在合理的时间内提供说明，证明其报价合理性的。</w:t>
      </w:r>
    </w:p>
    <w:p w14:paraId="2C84D79D">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18.7投标文件未按照招标文件要求加盖CA电子公章的。</w:t>
      </w:r>
    </w:p>
    <w:p w14:paraId="7AD72F84">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18.8投标人有本招标文件规定的恶意串通投标情形的。</w:t>
      </w:r>
    </w:p>
    <w:p w14:paraId="00A41A59">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18.9投标文件含有采购人不能接受的附加条件的。</w:t>
      </w:r>
    </w:p>
    <w:p w14:paraId="621AF5D0">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18.10其他法律、法规及本招标文件规定的</w:t>
      </w:r>
      <w:r>
        <w:rPr>
          <w:rFonts w:hint="eastAsia" w:ascii="Times New Roman" w:hAnsi="Times New Roman" w:cs="仿宋"/>
          <w:color w:val="auto"/>
          <w:sz w:val="24"/>
          <w:highlight w:val="none"/>
          <w:lang w:eastAsia="zh-CN"/>
        </w:rPr>
        <w:t>属于</w:t>
      </w:r>
      <w:r>
        <w:rPr>
          <w:rFonts w:hint="eastAsia" w:ascii="Times New Roman" w:hAnsi="Times New Roman" w:cs="仿宋"/>
          <w:color w:val="auto"/>
          <w:sz w:val="24"/>
          <w:highlight w:val="none"/>
        </w:rPr>
        <w:t>无效投标的情形。</w:t>
      </w:r>
    </w:p>
    <w:p w14:paraId="57E1D6CF">
      <w:pPr>
        <w:spacing w:line="480" w:lineRule="exact"/>
        <w:ind w:firstLine="482"/>
        <w:rPr>
          <w:rFonts w:ascii="Times New Roman" w:hAnsi="Times New Roman" w:eastAsia="宋体" w:cs="仿宋"/>
          <w:b/>
          <w:color w:val="auto"/>
          <w:sz w:val="24"/>
          <w:highlight w:val="none"/>
          <w:lang w:val="en-US" w:eastAsia="zh-CN"/>
        </w:rPr>
      </w:pPr>
      <w:r>
        <w:rPr>
          <w:rFonts w:hint="eastAsia" w:ascii="Times New Roman" w:hAnsi="Times New Roman" w:cs="仿宋"/>
          <w:b/>
          <w:color w:val="auto"/>
          <w:sz w:val="24"/>
          <w:highlight w:val="none"/>
          <w:lang w:val="en-US" w:eastAsia="zh-CN"/>
        </w:rPr>
        <w:t>凡招标文件未规定的无效标条款，评标委员会不得作为否决投标、判定无效标的依据。</w:t>
      </w:r>
    </w:p>
    <w:p w14:paraId="44542996">
      <w:pPr>
        <w:spacing w:line="480" w:lineRule="exact"/>
        <w:ind w:firstLine="482"/>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19、废标情形</w:t>
      </w:r>
    </w:p>
    <w:p w14:paraId="693C33A2">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19.1符合专业条件的投标人或者对招标文件作实质响应的投标人不足三家的。</w:t>
      </w:r>
    </w:p>
    <w:p w14:paraId="56414844">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19.2出现影响采购公正的违法、违规行为的。</w:t>
      </w:r>
    </w:p>
    <w:p w14:paraId="024701D2">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19.3因重大变故，采购任务取消的。</w:t>
      </w:r>
    </w:p>
    <w:p w14:paraId="05784AB7">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19.4评标委员会认定招标文件存在歧义、重大缺陷导致评审工作无法进行的。</w:t>
      </w:r>
    </w:p>
    <w:p w14:paraId="3BC2A6A2">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19.5在“苏采云”系统规定时间内成功解密电子投标文件的投标人不足3家的。</w:t>
      </w:r>
    </w:p>
    <w:p w14:paraId="670910A8">
      <w:pPr>
        <w:spacing w:line="480" w:lineRule="exact"/>
        <w:ind w:firstLine="482"/>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20、投标人不足三家情形处理</w:t>
      </w:r>
    </w:p>
    <w:p w14:paraId="407760BC">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投标截止后投标人不足3家或者通过资格审查或符合性审查的投标人不足3家的，除采购任务取消情形外，按财政部令第87号第四十三条条款进行处理。</w:t>
      </w:r>
    </w:p>
    <w:p w14:paraId="57A72937">
      <w:pPr>
        <w:spacing w:line="480" w:lineRule="exact"/>
        <w:ind w:firstLine="482"/>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21、串通投标情形</w:t>
      </w:r>
    </w:p>
    <w:p w14:paraId="76E9448F">
      <w:pPr>
        <w:spacing w:line="500" w:lineRule="exact"/>
        <w:ind w:firstLine="480"/>
        <w:rPr>
          <w:rFonts w:ascii="黑体" w:hAnsi="黑体" w:eastAsia="黑体"/>
          <w:color w:val="auto"/>
          <w:sz w:val="24"/>
          <w:highlight w:val="none"/>
        </w:rPr>
      </w:pPr>
      <w:r>
        <w:rPr>
          <w:rFonts w:hint="eastAsia" w:ascii="黑体" w:hAnsi="黑体" w:eastAsia="黑体"/>
          <w:color w:val="auto"/>
          <w:sz w:val="24"/>
          <w:highlight w:val="none"/>
        </w:rPr>
        <w:t>有下列情形之一的，属于恶意串通投标：</w:t>
      </w:r>
    </w:p>
    <w:p w14:paraId="2FB1041E">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21.1供应商直接或间接从采购人或采购代理机构处获得其他供应商的投标情况，并修改其投标文件；</w:t>
      </w:r>
    </w:p>
    <w:p w14:paraId="6CBBC0B4">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21.2评审活动开始前供应商直接或间接从采购人或采购代理机构处获得评标委员会组成人员情况；</w:t>
      </w:r>
    </w:p>
    <w:p w14:paraId="7F1166D7">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21.3供应商接受采购人或采购代理机构授意撤换、修改投标文件；</w:t>
      </w:r>
    </w:p>
    <w:p w14:paraId="3C38594F">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21.4供应商之间协商投标报价、技术方案等投标文件实质性内容；</w:t>
      </w:r>
    </w:p>
    <w:p w14:paraId="29B6022D">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21.5属于同一集团、协会、商会等组织成员的供应商按照该组织要求协同投标；</w:t>
      </w:r>
    </w:p>
    <w:p w14:paraId="291E6E45">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21.6供应商之间事先约定由某一特定供应商中标、成交；</w:t>
      </w:r>
    </w:p>
    <w:p w14:paraId="43FDE151">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21.7供应商之间商定部分供应商放弃投标或者放弃中标、成交；</w:t>
      </w:r>
    </w:p>
    <w:p w14:paraId="74B3BECB">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21.8供应商与采购人或采购代理机构之间、供应商相互之间为谋求特定供应商中标成交或者排斥其他供应商的其他串通行为；</w:t>
      </w:r>
    </w:p>
    <w:p w14:paraId="33B65FC0">
      <w:pPr>
        <w:spacing w:line="500" w:lineRule="exact"/>
        <w:ind w:firstLine="482"/>
        <w:rPr>
          <w:rFonts w:ascii="黑体" w:hAnsi="黑体" w:eastAsia="黑体"/>
          <w:color w:val="auto"/>
          <w:sz w:val="24"/>
          <w:highlight w:val="none"/>
        </w:rPr>
      </w:pPr>
      <w:r>
        <w:rPr>
          <w:rFonts w:hint="eastAsia" w:ascii="黑体" w:hAnsi="黑体" w:eastAsia="黑体"/>
          <w:color w:val="auto"/>
          <w:sz w:val="24"/>
          <w:highlight w:val="none"/>
        </w:rPr>
        <w:t>有下列情形之一的，视为投标人串通投标，其投标无效：</w:t>
      </w:r>
    </w:p>
    <w:p w14:paraId="7E673D0D">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21.9不同投标人的投标文件由同一单位或者个人编制；</w:t>
      </w:r>
    </w:p>
    <w:p w14:paraId="3A1FE55E">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21.10不同投标人委托同一单位或者个人办理投标事宜；</w:t>
      </w:r>
    </w:p>
    <w:p w14:paraId="0E2F8D8B">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21.11不同投标人的投标文件载明的项目管理成员或者联系人员为同一人；</w:t>
      </w:r>
    </w:p>
    <w:p w14:paraId="56740353">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21.12不同投标人的投标文件异常一致或者投标报价呈规律性差异；</w:t>
      </w:r>
    </w:p>
    <w:p w14:paraId="0D8D71B8">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21.13不同投标人的投标文件相互混装；</w:t>
      </w:r>
    </w:p>
    <w:p w14:paraId="3F8B5945">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21.14不同投标人的投标保证金从同一单位或者个人的账户转出。</w:t>
      </w:r>
    </w:p>
    <w:p w14:paraId="048AF959">
      <w:pPr>
        <w:spacing w:line="480" w:lineRule="exact"/>
        <w:ind w:firstLine="482"/>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22、</w:t>
      </w:r>
      <w:bookmarkStart w:id="102" w:name="OLE_LINK4"/>
      <w:r>
        <w:rPr>
          <w:rFonts w:hint="eastAsia" w:ascii="Times New Roman" w:hAnsi="Times New Roman" w:cs="仿宋"/>
          <w:b/>
          <w:color w:val="auto"/>
          <w:sz w:val="24"/>
          <w:highlight w:val="none"/>
        </w:rPr>
        <w:t>取消中标候选人资格情形</w:t>
      </w:r>
      <w:bookmarkEnd w:id="102"/>
    </w:p>
    <w:p w14:paraId="3C65A9DD">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22.1提供虚假材料谋取中标的；</w:t>
      </w:r>
    </w:p>
    <w:p w14:paraId="37C6F8A3">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22.2采取不正当手段诋毁、排挤其他投标人的；</w:t>
      </w:r>
    </w:p>
    <w:p w14:paraId="3967B273">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22.3与采购人、其他投标人或者采购代理机构恶意串通的；</w:t>
      </w:r>
    </w:p>
    <w:p w14:paraId="58EE2EE8">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22.4向采购人、采购代理机构行贿或者提供其他不正当利益的；</w:t>
      </w:r>
    </w:p>
    <w:p w14:paraId="491690AA">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22.5未在规定时间内与采购人签订采购合同的；</w:t>
      </w:r>
    </w:p>
    <w:p w14:paraId="2F5169BB">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22.6法律、法规规定的其它情况。</w:t>
      </w:r>
      <w:bookmarkStart w:id="103" w:name="_Toc6494"/>
      <w:bookmarkStart w:id="104" w:name="_Toc2391"/>
      <w:bookmarkStart w:id="105" w:name="_Toc81575161"/>
      <w:bookmarkStart w:id="106" w:name="_Toc81575198"/>
    </w:p>
    <w:p w14:paraId="4525F054">
      <w:pPr>
        <w:spacing w:line="480" w:lineRule="exact"/>
        <w:ind w:firstLine="321"/>
        <w:outlineLvl w:val="1"/>
        <w:rPr>
          <w:rFonts w:hint="eastAsia" w:ascii="Arial" w:hAnsi="Arial" w:eastAsia="宋体" w:cs="Arial"/>
          <w:b/>
          <w:bCs/>
          <w:color w:val="auto"/>
          <w:sz w:val="32"/>
          <w:szCs w:val="22"/>
          <w:highlight w:val="none"/>
          <w:lang w:val="en-US" w:eastAsia="zh-CN" w:bidi="ar-SA"/>
        </w:rPr>
      </w:pPr>
      <w:r>
        <w:rPr>
          <w:rFonts w:hint="eastAsia" w:ascii="Arial" w:hAnsi="Arial" w:eastAsia="宋体" w:cs="Arial"/>
          <w:b/>
          <w:bCs/>
          <w:color w:val="auto"/>
          <w:sz w:val="32"/>
          <w:szCs w:val="22"/>
          <w:highlight w:val="none"/>
          <w:lang w:val="en-US" w:eastAsia="zh-CN" w:bidi="ar-SA"/>
        </w:rPr>
        <w:t>七、中标及合同签订</w:t>
      </w:r>
      <w:bookmarkEnd w:id="103"/>
      <w:bookmarkEnd w:id="104"/>
      <w:bookmarkEnd w:id="105"/>
      <w:bookmarkEnd w:id="106"/>
    </w:p>
    <w:p w14:paraId="74F25F46">
      <w:pPr>
        <w:keepNext w:val="0"/>
        <w:keepLines w:val="0"/>
        <w:pageBreakBefore w:val="0"/>
        <w:widowControl w:val="0"/>
        <w:spacing w:line="460" w:lineRule="exact"/>
        <w:ind w:firstLine="482"/>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23、确定中标人</w:t>
      </w:r>
    </w:p>
    <w:p w14:paraId="0F3E735E">
      <w:pPr>
        <w:keepNext w:val="0"/>
        <w:keepLines w:val="0"/>
        <w:pageBreakBefore w:val="0"/>
        <w:widowControl w:val="0"/>
        <w:spacing w:line="46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23.1采购人应当自收到评审报告之日起5个工作日内在评审报告推荐的中标候选人中按顺序确定中标人。</w:t>
      </w:r>
    </w:p>
    <w:p w14:paraId="26150B0F">
      <w:pPr>
        <w:keepNext w:val="0"/>
        <w:keepLines w:val="0"/>
        <w:pageBreakBefore w:val="0"/>
        <w:widowControl w:val="0"/>
        <w:spacing w:line="46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23.2中标人确定之日起2个工作日内，采购人、采购代理机构将发布中标结果，中标公告的公告期限为1个工作日。</w:t>
      </w:r>
    </w:p>
    <w:p w14:paraId="531930F3">
      <w:pPr>
        <w:keepNext w:val="0"/>
        <w:keepLines w:val="0"/>
        <w:pageBreakBefore w:val="0"/>
        <w:widowControl w:val="0"/>
        <w:spacing w:line="46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23.3采购人确定正被列为失信被执行人的投标人为中标人的，中标结果无效。</w:t>
      </w:r>
    </w:p>
    <w:p w14:paraId="43180911">
      <w:pPr>
        <w:keepNext w:val="0"/>
        <w:keepLines w:val="0"/>
        <w:pageBreakBefore w:val="0"/>
        <w:widowControl w:val="0"/>
        <w:spacing w:line="460" w:lineRule="exact"/>
        <w:ind w:firstLine="482"/>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24、中标通知书</w:t>
      </w:r>
    </w:p>
    <w:p w14:paraId="4D53196D">
      <w:pPr>
        <w:keepNext w:val="0"/>
        <w:keepLines w:val="0"/>
        <w:pageBreakBefore w:val="0"/>
        <w:widowControl w:val="0"/>
        <w:spacing w:line="46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24.1在公告中标结果的同时，采购代理机构将向中标人发出中标通知书。中标人使用CA数字证书登录“苏采云”系统及时下载中标通知书。</w:t>
      </w:r>
    </w:p>
    <w:p w14:paraId="0942DFB6">
      <w:pPr>
        <w:keepNext w:val="0"/>
        <w:keepLines w:val="0"/>
        <w:pageBreakBefore w:val="0"/>
        <w:widowControl w:val="0"/>
        <w:spacing w:line="46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24.2中标通知书发出后，采购人改变中标结果的，或者中标人放弃中标项目的，应当依法承担法律责任。</w:t>
      </w:r>
    </w:p>
    <w:p w14:paraId="7BD3F5EC">
      <w:pPr>
        <w:keepNext w:val="0"/>
        <w:keepLines w:val="0"/>
        <w:pageBreakBefore w:val="0"/>
        <w:widowControl w:val="0"/>
        <w:spacing w:line="46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24.3采用综合评分法评审的，未中标人可于中标结果公告期限届满之日起通过“苏采云”系统查看</w:t>
      </w:r>
      <w:bookmarkStart w:id="107" w:name="OLE_LINK5"/>
      <w:r>
        <w:rPr>
          <w:rFonts w:hint="eastAsia" w:ascii="Times New Roman" w:hAnsi="Times New Roman" w:cs="仿宋"/>
          <w:color w:val="auto"/>
          <w:sz w:val="24"/>
          <w:highlight w:val="none"/>
        </w:rPr>
        <w:t>自己的评审得分及排序情况。</w:t>
      </w:r>
      <w:bookmarkEnd w:id="107"/>
    </w:p>
    <w:p w14:paraId="5C14DBDA">
      <w:pPr>
        <w:keepNext w:val="0"/>
        <w:keepLines w:val="0"/>
        <w:pageBreakBefore w:val="0"/>
        <w:widowControl w:val="0"/>
        <w:spacing w:line="460" w:lineRule="exact"/>
        <w:ind w:firstLine="482"/>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25、授予合同</w:t>
      </w:r>
    </w:p>
    <w:p w14:paraId="6BE8AE7A">
      <w:pPr>
        <w:keepNext w:val="0"/>
        <w:keepLines w:val="0"/>
        <w:pageBreakBefore w:val="0"/>
        <w:widowControl w:val="0"/>
        <w:spacing w:line="46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25.1采购人与中标人应当在中标通知书发出之日起15日内签订政府采购合同。招标文件、中标人的投标文件以及评标过程中有关澄清文件均作为合同附件。</w:t>
      </w:r>
    </w:p>
    <w:p w14:paraId="0DCAEB1D">
      <w:pPr>
        <w:keepNext w:val="0"/>
        <w:keepLines w:val="0"/>
        <w:pageBreakBefore w:val="0"/>
        <w:widowControl w:val="0"/>
        <w:spacing w:line="46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25.2采购人在自合同签订之日起2个工作日内，将合同在指定的媒体上公告。</w:t>
      </w:r>
    </w:p>
    <w:p w14:paraId="0DC142E2">
      <w:pPr>
        <w:keepNext w:val="0"/>
        <w:keepLines w:val="0"/>
        <w:pageBreakBefore w:val="0"/>
        <w:widowControl w:val="0"/>
        <w:spacing w:line="460" w:lineRule="exact"/>
        <w:ind w:firstLine="482"/>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26、履约保证金</w:t>
      </w:r>
    </w:p>
    <w:p w14:paraId="674F5A98">
      <w:pPr>
        <w:keepNext w:val="0"/>
        <w:keepLines w:val="0"/>
        <w:pageBreakBefore w:val="0"/>
        <w:widowControl w:val="0"/>
        <w:spacing w:line="46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本项目不收取履约保证金。</w:t>
      </w:r>
    </w:p>
    <w:p w14:paraId="1D9671A1">
      <w:pPr>
        <w:keepNext w:val="0"/>
        <w:keepLines w:val="0"/>
        <w:pageBreakBefore w:val="0"/>
        <w:widowControl w:val="0"/>
        <w:spacing w:line="460" w:lineRule="exact"/>
        <w:ind w:firstLine="482"/>
        <w:rPr>
          <w:rFonts w:ascii="Times New Roman" w:hAnsi="Times New Roman" w:cs="仿宋"/>
          <w:b/>
          <w:bCs/>
          <w:color w:val="auto"/>
          <w:sz w:val="24"/>
          <w:szCs w:val="24"/>
          <w:highlight w:val="none"/>
        </w:rPr>
      </w:pPr>
      <w:r>
        <w:rPr>
          <w:rFonts w:hint="eastAsia" w:ascii="Times New Roman" w:hAnsi="Times New Roman" w:cs="仿宋"/>
          <w:b/>
          <w:color w:val="auto"/>
          <w:sz w:val="24"/>
          <w:highlight w:val="none"/>
        </w:rPr>
        <w:t>27、线上融资</w:t>
      </w:r>
    </w:p>
    <w:p w14:paraId="4037F446">
      <w:pPr>
        <w:keepNext w:val="0"/>
        <w:keepLines w:val="0"/>
        <w:pageBreakBefore w:val="0"/>
        <w:widowControl w:val="0"/>
        <w:spacing w:line="460" w:lineRule="exact"/>
        <w:ind w:firstLine="480"/>
        <w:rPr>
          <w:rFonts w:hint="eastAsia" w:ascii="Times New Roman" w:hAnsi="Times New Roman" w:cs="仿宋"/>
          <w:b/>
          <w:bCs/>
          <w:color w:val="auto"/>
          <w:sz w:val="24"/>
          <w:szCs w:val="24"/>
          <w:highlight w:val="none"/>
        </w:rPr>
      </w:pPr>
      <w:r>
        <w:rPr>
          <w:rFonts w:hint="eastAsia" w:ascii="宋体" w:hAnsi="宋体"/>
          <w:bCs/>
          <w:color w:val="auto"/>
          <w:sz w:val="24"/>
          <w:szCs w:val="24"/>
          <w:highlight w:val="none"/>
        </w:rPr>
        <w:t>中标人可凭政府采购合同办理融资贷款，详情见江苏政府采购网“政采贷”专栏。</w:t>
      </w:r>
    </w:p>
    <w:p w14:paraId="448E4FDE">
      <w:pPr>
        <w:keepNext w:val="0"/>
        <w:keepLines w:val="0"/>
        <w:pageBreakBefore w:val="0"/>
        <w:widowControl w:val="0"/>
        <w:spacing w:line="460" w:lineRule="exact"/>
        <w:ind w:firstLine="482"/>
        <w:rPr>
          <w:rFonts w:hint="eastAsia" w:ascii="Times New Roman" w:hAnsi="Times New Roman" w:cs="仿宋"/>
          <w:color w:val="auto"/>
          <w:sz w:val="24"/>
          <w:highlight w:val="none"/>
        </w:rPr>
      </w:pPr>
      <w:r>
        <w:rPr>
          <w:rFonts w:hint="eastAsia" w:ascii="Times New Roman" w:hAnsi="Times New Roman" w:cs="仿宋"/>
          <w:b/>
          <w:color w:val="auto"/>
          <w:sz w:val="24"/>
          <w:highlight w:val="none"/>
        </w:rPr>
        <w:t>28、合同履行</w:t>
      </w:r>
    </w:p>
    <w:p w14:paraId="7847BEC7">
      <w:pPr>
        <w:keepNext w:val="0"/>
        <w:keepLines w:val="0"/>
        <w:pageBreakBefore w:val="0"/>
        <w:widowControl w:val="0"/>
        <w:spacing w:line="46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28.1政府采购合同订立后，合同各方不得擅自变更、中止或者终止合同。</w:t>
      </w:r>
    </w:p>
    <w:p w14:paraId="3346DC9C">
      <w:pPr>
        <w:keepNext w:val="0"/>
        <w:keepLines w:val="0"/>
        <w:pageBreakBefore w:val="0"/>
        <w:widowControl w:val="0"/>
        <w:spacing w:line="46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28.2政府采购合同履行中，采购人需追加与合同标的相同的货物、工程或者服务的，在不改变合同其他条款的前提下，可以与中标人签订补充合同，但所补充合同的采购金额不得超过原采购金额的10%。</w:t>
      </w:r>
    </w:p>
    <w:p w14:paraId="2FB80C3B">
      <w:pPr>
        <w:pStyle w:val="39"/>
        <w:spacing w:before="0" w:after="0" w:line="520" w:lineRule="exact"/>
        <w:rPr>
          <w:rFonts w:hint="eastAsia" w:eastAsia="宋体" w:cs="Arial"/>
          <w:bCs/>
          <w:color w:val="auto"/>
          <w:szCs w:val="22"/>
          <w:highlight w:val="none"/>
        </w:rPr>
      </w:pPr>
      <w:bookmarkStart w:id="108" w:name="_Toc7550"/>
      <w:bookmarkStart w:id="109" w:name="_Toc81575199"/>
      <w:bookmarkStart w:id="110" w:name="_Toc81575162"/>
      <w:bookmarkStart w:id="111" w:name="_Toc22084"/>
      <w:r>
        <w:rPr>
          <w:rFonts w:hint="eastAsia" w:eastAsia="宋体" w:cs="Arial"/>
          <w:bCs/>
          <w:color w:val="auto"/>
          <w:szCs w:val="22"/>
          <w:highlight w:val="none"/>
        </w:rPr>
        <w:t>八、</w:t>
      </w:r>
      <w:bookmarkEnd w:id="108"/>
      <w:bookmarkEnd w:id="109"/>
      <w:bookmarkEnd w:id="110"/>
      <w:bookmarkEnd w:id="111"/>
      <w:bookmarkStart w:id="112" w:name="_Toc81575163"/>
      <w:bookmarkStart w:id="113" w:name="_Toc31888"/>
      <w:bookmarkStart w:id="114" w:name="_Toc81575200"/>
      <w:bookmarkStart w:id="115" w:name="_Toc12263"/>
      <w:r>
        <w:rPr>
          <w:rFonts w:hint="eastAsia" w:eastAsia="宋体" w:cs="Arial"/>
          <w:bCs/>
          <w:color w:val="auto"/>
          <w:szCs w:val="22"/>
          <w:highlight w:val="none"/>
        </w:rPr>
        <w:t>质疑与投诉</w:t>
      </w:r>
      <w:bookmarkEnd w:id="112"/>
      <w:bookmarkEnd w:id="113"/>
      <w:bookmarkEnd w:id="114"/>
      <w:bookmarkEnd w:id="115"/>
    </w:p>
    <w:p w14:paraId="139FB4CE">
      <w:pPr>
        <w:keepNext w:val="0"/>
        <w:keepLines w:val="0"/>
        <w:pageBreakBefore w:val="0"/>
        <w:widowControl w:val="0"/>
        <w:spacing w:line="460" w:lineRule="exact"/>
        <w:ind w:firstLine="482"/>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29、质疑</w:t>
      </w:r>
    </w:p>
    <w:p w14:paraId="19623D35">
      <w:pPr>
        <w:keepNext w:val="0"/>
        <w:keepLines w:val="0"/>
        <w:pageBreakBefore w:val="0"/>
        <w:widowControl w:val="0"/>
        <w:spacing w:line="46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29.1供应商认为采购文件、采购过程和中标结果使自己的权益受到损害的，可以在知道或者应知其权益受到损害之日起七个工作日内，</w:t>
      </w:r>
      <w:bookmarkStart w:id="116" w:name="OLE_LINK1"/>
      <w:r>
        <w:rPr>
          <w:rFonts w:hint="eastAsia" w:ascii="宋体" w:hAnsi="宋体" w:eastAsia="宋体" w:cs="宋体"/>
          <w:color w:val="auto"/>
          <w:sz w:val="24"/>
          <w:highlight w:val="none"/>
        </w:rPr>
        <w:t>供应商应</w:t>
      </w:r>
      <w:r>
        <w:rPr>
          <w:rFonts w:hint="eastAsia" w:ascii="宋体" w:hAnsi="宋体" w:cs="宋体"/>
          <w:color w:val="auto"/>
          <w:sz w:val="24"/>
          <w:highlight w:val="none"/>
          <w:lang w:val="en-US" w:eastAsia="zh-CN"/>
        </w:rPr>
        <w:t>在“苏采云”系统“质疑模块”中</w:t>
      </w:r>
      <w:r>
        <w:rPr>
          <w:rFonts w:hint="eastAsia" w:ascii="宋体" w:hAnsi="宋体" w:eastAsia="宋体" w:cs="宋体"/>
          <w:color w:val="auto"/>
          <w:sz w:val="24"/>
          <w:highlight w:val="none"/>
        </w:rPr>
        <w:t>向采购人或者其委托的采购代理机构提出质疑。</w:t>
      </w:r>
      <w:r>
        <w:rPr>
          <w:rFonts w:hint="eastAsia" w:ascii="Times New Roman" w:hAnsi="Times New Roman" w:cs="仿宋"/>
          <w:color w:val="auto"/>
          <w:sz w:val="24"/>
          <w:highlight w:val="none"/>
        </w:rPr>
        <w:t>质疑超出采购机构代理范围的，供应商应当向采购人提出。质疑联系部门、联系电话、通讯地址详见采购公告。</w:t>
      </w:r>
      <w:bookmarkEnd w:id="116"/>
    </w:p>
    <w:p w14:paraId="64366D5A">
      <w:pPr>
        <w:keepNext w:val="0"/>
        <w:keepLines w:val="0"/>
        <w:pageBreakBefore w:val="0"/>
        <w:widowControl w:val="0"/>
        <w:spacing w:line="460" w:lineRule="exact"/>
        <w:ind w:firstLine="480"/>
        <w:rPr>
          <w:rFonts w:hint="eastAsia" w:ascii="Times New Roman" w:hAnsi="Times New Roman" w:cs="仿宋"/>
          <w:b w:val="0"/>
          <w:bCs w:val="0"/>
          <w:color w:val="auto"/>
          <w:sz w:val="24"/>
          <w:highlight w:val="none"/>
        </w:rPr>
      </w:pPr>
      <w:r>
        <w:rPr>
          <w:rFonts w:hint="eastAsia" w:ascii="Times New Roman" w:hAnsi="Times New Roman" w:cs="仿宋"/>
          <w:b w:val="0"/>
          <w:bCs w:val="0"/>
          <w:color w:val="auto"/>
          <w:sz w:val="24"/>
          <w:highlight w:val="none"/>
        </w:rPr>
        <w:t>29.2供应商应知其权益受到损害之日，是指：</w:t>
      </w:r>
    </w:p>
    <w:p w14:paraId="03BB7E9D">
      <w:pPr>
        <w:keepNext w:val="0"/>
        <w:keepLines w:val="0"/>
        <w:pageBreakBefore w:val="0"/>
        <w:widowControl w:val="0"/>
        <w:spacing w:line="460" w:lineRule="exact"/>
        <w:ind w:firstLine="480"/>
        <w:rPr>
          <w:rFonts w:hint="eastAsia" w:ascii="Times New Roman" w:hAnsi="Times New Roman" w:cs="仿宋"/>
          <w:b w:val="0"/>
          <w:bCs w:val="0"/>
          <w:color w:val="auto"/>
          <w:sz w:val="24"/>
          <w:highlight w:val="none"/>
        </w:rPr>
      </w:pPr>
      <w:r>
        <w:rPr>
          <w:rFonts w:hint="eastAsia" w:ascii="Times New Roman" w:hAnsi="Times New Roman" w:cs="仿宋"/>
          <w:b w:val="0"/>
          <w:bCs w:val="0"/>
          <w:color w:val="auto"/>
          <w:sz w:val="24"/>
          <w:highlight w:val="none"/>
        </w:rPr>
        <w:t>（1）对本项目采购文件提出质疑的，为获取采购文件之日或者采购文件公告期限届满之日；</w:t>
      </w:r>
    </w:p>
    <w:p w14:paraId="276AD374">
      <w:pPr>
        <w:keepNext w:val="0"/>
        <w:keepLines w:val="0"/>
        <w:pageBreakBefore w:val="0"/>
        <w:widowControl w:val="0"/>
        <w:spacing w:line="460" w:lineRule="exact"/>
        <w:ind w:firstLine="480"/>
        <w:rPr>
          <w:rFonts w:hint="eastAsia" w:ascii="Times New Roman" w:hAnsi="Times New Roman" w:cs="仿宋"/>
          <w:b w:val="0"/>
          <w:bCs w:val="0"/>
          <w:color w:val="auto"/>
          <w:sz w:val="24"/>
          <w:highlight w:val="none"/>
        </w:rPr>
      </w:pPr>
      <w:r>
        <w:rPr>
          <w:rFonts w:hint="eastAsia" w:ascii="Times New Roman" w:hAnsi="Times New Roman" w:cs="仿宋"/>
          <w:b w:val="0"/>
          <w:bCs w:val="0"/>
          <w:color w:val="auto"/>
          <w:sz w:val="24"/>
          <w:highlight w:val="none"/>
        </w:rPr>
        <w:t>（2）对本项目采购过程提出质疑的，为各采购程序环节结束之日；</w:t>
      </w:r>
    </w:p>
    <w:p w14:paraId="582C2BAB">
      <w:pPr>
        <w:keepNext w:val="0"/>
        <w:keepLines w:val="0"/>
        <w:pageBreakBefore w:val="0"/>
        <w:widowControl w:val="0"/>
        <w:spacing w:line="460" w:lineRule="exact"/>
        <w:ind w:firstLine="480"/>
        <w:rPr>
          <w:rFonts w:hint="eastAsia" w:ascii="Times New Roman" w:hAnsi="Times New Roman" w:cs="仿宋"/>
          <w:b w:val="0"/>
          <w:bCs w:val="0"/>
          <w:color w:val="auto"/>
          <w:sz w:val="24"/>
          <w:highlight w:val="none"/>
        </w:rPr>
      </w:pPr>
      <w:r>
        <w:rPr>
          <w:rFonts w:hint="eastAsia" w:ascii="Times New Roman" w:hAnsi="Times New Roman" w:cs="仿宋"/>
          <w:b w:val="0"/>
          <w:bCs w:val="0"/>
          <w:color w:val="auto"/>
          <w:sz w:val="24"/>
          <w:highlight w:val="none"/>
        </w:rPr>
        <w:t>（3）对本项目中标结果提出质疑的，为中标结果公告期限届满之日。</w:t>
      </w:r>
    </w:p>
    <w:p w14:paraId="13288A6B">
      <w:pPr>
        <w:keepNext w:val="0"/>
        <w:keepLines w:val="0"/>
        <w:pageBreakBefore w:val="0"/>
        <w:widowControl w:val="0"/>
        <w:spacing w:line="460" w:lineRule="exact"/>
        <w:ind w:firstLine="480"/>
        <w:rPr>
          <w:rFonts w:hint="eastAsia" w:ascii="Times New Roman" w:hAnsi="Times New Roman" w:cs="仿宋"/>
          <w:b w:val="0"/>
          <w:bCs w:val="0"/>
          <w:color w:val="auto"/>
          <w:sz w:val="24"/>
          <w:highlight w:val="none"/>
        </w:rPr>
      </w:pPr>
      <w:r>
        <w:rPr>
          <w:rFonts w:hint="eastAsia" w:ascii="Times New Roman" w:hAnsi="Times New Roman" w:cs="仿宋"/>
          <w:b w:val="0"/>
          <w:bCs w:val="0"/>
          <w:color w:val="auto"/>
          <w:sz w:val="24"/>
          <w:highlight w:val="none"/>
        </w:rPr>
        <w:t>29.3质疑供应商应当是参与所质疑项目采购活动的供应商。潜在供应商已依法获取其可质疑的采购文件的，方可对该文件提出质疑。供应商在法定质疑期内应一次性提出针对同一采购程序环节的质疑。</w:t>
      </w:r>
    </w:p>
    <w:p w14:paraId="1C845789">
      <w:pPr>
        <w:keepNext w:val="0"/>
        <w:keepLines w:val="0"/>
        <w:pageBreakBefore w:val="0"/>
        <w:widowControl w:val="0"/>
        <w:spacing w:line="46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29.4供应商提出质疑应当提交质疑函和必要的证明材料。质疑函的必备内容：</w:t>
      </w:r>
    </w:p>
    <w:p w14:paraId="32F1A19E">
      <w:pPr>
        <w:keepNext w:val="0"/>
        <w:keepLines w:val="0"/>
        <w:pageBreakBefore w:val="0"/>
        <w:widowControl w:val="0"/>
        <w:spacing w:line="46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（1）供应商的姓名或者名称、地址、邮编、联系人及联系电话；</w:t>
      </w:r>
    </w:p>
    <w:p w14:paraId="005E0507">
      <w:pPr>
        <w:keepNext w:val="0"/>
        <w:keepLines w:val="0"/>
        <w:pageBreakBefore w:val="0"/>
        <w:widowControl w:val="0"/>
        <w:spacing w:line="46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（2）质疑项目的名称、编号；</w:t>
      </w:r>
    </w:p>
    <w:p w14:paraId="2C30CAC2">
      <w:pPr>
        <w:keepNext w:val="0"/>
        <w:keepLines w:val="0"/>
        <w:pageBreakBefore w:val="0"/>
        <w:widowControl w:val="0"/>
        <w:spacing w:line="46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（3）获取采购文件的时间；</w:t>
      </w:r>
    </w:p>
    <w:p w14:paraId="1CD6EBDE">
      <w:pPr>
        <w:keepNext w:val="0"/>
        <w:keepLines w:val="0"/>
        <w:pageBreakBefore w:val="0"/>
        <w:widowControl w:val="0"/>
        <w:spacing w:line="46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（4）具体、明确的质疑事项和质疑事项相关的请求；</w:t>
      </w:r>
    </w:p>
    <w:p w14:paraId="4D14108E">
      <w:pPr>
        <w:keepNext w:val="0"/>
        <w:keepLines w:val="0"/>
        <w:pageBreakBefore w:val="0"/>
        <w:widowControl w:val="0"/>
        <w:spacing w:line="46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（5）事实依据；</w:t>
      </w:r>
    </w:p>
    <w:p w14:paraId="7261702C">
      <w:pPr>
        <w:keepNext w:val="0"/>
        <w:keepLines w:val="0"/>
        <w:pageBreakBefore w:val="0"/>
        <w:widowControl w:val="0"/>
        <w:spacing w:line="46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（6）必要的法律依据；</w:t>
      </w:r>
    </w:p>
    <w:p w14:paraId="065E43FB">
      <w:pPr>
        <w:keepNext w:val="0"/>
        <w:keepLines w:val="0"/>
        <w:pageBreakBefore w:val="0"/>
        <w:widowControl w:val="0"/>
        <w:spacing w:line="46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（7）提出质疑的日期；</w:t>
      </w:r>
    </w:p>
    <w:p w14:paraId="5730F2CA">
      <w:pPr>
        <w:keepNext w:val="0"/>
        <w:keepLines w:val="0"/>
        <w:pageBreakBefore w:val="0"/>
        <w:widowControl w:val="0"/>
        <w:spacing w:line="46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（8）供应商为自然人的，由本人签字；供应商为法人或者其他组织的，应当由法定代表人、主要负责人，或者其授权代表签字或者盖章，并加盖公章；</w:t>
      </w:r>
    </w:p>
    <w:p w14:paraId="35D0DDA6">
      <w:pPr>
        <w:keepNext w:val="0"/>
        <w:keepLines w:val="0"/>
        <w:pageBreakBefore w:val="0"/>
        <w:widowControl w:val="0"/>
        <w:spacing w:line="46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p>
    <w:p w14:paraId="7709DA1B">
      <w:pPr>
        <w:keepNext w:val="0"/>
        <w:keepLines w:val="0"/>
        <w:pageBreakBefore w:val="0"/>
        <w:widowControl w:val="0"/>
        <w:spacing w:line="46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29.5采购人在收到质疑函后7个工作日内作出答复，并以书面形式通知质疑供应商和其他有关供应商，但质疑答复的内容不涉及商业秘密。</w:t>
      </w:r>
    </w:p>
    <w:p w14:paraId="43B4E01A">
      <w:pPr>
        <w:keepNext w:val="0"/>
        <w:keepLines w:val="0"/>
        <w:pageBreakBefore w:val="0"/>
        <w:widowControl w:val="0"/>
        <w:spacing w:line="460" w:lineRule="exact"/>
        <w:ind w:firstLine="482"/>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30、投诉</w:t>
      </w:r>
    </w:p>
    <w:p w14:paraId="36FC01BF">
      <w:pPr>
        <w:keepNext w:val="0"/>
        <w:keepLines w:val="0"/>
        <w:pageBreakBefore w:val="0"/>
        <w:widowControl w:val="0"/>
        <w:spacing w:line="46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质疑供应商对答复不满意或采购人、采购代理机构未在规定时间内作出答复的，可在答复期满后15个工作日内向同级财政部门提起投诉。</w:t>
      </w:r>
    </w:p>
    <w:p w14:paraId="558938F5">
      <w:pPr>
        <w:keepNext/>
        <w:keepLines/>
        <w:widowControl w:val="0"/>
        <w:spacing w:before="200" w:after="200"/>
        <w:jc w:val="center"/>
        <w:outlineLvl w:val="0"/>
        <w:rPr>
          <w:rFonts w:hint="eastAsia" w:ascii="Calibri" w:hAnsi="Calibri" w:eastAsia="宋体" w:cs="Times New Roman"/>
          <w:b/>
          <w:color w:val="auto"/>
          <w:sz w:val="44"/>
          <w:szCs w:val="44"/>
          <w:highlight w:val="none"/>
          <w:lang w:val="en-US" w:eastAsia="zh-CN" w:bidi="ar-SA"/>
        </w:rPr>
      </w:pPr>
      <w:bookmarkStart w:id="117" w:name="EB4d341233595e4bf8ad7006b4bd78d974"/>
      <w:bookmarkEnd w:id="117"/>
      <w:bookmarkStart w:id="118" w:name="_Toc81575201"/>
      <w:bookmarkStart w:id="119" w:name="_Hlk166141273"/>
      <w:bookmarkStart w:id="120" w:name="_Toc81575164"/>
      <w:r>
        <w:rPr>
          <w:rFonts w:hint="eastAsia"/>
          <w:color w:val="auto"/>
          <w:highlight w:val="none"/>
        </w:rPr>
        <w:br w:type="page" w:clear="all"/>
      </w:r>
      <w:bookmarkEnd w:id="118"/>
      <w:bookmarkEnd w:id="119"/>
      <w:bookmarkEnd w:id="120"/>
      <w:bookmarkStart w:id="121" w:name="_Toc81575169"/>
      <w:bookmarkStart w:id="122" w:name="_Toc81575206"/>
      <w:bookmarkStart w:id="123" w:name="_Toc2513"/>
      <w:bookmarkStart w:id="124" w:name="_Toc31499"/>
      <w:bookmarkStart w:id="125" w:name="_Toc22098"/>
      <w:r>
        <w:rPr>
          <w:rFonts w:hint="eastAsia" w:ascii="Calibri" w:hAnsi="Calibri" w:eastAsia="宋体" w:cs="Times New Roman"/>
          <w:b/>
          <w:color w:val="auto"/>
          <w:sz w:val="28"/>
          <w:szCs w:val="28"/>
          <w:highlight w:val="none"/>
          <w:lang w:val="en-US" w:eastAsia="zh-CN" w:bidi="ar-SA"/>
        </w:rPr>
        <w:t>沭阳县2026-2028年残疾儿童基本康复服务--孤独症2康复服务机构采购项目</w:t>
      </w:r>
    </w:p>
    <w:p w14:paraId="2DBC4BCA">
      <w:pPr>
        <w:keepNext/>
        <w:keepLines/>
        <w:widowControl w:val="0"/>
        <w:spacing w:before="200" w:after="200"/>
        <w:jc w:val="center"/>
        <w:outlineLvl w:val="0"/>
        <w:rPr>
          <w:rFonts w:ascii="Arial" w:hAnsi="Arial" w:eastAsia="Arial" w:cs="Arial"/>
          <w:color w:val="auto"/>
          <w:sz w:val="40"/>
          <w:szCs w:val="40"/>
          <w:highlight w:val="none"/>
          <w:lang w:val="en-US" w:eastAsia="zh-CN" w:bidi="ar-SA"/>
        </w:rPr>
      </w:pPr>
      <w:r>
        <w:rPr>
          <w:rFonts w:hint="eastAsia" w:ascii="Calibri" w:hAnsi="Calibri" w:eastAsia="宋体" w:cs="Times New Roman"/>
          <w:b/>
          <w:color w:val="auto"/>
          <w:sz w:val="44"/>
          <w:szCs w:val="44"/>
          <w:highlight w:val="none"/>
          <w:lang w:val="en-US" w:eastAsia="zh-CN" w:bidi="ar-SA"/>
        </w:rPr>
        <w:t>第三章  资格审查及评标方法</w:t>
      </w:r>
    </w:p>
    <w:p w14:paraId="1B4CD726">
      <w:pPr>
        <w:spacing w:line="480" w:lineRule="exact"/>
        <w:ind w:firstLine="482"/>
        <w:jc w:val="left"/>
        <w:rPr>
          <w:rFonts w:ascii="Times New Roman" w:hAnsi="Times New Roman" w:eastAsia="宋体" w:cs="仿宋"/>
          <w:b/>
          <w:bCs/>
          <w:color w:val="auto"/>
          <w:sz w:val="24"/>
          <w:highlight w:val="none"/>
        </w:rPr>
      </w:pPr>
      <w:r>
        <w:rPr>
          <w:rFonts w:hint="eastAsia" w:ascii="Times New Roman" w:hAnsi="Times New Roman" w:eastAsia="宋体" w:cs="仿宋"/>
          <w:b/>
          <w:bCs/>
          <w:color w:val="auto"/>
          <w:sz w:val="24"/>
          <w:highlight w:val="none"/>
        </w:rPr>
        <w:t>一、资格审查</w:t>
      </w:r>
    </w:p>
    <w:p w14:paraId="5B8F1645">
      <w:pPr>
        <w:spacing w:line="480" w:lineRule="exact"/>
        <w:ind w:firstLine="480"/>
        <w:jc w:val="left"/>
        <w:rPr>
          <w:rFonts w:hint="eastAsia" w:ascii="Times New Roman" w:hAnsi="Times New Roman" w:eastAsia="宋体" w:cs="仿宋"/>
          <w:color w:val="auto"/>
          <w:sz w:val="24"/>
          <w:highlight w:val="none"/>
        </w:rPr>
      </w:pPr>
      <w:r>
        <w:rPr>
          <w:rFonts w:hint="eastAsia" w:eastAsia="宋体" w:cs="Times New Roman"/>
          <w:color w:val="auto"/>
          <w:sz w:val="24"/>
          <w:szCs w:val="28"/>
          <w:highlight w:val="none"/>
        </w:rPr>
        <w:t>资格审查人员按照下列指标对各投标人的资格进行审查，未通过审查的为无效标，不参与评标。</w:t>
      </w:r>
    </w:p>
    <w:tbl>
      <w:tblPr>
        <w:tblStyle w:val="28"/>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top w:w="0" w:type="dxa"/>
          <w:left w:w="0" w:type="dxa"/>
          <w:bottom w:w="0" w:type="dxa"/>
          <w:right w:w="0" w:type="dxa"/>
        </w:tblCellMar>
      </w:tblPr>
      <w:tblGrid>
        <w:gridCol w:w="4422"/>
        <w:gridCol w:w="4246"/>
      </w:tblGrid>
      <w:tr w14:paraId="790C55EF">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22" w:type="dxa"/>
            <w:noWrap w:val="0"/>
            <w:vAlign w:val="center"/>
          </w:tcPr>
          <w:p w14:paraId="758C69D7">
            <w:pPr>
              <w:spacing w:line="480" w:lineRule="exact"/>
              <w:jc w:val="center"/>
              <w:rPr>
                <w:rFonts w:hint="eastAsia" w:ascii="Times New Roman" w:hAnsi="Times New Roman" w:eastAsia="宋体" w:cs="仿宋"/>
                <w:color w:val="auto"/>
                <w:highlight w:val="none"/>
              </w:rPr>
            </w:pPr>
            <w:r>
              <w:rPr>
                <w:rFonts w:hint="eastAsia" w:ascii="Times New Roman" w:hAnsi="Times New Roman" w:eastAsia="宋体" w:cs="仿宋"/>
                <w:color w:val="auto"/>
                <w:highlight w:val="none"/>
              </w:rPr>
              <w:t>资格审查因素</w:t>
            </w:r>
          </w:p>
        </w:tc>
        <w:tc>
          <w:tcPr>
            <w:tcW w:w="4246" w:type="dxa"/>
            <w:noWrap w:val="0"/>
            <w:vAlign w:val="center"/>
          </w:tcPr>
          <w:p w14:paraId="5DE00E77">
            <w:pPr>
              <w:spacing w:line="480" w:lineRule="exact"/>
              <w:jc w:val="center"/>
              <w:rPr>
                <w:rFonts w:hint="eastAsia" w:ascii="Times New Roman" w:hAnsi="Times New Roman" w:eastAsia="宋体" w:cs="仿宋"/>
                <w:color w:val="auto"/>
                <w:highlight w:val="none"/>
              </w:rPr>
            </w:pPr>
            <w:r>
              <w:rPr>
                <w:rFonts w:hint="eastAsia" w:ascii="Times New Roman" w:hAnsi="Times New Roman" w:eastAsia="宋体" w:cs="仿宋"/>
                <w:color w:val="auto"/>
                <w:highlight w:val="none"/>
              </w:rPr>
              <w:t>审查标准</w:t>
            </w:r>
          </w:p>
        </w:tc>
      </w:tr>
      <w:tr w14:paraId="4CB995AB">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22" w:type="dxa"/>
            <w:noWrap w:val="0"/>
            <w:vAlign w:val="center"/>
          </w:tcPr>
          <w:p w14:paraId="5A42FD88">
            <w:pPr>
              <w:spacing w:line="480" w:lineRule="exact"/>
              <w:jc w:val="center"/>
              <w:rPr>
                <w:rFonts w:hint="eastAsia" w:ascii="Times New Roman" w:hAnsi="Times New Roman" w:eastAsia="宋体" w:cs="仿宋"/>
                <w:color w:val="auto"/>
                <w:highlight w:val="none"/>
              </w:rPr>
            </w:pPr>
            <w:r>
              <w:rPr>
                <w:rFonts w:hint="eastAsia" w:ascii="Times New Roman" w:hAnsi="Times New Roman" w:eastAsia="宋体" w:cs="仿宋"/>
                <w:color w:val="auto"/>
                <w:highlight w:val="none"/>
              </w:rPr>
              <w:t>投标声明及承诺函</w:t>
            </w:r>
          </w:p>
        </w:tc>
        <w:tc>
          <w:tcPr>
            <w:tcW w:w="4246" w:type="dxa"/>
            <w:noWrap w:val="0"/>
            <w:vAlign w:val="center"/>
          </w:tcPr>
          <w:p w14:paraId="6BE1E297">
            <w:pPr>
              <w:spacing w:line="480" w:lineRule="exact"/>
              <w:jc w:val="center"/>
              <w:rPr>
                <w:rFonts w:hint="eastAsia" w:ascii="Times New Roman" w:hAnsi="Times New Roman" w:eastAsia="宋体" w:cs="仿宋"/>
                <w:color w:val="auto"/>
                <w:highlight w:val="none"/>
              </w:rPr>
            </w:pPr>
            <w:r>
              <w:rPr>
                <w:rFonts w:hint="eastAsia" w:ascii="Times New Roman" w:hAnsi="Times New Roman" w:eastAsia="宋体" w:cs="仿宋"/>
                <w:color w:val="auto"/>
                <w:highlight w:val="none"/>
              </w:rPr>
              <w:t>符合招标文件要求</w:t>
            </w:r>
          </w:p>
        </w:tc>
      </w:tr>
      <w:tr w14:paraId="3785B6D1">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22" w:type="dxa"/>
            <w:noWrap w:val="0"/>
            <w:vAlign w:val="center"/>
          </w:tcPr>
          <w:p w14:paraId="46EEF3E1">
            <w:pPr>
              <w:spacing w:line="480" w:lineRule="exact"/>
              <w:jc w:val="center"/>
              <w:rPr>
                <w:rFonts w:hint="eastAsia" w:ascii="Times New Roman" w:hAnsi="Times New Roman" w:eastAsia="宋体" w:cs="仿宋"/>
                <w:color w:val="auto"/>
                <w:highlight w:val="none"/>
              </w:rPr>
            </w:pPr>
            <w:r>
              <w:rPr>
                <w:rFonts w:hint="eastAsia" w:ascii="Times New Roman" w:hAnsi="Times New Roman" w:eastAsia="宋体" w:cs="仿宋"/>
                <w:color w:val="auto"/>
                <w:highlight w:val="none"/>
              </w:rPr>
              <w:t>信用信息</w:t>
            </w:r>
          </w:p>
        </w:tc>
        <w:tc>
          <w:tcPr>
            <w:tcW w:w="4246" w:type="dxa"/>
            <w:noWrap w:val="0"/>
            <w:vAlign w:val="center"/>
          </w:tcPr>
          <w:p w14:paraId="204F6B9F">
            <w:pPr>
              <w:spacing w:line="480" w:lineRule="exact"/>
              <w:jc w:val="center"/>
              <w:rPr>
                <w:rFonts w:hint="eastAsia" w:ascii="Times New Roman" w:hAnsi="Times New Roman" w:eastAsia="宋体" w:cs="仿宋"/>
                <w:color w:val="auto"/>
                <w:highlight w:val="none"/>
              </w:rPr>
            </w:pPr>
            <w:r>
              <w:rPr>
                <w:rFonts w:hint="eastAsia" w:ascii="Times New Roman" w:hAnsi="Times New Roman" w:eastAsia="宋体" w:cs="仿宋"/>
                <w:color w:val="auto"/>
                <w:highlight w:val="none"/>
              </w:rPr>
              <w:t>符合招标文件要求</w:t>
            </w:r>
          </w:p>
        </w:tc>
      </w:tr>
      <w:tr w14:paraId="2F11DBBB">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22" w:type="dxa"/>
            <w:noWrap w:val="0"/>
            <w:vAlign w:val="center"/>
          </w:tcPr>
          <w:p w14:paraId="7C9AC1CC">
            <w:pPr>
              <w:keepNext w:val="0"/>
              <w:keepLines w:val="0"/>
              <w:pageBreakBefore w:val="0"/>
              <w:widowControl w:val="0"/>
              <w:spacing w:line="400" w:lineRule="exact"/>
              <w:jc w:val="center"/>
              <w:rPr>
                <w:rFonts w:hint="eastAsia" w:ascii="Times New Roman" w:hAnsi="Times New Roman" w:eastAsia="宋体" w:cs="仿宋"/>
                <w:color w:val="auto"/>
                <w:highlight w:val="none"/>
                <w:lang w:val="en-US" w:eastAsia="zh-CN"/>
              </w:rPr>
            </w:pPr>
            <w:r>
              <w:rPr>
                <w:rFonts w:hint="eastAsia" w:ascii="Times New Roman" w:hAnsi="Times New Roman" w:eastAsia="宋体" w:cs="仿宋"/>
                <w:color w:val="auto"/>
                <w:highlight w:val="none"/>
              </w:rPr>
              <w:t>本项目特定资格要求</w:t>
            </w:r>
          </w:p>
        </w:tc>
        <w:tc>
          <w:tcPr>
            <w:tcW w:w="4246" w:type="dxa"/>
            <w:noWrap w:val="0"/>
            <w:vAlign w:val="center"/>
          </w:tcPr>
          <w:p w14:paraId="1393AA03">
            <w:pPr>
              <w:spacing w:line="480" w:lineRule="exact"/>
              <w:jc w:val="center"/>
              <w:rPr>
                <w:rFonts w:hint="eastAsia" w:ascii="Times New Roman" w:hAnsi="Times New Roman" w:eastAsia="宋体" w:cs="仿宋"/>
                <w:color w:val="auto"/>
                <w:highlight w:val="none"/>
                <w:lang w:val="en-US" w:eastAsia="zh-CN"/>
              </w:rPr>
            </w:pPr>
            <w:r>
              <w:rPr>
                <w:rFonts w:hint="eastAsia" w:ascii="Times New Roman" w:hAnsi="Times New Roman" w:eastAsia="宋体" w:cs="仿宋"/>
                <w:color w:val="auto"/>
                <w:highlight w:val="none"/>
              </w:rPr>
              <w:t>符合</w:t>
            </w:r>
            <w:r>
              <w:rPr>
                <w:rFonts w:hint="eastAsia" w:ascii="Times New Roman" w:hAnsi="Times New Roman" w:eastAsia="宋体" w:cs="仿宋"/>
                <w:color w:val="auto"/>
                <w:highlight w:val="none"/>
                <w:lang w:val="en-US" w:eastAsia="zh-CN"/>
              </w:rPr>
              <w:t>招标</w:t>
            </w:r>
            <w:r>
              <w:rPr>
                <w:rFonts w:hint="eastAsia" w:ascii="Times New Roman" w:hAnsi="Times New Roman" w:eastAsia="宋体" w:cs="仿宋"/>
                <w:color w:val="auto"/>
                <w:highlight w:val="none"/>
              </w:rPr>
              <w:t>文件要求</w:t>
            </w:r>
          </w:p>
        </w:tc>
      </w:tr>
    </w:tbl>
    <w:p w14:paraId="088D0C98">
      <w:pPr>
        <w:spacing w:line="480" w:lineRule="exact"/>
        <w:ind w:firstLine="482"/>
        <w:jc w:val="left"/>
        <w:rPr>
          <w:rFonts w:ascii="Times New Roman" w:hAnsi="Times New Roman" w:eastAsia="宋体" w:cs="仿宋"/>
          <w:b/>
          <w:bCs/>
          <w:color w:val="auto"/>
          <w:sz w:val="24"/>
          <w:highlight w:val="none"/>
        </w:rPr>
      </w:pPr>
      <w:r>
        <w:rPr>
          <w:rFonts w:hint="eastAsia" w:ascii="Times New Roman" w:hAnsi="Times New Roman" w:eastAsia="宋体" w:cs="仿宋"/>
          <w:b/>
          <w:bCs/>
          <w:color w:val="auto"/>
          <w:sz w:val="24"/>
          <w:highlight w:val="none"/>
        </w:rPr>
        <w:t>二、符合性审查</w:t>
      </w:r>
    </w:p>
    <w:p w14:paraId="5BA9DB81">
      <w:pPr>
        <w:spacing w:line="480" w:lineRule="exact"/>
        <w:ind w:firstLine="480"/>
        <w:jc w:val="left"/>
        <w:rPr>
          <w:rFonts w:ascii="方正仿宋_GBK" w:eastAsia="方正仿宋_GBK" w:cs="Times New Roman"/>
          <w:color w:val="auto"/>
          <w:sz w:val="24"/>
          <w:highlight w:val="none"/>
        </w:rPr>
      </w:pPr>
      <w:r>
        <w:rPr>
          <w:rFonts w:hint="eastAsia" w:eastAsia="宋体" w:cs="Times New Roman"/>
          <w:color w:val="auto"/>
          <w:sz w:val="24"/>
          <w:szCs w:val="28"/>
          <w:highlight w:val="none"/>
        </w:rPr>
        <w:t>评标委员会对符合资格的投标人的投标文件进行符合性审查，未通过审查的为无效标，不再参与评审。</w:t>
      </w:r>
    </w:p>
    <w:tbl>
      <w:tblPr>
        <w:tblStyle w:val="28"/>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top w:w="0" w:type="dxa"/>
          <w:left w:w="0" w:type="dxa"/>
          <w:bottom w:w="0" w:type="dxa"/>
          <w:right w:w="0" w:type="dxa"/>
        </w:tblCellMar>
      </w:tblPr>
      <w:tblGrid>
        <w:gridCol w:w="4364"/>
        <w:gridCol w:w="4304"/>
      </w:tblGrid>
      <w:tr w14:paraId="05C4EB01">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364" w:type="dxa"/>
            <w:noWrap w:val="0"/>
            <w:vAlign w:val="center"/>
          </w:tcPr>
          <w:p w14:paraId="3C73DD9D">
            <w:pPr>
              <w:spacing w:line="480" w:lineRule="exact"/>
              <w:jc w:val="center"/>
              <w:rPr>
                <w:rFonts w:hint="eastAsia" w:ascii="Times New Roman" w:hAnsi="Times New Roman" w:eastAsia="宋体" w:cs="仿宋"/>
                <w:color w:val="auto"/>
                <w:highlight w:val="none"/>
              </w:rPr>
            </w:pPr>
            <w:r>
              <w:rPr>
                <w:rFonts w:hint="eastAsia" w:ascii="Times New Roman" w:hAnsi="Times New Roman" w:eastAsia="宋体" w:cs="仿宋"/>
                <w:color w:val="auto"/>
                <w:highlight w:val="none"/>
              </w:rPr>
              <w:t>符合性审查因素</w:t>
            </w:r>
          </w:p>
        </w:tc>
        <w:tc>
          <w:tcPr>
            <w:tcW w:w="4304" w:type="dxa"/>
            <w:noWrap w:val="0"/>
            <w:vAlign w:val="center"/>
          </w:tcPr>
          <w:p w14:paraId="06E7C1D2">
            <w:pPr>
              <w:spacing w:line="480" w:lineRule="exact"/>
              <w:jc w:val="center"/>
              <w:rPr>
                <w:rFonts w:hint="eastAsia" w:ascii="Times New Roman" w:hAnsi="Times New Roman" w:eastAsia="宋体" w:cs="仿宋"/>
                <w:color w:val="auto"/>
                <w:highlight w:val="none"/>
              </w:rPr>
            </w:pPr>
            <w:r>
              <w:rPr>
                <w:rFonts w:hint="eastAsia" w:ascii="Times New Roman" w:hAnsi="Times New Roman" w:eastAsia="宋体" w:cs="仿宋"/>
                <w:color w:val="auto"/>
                <w:highlight w:val="none"/>
              </w:rPr>
              <w:t>审查标准</w:t>
            </w:r>
          </w:p>
        </w:tc>
      </w:tr>
      <w:tr w14:paraId="6DED30C0">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364" w:type="dxa"/>
            <w:noWrap w:val="0"/>
            <w:vAlign w:val="center"/>
          </w:tcPr>
          <w:p w14:paraId="1FEB617A">
            <w:pPr>
              <w:spacing w:line="480" w:lineRule="exact"/>
              <w:jc w:val="center"/>
              <w:rPr>
                <w:rFonts w:ascii="Times New Roman" w:hAnsi="Times New Roman" w:eastAsia="宋体" w:cs="仿宋"/>
                <w:color w:val="auto"/>
                <w:highlight w:val="none"/>
              </w:rPr>
            </w:pPr>
            <w:r>
              <w:rPr>
                <w:rFonts w:hint="eastAsia" w:ascii="Times New Roman" w:hAnsi="Times New Roman" w:eastAsia="宋体" w:cs="仿宋"/>
                <w:color w:val="auto"/>
                <w:highlight w:val="none"/>
              </w:rPr>
              <w:t>法人授权书</w:t>
            </w:r>
          </w:p>
        </w:tc>
        <w:tc>
          <w:tcPr>
            <w:tcW w:w="4304" w:type="dxa"/>
            <w:noWrap w:val="0"/>
            <w:vAlign w:val="center"/>
          </w:tcPr>
          <w:p w14:paraId="020C7CB6">
            <w:pPr>
              <w:spacing w:line="480" w:lineRule="exact"/>
              <w:jc w:val="center"/>
              <w:rPr>
                <w:rFonts w:hint="eastAsia" w:ascii="Times New Roman" w:hAnsi="Times New Roman" w:eastAsia="宋体" w:cs="仿宋"/>
                <w:color w:val="auto"/>
                <w:highlight w:val="none"/>
              </w:rPr>
            </w:pPr>
            <w:r>
              <w:rPr>
                <w:rFonts w:hint="eastAsia" w:ascii="Times New Roman" w:hAnsi="Times New Roman" w:eastAsia="宋体" w:cs="仿宋"/>
                <w:color w:val="auto"/>
                <w:highlight w:val="none"/>
              </w:rPr>
              <w:t>符合招标文件要求</w:t>
            </w:r>
          </w:p>
        </w:tc>
      </w:tr>
      <w:tr w14:paraId="09F561B6">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364" w:type="dxa"/>
            <w:noWrap w:val="0"/>
            <w:vAlign w:val="center"/>
          </w:tcPr>
          <w:p w14:paraId="4EDCE11E">
            <w:pPr>
              <w:spacing w:line="480" w:lineRule="exact"/>
              <w:jc w:val="center"/>
              <w:rPr>
                <w:rFonts w:hint="eastAsia" w:ascii="Times New Roman" w:hAnsi="Times New Roman" w:eastAsia="宋体" w:cs="仿宋"/>
                <w:color w:val="auto"/>
                <w:sz w:val="21"/>
                <w:szCs w:val="22"/>
                <w:highlight w:val="none"/>
                <w:lang w:val="en-US" w:eastAsia="zh-CN" w:bidi="ar-SA"/>
              </w:rPr>
            </w:pPr>
            <w:r>
              <w:rPr>
                <w:rFonts w:eastAsia="宋体" w:cs="Times New Roman"/>
                <w:color w:val="auto"/>
                <w:highlight w:val="none"/>
              </w:rPr>
              <w:t>开标一览表及投标报价</w:t>
            </w:r>
          </w:p>
        </w:tc>
        <w:tc>
          <w:tcPr>
            <w:tcW w:w="4304" w:type="dxa"/>
            <w:noWrap w:val="0"/>
            <w:vAlign w:val="center"/>
          </w:tcPr>
          <w:p w14:paraId="3214E2D3">
            <w:pPr>
              <w:spacing w:line="480" w:lineRule="exact"/>
              <w:jc w:val="center"/>
              <w:rPr>
                <w:rFonts w:hint="eastAsia" w:ascii="Times New Roman" w:hAnsi="Times New Roman" w:eastAsia="宋体" w:cs="仿宋"/>
                <w:color w:val="auto"/>
                <w:sz w:val="21"/>
                <w:szCs w:val="22"/>
                <w:highlight w:val="none"/>
                <w:lang w:val="en-US" w:eastAsia="zh-CN" w:bidi="ar-SA"/>
              </w:rPr>
            </w:pPr>
            <w:r>
              <w:rPr>
                <w:rFonts w:eastAsia="宋体" w:cs="Times New Roman"/>
                <w:color w:val="auto"/>
                <w:highlight w:val="none"/>
              </w:rPr>
              <w:t>格式、填写要求符合招标文件规定</w:t>
            </w:r>
          </w:p>
        </w:tc>
      </w:tr>
      <w:tr w14:paraId="114760B7">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364" w:type="dxa"/>
            <w:noWrap w:val="0"/>
            <w:vAlign w:val="center"/>
          </w:tcPr>
          <w:p w14:paraId="6971B467">
            <w:pPr>
              <w:spacing w:line="480" w:lineRule="exact"/>
              <w:jc w:val="center"/>
              <w:rPr>
                <w:rFonts w:hint="eastAsia" w:ascii="Times New Roman" w:hAnsi="Times New Roman" w:eastAsia="宋体" w:cs="仿宋"/>
                <w:color w:val="auto"/>
                <w:highlight w:val="none"/>
              </w:rPr>
            </w:pPr>
            <w:r>
              <w:rPr>
                <w:rFonts w:hint="eastAsia" w:ascii="Times New Roman" w:hAnsi="Times New Roman" w:eastAsia="宋体" w:cs="仿宋"/>
                <w:color w:val="auto"/>
                <w:highlight w:val="none"/>
              </w:rPr>
              <w:t>其他</w:t>
            </w:r>
          </w:p>
        </w:tc>
        <w:tc>
          <w:tcPr>
            <w:tcW w:w="4304" w:type="dxa"/>
            <w:noWrap w:val="0"/>
            <w:vAlign w:val="center"/>
          </w:tcPr>
          <w:p w14:paraId="5A9FEE14">
            <w:pPr>
              <w:spacing w:line="480" w:lineRule="exact"/>
              <w:jc w:val="center"/>
              <w:rPr>
                <w:rFonts w:hint="eastAsia" w:ascii="Times New Roman" w:hAnsi="Times New Roman" w:eastAsia="宋体" w:cs="仿宋"/>
                <w:color w:val="auto"/>
                <w:highlight w:val="none"/>
              </w:rPr>
            </w:pPr>
            <w:r>
              <w:rPr>
                <w:rFonts w:hint="eastAsia" w:ascii="Times New Roman" w:hAnsi="Times New Roman" w:eastAsia="宋体" w:cs="仿宋"/>
                <w:color w:val="auto"/>
                <w:highlight w:val="none"/>
              </w:rPr>
              <w:t>符合招标文件要求</w:t>
            </w:r>
          </w:p>
        </w:tc>
      </w:tr>
    </w:tbl>
    <w:p w14:paraId="6AB441D1">
      <w:pPr>
        <w:spacing w:line="480" w:lineRule="exact"/>
        <w:ind w:firstLine="482"/>
        <w:jc w:val="left"/>
        <w:rPr>
          <w:rFonts w:ascii="Times New Roman" w:hAnsi="Times New Roman" w:eastAsia="宋体" w:cs="仿宋"/>
          <w:b/>
          <w:bCs/>
          <w:color w:val="auto"/>
          <w:sz w:val="24"/>
          <w:highlight w:val="none"/>
        </w:rPr>
      </w:pPr>
      <w:r>
        <w:rPr>
          <w:rFonts w:hint="eastAsia" w:ascii="Times New Roman" w:hAnsi="Times New Roman" w:eastAsia="宋体" w:cs="仿宋"/>
          <w:b/>
          <w:bCs/>
          <w:color w:val="auto"/>
          <w:sz w:val="24"/>
          <w:highlight w:val="none"/>
        </w:rPr>
        <w:t>三、评标方法</w:t>
      </w:r>
    </w:p>
    <w:p w14:paraId="1D544D56">
      <w:pPr>
        <w:spacing w:line="480" w:lineRule="exact"/>
        <w:ind w:firstLine="480"/>
        <w:jc w:val="left"/>
        <w:rPr>
          <w:rFonts w:ascii="Times New Roman" w:hAnsi="Times New Roman" w:eastAsia="宋体" w:cs="仿宋"/>
          <w:color w:val="auto"/>
          <w:sz w:val="24"/>
          <w:highlight w:val="none"/>
        </w:rPr>
      </w:pPr>
      <w:r>
        <w:rPr>
          <w:rFonts w:hint="eastAsia" w:eastAsia="宋体" w:cs="Times New Roman"/>
          <w:color w:val="auto"/>
          <w:sz w:val="24"/>
          <w:szCs w:val="28"/>
          <w:highlight w:val="none"/>
        </w:rPr>
        <w:t>本项目采用综合评分法，评标结果按评审后得分由高到低顺序排列。得分相同的，</w:t>
      </w:r>
      <w:r>
        <w:rPr>
          <w:rFonts w:hint="eastAsia" w:eastAsia="宋体" w:cs="Times New Roman"/>
          <w:color w:val="auto"/>
          <w:sz w:val="24"/>
          <w:szCs w:val="28"/>
          <w:highlight w:val="none"/>
          <w:lang w:val="en-US" w:eastAsia="zh-CN"/>
        </w:rPr>
        <w:t>由采购人以抽签方式确定中标候选人排序。</w:t>
      </w:r>
    </w:p>
    <w:p w14:paraId="593EA846">
      <w:pPr>
        <w:spacing w:line="480" w:lineRule="exact"/>
        <w:ind w:firstLine="480"/>
        <w:jc w:val="left"/>
        <w:rPr>
          <w:rFonts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综合评分保留至小数点后两位。</w:t>
      </w:r>
    </w:p>
    <w:p w14:paraId="261236E5">
      <w:pPr>
        <w:spacing w:line="480" w:lineRule="exact"/>
        <w:ind w:firstLine="480"/>
        <w:jc w:val="left"/>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评标委员会根据评标后投标人排序推荐中标候选人，并形成评标报告。</w:t>
      </w:r>
    </w:p>
    <w:p w14:paraId="1395E87E">
      <w:pPr>
        <w:spacing w:line="480" w:lineRule="exact"/>
        <w:ind w:firstLine="482"/>
        <w:jc w:val="left"/>
        <w:rPr>
          <w:rFonts w:hint="eastAsia" w:ascii="Times New Roman" w:hAnsi="Times New Roman" w:eastAsia="宋体" w:cs="仿宋"/>
          <w:b/>
          <w:bCs/>
          <w:color w:val="auto"/>
          <w:sz w:val="24"/>
          <w:highlight w:val="none"/>
        </w:rPr>
      </w:pPr>
      <w:r>
        <w:rPr>
          <w:rFonts w:hint="eastAsia" w:ascii="Times New Roman" w:hAnsi="Times New Roman" w:eastAsia="宋体" w:cs="仿宋"/>
          <w:b/>
          <w:bCs/>
          <w:color w:val="auto"/>
          <w:sz w:val="24"/>
          <w:highlight w:val="none"/>
        </w:rPr>
        <w:t>四、评标标准</w:t>
      </w:r>
    </w:p>
    <w:tbl>
      <w:tblPr>
        <w:tblStyle w:val="28"/>
        <w:tblW w:w="95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405"/>
        <w:gridCol w:w="975"/>
        <w:gridCol w:w="7120"/>
      </w:tblGrid>
      <w:tr w14:paraId="50D81C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2" w:hRule="atLeast"/>
          <w:jc w:val="center"/>
        </w:trPr>
        <w:tc>
          <w:tcPr>
            <w:tcW w:w="1405" w:type="dxa"/>
            <w:noWrap w:val="0"/>
            <w:vAlign w:val="center"/>
          </w:tcPr>
          <w:p w14:paraId="65CEE19F">
            <w:pPr>
              <w:keepNext w:val="0"/>
              <w:keepLines w:val="0"/>
              <w:pageBreakBefore w:val="0"/>
              <w:widowControl/>
              <w:spacing w:line="32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评审因素</w:t>
            </w:r>
          </w:p>
        </w:tc>
        <w:tc>
          <w:tcPr>
            <w:tcW w:w="975" w:type="dxa"/>
            <w:noWrap w:val="0"/>
            <w:vAlign w:val="center"/>
          </w:tcPr>
          <w:p w14:paraId="4EFD4660">
            <w:pPr>
              <w:keepNext w:val="0"/>
              <w:keepLines w:val="0"/>
              <w:pageBreakBefore w:val="0"/>
              <w:widowControl/>
              <w:spacing w:line="320" w:lineRule="exact"/>
              <w:jc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分数</w:t>
            </w:r>
          </w:p>
        </w:tc>
        <w:tc>
          <w:tcPr>
            <w:tcW w:w="7120" w:type="dxa"/>
            <w:noWrap w:val="0"/>
            <w:vAlign w:val="center"/>
          </w:tcPr>
          <w:p w14:paraId="3CD264A1">
            <w:pPr>
              <w:keepNext w:val="0"/>
              <w:keepLines w:val="0"/>
              <w:pageBreakBefore w:val="0"/>
              <w:widowControl/>
              <w:spacing w:line="320" w:lineRule="exact"/>
              <w:jc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评审标准</w:t>
            </w:r>
          </w:p>
        </w:tc>
      </w:tr>
      <w:tr w14:paraId="380B18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9" w:hRule="atLeast"/>
          <w:jc w:val="center"/>
        </w:trPr>
        <w:tc>
          <w:tcPr>
            <w:tcW w:w="1405" w:type="dxa"/>
            <w:noWrap w:val="0"/>
            <w:vAlign w:val="center"/>
          </w:tcPr>
          <w:p w14:paraId="6297709A">
            <w:pPr>
              <w:keepNext w:val="0"/>
              <w:keepLines w:val="0"/>
              <w:pageBreakBefore w:val="0"/>
              <w:widowControl/>
              <w:spacing w:line="320" w:lineRule="exact"/>
              <w:jc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技术响应-视频演示</w:t>
            </w:r>
          </w:p>
        </w:tc>
        <w:tc>
          <w:tcPr>
            <w:tcW w:w="975" w:type="dxa"/>
            <w:noWrap w:val="0"/>
            <w:vAlign w:val="center"/>
          </w:tcPr>
          <w:p w14:paraId="1EE3DD64">
            <w:pPr>
              <w:keepNext w:val="0"/>
              <w:keepLines w:val="0"/>
              <w:pageBreakBefore w:val="0"/>
              <w:widowControl/>
              <w:spacing w:line="320" w:lineRule="exact"/>
              <w:jc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15.00分</w:t>
            </w:r>
          </w:p>
        </w:tc>
        <w:tc>
          <w:tcPr>
            <w:tcW w:w="7120" w:type="dxa"/>
            <w:noWrap w:val="0"/>
            <w:vAlign w:val="center"/>
          </w:tcPr>
          <w:p w14:paraId="4756C1A1">
            <w:pPr>
              <w:keepNext w:val="0"/>
              <w:keepLines w:val="0"/>
              <w:pageBreakBefore w:val="0"/>
              <w:widowControl/>
              <w:spacing w:line="320" w:lineRule="exact"/>
              <w:jc w:val="lef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小视频演示：须由本项目供应商的项目负责人主持录制，视频须体现：对应供应商名称、项目团队人员、各设备装配对应功能训练场地的名称及室外活动场地，如***单位、***室；设备的功能介绍及使用等；名称相同的设施设备不可重复计取。评委结合各供应商提供的小视频进行打分：</w:t>
            </w:r>
          </w:p>
          <w:p w14:paraId="5D9A7A61">
            <w:pPr>
              <w:keepNext w:val="0"/>
              <w:keepLines w:val="0"/>
              <w:pageBreakBefore w:val="0"/>
              <w:widowControl/>
              <w:spacing w:line="320" w:lineRule="exact"/>
              <w:jc w:val="lef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1.能够全面满足招标文件采购需求要求的，且视频内容对应训练设施设备清单清晰、具体、丰富、解读功能细致准确、流畅，得15分；</w:t>
            </w:r>
          </w:p>
          <w:p w14:paraId="570216BC">
            <w:pPr>
              <w:keepNext w:val="0"/>
              <w:keepLines w:val="0"/>
              <w:pageBreakBefore w:val="0"/>
              <w:widowControl/>
              <w:spacing w:line="320" w:lineRule="exact"/>
              <w:jc w:val="lef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2.能够基本满足招标文件采购需求要求的，且视频内容对应训练设施设备清单基本清晰，解读功能较为流畅，得10分；</w:t>
            </w:r>
          </w:p>
          <w:p w14:paraId="59F45006">
            <w:pPr>
              <w:keepNext w:val="0"/>
              <w:keepLines w:val="0"/>
              <w:pageBreakBefore w:val="0"/>
              <w:widowControl/>
              <w:spacing w:line="320" w:lineRule="exact"/>
              <w:jc w:val="lef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3.能够基本满足招标文件采购需求要求的，但视频内容对应训练设施设备清单不清晰、不具体、解读功能晦涩含糊，得5分；</w:t>
            </w:r>
          </w:p>
          <w:p w14:paraId="3CAE507A">
            <w:pPr>
              <w:keepNext w:val="0"/>
              <w:keepLines w:val="0"/>
              <w:pageBreakBefore w:val="0"/>
              <w:widowControl/>
              <w:spacing w:line="320" w:lineRule="exact"/>
              <w:jc w:val="lef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本项最高得15分，未提供不得分。</w:t>
            </w:r>
          </w:p>
          <w:p w14:paraId="330D23FF">
            <w:pPr>
              <w:keepNext w:val="0"/>
              <w:keepLines w:val="0"/>
              <w:pageBreakBefore w:val="0"/>
              <w:widowControl/>
              <w:spacing w:line="320" w:lineRule="exact"/>
              <w:jc w:val="lef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注：1.以上视频内容请上传至苏采云系统。</w:t>
            </w:r>
          </w:p>
          <w:p w14:paraId="77DD4B81">
            <w:pPr>
              <w:keepNext w:val="0"/>
              <w:keepLines w:val="0"/>
              <w:pageBreakBefore w:val="0"/>
              <w:widowControl/>
              <w:spacing w:line="320" w:lineRule="exact"/>
              <w:jc w:val="lef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2.视频控制在10分钟以内</w:t>
            </w:r>
          </w:p>
        </w:tc>
      </w:tr>
      <w:tr w14:paraId="42E540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9" w:hRule="atLeast"/>
          <w:jc w:val="center"/>
        </w:trPr>
        <w:tc>
          <w:tcPr>
            <w:tcW w:w="1405" w:type="dxa"/>
            <w:noWrap w:val="0"/>
            <w:vAlign w:val="center"/>
          </w:tcPr>
          <w:p w14:paraId="3014A55C">
            <w:pPr>
              <w:keepNext w:val="0"/>
              <w:keepLines w:val="0"/>
              <w:pageBreakBefore w:val="0"/>
              <w:widowControl/>
              <w:spacing w:line="32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训练设备</w:t>
            </w:r>
          </w:p>
        </w:tc>
        <w:tc>
          <w:tcPr>
            <w:tcW w:w="975" w:type="dxa"/>
            <w:noWrap w:val="0"/>
            <w:vAlign w:val="center"/>
          </w:tcPr>
          <w:p w14:paraId="15910C03">
            <w:pPr>
              <w:keepNext w:val="0"/>
              <w:keepLines w:val="0"/>
              <w:pageBreakBefore w:val="0"/>
              <w:widowControl/>
              <w:spacing w:line="320" w:lineRule="exact"/>
              <w:jc w:val="center"/>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rPr>
              <w:t>1</w:t>
            </w:r>
            <w:r>
              <w:rPr>
                <w:rFonts w:hint="eastAsia" w:ascii="宋体" w:hAnsi="宋体" w:eastAsia="宋体" w:cs="宋体"/>
                <w:color w:val="auto"/>
                <w:sz w:val="18"/>
                <w:szCs w:val="18"/>
                <w:highlight w:val="none"/>
                <w:lang w:val="en-US" w:eastAsia="zh-CN"/>
              </w:rPr>
              <w:t>5</w:t>
            </w:r>
            <w:r>
              <w:rPr>
                <w:rFonts w:hint="eastAsia" w:ascii="宋体" w:hAnsi="宋体" w:eastAsia="宋体" w:cs="宋体"/>
                <w:color w:val="auto"/>
                <w:sz w:val="18"/>
                <w:szCs w:val="18"/>
                <w:highlight w:val="none"/>
              </w:rPr>
              <w:t>.00</w:t>
            </w:r>
            <w:r>
              <w:rPr>
                <w:rFonts w:hint="eastAsia" w:ascii="宋体" w:hAnsi="宋体" w:eastAsia="宋体" w:cs="宋体"/>
                <w:color w:val="auto"/>
                <w:sz w:val="18"/>
                <w:szCs w:val="18"/>
                <w:highlight w:val="none"/>
                <w:lang w:eastAsia="zh-CN"/>
              </w:rPr>
              <w:t>分</w:t>
            </w:r>
          </w:p>
        </w:tc>
        <w:tc>
          <w:tcPr>
            <w:tcW w:w="7120" w:type="dxa"/>
            <w:noWrap w:val="0"/>
            <w:vAlign w:val="center"/>
          </w:tcPr>
          <w:p w14:paraId="55BE57CF">
            <w:pPr>
              <w:keepNext w:val="0"/>
              <w:keepLines w:val="0"/>
              <w:pageBreakBefore w:val="0"/>
              <w:spacing w:line="320" w:lineRule="exact"/>
              <w:jc w:val="left"/>
              <w:rPr>
                <w:rFonts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t>1.康复评估设备：心理教育评估表(PEP-3)/C-PEP-3/孤独症儿童发展评</w:t>
            </w:r>
            <w:r>
              <w:rPr>
                <w:rFonts w:hint="eastAsia" w:ascii="宋体" w:hAnsi="宋体" w:eastAsia="宋体" w:cs="Times New Roman"/>
                <w:color w:val="auto"/>
                <w:sz w:val="18"/>
                <w:szCs w:val="18"/>
                <w:highlight w:val="none"/>
                <w:lang w:val="en-US" w:eastAsia="zh-CN"/>
              </w:rPr>
              <w:t>估</w:t>
            </w:r>
            <w:r>
              <w:rPr>
                <w:rFonts w:hint="eastAsia" w:ascii="宋体" w:hAnsi="宋体" w:eastAsia="宋体" w:cs="Times New Roman"/>
                <w:color w:val="auto"/>
                <w:sz w:val="18"/>
                <w:szCs w:val="18"/>
                <w:highlight w:val="none"/>
              </w:rPr>
              <w:t>表(C-PEP)、语言行为里程碑评估及安置程序(VB-MAPP)、婴儿-初中生社会生活量表/儿童适应行为评定量表/Gesell 发育量表。</w:t>
            </w:r>
          </w:p>
          <w:p w14:paraId="22050A79">
            <w:pPr>
              <w:keepNext w:val="0"/>
              <w:keepLines w:val="0"/>
              <w:pageBreakBefore w:val="0"/>
              <w:spacing w:line="320" w:lineRule="exact"/>
              <w:jc w:val="left"/>
              <w:rPr>
                <w:rFonts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t>2.康复训练设备：滑板车、大滑板、吊筒、钻滚筒、羊角球、大龙球、布袋跳触觉球、按摩地垫、平衡木、平衡踩踏车、万象组合包、精细运动训练玩具</w:t>
            </w:r>
            <w:r>
              <w:rPr>
                <w:rFonts w:hint="eastAsia" w:ascii="宋体" w:hAnsi="宋体" w:eastAsia="宋体" w:cs="Times New Roman"/>
                <w:color w:val="auto"/>
                <w:sz w:val="18"/>
                <w:szCs w:val="18"/>
                <w:highlight w:val="none"/>
                <w:lang w:eastAsia="zh-CN"/>
              </w:rPr>
              <w:t>等</w:t>
            </w:r>
            <w:r>
              <w:rPr>
                <w:rFonts w:hint="eastAsia" w:ascii="宋体" w:hAnsi="宋体" w:eastAsia="宋体" w:cs="Times New Roman"/>
                <w:color w:val="auto"/>
                <w:sz w:val="18"/>
                <w:szCs w:val="18"/>
                <w:highlight w:val="none"/>
              </w:rPr>
              <w:t>。</w:t>
            </w:r>
          </w:p>
          <w:p w14:paraId="443B7A55">
            <w:pPr>
              <w:keepNext w:val="0"/>
              <w:keepLines w:val="0"/>
              <w:pageBreakBefore w:val="0"/>
              <w:spacing w:line="320" w:lineRule="exact"/>
              <w:jc w:val="left"/>
              <w:rPr>
                <w:rFonts w:hint="eastAsia"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t>3.教学设备：配备儿童的课桌椅、大小黑(白)板、多媒体教学器材；适合儿童特点的挂图、卡片、音乐、游戏等教玩具。</w:t>
            </w:r>
          </w:p>
          <w:p w14:paraId="397493CD">
            <w:pPr>
              <w:keepNext w:val="0"/>
              <w:keepLines w:val="0"/>
              <w:pageBreakBefore w:val="0"/>
              <w:spacing w:line="320" w:lineRule="exact"/>
              <w:jc w:val="left"/>
              <w:rPr>
                <w:rFonts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t>4.其它设备：按人均4件的标准配备符合儿童训练特点的各类玩具和图书。配备家长培训所需的教学设备。</w:t>
            </w:r>
          </w:p>
          <w:p w14:paraId="21007E82">
            <w:pPr>
              <w:keepNext w:val="0"/>
              <w:keepLines w:val="0"/>
              <w:pageBreakBefore w:val="0"/>
              <w:spacing w:line="320" w:lineRule="exact"/>
              <w:jc w:val="left"/>
              <w:rPr>
                <w:rFonts w:hint="eastAsia"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t>注</w:t>
            </w:r>
            <w:r>
              <w:rPr>
                <w:rFonts w:hint="eastAsia" w:ascii="宋体" w:hAnsi="宋体" w:eastAsia="宋体" w:cs="Times New Roman"/>
                <w:color w:val="auto"/>
                <w:sz w:val="18"/>
                <w:szCs w:val="18"/>
                <w:highlight w:val="none"/>
                <w:lang w:eastAsia="zh-CN"/>
              </w:rPr>
              <w:t>：</w:t>
            </w:r>
            <w:r>
              <w:rPr>
                <w:rFonts w:hint="eastAsia" w:ascii="宋体" w:hAnsi="宋体" w:eastAsia="宋体" w:cs="Times New Roman"/>
                <w:color w:val="auto"/>
                <w:sz w:val="18"/>
                <w:szCs w:val="18"/>
                <w:highlight w:val="none"/>
              </w:rPr>
              <w:t>1.收训儿童人数暂按</w:t>
            </w:r>
            <w:r>
              <w:rPr>
                <w:rFonts w:hint="eastAsia" w:ascii="宋体" w:hAnsi="宋体" w:cs="Times New Roman"/>
                <w:color w:val="auto"/>
                <w:sz w:val="18"/>
                <w:szCs w:val="18"/>
                <w:highlight w:val="none"/>
                <w:lang w:val="en-US" w:eastAsia="zh-CN"/>
              </w:rPr>
              <w:t>15</w:t>
            </w:r>
            <w:r>
              <w:rPr>
                <w:rFonts w:hint="eastAsia" w:ascii="宋体" w:hAnsi="宋体" w:eastAsia="宋体" w:cs="Times New Roman"/>
                <w:color w:val="auto"/>
                <w:sz w:val="18"/>
                <w:szCs w:val="18"/>
                <w:highlight w:val="none"/>
              </w:rPr>
              <w:t>0名儿童考虑</w:t>
            </w:r>
            <w:r>
              <w:rPr>
                <w:rFonts w:hint="eastAsia" w:ascii="宋体" w:hAnsi="宋体" w:cs="Times New Roman"/>
                <w:color w:val="auto"/>
                <w:sz w:val="18"/>
                <w:szCs w:val="18"/>
                <w:highlight w:val="none"/>
                <w:lang w:val="en-US" w:eastAsia="zh-CN"/>
              </w:rPr>
              <w:t>进行评分</w:t>
            </w:r>
            <w:r>
              <w:rPr>
                <w:rFonts w:hint="eastAsia" w:ascii="宋体" w:hAnsi="宋体" w:eastAsia="宋体" w:cs="Times New Roman"/>
                <w:color w:val="auto"/>
                <w:sz w:val="18"/>
                <w:szCs w:val="18"/>
                <w:highlight w:val="none"/>
                <w:lang w:eastAsia="zh-CN"/>
              </w:rPr>
              <w:t>；</w:t>
            </w:r>
            <w:r>
              <w:rPr>
                <w:rFonts w:hint="eastAsia" w:ascii="宋体" w:hAnsi="宋体" w:eastAsia="宋体" w:cs="Times New Roman"/>
                <w:color w:val="auto"/>
                <w:sz w:val="18"/>
                <w:szCs w:val="18"/>
                <w:highlight w:val="none"/>
              </w:rPr>
              <w:t>2.上述条件1-3每满足一条得4分，第4小项满足的得3分，本项最高得15分。上述条件中1-3项，请各供应商在响应文件中提供上述设备材料图片、设备产品合格证或质量检测合格证明、相关购置清单发票(如为受捐或主管部门支持康复事业等非自行购买方式的可提供受捐证明或收货证明)等证明材料</w:t>
            </w:r>
            <w:r>
              <w:rPr>
                <w:rFonts w:hint="eastAsia" w:ascii="宋体" w:hAnsi="宋体" w:eastAsia="宋体" w:cs="Times New Roman"/>
                <w:color w:val="auto"/>
                <w:sz w:val="18"/>
                <w:szCs w:val="18"/>
                <w:highlight w:val="none"/>
                <w:lang w:eastAsia="zh-CN"/>
              </w:rPr>
              <w:t>；</w:t>
            </w:r>
            <w:r>
              <w:rPr>
                <w:rFonts w:hint="eastAsia" w:ascii="宋体" w:hAnsi="宋体" w:eastAsia="宋体" w:cs="Times New Roman"/>
                <w:color w:val="auto"/>
                <w:sz w:val="18"/>
                <w:szCs w:val="18"/>
                <w:highlight w:val="none"/>
              </w:rPr>
              <w:t>第4小项，请各供应商在响应文件中提供上述设备材料图片等。少提供或不提供均不得分</w:t>
            </w:r>
            <w:r>
              <w:rPr>
                <w:rFonts w:hint="eastAsia" w:ascii="宋体" w:hAnsi="宋体" w:eastAsia="宋体" w:cs="Times New Roman"/>
                <w:color w:val="auto"/>
                <w:sz w:val="18"/>
                <w:szCs w:val="18"/>
                <w:highlight w:val="none"/>
                <w:lang w:eastAsia="zh-CN"/>
              </w:rPr>
              <w:t>。</w:t>
            </w:r>
          </w:p>
        </w:tc>
      </w:tr>
      <w:tr w14:paraId="75D86D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40" w:hRule="atLeast"/>
          <w:jc w:val="center"/>
        </w:trPr>
        <w:tc>
          <w:tcPr>
            <w:tcW w:w="1405" w:type="dxa"/>
            <w:noWrap w:val="0"/>
            <w:vAlign w:val="center"/>
          </w:tcPr>
          <w:p w14:paraId="5D3246DB">
            <w:pPr>
              <w:keepNext w:val="0"/>
              <w:keepLines w:val="0"/>
              <w:pageBreakBefore w:val="0"/>
              <w:widowControl/>
              <w:spacing w:line="32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企业</w:t>
            </w:r>
          </w:p>
          <w:p w14:paraId="5991962B">
            <w:pPr>
              <w:keepNext w:val="0"/>
              <w:keepLines w:val="0"/>
              <w:pageBreakBefore w:val="0"/>
              <w:widowControl/>
              <w:spacing w:line="320" w:lineRule="exact"/>
              <w:jc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业绩</w:t>
            </w:r>
          </w:p>
        </w:tc>
        <w:tc>
          <w:tcPr>
            <w:tcW w:w="975" w:type="dxa"/>
            <w:noWrap w:val="0"/>
            <w:vAlign w:val="center"/>
          </w:tcPr>
          <w:p w14:paraId="71BEDCF9">
            <w:pPr>
              <w:keepNext w:val="0"/>
              <w:keepLines w:val="0"/>
              <w:pageBreakBefore w:val="0"/>
              <w:widowControl/>
              <w:spacing w:line="320" w:lineRule="exact"/>
              <w:jc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5</w:t>
            </w:r>
            <w:r>
              <w:rPr>
                <w:rFonts w:hint="eastAsia" w:ascii="宋体" w:hAnsi="宋体" w:eastAsia="宋体" w:cs="宋体"/>
                <w:color w:val="auto"/>
                <w:sz w:val="18"/>
                <w:szCs w:val="18"/>
                <w:highlight w:val="none"/>
              </w:rPr>
              <w:t>.00分</w:t>
            </w:r>
          </w:p>
        </w:tc>
        <w:tc>
          <w:tcPr>
            <w:tcW w:w="7120" w:type="dxa"/>
            <w:noWrap w:val="0"/>
            <w:vAlign w:val="center"/>
          </w:tcPr>
          <w:p w14:paraId="3828FA55">
            <w:pPr>
              <w:keepNext w:val="0"/>
              <w:keepLines w:val="0"/>
              <w:pageBreakBefore w:val="0"/>
              <w:widowControl/>
              <w:spacing w:line="320" w:lineRule="exact"/>
              <w:jc w:val="lef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2022年1月1日以来（</w:t>
            </w:r>
            <w:r>
              <w:rPr>
                <w:rFonts w:ascii="宋体" w:hAnsi="宋体" w:eastAsia="宋体" w:cs="宋体"/>
                <w:color w:val="auto"/>
                <w:sz w:val="18"/>
                <w:szCs w:val="18"/>
                <w:highlight w:val="none"/>
              </w:rPr>
              <w:t>以合同签订时间为准</w:t>
            </w:r>
            <w:r>
              <w:rPr>
                <w:rFonts w:hint="eastAsia" w:ascii="宋体" w:hAnsi="宋体" w:eastAsia="宋体" w:cs="宋体"/>
                <w:color w:val="auto"/>
                <w:sz w:val="18"/>
                <w:szCs w:val="18"/>
                <w:highlight w:val="none"/>
              </w:rPr>
              <w:t>）；</w:t>
            </w:r>
            <w:r>
              <w:rPr>
                <w:rFonts w:ascii="宋体" w:hAnsi="宋体" w:eastAsia="宋体" w:cs="宋体"/>
                <w:color w:val="auto"/>
                <w:sz w:val="18"/>
                <w:szCs w:val="18"/>
                <w:highlight w:val="none"/>
              </w:rPr>
              <w:t>供应商承接过类似残疾儿童康复服务项目的，每有一个业绩得</w:t>
            </w:r>
            <w:r>
              <w:rPr>
                <w:rFonts w:hint="eastAsia" w:ascii="宋体" w:hAnsi="宋体" w:eastAsia="宋体" w:cs="宋体"/>
                <w:color w:val="auto"/>
                <w:sz w:val="18"/>
                <w:szCs w:val="18"/>
                <w:highlight w:val="none"/>
              </w:rPr>
              <w:t>2</w:t>
            </w:r>
            <w:r>
              <w:rPr>
                <w:rFonts w:hint="eastAsia" w:ascii="宋体" w:hAnsi="宋体" w:eastAsia="宋体" w:cs="宋体"/>
                <w:color w:val="auto"/>
                <w:sz w:val="18"/>
                <w:szCs w:val="18"/>
                <w:highlight w:val="none"/>
                <w:lang w:val="en-US" w:eastAsia="zh-CN"/>
              </w:rPr>
              <w:t>.5</w:t>
            </w:r>
            <w:r>
              <w:rPr>
                <w:rFonts w:ascii="宋体" w:hAnsi="宋体" w:eastAsia="宋体" w:cs="宋体"/>
                <w:color w:val="auto"/>
                <w:sz w:val="18"/>
                <w:szCs w:val="18"/>
                <w:highlight w:val="none"/>
              </w:rPr>
              <w:t>分，本项最高得</w:t>
            </w:r>
            <w:r>
              <w:rPr>
                <w:rFonts w:hint="eastAsia" w:ascii="宋体" w:hAnsi="宋体" w:eastAsia="宋体" w:cs="宋体"/>
                <w:color w:val="auto"/>
                <w:sz w:val="18"/>
                <w:szCs w:val="18"/>
                <w:highlight w:val="none"/>
                <w:lang w:val="en-US" w:eastAsia="zh-CN"/>
              </w:rPr>
              <w:t>5</w:t>
            </w:r>
            <w:r>
              <w:rPr>
                <w:rFonts w:ascii="宋体" w:hAnsi="宋体" w:eastAsia="宋体" w:cs="宋体"/>
                <w:color w:val="auto"/>
                <w:sz w:val="18"/>
                <w:szCs w:val="18"/>
                <w:highlight w:val="none"/>
              </w:rPr>
              <w:t>分。（注：1、以供应商响应文件中提供合同原件扫描件为准，未按要求提供上述证明材料的不得分。2、上述业绩不得为个人或家庭委托业绩</w:t>
            </w:r>
            <w:r>
              <w:rPr>
                <w:rFonts w:hint="eastAsia" w:ascii="宋体" w:hAnsi="宋体" w:eastAsia="宋体" w:cs="宋体"/>
                <w:color w:val="auto"/>
                <w:sz w:val="18"/>
                <w:szCs w:val="18"/>
                <w:highlight w:val="none"/>
              </w:rPr>
              <w:t>。3、中标人提供的上述证明材料随中标结果同步公开。</w:t>
            </w:r>
            <w:r>
              <w:rPr>
                <w:rFonts w:ascii="宋体" w:hAnsi="宋体" w:eastAsia="宋体" w:cs="宋体"/>
                <w:color w:val="auto"/>
                <w:sz w:val="18"/>
                <w:szCs w:val="18"/>
                <w:highlight w:val="none"/>
              </w:rPr>
              <w:t>）</w:t>
            </w:r>
          </w:p>
        </w:tc>
      </w:tr>
      <w:tr w14:paraId="4AFE17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5" w:hRule="atLeast"/>
          <w:jc w:val="center"/>
        </w:trPr>
        <w:tc>
          <w:tcPr>
            <w:tcW w:w="1405" w:type="dxa"/>
            <w:noWrap w:val="0"/>
            <w:vAlign w:val="center"/>
          </w:tcPr>
          <w:p w14:paraId="64F3C9C7">
            <w:pPr>
              <w:keepNext w:val="0"/>
              <w:keepLines w:val="0"/>
              <w:pageBreakBefore w:val="0"/>
              <w:widowControl/>
              <w:spacing w:line="320" w:lineRule="exact"/>
              <w:jc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项目组成员证书</w:t>
            </w:r>
          </w:p>
        </w:tc>
        <w:tc>
          <w:tcPr>
            <w:tcW w:w="975" w:type="dxa"/>
            <w:noWrap w:val="0"/>
            <w:vAlign w:val="center"/>
          </w:tcPr>
          <w:p w14:paraId="34C16441">
            <w:pPr>
              <w:keepNext w:val="0"/>
              <w:keepLines w:val="0"/>
              <w:pageBreakBefore w:val="0"/>
              <w:widowControl/>
              <w:spacing w:line="320" w:lineRule="exact"/>
              <w:jc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1</w:t>
            </w:r>
            <w:r>
              <w:rPr>
                <w:rFonts w:hint="eastAsia" w:ascii="宋体" w:hAnsi="宋体" w:eastAsia="宋体" w:cs="宋体"/>
                <w:color w:val="auto"/>
                <w:sz w:val="18"/>
                <w:szCs w:val="18"/>
                <w:highlight w:val="none"/>
                <w:lang w:val="en-US" w:eastAsia="zh-CN"/>
              </w:rPr>
              <w:t>8</w:t>
            </w:r>
            <w:r>
              <w:rPr>
                <w:rFonts w:hint="eastAsia" w:ascii="宋体" w:hAnsi="宋体" w:eastAsia="宋体" w:cs="宋体"/>
                <w:color w:val="auto"/>
                <w:sz w:val="18"/>
                <w:szCs w:val="18"/>
                <w:highlight w:val="none"/>
              </w:rPr>
              <w:t>.00分</w:t>
            </w:r>
          </w:p>
        </w:tc>
        <w:tc>
          <w:tcPr>
            <w:tcW w:w="7120" w:type="dxa"/>
            <w:noWrap w:val="0"/>
            <w:vAlign w:val="center"/>
          </w:tcPr>
          <w:p w14:paraId="1265D9A4">
            <w:pPr>
              <w:keepNext w:val="0"/>
              <w:keepLines w:val="0"/>
              <w:pageBreakBefore w:val="0"/>
              <w:widowControl/>
              <w:spacing w:line="300" w:lineRule="exact"/>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rPr>
              <w:t>1</w:t>
            </w:r>
            <w:r>
              <w:rPr>
                <w:rFonts w:hint="eastAsia" w:ascii="宋体" w:hAnsi="宋体" w:eastAsia="宋体" w:cs="宋体"/>
                <w:color w:val="auto"/>
                <w:sz w:val="18"/>
                <w:szCs w:val="18"/>
                <w:highlight w:val="none"/>
                <w:lang w:val="en-US" w:eastAsia="zh-CN"/>
              </w:rPr>
              <w:t>.人员配备（本项最高得9分）：</w:t>
            </w:r>
            <w:r>
              <w:rPr>
                <w:rFonts w:ascii="宋体" w:hAnsi="宋体" w:eastAsia="宋体" w:cs="宋体"/>
                <w:color w:val="auto"/>
                <w:sz w:val="18"/>
                <w:szCs w:val="18"/>
                <w:highlight w:val="none"/>
                <w:lang w:val="en-US" w:eastAsia="zh-CN"/>
              </w:rPr>
              <w:t>①供应商</w:t>
            </w:r>
            <w:r>
              <w:rPr>
                <w:rFonts w:hint="eastAsia" w:ascii="宋体" w:hAnsi="宋体" w:eastAsia="宋体" w:cs="宋体"/>
                <w:color w:val="auto"/>
                <w:sz w:val="18"/>
                <w:szCs w:val="18"/>
                <w:highlight w:val="none"/>
                <w:lang w:val="en-US" w:eastAsia="zh-CN"/>
              </w:rPr>
              <w:t>配备1名康复业务主管，得1分；</w:t>
            </w:r>
            <w:r>
              <w:rPr>
                <w:rFonts w:ascii="宋体" w:hAnsi="宋体" w:eastAsia="宋体" w:cs="宋体"/>
                <w:color w:val="auto"/>
                <w:sz w:val="18"/>
                <w:szCs w:val="18"/>
                <w:highlight w:val="none"/>
                <w:lang w:val="en-US" w:eastAsia="zh-CN"/>
              </w:rPr>
              <w:t>②</w:t>
            </w:r>
            <w:r>
              <w:rPr>
                <w:rFonts w:hint="eastAsia" w:ascii="宋体" w:hAnsi="宋体" w:eastAsia="宋体" w:cs="宋体"/>
                <w:color w:val="auto"/>
                <w:sz w:val="18"/>
                <w:szCs w:val="18"/>
                <w:highlight w:val="none"/>
                <w:lang w:val="en-US" w:eastAsia="zh-CN"/>
              </w:rPr>
              <w:t>配备1名康复治疗师(行为分析师、言语治疗师、作业治疗师)的，得1分，每增加一名上述人员加1分，本项最高得2分</w:t>
            </w:r>
            <w:r>
              <w:rPr>
                <w:rFonts w:ascii="宋体" w:hAnsi="宋体" w:eastAsia="宋体" w:cs="宋体"/>
                <w:color w:val="auto"/>
                <w:sz w:val="18"/>
                <w:szCs w:val="18"/>
                <w:highlight w:val="none"/>
                <w:lang w:val="en-US" w:eastAsia="zh-CN"/>
              </w:rPr>
              <w:t>；③</w:t>
            </w:r>
            <w:r>
              <w:rPr>
                <w:rFonts w:hint="eastAsia" w:ascii="宋体" w:hAnsi="宋体" w:eastAsia="宋体" w:cs="宋体"/>
                <w:color w:val="auto"/>
                <w:sz w:val="18"/>
                <w:szCs w:val="18"/>
                <w:highlight w:val="none"/>
                <w:lang w:val="en-US" w:eastAsia="zh-CN"/>
              </w:rPr>
              <w:t>配备1名教师的，得1分，每增加一名上述人员加1分，本项最高得4分；④卫生保健医生应具备中专以上学历，取得相关资质，并接受相关培训的，得1分。⑤保育员具备高中以上学历，并受过幼儿保育职业培训的，得1分。</w:t>
            </w:r>
          </w:p>
          <w:p w14:paraId="2DD1C011">
            <w:pPr>
              <w:keepNext w:val="0"/>
              <w:keepLines w:val="0"/>
              <w:pageBreakBefore w:val="0"/>
              <w:widowControl/>
              <w:spacing w:line="280" w:lineRule="exact"/>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2.人员组成（本项最高得4分）：</w:t>
            </w:r>
            <w:r>
              <w:rPr>
                <w:rFonts w:ascii="宋体" w:hAnsi="宋体" w:eastAsia="宋体" w:cs="宋体"/>
                <w:color w:val="auto"/>
                <w:sz w:val="18"/>
                <w:szCs w:val="18"/>
                <w:highlight w:val="none"/>
                <w:lang w:val="en-US" w:eastAsia="zh-CN"/>
              </w:rPr>
              <w:t>①</w:t>
            </w:r>
            <w:r>
              <w:rPr>
                <w:rFonts w:hint="eastAsia" w:ascii="宋体" w:hAnsi="宋体" w:eastAsia="宋体" w:cs="宋体"/>
                <w:color w:val="auto"/>
                <w:sz w:val="18"/>
                <w:szCs w:val="18"/>
                <w:highlight w:val="none"/>
                <w:lang w:val="en-US" w:eastAsia="zh-CN"/>
              </w:rPr>
              <w:t>个训教师与残疾儿童比例应不低于1:8的，得1分。</w:t>
            </w:r>
            <w:r>
              <w:rPr>
                <w:rFonts w:ascii="宋体" w:hAnsi="宋体" w:eastAsia="宋体" w:cs="宋体"/>
                <w:color w:val="auto"/>
                <w:sz w:val="18"/>
                <w:szCs w:val="18"/>
                <w:highlight w:val="none"/>
                <w:lang w:val="en-US" w:eastAsia="zh-CN"/>
              </w:rPr>
              <w:t>②</w:t>
            </w:r>
            <w:r>
              <w:rPr>
                <w:rFonts w:hint="eastAsia" w:ascii="宋体" w:hAnsi="宋体" w:eastAsia="宋体" w:cs="宋体"/>
                <w:color w:val="auto"/>
                <w:sz w:val="18"/>
                <w:szCs w:val="18"/>
                <w:highlight w:val="none"/>
                <w:lang w:val="en-US" w:eastAsia="zh-CN"/>
              </w:rPr>
              <w:t>康复治疗师与残疾儿童的比例应不低于1:15的，得1分。</w:t>
            </w:r>
            <w:r>
              <w:rPr>
                <w:rFonts w:ascii="宋体" w:hAnsi="宋体" w:eastAsia="宋体" w:cs="宋体"/>
                <w:color w:val="auto"/>
                <w:sz w:val="18"/>
                <w:szCs w:val="18"/>
                <w:highlight w:val="none"/>
                <w:lang w:val="en-US" w:eastAsia="zh-CN"/>
              </w:rPr>
              <w:t>③</w:t>
            </w:r>
            <w:r>
              <w:rPr>
                <w:rFonts w:hint="eastAsia" w:ascii="宋体" w:hAnsi="宋体" w:eastAsia="宋体" w:cs="宋体"/>
                <w:color w:val="auto"/>
                <w:sz w:val="18"/>
                <w:szCs w:val="18"/>
                <w:highlight w:val="none"/>
                <w:lang w:val="en-US" w:eastAsia="zh-CN"/>
              </w:rPr>
              <w:t>业务主管、教师、康复治疗师不低于机构内职工总数的70%的，得2分。</w:t>
            </w:r>
          </w:p>
          <w:p w14:paraId="48B7340A">
            <w:pPr>
              <w:keepNext w:val="0"/>
              <w:keepLines w:val="0"/>
              <w:pageBreakBefore w:val="0"/>
              <w:widowControl/>
              <w:spacing w:line="280" w:lineRule="exact"/>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3.资历要求（本项最高得5分）：</w:t>
            </w:r>
            <w:r>
              <w:rPr>
                <w:rFonts w:ascii="宋体" w:hAnsi="宋体" w:eastAsia="宋体" w:cs="宋体"/>
                <w:color w:val="auto"/>
                <w:sz w:val="18"/>
                <w:szCs w:val="18"/>
                <w:highlight w:val="none"/>
                <w:lang w:val="en-US" w:eastAsia="zh-CN"/>
              </w:rPr>
              <w:t>供应商提供服务的人员组成中，满足下列要求：①</w:t>
            </w:r>
            <w:r>
              <w:rPr>
                <w:rFonts w:hint="eastAsia" w:ascii="宋体" w:hAnsi="宋体" w:eastAsia="宋体" w:cs="宋体"/>
                <w:color w:val="auto"/>
                <w:sz w:val="18"/>
                <w:szCs w:val="18"/>
                <w:highlight w:val="none"/>
                <w:lang w:val="en-US" w:eastAsia="zh-CN"/>
              </w:rPr>
              <w:t>业务主管具有教育、医疗、康复、心理等相关专业大专以上学历，有3年以上儿童康复训练的服务经验；</w:t>
            </w:r>
            <w:r>
              <w:rPr>
                <w:rFonts w:ascii="宋体" w:hAnsi="宋体" w:eastAsia="宋体" w:cs="宋体"/>
                <w:color w:val="auto"/>
                <w:sz w:val="18"/>
                <w:szCs w:val="18"/>
                <w:highlight w:val="none"/>
                <w:lang w:val="en-US" w:eastAsia="zh-CN"/>
              </w:rPr>
              <w:t>②</w:t>
            </w:r>
            <w:r>
              <w:rPr>
                <w:rFonts w:hint="eastAsia" w:ascii="宋体" w:hAnsi="宋体" w:eastAsia="宋体" w:cs="宋体"/>
                <w:color w:val="auto"/>
                <w:sz w:val="18"/>
                <w:szCs w:val="18"/>
                <w:highlight w:val="none"/>
                <w:lang w:val="en-US" w:eastAsia="zh-CN"/>
              </w:rPr>
              <w:t>教师取得资格证、具有学前教育、特殊教育等相关专业大专以上学历，应全部接受过孤独症康复教育的岗前培训；</w:t>
            </w:r>
            <w:r>
              <w:rPr>
                <w:rFonts w:ascii="宋体" w:hAnsi="宋体" w:eastAsia="宋体" w:cs="宋体"/>
                <w:color w:val="auto"/>
                <w:sz w:val="18"/>
                <w:szCs w:val="18"/>
                <w:highlight w:val="none"/>
                <w:lang w:val="en-US" w:eastAsia="zh-CN"/>
              </w:rPr>
              <w:t>③</w:t>
            </w:r>
            <w:r>
              <w:rPr>
                <w:rFonts w:hint="eastAsia" w:ascii="宋体" w:hAnsi="宋体" w:eastAsia="宋体" w:cs="宋体"/>
                <w:color w:val="auto"/>
                <w:sz w:val="18"/>
                <w:szCs w:val="18"/>
                <w:highlight w:val="none"/>
                <w:lang w:val="en-US" w:eastAsia="zh-CN"/>
              </w:rPr>
              <w:t>康复治疗师具有康复治疗专业大专以上学历，取得资格证或经过相关业务培训；</w:t>
            </w:r>
            <w:r>
              <w:rPr>
                <w:rFonts w:ascii="宋体" w:hAnsi="宋体" w:eastAsia="宋体" w:cs="宋体"/>
                <w:color w:val="auto"/>
                <w:sz w:val="18"/>
                <w:szCs w:val="18"/>
                <w:highlight w:val="none"/>
                <w:lang w:val="en-US" w:eastAsia="zh-CN"/>
              </w:rPr>
              <w:t>④</w:t>
            </w:r>
            <w:r>
              <w:rPr>
                <w:rFonts w:hint="eastAsia" w:ascii="宋体" w:hAnsi="宋体" w:eastAsia="宋体" w:cs="宋体"/>
                <w:color w:val="auto"/>
                <w:sz w:val="18"/>
                <w:szCs w:val="18"/>
                <w:highlight w:val="none"/>
                <w:lang w:val="en-US" w:eastAsia="zh-CN"/>
              </w:rPr>
              <w:t>每年不少于30%康复专业技术人员参加市级以上组织的规范化培训不少于21个学时；</w:t>
            </w:r>
            <w:r>
              <w:rPr>
                <w:rFonts w:ascii="宋体" w:hAnsi="宋体" w:eastAsia="宋体" w:cs="宋体"/>
                <w:color w:val="auto"/>
                <w:sz w:val="18"/>
                <w:szCs w:val="18"/>
                <w:highlight w:val="none"/>
                <w:lang w:val="en-US" w:eastAsia="zh-CN"/>
              </w:rPr>
              <w:t>⑤</w:t>
            </w:r>
            <w:r>
              <w:rPr>
                <w:rFonts w:hint="eastAsia" w:ascii="宋体" w:hAnsi="宋体" w:eastAsia="宋体" w:cs="宋体"/>
                <w:color w:val="auto"/>
                <w:sz w:val="18"/>
                <w:szCs w:val="18"/>
                <w:highlight w:val="none"/>
                <w:lang w:val="en-US" w:eastAsia="zh-CN"/>
              </w:rPr>
              <w:t>机构所有工作人员根据岗位要求取得健康证明。</w:t>
            </w:r>
            <w:r>
              <w:rPr>
                <w:rFonts w:ascii="宋体" w:hAnsi="宋体" w:eastAsia="宋体" w:cs="宋体"/>
                <w:color w:val="auto"/>
                <w:sz w:val="18"/>
                <w:szCs w:val="18"/>
                <w:highlight w:val="none"/>
                <w:lang w:val="en-US" w:eastAsia="zh-CN"/>
              </w:rPr>
              <w:t>完全满足上述要求的，得5分；每有一项不满足要求的，扣1分，扣完为止。</w:t>
            </w:r>
          </w:p>
          <w:p w14:paraId="7B7D04E0">
            <w:pPr>
              <w:keepNext w:val="0"/>
              <w:keepLines w:val="0"/>
              <w:pageBreakBefore w:val="0"/>
              <w:widowControl/>
              <w:spacing w:line="280" w:lineRule="exact"/>
              <w:jc w:val="left"/>
              <w:rPr>
                <w:rFonts w:ascii="宋体" w:hAnsi="宋体" w:eastAsia="宋体" w:cs="宋体"/>
                <w:color w:val="auto"/>
                <w:sz w:val="18"/>
                <w:szCs w:val="18"/>
                <w:highlight w:val="none"/>
                <w:lang w:bidi="ar"/>
              </w:rPr>
            </w:pPr>
            <w:r>
              <w:rPr>
                <w:rFonts w:ascii="宋体" w:hAnsi="宋体" w:eastAsia="宋体" w:cs="宋体"/>
                <w:color w:val="auto"/>
                <w:sz w:val="18"/>
                <w:szCs w:val="18"/>
                <w:highlight w:val="none"/>
                <w:lang w:bidi="ar"/>
              </w:rPr>
              <w:t>注：</w:t>
            </w:r>
          </w:p>
          <w:p w14:paraId="5B7BDE7F">
            <w:pPr>
              <w:keepNext w:val="0"/>
              <w:keepLines w:val="0"/>
              <w:pageBreakBefore w:val="0"/>
              <w:widowControl/>
              <w:spacing w:line="280" w:lineRule="exact"/>
              <w:jc w:val="left"/>
              <w:rPr>
                <w:rFonts w:hint="eastAsia" w:ascii="宋体" w:hAnsi="宋体" w:eastAsia="宋体" w:cs="宋体"/>
                <w:color w:val="auto"/>
                <w:sz w:val="18"/>
                <w:szCs w:val="18"/>
                <w:highlight w:val="none"/>
                <w:lang w:bidi="ar"/>
              </w:rPr>
            </w:pPr>
            <w:r>
              <w:rPr>
                <w:rFonts w:hint="eastAsia" w:ascii="宋体" w:hAnsi="宋体" w:eastAsia="宋体" w:cs="宋体"/>
                <w:color w:val="auto"/>
                <w:sz w:val="18"/>
                <w:szCs w:val="18"/>
                <w:highlight w:val="none"/>
                <w:lang w:bidi="ar"/>
              </w:rPr>
              <w:t>1.</w:t>
            </w:r>
            <w:r>
              <w:rPr>
                <w:rFonts w:hint="eastAsia" w:ascii="宋体" w:hAnsi="宋体" w:eastAsia="宋体" w:cs="Times New Roman"/>
                <w:color w:val="auto"/>
                <w:sz w:val="18"/>
                <w:szCs w:val="18"/>
                <w:highlight w:val="none"/>
              </w:rPr>
              <w:t>收训儿童人数暂按</w:t>
            </w:r>
            <w:r>
              <w:rPr>
                <w:rFonts w:hint="eastAsia" w:ascii="宋体" w:hAnsi="宋体" w:cs="Times New Roman"/>
                <w:color w:val="auto"/>
                <w:sz w:val="18"/>
                <w:szCs w:val="18"/>
                <w:highlight w:val="none"/>
                <w:lang w:val="en-US" w:eastAsia="zh-CN"/>
              </w:rPr>
              <w:t>15</w:t>
            </w:r>
            <w:r>
              <w:rPr>
                <w:rFonts w:hint="eastAsia" w:ascii="宋体" w:hAnsi="宋体" w:eastAsia="宋体" w:cs="Times New Roman"/>
                <w:color w:val="auto"/>
                <w:sz w:val="18"/>
                <w:szCs w:val="18"/>
                <w:highlight w:val="none"/>
              </w:rPr>
              <w:t>0名儿童考虑</w:t>
            </w:r>
            <w:r>
              <w:rPr>
                <w:rFonts w:hint="eastAsia" w:ascii="宋体" w:hAnsi="宋体" w:cs="Times New Roman"/>
                <w:color w:val="auto"/>
                <w:sz w:val="18"/>
                <w:szCs w:val="18"/>
                <w:highlight w:val="none"/>
                <w:lang w:val="en-US" w:eastAsia="zh-CN"/>
              </w:rPr>
              <w:t>进行评分</w:t>
            </w:r>
            <w:r>
              <w:rPr>
                <w:rFonts w:hint="eastAsia" w:ascii="宋体" w:hAnsi="宋体" w:eastAsia="宋体" w:cs="宋体"/>
                <w:color w:val="auto"/>
                <w:sz w:val="18"/>
                <w:szCs w:val="18"/>
                <w:highlight w:val="none"/>
                <w:lang w:val="en-US" w:eastAsia="zh-CN"/>
              </w:rPr>
              <w:t>。</w:t>
            </w:r>
          </w:p>
          <w:p w14:paraId="2ED50B20">
            <w:pPr>
              <w:keepNext w:val="0"/>
              <w:keepLines w:val="0"/>
              <w:pageBreakBefore w:val="0"/>
              <w:widowControl/>
              <w:spacing w:line="280" w:lineRule="exact"/>
              <w:jc w:val="lef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bidi="ar"/>
              </w:rPr>
              <w:t>2.</w:t>
            </w:r>
            <w:r>
              <w:rPr>
                <w:rFonts w:hint="eastAsia" w:ascii="宋体" w:hAnsi="宋体" w:eastAsia="宋体" w:cs="宋体"/>
                <w:color w:val="auto"/>
                <w:sz w:val="18"/>
                <w:szCs w:val="18"/>
                <w:highlight w:val="none"/>
                <w:lang w:bidi="ar"/>
              </w:rPr>
              <w:t>提供上述人员相关证书、职称、培训证明等资料原件扫描件</w:t>
            </w:r>
            <w:r>
              <w:rPr>
                <w:rFonts w:ascii="宋体" w:hAnsi="宋体" w:eastAsia="宋体" w:cs="宋体"/>
                <w:color w:val="auto"/>
                <w:sz w:val="18"/>
                <w:szCs w:val="18"/>
                <w:highlight w:val="none"/>
                <w:lang w:bidi="ar"/>
              </w:rPr>
              <w:t>。</w:t>
            </w:r>
            <w:r>
              <w:rPr>
                <w:rFonts w:ascii="宋体" w:hAnsi="宋体" w:eastAsia="宋体" w:cs="宋体"/>
                <w:color w:val="auto"/>
                <w:sz w:val="18"/>
                <w:szCs w:val="18"/>
                <w:highlight w:val="none"/>
                <w:lang w:bidi="ar"/>
              </w:rPr>
              <w:br w:type="textWrapping" w:clear="all"/>
            </w:r>
            <w:r>
              <w:rPr>
                <w:rFonts w:hint="eastAsia" w:ascii="宋体" w:hAnsi="宋体" w:eastAsia="宋体" w:cs="宋体"/>
                <w:color w:val="auto"/>
                <w:sz w:val="18"/>
                <w:szCs w:val="18"/>
                <w:highlight w:val="none"/>
                <w:lang w:val="en-US" w:eastAsia="zh-CN" w:bidi="ar"/>
              </w:rPr>
              <w:t>3</w:t>
            </w:r>
            <w:r>
              <w:rPr>
                <w:rFonts w:hint="eastAsia" w:ascii="宋体" w:hAnsi="宋体" w:eastAsia="宋体" w:cs="宋体"/>
                <w:color w:val="auto"/>
                <w:sz w:val="18"/>
                <w:szCs w:val="18"/>
                <w:highlight w:val="none"/>
                <w:lang w:bidi="ar"/>
              </w:rPr>
              <w:t>.</w:t>
            </w:r>
            <w:r>
              <w:rPr>
                <w:rFonts w:ascii="宋体" w:hAnsi="宋体" w:eastAsia="宋体" w:cs="宋体"/>
                <w:color w:val="auto"/>
                <w:sz w:val="18"/>
                <w:szCs w:val="18"/>
                <w:highlight w:val="none"/>
                <w:lang w:bidi="ar"/>
              </w:rPr>
              <w:t>提供202</w:t>
            </w:r>
            <w:r>
              <w:rPr>
                <w:rFonts w:hint="eastAsia" w:ascii="宋体" w:hAnsi="宋体" w:eastAsia="宋体" w:cs="宋体"/>
                <w:color w:val="auto"/>
                <w:sz w:val="18"/>
                <w:szCs w:val="18"/>
                <w:highlight w:val="none"/>
                <w:lang w:bidi="ar"/>
              </w:rPr>
              <w:t>5</w:t>
            </w:r>
            <w:r>
              <w:rPr>
                <w:rFonts w:ascii="宋体" w:hAnsi="宋体" w:eastAsia="宋体" w:cs="宋体"/>
                <w:color w:val="auto"/>
                <w:sz w:val="18"/>
                <w:szCs w:val="18"/>
                <w:highlight w:val="none"/>
                <w:lang w:bidi="ar"/>
              </w:rPr>
              <w:t>年</w:t>
            </w:r>
            <w:r>
              <w:rPr>
                <w:rFonts w:hint="eastAsia" w:ascii="宋体" w:hAnsi="宋体" w:eastAsia="宋体" w:cs="宋体"/>
                <w:color w:val="auto"/>
                <w:sz w:val="18"/>
                <w:szCs w:val="18"/>
                <w:highlight w:val="none"/>
                <w:lang w:bidi="ar"/>
              </w:rPr>
              <w:t>1</w:t>
            </w:r>
            <w:r>
              <w:rPr>
                <w:rFonts w:ascii="宋体" w:hAnsi="宋体" w:eastAsia="宋体" w:cs="宋体"/>
                <w:color w:val="auto"/>
                <w:sz w:val="18"/>
                <w:szCs w:val="18"/>
                <w:highlight w:val="none"/>
                <w:lang w:bidi="ar"/>
              </w:rPr>
              <w:t>月1日以来任意一个月的</w:t>
            </w:r>
            <w:r>
              <w:rPr>
                <w:rFonts w:hint="eastAsia" w:ascii="宋体" w:hAnsi="宋体" w:eastAsia="宋体" w:cs="宋体"/>
                <w:color w:val="auto"/>
                <w:sz w:val="18"/>
                <w:szCs w:val="18"/>
                <w:highlight w:val="none"/>
                <w:lang w:val="en-US" w:eastAsia="zh-CN" w:bidi="ar"/>
              </w:rPr>
              <w:t>为</w:t>
            </w:r>
            <w:r>
              <w:rPr>
                <w:rFonts w:hint="eastAsia" w:ascii="宋体" w:hAnsi="宋体" w:eastAsia="宋体" w:cs="宋体"/>
                <w:color w:val="auto"/>
                <w:sz w:val="18"/>
                <w:szCs w:val="18"/>
                <w:highlight w:val="none"/>
                <w:lang w:bidi="ar"/>
              </w:rPr>
              <w:t>上述机构人员</w:t>
            </w:r>
            <w:r>
              <w:rPr>
                <w:rFonts w:ascii="宋体" w:hAnsi="宋体" w:eastAsia="宋体" w:cs="宋体"/>
                <w:color w:val="auto"/>
                <w:sz w:val="18"/>
                <w:szCs w:val="18"/>
                <w:highlight w:val="none"/>
                <w:lang w:bidi="ar"/>
              </w:rPr>
              <w:t>依法缴纳社会保障资金的证明</w:t>
            </w:r>
            <w:r>
              <w:rPr>
                <w:rFonts w:hint="eastAsia" w:ascii="宋体" w:hAnsi="宋体" w:eastAsia="宋体" w:cs="宋体"/>
                <w:color w:val="auto"/>
                <w:sz w:val="18"/>
                <w:szCs w:val="18"/>
                <w:highlight w:val="none"/>
                <w:lang w:bidi="ar"/>
              </w:rPr>
              <w:t>扫描件</w:t>
            </w:r>
            <w:r>
              <w:rPr>
                <w:rFonts w:ascii="宋体" w:hAnsi="宋体" w:eastAsia="宋体" w:cs="宋体"/>
                <w:color w:val="auto"/>
                <w:sz w:val="18"/>
                <w:szCs w:val="18"/>
                <w:highlight w:val="none"/>
                <w:lang w:bidi="ar"/>
              </w:rPr>
              <w:t>。</w:t>
            </w:r>
            <w:r>
              <w:rPr>
                <w:rFonts w:ascii="宋体" w:hAnsi="宋体" w:eastAsia="宋体" w:cs="宋体"/>
                <w:color w:val="auto"/>
                <w:sz w:val="18"/>
                <w:szCs w:val="18"/>
                <w:highlight w:val="none"/>
                <w:lang w:bidi="ar"/>
              </w:rPr>
              <w:br w:type="textWrapping" w:clear="all"/>
            </w:r>
            <w:r>
              <w:rPr>
                <w:rFonts w:ascii="宋体" w:hAnsi="宋体" w:eastAsia="宋体" w:cs="宋体"/>
                <w:color w:val="auto"/>
                <w:sz w:val="18"/>
                <w:szCs w:val="18"/>
                <w:highlight w:val="none"/>
                <w:lang w:bidi="ar"/>
              </w:rPr>
              <w:t>4</w:t>
            </w:r>
            <w:r>
              <w:rPr>
                <w:rFonts w:hint="eastAsia" w:ascii="宋体" w:hAnsi="宋体" w:eastAsia="宋体" w:cs="宋体"/>
                <w:color w:val="auto"/>
                <w:sz w:val="18"/>
                <w:szCs w:val="18"/>
                <w:highlight w:val="none"/>
                <w:lang w:bidi="ar"/>
              </w:rPr>
              <w:t>.</w:t>
            </w:r>
            <w:r>
              <w:rPr>
                <w:rFonts w:ascii="宋体" w:hAnsi="宋体" w:eastAsia="宋体" w:cs="宋体"/>
                <w:color w:val="auto"/>
                <w:sz w:val="18"/>
                <w:szCs w:val="18"/>
                <w:highlight w:val="none"/>
                <w:lang w:bidi="ar"/>
              </w:rPr>
              <w:t>同一个人的证书、社会保障资金证明必须同时具有才能得分，未提供或提供不全不得分。</w:t>
            </w:r>
          </w:p>
        </w:tc>
      </w:tr>
      <w:tr w14:paraId="7B0AF0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5" w:hRule="atLeast"/>
          <w:jc w:val="center"/>
        </w:trPr>
        <w:tc>
          <w:tcPr>
            <w:tcW w:w="1405" w:type="dxa"/>
            <w:noWrap w:val="0"/>
            <w:vAlign w:val="center"/>
          </w:tcPr>
          <w:p w14:paraId="4B2531F2">
            <w:pPr>
              <w:keepNext w:val="0"/>
              <w:keepLines w:val="0"/>
              <w:pageBreakBefore w:val="0"/>
              <w:widowControl/>
              <w:spacing w:line="320" w:lineRule="exact"/>
              <w:jc w:val="center"/>
              <w:rPr>
                <w:rFonts w:hint="eastAsia" w:ascii="宋体" w:hAnsi="宋体" w:eastAsia="宋体" w:cs="宋体"/>
                <w:b w:val="0"/>
                <w:bCs/>
                <w:color w:val="auto"/>
                <w:sz w:val="18"/>
                <w:szCs w:val="18"/>
                <w:highlight w:val="none"/>
              </w:rPr>
            </w:pPr>
            <w:r>
              <w:rPr>
                <w:rFonts w:hint="eastAsia" w:ascii="宋体" w:hAnsi="宋体" w:eastAsia="宋体" w:cs="Times New Roman"/>
                <w:b w:val="0"/>
                <w:bCs/>
                <w:color w:val="auto"/>
                <w:spacing w:val="3"/>
                <w:sz w:val="18"/>
                <w:szCs w:val="18"/>
                <w:highlight w:val="none"/>
              </w:rPr>
              <w:t>项目实施方案</w:t>
            </w:r>
          </w:p>
        </w:tc>
        <w:tc>
          <w:tcPr>
            <w:tcW w:w="975" w:type="dxa"/>
            <w:noWrap w:val="0"/>
            <w:vAlign w:val="center"/>
          </w:tcPr>
          <w:p w14:paraId="44AA390A">
            <w:pPr>
              <w:keepNext w:val="0"/>
              <w:keepLines w:val="0"/>
              <w:pageBreakBefore w:val="0"/>
              <w:widowControl/>
              <w:spacing w:line="320" w:lineRule="exact"/>
              <w:jc w:val="center"/>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val="en-US" w:eastAsia="zh-CN"/>
              </w:rPr>
              <w:t>10</w:t>
            </w:r>
            <w:r>
              <w:rPr>
                <w:rFonts w:hint="eastAsia" w:ascii="宋体" w:hAnsi="宋体" w:eastAsia="宋体" w:cs="宋体"/>
                <w:color w:val="auto"/>
                <w:sz w:val="18"/>
                <w:szCs w:val="18"/>
                <w:highlight w:val="none"/>
              </w:rPr>
              <w:t>.00</w:t>
            </w:r>
            <w:r>
              <w:rPr>
                <w:rFonts w:hint="eastAsia" w:ascii="宋体" w:hAnsi="宋体" w:eastAsia="宋体" w:cs="宋体"/>
                <w:color w:val="auto"/>
                <w:sz w:val="18"/>
                <w:szCs w:val="18"/>
                <w:highlight w:val="none"/>
                <w:lang w:eastAsia="zh-CN"/>
              </w:rPr>
              <w:t>分</w:t>
            </w:r>
          </w:p>
        </w:tc>
        <w:tc>
          <w:tcPr>
            <w:tcW w:w="7120" w:type="dxa"/>
            <w:noWrap w:val="0"/>
            <w:vAlign w:val="center"/>
          </w:tcPr>
          <w:p w14:paraId="68115DE4">
            <w:pPr>
              <w:keepNext w:val="0"/>
              <w:keepLines w:val="0"/>
              <w:pageBreakBefore w:val="0"/>
              <w:widowControl/>
              <w:spacing w:line="320" w:lineRule="exact"/>
              <w:jc w:val="left"/>
              <w:rPr>
                <w:rFonts w:hint="eastAsia" w:ascii="宋体" w:hAnsi="宋体" w:eastAsia="宋体" w:cs="宋体"/>
                <w:color w:val="auto"/>
                <w:sz w:val="15"/>
                <w:szCs w:val="15"/>
                <w:highlight w:val="none"/>
              </w:rPr>
            </w:pPr>
            <w:r>
              <w:rPr>
                <w:rFonts w:hint="eastAsia" w:ascii="宋体" w:hAnsi="宋体" w:cs="宋体"/>
                <w:color w:val="auto"/>
                <w:sz w:val="18"/>
                <w:szCs w:val="18"/>
                <w:highlight w:val="none"/>
                <w:lang w:val="en-US" w:eastAsia="zh-CN"/>
              </w:rPr>
              <w:t>根据投标人</w:t>
            </w:r>
            <w:r>
              <w:rPr>
                <w:rFonts w:hint="eastAsia" w:ascii="宋体" w:hAnsi="宋体" w:eastAsia="宋体" w:cs="宋体"/>
                <w:color w:val="auto"/>
                <w:sz w:val="18"/>
                <w:szCs w:val="18"/>
                <w:highlight w:val="none"/>
                <w:lang w:val="en-US" w:eastAsia="zh-CN" w:bidi="ar"/>
              </w:rPr>
              <w:t>对本项目需求制定的服务实施方案（</w:t>
            </w:r>
            <w:r>
              <w:rPr>
                <w:rFonts w:hint="eastAsia" w:ascii="宋体" w:hAnsi="宋体" w:cs="宋体"/>
                <w:color w:val="auto"/>
                <w:sz w:val="18"/>
                <w:szCs w:val="18"/>
                <w:highlight w:val="none"/>
                <w:lang w:val="en-US" w:eastAsia="zh-CN"/>
              </w:rPr>
              <w:t>项目整体组织实施团队架构、实施内容、计划及时间安排、服务措施、工作流程、服务能力等</w:t>
            </w:r>
            <w:r>
              <w:rPr>
                <w:rFonts w:hint="eastAsia" w:ascii="宋体" w:hAnsi="宋体" w:eastAsia="宋体" w:cs="宋体"/>
                <w:color w:val="auto"/>
                <w:sz w:val="18"/>
                <w:szCs w:val="18"/>
                <w:highlight w:val="none"/>
                <w:lang w:val="en-US" w:eastAsia="zh-CN" w:bidi="ar"/>
              </w:rPr>
              <w:t>）进行综合评分，方案内容完整、合理性、操作性强的，得10分；方案内容较完整、合理性、操作性较强的，能够满足本项目采购需求内容的，得8分；方案内容完整性、合理性、操作性有所欠缺但不影响实质性质量管理保证、承诺经过后期优化能满足采购要求的，得6分；方案内容不完整、不科学合理、可操作性差的，得4分；没有内容或其情况不满足招标文件需求的不得分。</w:t>
            </w:r>
          </w:p>
        </w:tc>
      </w:tr>
      <w:tr w14:paraId="0F5496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5" w:hRule="atLeast"/>
          <w:jc w:val="center"/>
        </w:trPr>
        <w:tc>
          <w:tcPr>
            <w:tcW w:w="1405" w:type="dxa"/>
            <w:noWrap w:val="0"/>
            <w:vAlign w:val="center"/>
          </w:tcPr>
          <w:p w14:paraId="52B1DE44">
            <w:pPr>
              <w:keepNext w:val="0"/>
              <w:keepLines w:val="0"/>
              <w:pageBreakBefore w:val="0"/>
              <w:widowControl/>
              <w:spacing w:line="320" w:lineRule="exact"/>
              <w:jc w:val="center"/>
              <w:rPr>
                <w:rFonts w:hint="eastAsia" w:ascii="宋体" w:hAnsi="宋体" w:eastAsia="宋体" w:cs="宋体"/>
                <w:b w:val="0"/>
                <w:bCs/>
                <w:color w:val="auto"/>
                <w:sz w:val="18"/>
                <w:szCs w:val="18"/>
                <w:highlight w:val="none"/>
              </w:rPr>
            </w:pPr>
            <w:r>
              <w:rPr>
                <w:rFonts w:hint="eastAsia" w:ascii="宋体" w:hAnsi="宋体" w:eastAsia="宋体" w:cs="Times New Roman"/>
                <w:b w:val="0"/>
                <w:bCs/>
                <w:color w:val="auto"/>
                <w:spacing w:val="3"/>
                <w:sz w:val="18"/>
                <w:szCs w:val="18"/>
                <w:highlight w:val="none"/>
              </w:rPr>
              <w:t>管理方案</w:t>
            </w:r>
          </w:p>
        </w:tc>
        <w:tc>
          <w:tcPr>
            <w:tcW w:w="975" w:type="dxa"/>
            <w:noWrap w:val="0"/>
            <w:vAlign w:val="center"/>
          </w:tcPr>
          <w:p w14:paraId="5AB8E61D">
            <w:pPr>
              <w:keepNext w:val="0"/>
              <w:keepLines w:val="0"/>
              <w:pageBreakBefore w:val="0"/>
              <w:widowControl/>
              <w:spacing w:line="320" w:lineRule="exact"/>
              <w:jc w:val="center"/>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val="en-US" w:eastAsia="zh-CN"/>
              </w:rPr>
              <w:t>10</w:t>
            </w:r>
            <w:r>
              <w:rPr>
                <w:rFonts w:hint="eastAsia" w:ascii="宋体" w:hAnsi="宋体" w:eastAsia="宋体" w:cs="宋体"/>
                <w:color w:val="auto"/>
                <w:sz w:val="18"/>
                <w:szCs w:val="18"/>
                <w:highlight w:val="none"/>
              </w:rPr>
              <w:t>.00</w:t>
            </w:r>
            <w:r>
              <w:rPr>
                <w:rFonts w:hint="eastAsia" w:ascii="宋体" w:hAnsi="宋体" w:eastAsia="宋体" w:cs="宋体"/>
                <w:color w:val="auto"/>
                <w:sz w:val="18"/>
                <w:szCs w:val="18"/>
                <w:highlight w:val="none"/>
                <w:lang w:eastAsia="zh-CN"/>
              </w:rPr>
              <w:t>分</w:t>
            </w:r>
          </w:p>
        </w:tc>
        <w:tc>
          <w:tcPr>
            <w:tcW w:w="7120" w:type="dxa"/>
            <w:noWrap w:val="0"/>
            <w:vAlign w:val="center"/>
          </w:tcPr>
          <w:p w14:paraId="039837DC">
            <w:pPr>
              <w:keepNext w:val="0"/>
              <w:keepLines w:val="0"/>
              <w:pageBreakBefore w:val="0"/>
              <w:widowControl/>
              <w:spacing w:line="320" w:lineRule="exact"/>
              <w:jc w:val="left"/>
              <w:rPr>
                <w:rFonts w:hint="eastAsia" w:ascii="宋体" w:hAnsi="宋体" w:eastAsia="宋体" w:cs="宋体"/>
                <w:color w:val="auto"/>
                <w:sz w:val="15"/>
                <w:szCs w:val="15"/>
                <w:highlight w:val="none"/>
              </w:rPr>
            </w:pPr>
            <w:r>
              <w:rPr>
                <w:rFonts w:hint="eastAsia" w:ascii="宋体" w:hAnsi="宋体" w:cs="宋体"/>
                <w:color w:val="auto"/>
                <w:sz w:val="18"/>
                <w:szCs w:val="18"/>
                <w:highlight w:val="none"/>
                <w:lang w:val="en-US" w:eastAsia="zh-CN"/>
              </w:rPr>
              <w:t>根据投标人提供的管理方案（服务质量管理制度、服务反馈制度、服务考核奖惩、服务承诺制度、服务对象档案管理制度、服务满意度、社会融合活动保障措施等）进行综合评分，</w:t>
            </w:r>
            <w:r>
              <w:rPr>
                <w:rFonts w:hint="eastAsia" w:ascii="宋体" w:hAnsi="宋体" w:eastAsia="宋体" w:cs="宋体"/>
                <w:color w:val="auto"/>
                <w:sz w:val="18"/>
                <w:szCs w:val="18"/>
                <w:highlight w:val="none"/>
                <w:lang w:val="en-US" w:eastAsia="zh-CN" w:bidi="ar"/>
              </w:rPr>
              <w:t>方案内容完整、合理性、操作性强的，得10分；方案内容较完整、合理性、操作性较强的，能够满足本项目采购需求内容的，得8分；方案内容完整性、合理性、操作性有所欠缺但不影响实质性质量管理保证、承诺经过后期优化能满足采购要求的，得6分；方案内容不完整、不科学合理、可操作性差的，得4分；没有内容或其情况不满足招标文件需求的不得分。</w:t>
            </w:r>
            <w:bookmarkStart w:id="165" w:name="_GoBack"/>
            <w:bookmarkEnd w:id="165"/>
          </w:p>
        </w:tc>
      </w:tr>
      <w:tr w14:paraId="696FB0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5" w:hRule="atLeast"/>
          <w:jc w:val="center"/>
        </w:trPr>
        <w:tc>
          <w:tcPr>
            <w:tcW w:w="1405" w:type="dxa"/>
            <w:noWrap w:val="0"/>
            <w:vAlign w:val="center"/>
          </w:tcPr>
          <w:p w14:paraId="44FAB1DC">
            <w:pPr>
              <w:keepNext w:val="0"/>
              <w:keepLines w:val="0"/>
              <w:pageBreakBefore w:val="0"/>
              <w:widowControl/>
              <w:spacing w:line="320" w:lineRule="exact"/>
              <w:jc w:val="center"/>
              <w:rPr>
                <w:rFonts w:hint="eastAsia" w:ascii="宋体" w:hAnsi="宋体" w:eastAsia="宋体" w:cs="宋体"/>
                <w:b w:val="0"/>
                <w:bCs/>
                <w:color w:val="auto"/>
                <w:sz w:val="18"/>
                <w:szCs w:val="18"/>
                <w:highlight w:val="none"/>
              </w:rPr>
            </w:pPr>
            <w:r>
              <w:rPr>
                <w:rFonts w:hint="eastAsia" w:ascii="宋体" w:hAnsi="宋体" w:eastAsia="宋体" w:cs="Times New Roman"/>
                <w:b w:val="0"/>
                <w:bCs/>
                <w:color w:val="auto"/>
                <w:spacing w:val="3"/>
                <w:sz w:val="18"/>
                <w:szCs w:val="18"/>
                <w:highlight w:val="none"/>
              </w:rPr>
              <w:t>人员配置及管理</w:t>
            </w:r>
            <w:r>
              <w:rPr>
                <w:rFonts w:hint="eastAsia" w:ascii="宋体" w:hAnsi="宋体" w:eastAsia="宋体" w:cs="Times New Roman"/>
                <w:b w:val="0"/>
                <w:bCs/>
                <w:color w:val="auto"/>
                <w:spacing w:val="3"/>
                <w:sz w:val="18"/>
                <w:szCs w:val="18"/>
                <w:highlight w:val="none"/>
                <w:lang w:val="en-US" w:eastAsia="zh-CN"/>
              </w:rPr>
              <w:t>方案</w:t>
            </w:r>
          </w:p>
        </w:tc>
        <w:tc>
          <w:tcPr>
            <w:tcW w:w="975" w:type="dxa"/>
            <w:noWrap w:val="0"/>
            <w:vAlign w:val="center"/>
          </w:tcPr>
          <w:p w14:paraId="4B0B37DC">
            <w:pPr>
              <w:keepNext w:val="0"/>
              <w:keepLines w:val="0"/>
              <w:pageBreakBefore w:val="0"/>
              <w:widowControl/>
              <w:spacing w:line="320" w:lineRule="exact"/>
              <w:jc w:val="center"/>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val="en-US" w:eastAsia="zh-CN"/>
              </w:rPr>
              <w:t>17</w:t>
            </w:r>
            <w:r>
              <w:rPr>
                <w:rFonts w:hint="eastAsia" w:ascii="宋体" w:hAnsi="宋体" w:eastAsia="宋体" w:cs="宋体"/>
                <w:color w:val="auto"/>
                <w:sz w:val="18"/>
                <w:szCs w:val="18"/>
                <w:highlight w:val="none"/>
              </w:rPr>
              <w:t>.00</w:t>
            </w:r>
            <w:r>
              <w:rPr>
                <w:rFonts w:hint="eastAsia" w:ascii="宋体" w:hAnsi="宋体" w:eastAsia="宋体" w:cs="宋体"/>
                <w:color w:val="auto"/>
                <w:sz w:val="18"/>
                <w:szCs w:val="18"/>
                <w:highlight w:val="none"/>
                <w:lang w:eastAsia="zh-CN"/>
              </w:rPr>
              <w:t>分</w:t>
            </w:r>
          </w:p>
        </w:tc>
        <w:tc>
          <w:tcPr>
            <w:tcW w:w="7120" w:type="dxa"/>
            <w:noWrap w:val="0"/>
            <w:vAlign w:val="center"/>
          </w:tcPr>
          <w:p w14:paraId="2BBA379D">
            <w:pPr>
              <w:keepNext w:val="0"/>
              <w:keepLines w:val="0"/>
              <w:pageBreakBefore w:val="0"/>
              <w:widowControl/>
              <w:spacing w:line="320" w:lineRule="exact"/>
              <w:jc w:val="left"/>
              <w:rPr>
                <w:rFonts w:hint="eastAsia" w:ascii="宋体" w:hAnsi="宋体" w:eastAsia="宋体" w:cs="宋体"/>
                <w:color w:val="auto"/>
                <w:sz w:val="15"/>
                <w:szCs w:val="15"/>
                <w:highlight w:val="none"/>
              </w:rPr>
            </w:pPr>
            <w:r>
              <w:rPr>
                <w:rFonts w:hint="eastAsia" w:ascii="宋体" w:hAnsi="宋体" w:cs="宋体"/>
                <w:color w:val="auto"/>
                <w:sz w:val="18"/>
                <w:szCs w:val="18"/>
                <w:highlight w:val="none"/>
                <w:lang w:val="en-US" w:eastAsia="zh-CN"/>
              </w:rPr>
              <w:t>根据投标人提供的</w:t>
            </w:r>
            <w:r>
              <w:rPr>
                <w:rFonts w:hint="eastAsia" w:ascii="宋体" w:hAnsi="宋体" w:eastAsia="宋体" w:cs="宋体"/>
                <w:color w:val="auto"/>
                <w:sz w:val="18"/>
                <w:szCs w:val="18"/>
                <w:highlight w:val="none"/>
              </w:rPr>
              <w:t>人员配置及管理</w:t>
            </w:r>
            <w:r>
              <w:rPr>
                <w:rFonts w:hint="eastAsia" w:ascii="宋体" w:hAnsi="宋体" w:eastAsia="宋体" w:cs="宋体"/>
                <w:color w:val="auto"/>
                <w:sz w:val="18"/>
                <w:szCs w:val="18"/>
                <w:highlight w:val="none"/>
                <w:lang w:val="en-US" w:eastAsia="zh-CN"/>
              </w:rPr>
              <w:t>方案</w:t>
            </w:r>
            <w:r>
              <w:rPr>
                <w:rFonts w:hint="eastAsia" w:ascii="宋体" w:hAnsi="宋体" w:cs="宋体"/>
                <w:color w:val="auto"/>
                <w:sz w:val="18"/>
                <w:szCs w:val="18"/>
                <w:highlight w:val="none"/>
                <w:lang w:val="en-US" w:eastAsia="zh-CN"/>
              </w:rPr>
              <w:t>（服务机构人员培训宣传、考核方案以及日常行政、业务管理合理设置职能部门，各职能部门均按需配备人员；人员培训、考核、奖惩机制等）进行综合评分，</w:t>
            </w:r>
            <w:r>
              <w:rPr>
                <w:rFonts w:hint="eastAsia" w:ascii="宋体" w:hAnsi="宋体" w:eastAsia="宋体" w:cs="宋体"/>
                <w:color w:val="auto"/>
                <w:sz w:val="18"/>
                <w:szCs w:val="18"/>
                <w:highlight w:val="none"/>
                <w:lang w:val="en-US" w:eastAsia="zh-CN" w:bidi="ar"/>
              </w:rPr>
              <w:t>方案内容完整、合理性、操作性强的，得17分；方案内容较完整、合理性、操作性较强的，能够满足本项目采购需求内容的，得15分；方案内容完整性、合理性、操作性有所欠缺但不影响实质性质量管理保证、承诺经过后期优化能满足采购要求的，得13分；方案内容不完整、不科学合理、可操作性差的，得11分；没有内容或其情况不满足招标文件需求的不得分。</w:t>
            </w:r>
          </w:p>
        </w:tc>
      </w:tr>
      <w:tr w14:paraId="536DD1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5" w:hRule="atLeast"/>
          <w:jc w:val="center"/>
        </w:trPr>
        <w:tc>
          <w:tcPr>
            <w:tcW w:w="1405" w:type="dxa"/>
            <w:noWrap w:val="0"/>
            <w:vAlign w:val="center"/>
          </w:tcPr>
          <w:p w14:paraId="5E4EC042">
            <w:pPr>
              <w:keepNext w:val="0"/>
              <w:keepLines w:val="0"/>
              <w:pageBreakBefore w:val="0"/>
              <w:widowControl/>
              <w:spacing w:line="320" w:lineRule="exact"/>
              <w:jc w:val="center"/>
              <w:rPr>
                <w:rFonts w:hint="eastAsia" w:ascii="宋体" w:hAnsi="宋体" w:eastAsia="宋体" w:cs="宋体"/>
                <w:b w:val="0"/>
                <w:bCs/>
                <w:color w:val="auto"/>
                <w:sz w:val="18"/>
                <w:szCs w:val="18"/>
                <w:highlight w:val="none"/>
              </w:rPr>
            </w:pPr>
            <w:r>
              <w:rPr>
                <w:rFonts w:ascii="宋体" w:hAnsi="宋体" w:eastAsia="宋体" w:cs="Times New Roman"/>
                <w:b w:val="0"/>
                <w:bCs/>
                <w:color w:val="auto"/>
                <w:spacing w:val="3"/>
                <w:sz w:val="18"/>
                <w:szCs w:val="18"/>
                <w:highlight w:val="none"/>
              </w:rPr>
              <w:t>应急预案</w:t>
            </w:r>
          </w:p>
        </w:tc>
        <w:tc>
          <w:tcPr>
            <w:tcW w:w="975" w:type="dxa"/>
            <w:noWrap w:val="0"/>
            <w:vAlign w:val="center"/>
          </w:tcPr>
          <w:p w14:paraId="18DED2E2">
            <w:pPr>
              <w:keepNext w:val="0"/>
              <w:keepLines w:val="0"/>
              <w:pageBreakBefore w:val="0"/>
              <w:widowControl/>
              <w:spacing w:line="320" w:lineRule="exact"/>
              <w:jc w:val="center"/>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val="en-US" w:eastAsia="zh-CN"/>
              </w:rPr>
              <w:t>10</w:t>
            </w:r>
            <w:r>
              <w:rPr>
                <w:rFonts w:hint="eastAsia" w:ascii="宋体" w:hAnsi="宋体" w:eastAsia="宋体" w:cs="宋体"/>
                <w:color w:val="auto"/>
                <w:sz w:val="18"/>
                <w:szCs w:val="18"/>
                <w:highlight w:val="none"/>
              </w:rPr>
              <w:t>.00</w:t>
            </w:r>
            <w:r>
              <w:rPr>
                <w:rFonts w:hint="eastAsia" w:ascii="宋体" w:hAnsi="宋体" w:eastAsia="宋体" w:cs="宋体"/>
                <w:color w:val="auto"/>
                <w:sz w:val="18"/>
                <w:szCs w:val="18"/>
                <w:highlight w:val="none"/>
                <w:lang w:eastAsia="zh-CN"/>
              </w:rPr>
              <w:t>分</w:t>
            </w:r>
          </w:p>
        </w:tc>
        <w:tc>
          <w:tcPr>
            <w:tcW w:w="7120" w:type="dxa"/>
            <w:noWrap w:val="0"/>
            <w:vAlign w:val="center"/>
          </w:tcPr>
          <w:p w14:paraId="3330F5D4">
            <w:pPr>
              <w:keepNext w:val="0"/>
              <w:keepLines w:val="0"/>
              <w:pageBreakBefore w:val="0"/>
              <w:widowControl/>
              <w:spacing w:line="320" w:lineRule="exact"/>
              <w:jc w:val="left"/>
              <w:rPr>
                <w:rFonts w:hint="eastAsia" w:ascii="宋体" w:hAnsi="宋体" w:eastAsia="宋体" w:cs="宋体"/>
                <w:color w:val="auto"/>
                <w:sz w:val="15"/>
                <w:szCs w:val="15"/>
                <w:highlight w:val="none"/>
              </w:rPr>
            </w:pPr>
            <w:r>
              <w:rPr>
                <w:rFonts w:hint="eastAsia" w:ascii="宋体" w:hAnsi="宋体" w:cs="宋体"/>
                <w:color w:val="auto"/>
                <w:sz w:val="18"/>
                <w:szCs w:val="18"/>
                <w:highlight w:val="none"/>
                <w:lang w:val="en-US" w:eastAsia="zh-CN"/>
              </w:rPr>
              <w:t>根据投标人提供的突发事件应急预案（内容包括但不限于在服务过程中康复对象出现意外情况的应对方案、服务人员出现意外情况的应对方案，以及突发公共卫生事件的应对方案等）进行综合评分，</w:t>
            </w:r>
            <w:r>
              <w:rPr>
                <w:rFonts w:hint="eastAsia" w:ascii="宋体" w:hAnsi="宋体" w:eastAsia="宋体" w:cs="宋体"/>
                <w:color w:val="auto"/>
                <w:sz w:val="18"/>
                <w:szCs w:val="18"/>
                <w:highlight w:val="none"/>
                <w:lang w:val="en-US" w:eastAsia="zh-CN" w:bidi="ar"/>
              </w:rPr>
              <w:t>方案内容完整、合理性、操作性强的，得10分；方案内容较完整、合理性、操作性较强的，能够满足本项目采购需求内容的，得8分；方案内容完整性、合理性、操作性有所欠缺但不影响实质性质量管理保证、承诺经过后期优化能满足采购要求的，得6分；方案内容不完整、不科学合理、可操作性差的，得4分；没有内容或其情况不满足招标文件需求的不得分。</w:t>
            </w:r>
          </w:p>
        </w:tc>
      </w:tr>
    </w:tbl>
    <w:p w14:paraId="69EFE518">
      <w:pPr>
        <w:keepNext/>
        <w:keepLines/>
        <w:pageBreakBefore/>
        <w:jc w:val="center"/>
        <w:outlineLvl w:val="0"/>
        <w:rPr>
          <w:rFonts w:hint="eastAsia" w:eastAsia="宋体" w:cs="Times New Roman"/>
          <w:b/>
          <w:color w:val="auto"/>
          <w:sz w:val="44"/>
          <w:szCs w:val="44"/>
          <w:highlight w:val="none"/>
        </w:rPr>
      </w:pPr>
      <w:r>
        <w:rPr>
          <w:rFonts w:hint="eastAsia" w:eastAsia="宋体" w:cs="Times New Roman"/>
          <w:b/>
          <w:color w:val="auto"/>
          <w:sz w:val="44"/>
          <w:szCs w:val="44"/>
          <w:highlight w:val="none"/>
        </w:rPr>
        <w:t>第四章</w:t>
      </w:r>
      <w:r>
        <w:rPr>
          <w:rFonts w:eastAsia="宋体" w:cs="Times New Roman"/>
          <w:b/>
          <w:color w:val="auto"/>
          <w:sz w:val="44"/>
          <w:szCs w:val="44"/>
          <w:highlight w:val="none"/>
        </w:rPr>
        <w:t xml:space="preserve">  </w:t>
      </w:r>
      <w:r>
        <w:rPr>
          <w:rFonts w:hint="eastAsia" w:eastAsia="宋体" w:cs="Times New Roman"/>
          <w:b/>
          <w:color w:val="auto"/>
          <w:sz w:val="44"/>
          <w:szCs w:val="44"/>
          <w:highlight w:val="none"/>
        </w:rPr>
        <w:t>采购需求</w:t>
      </w:r>
    </w:p>
    <w:p w14:paraId="26E3A688">
      <w:pPr>
        <w:keepNext w:val="0"/>
        <w:keepLines w:val="0"/>
        <w:pageBreakBefore w:val="0"/>
        <w:widowControl w:val="0"/>
        <w:spacing w:line="340" w:lineRule="exact"/>
        <w:ind w:firstLine="480"/>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项目属性：服务类项目。</w:t>
      </w:r>
    </w:p>
    <w:p w14:paraId="1AF026F9">
      <w:pPr>
        <w:keepNext w:val="0"/>
        <w:keepLines w:val="0"/>
        <w:pageBreakBefore w:val="0"/>
        <w:widowControl w:val="0"/>
        <w:spacing w:line="340" w:lineRule="exact"/>
        <w:ind w:firstLine="480"/>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本项目采购标的对应的中小企业划分标准所属行业：其他未列明行业</w:t>
      </w:r>
    </w:p>
    <w:p w14:paraId="56BDC204">
      <w:pPr>
        <w:keepNext w:val="0"/>
        <w:keepLines w:val="0"/>
        <w:pageBreakBefore w:val="0"/>
        <w:widowControl w:val="0"/>
        <w:spacing w:line="340" w:lineRule="exact"/>
        <w:ind w:firstLine="480"/>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本项目不接受进口产品。</w:t>
      </w:r>
    </w:p>
    <w:p w14:paraId="62F0FC84">
      <w:pPr>
        <w:keepNext w:val="0"/>
        <w:keepLines w:val="0"/>
        <w:pageBreakBefore w:val="0"/>
        <w:widowControl w:val="0"/>
        <w:spacing w:line="340" w:lineRule="exact"/>
        <w:ind w:firstLine="482"/>
        <w:rPr>
          <w:rFonts w:ascii="宋体" w:hAnsi="宋体" w:eastAsia="宋体" w:cs="Times New Roman"/>
          <w:b/>
          <w:color w:val="auto"/>
          <w:sz w:val="24"/>
          <w:szCs w:val="24"/>
          <w:highlight w:val="none"/>
          <w:lang w:val="en-US" w:eastAsia="zh-CN"/>
        </w:rPr>
      </w:pPr>
      <w:r>
        <w:rPr>
          <w:rFonts w:hint="eastAsia" w:ascii="宋体" w:hAnsi="宋体" w:eastAsia="宋体" w:cs="Times New Roman"/>
          <w:b/>
          <w:color w:val="auto"/>
          <w:sz w:val="24"/>
          <w:szCs w:val="24"/>
          <w:highlight w:val="none"/>
        </w:rPr>
        <w:t>一</w:t>
      </w:r>
      <w:r>
        <w:rPr>
          <w:rFonts w:ascii="宋体" w:hAnsi="宋体" w:eastAsia="宋体" w:cs="Times New Roman"/>
          <w:b/>
          <w:color w:val="auto"/>
          <w:sz w:val="24"/>
          <w:szCs w:val="24"/>
          <w:highlight w:val="none"/>
        </w:rPr>
        <w:t>、</w:t>
      </w:r>
      <w:r>
        <w:rPr>
          <w:rFonts w:hint="eastAsia" w:ascii="宋体" w:hAnsi="宋体" w:eastAsia="宋体" w:cs="Times New Roman"/>
          <w:b/>
          <w:color w:val="auto"/>
          <w:sz w:val="24"/>
          <w:szCs w:val="24"/>
          <w:highlight w:val="none"/>
          <w:lang w:val="en-US" w:eastAsia="zh-CN"/>
        </w:rPr>
        <w:t>项目概况</w:t>
      </w:r>
    </w:p>
    <w:p w14:paraId="0BE99C90">
      <w:pPr>
        <w:keepNext w:val="0"/>
        <w:keepLines w:val="0"/>
        <w:pageBreakBefore w:val="0"/>
        <w:widowControl w:val="0"/>
        <w:spacing w:line="3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采购包</w:t>
      </w:r>
      <w:r>
        <w:rPr>
          <w:rFonts w:hint="eastAsia" w:ascii="宋体" w:hAnsi="宋体" w:eastAsia="宋体" w:cs="宋体"/>
          <w:color w:val="auto"/>
          <w:sz w:val="24"/>
          <w:szCs w:val="24"/>
          <w:highlight w:val="none"/>
        </w:rPr>
        <w:t>名称：</w:t>
      </w:r>
      <w:r>
        <w:rPr>
          <w:rFonts w:hint="eastAsia" w:ascii="仿宋" w:hAnsi="仿宋" w:eastAsia="宋体" w:cs="仿宋"/>
          <w:color w:val="auto"/>
          <w:sz w:val="24"/>
          <w:szCs w:val="24"/>
          <w:highlight w:val="none"/>
        </w:rPr>
        <w:t>沭阳县2026-2028年残疾儿童基本康复服务--</w:t>
      </w:r>
      <w:r>
        <w:rPr>
          <w:rFonts w:hint="eastAsia" w:ascii="仿宋" w:hAnsi="仿宋" w:eastAsia="宋体" w:cs="仿宋"/>
          <w:color w:val="auto"/>
          <w:sz w:val="24"/>
          <w:szCs w:val="24"/>
          <w:highlight w:val="none"/>
          <w:lang w:eastAsia="zh-CN"/>
        </w:rPr>
        <w:t>孤独症2</w:t>
      </w:r>
      <w:r>
        <w:rPr>
          <w:rFonts w:hint="eastAsia" w:ascii="仿宋" w:hAnsi="仿宋" w:eastAsia="宋体" w:cs="仿宋"/>
          <w:color w:val="auto"/>
          <w:sz w:val="24"/>
          <w:szCs w:val="24"/>
          <w:highlight w:val="none"/>
        </w:rPr>
        <w:t>康复服务机构采购项目</w:t>
      </w:r>
    </w:p>
    <w:p w14:paraId="15E3B177">
      <w:pPr>
        <w:keepNext w:val="0"/>
        <w:keepLines w:val="0"/>
        <w:pageBreakBefore w:val="0"/>
        <w:widowControl w:val="0"/>
        <w:spacing w:line="340" w:lineRule="exact"/>
        <w:ind w:firstLine="480"/>
        <w:rPr>
          <w:rFonts w:hint="eastAsia" w:ascii="宋体" w:hAnsi="宋体" w:eastAsia="宋体" w:cs="Times New Roman"/>
          <w:color w:val="auto"/>
          <w:sz w:val="24"/>
          <w:szCs w:val="24"/>
          <w:highlight w:val="none"/>
          <w:lang w:eastAsia="zh-CN"/>
        </w:rPr>
      </w:pPr>
      <w:r>
        <w:rPr>
          <w:rFonts w:hint="eastAsia" w:ascii="宋体" w:hAnsi="宋体" w:eastAsia="宋体" w:cs="宋体"/>
          <w:color w:val="auto"/>
          <w:sz w:val="24"/>
          <w:szCs w:val="24"/>
          <w:highlight w:val="none"/>
        </w:rPr>
        <w:t>2、采购内容：</w:t>
      </w:r>
      <w:r>
        <w:rPr>
          <w:rFonts w:hint="eastAsia" w:ascii="Times New Roman" w:hAnsi="Times New Roman" w:eastAsia="宋体" w:cs="仿宋"/>
          <w:color w:val="auto"/>
          <w:sz w:val="24"/>
          <w:szCs w:val="24"/>
          <w:highlight w:val="none"/>
        </w:rPr>
        <w:t>对具有</w:t>
      </w:r>
      <w:r>
        <w:rPr>
          <w:rFonts w:hint="eastAsia" w:ascii="Times New Roman" w:hAnsi="Times New Roman" w:eastAsia="宋体" w:cs="仿宋"/>
          <w:color w:val="auto"/>
          <w:sz w:val="24"/>
          <w:szCs w:val="24"/>
          <w:highlight w:val="none"/>
          <w:lang w:val="en-US" w:eastAsia="zh-CN"/>
        </w:rPr>
        <w:t>沭阳</w:t>
      </w:r>
      <w:r>
        <w:rPr>
          <w:rFonts w:hint="eastAsia" w:ascii="Times New Roman" w:hAnsi="Times New Roman" w:eastAsia="宋体" w:cs="仿宋"/>
          <w:color w:val="auto"/>
          <w:sz w:val="24"/>
          <w:szCs w:val="24"/>
          <w:highlight w:val="none"/>
        </w:rPr>
        <w:t>县户籍，有康复需求和康复意愿，经国内三级医院、县级以上残联指定的残疾评定机构或残疾评定专家组诊断评估有康复训练适应指征的</w:t>
      </w:r>
      <w:r>
        <w:rPr>
          <w:rFonts w:hint="eastAsia" w:ascii="Times New Roman" w:hAnsi="Times New Roman" w:eastAsia="宋体" w:cs="仿宋"/>
          <w:color w:val="auto"/>
          <w:sz w:val="24"/>
          <w:szCs w:val="24"/>
          <w:highlight w:val="none"/>
          <w:lang w:eastAsia="zh-CN"/>
        </w:rPr>
        <w:t>孤独症</w:t>
      </w:r>
      <w:r>
        <w:rPr>
          <w:rFonts w:hint="eastAsia" w:ascii="Times New Roman" w:hAnsi="Times New Roman" w:eastAsia="宋体" w:cs="仿宋"/>
          <w:color w:val="auto"/>
          <w:sz w:val="24"/>
          <w:szCs w:val="24"/>
          <w:highlight w:val="none"/>
          <w:lang w:val="en-US" w:eastAsia="zh-CN"/>
        </w:rPr>
        <w:t>儿童</w:t>
      </w:r>
      <w:r>
        <w:rPr>
          <w:rFonts w:hint="eastAsia" w:ascii="Times New Roman" w:hAnsi="Times New Roman" w:eastAsia="宋体" w:cs="仿宋"/>
          <w:color w:val="auto"/>
          <w:sz w:val="24"/>
          <w:szCs w:val="24"/>
          <w:highlight w:val="none"/>
        </w:rPr>
        <w:t>开展基本康复服务</w:t>
      </w:r>
      <w:r>
        <w:rPr>
          <w:rFonts w:hint="eastAsia" w:ascii="Times New Roman" w:hAnsi="Times New Roman" w:eastAsia="宋体" w:cs="仿宋"/>
          <w:color w:val="auto"/>
          <w:sz w:val="24"/>
          <w:szCs w:val="24"/>
          <w:highlight w:val="none"/>
          <w:lang w:eastAsia="zh-CN"/>
        </w:rPr>
        <w:t>，</w:t>
      </w:r>
      <w:r>
        <w:rPr>
          <w:rFonts w:hint="eastAsia" w:ascii="Times New Roman" w:hAnsi="Times New Roman" w:eastAsia="宋体" w:cs="仿宋"/>
          <w:color w:val="auto"/>
          <w:sz w:val="24"/>
          <w:szCs w:val="24"/>
          <w:highlight w:val="none"/>
        </w:rPr>
        <w:t>各残疾儿童可在</w:t>
      </w:r>
      <w:r>
        <w:rPr>
          <w:rFonts w:hint="eastAsia" w:ascii="Times New Roman" w:hAnsi="Times New Roman" w:eastAsia="宋体" w:cs="仿宋"/>
          <w:color w:val="auto"/>
          <w:sz w:val="24"/>
          <w:szCs w:val="24"/>
          <w:highlight w:val="none"/>
          <w:lang w:val="en-US" w:eastAsia="zh-CN"/>
        </w:rPr>
        <w:t>沭阳</w:t>
      </w:r>
      <w:r>
        <w:rPr>
          <w:rFonts w:hint="eastAsia" w:ascii="Times New Roman" w:hAnsi="Times New Roman" w:eastAsia="宋体" w:cs="仿宋"/>
          <w:color w:val="auto"/>
          <w:sz w:val="24"/>
          <w:szCs w:val="24"/>
          <w:highlight w:val="none"/>
        </w:rPr>
        <w:t>县残疾人联合会招标</w:t>
      </w:r>
      <w:r>
        <w:rPr>
          <w:rFonts w:hint="eastAsia" w:ascii="Times New Roman" w:hAnsi="Times New Roman" w:eastAsia="宋体" w:cs="仿宋"/>
          <w:color w:val="auto"/>
          <w:sz w:val="24"/>
          <w:szCs w:val="24"/>
          <w:highlight w:val="none"/>
        </w:rPr>
        <w:t>选定</w:t>
      </w:r>
      <w:r>
        <w:rPr>
          <w:rFonts w:hint="eastAsia" w:ascii="Times New Roman" w:hAnsi="Times New Roman" w:eastAsia="宋体" w:cs="仿宋"/>
          <w:color w:val="auto"/>
          <w:sz w:val="24"/>
          <w:szCs w:val="24"/>
          <w:highlight w:val="none"/>
          <w:lang w:val="en-US" w:eastAsia="zh-CN"/>
        </w:rPr>
        <w:t>的沭阳</w:t>
      </w:r>
      <w:r>
        <w:rPr>
          <w:rFonts w:hint="eastAsia" w:ascii="Times New Roman" w:hAnsi="Times New Roman" w:eastAsia="宋体" w:cs="仿宋"/>
          <w:color w:val="auto"/>
          <w:sz w:val="24"/>
          <w:szCs w:val="24"/>
          <w:highlight w:val="none"/>
        </w:rPr>
        <w:t>县残疾儿童定点康复服务机构中自主选择相应类别的定点机构进行康复训练</w:t>
      </w:r>
      <w:r>
        <w:rPr>
          <w:rFonts w:hint="eastAsia" w:ascii="Times New Roman" w:hAnsi="Times New Roman" w:eastAsia="宋体" w:cs="仿宋"/>
          <w:color w:val="auto"/>
          <w:sz w:val="24"/>
          <w:szCs w:val="24"/>
          <w:highlight w:val="none"/>
        </w:rPr>
        <w:t>。</w:t>
      </w:r>
      <w:r>
        <w:rPr>
          <w:rFonts w:hint="eastAsia" w:ascii="Times New Roman" w:hAnsi="Times New Roman" w:eastAsia="宋体" w:cs="仿宋"/>
          <w:color w:val="auto"/>
          <w:sz w:val="24"/>
          <w:szCs w:val="24"/>
          <w:highlight w:val="none"/>
        </w:rPr>
        <w:t>具体内容以招标文件为准</w:t>
      </w:r>
      <w:r>
        <w:rPr>
          <w:rFonts w:hint="eastAsia" w:ascii="Times New Roman" w:hAnsi="Times New Roman" w:eastAsia="宋体" w:cs="仿宋"/>
          <w:color w:val="auto"/>
          <w:sz w:val="24"/>
          <w:szCs w:val="24"/>
          <w:highlight w:val="none"/>
        </w:rPr>
        <w:t>（本项目以实际发生的服务进行结算）</w:t>
      </w:r>
      <w:r>
        <w:rPr>
          <w:rFonts w:hint="eastAsia" w:ascii="Times New Roman" w:hAnsi="Times New Roman" w:eastAsia="宋体" w:cs="仿宋"/>
          <w:color w:val="auto"/>
          <w:sz w:val="24"/>
          <w:szCs w:val="24"/>
          <w:highlight w:val="none"/>
          <w:lang w:eastAsia="zh-CN"/>
        </w:rPr>
        <w:t>。</w:t>
      </w:r>
    </w:p>
    <w:p w14:paraId="131CA692">
      <w:pPr>
        <w:keepNext w:val="0"/>
        <w:keepLines w:val="0"/>
        <w:pageBreakBefore w:val="0"/>
        <w:widowControl w:val="0"/>
        <w:spacing w:line="340" w:lineRule="exact"/>
        <w:ind w:firstLine="480"/>
        <w:rPr>
          <w:rFonts w:hint="eastAsia" w:ascii="Times New Roman" w:hAnsi="Times New Roman" w:eastAsia="宋体" w:cs="仿宋"/>
          <w:color w:val="auto"/>
          <w:sz w:val="24"/>
          <w:szCs w:val="24"/>
          <w:highlight w:val="none"/>
          <w:lang w:eastAsia="zh-CN"/>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服务</w:t>
      </w:r>
      <w:r>
        <w:rPr>
          <w:rFonts w:hint="eastAsia" w:ascii="宋体" w:hAnsi="宋体" w:eastAsia="宋体" w:cs="宋体"/>
          <w:color w:val="auto"/>
          <w:sz w:val="24"/>
          <w:szCs w:val="24"/>
          <w:highlight w:val="none"/>
        </w:rPr>
        <w:t>期：</w:t>
      </w:r>
      <w:r>
        <w:rPr>
          <w:rFonts w:ascii="宋体" w:hAnsi="宋体" w:eastAsia="宋体" w:cs="宋体"/>
          <w:color w:val="auto"/>
          <w:sz w:val="24"/>
          <w:highlight w:val="none"/>
        </w:rPr>
        <w:t>自合同签订之日起至</w:t>
      </w:r>
      <w:r>
        <w:rPr>
          <w:rFonts w:ascii="Times New Roman" w:hAnsi="Times New Roman" w:eastAsia="Times New Roman" w:cs="Times New Roman"/>
          <w:color w:val="auto"/>
          <w:sz w:val="24"/>
          <w:highlight w:val="none"/>
        </w:rPr>
        <w:t>2028</w:t>
      </w:r>
      <w:r>
        <w:rPr>
          <w:rFonts w:ascii="宋体" w:hAnsi="宋体" w:eastAsia="宋体" w:cs="宋体"/>
          <w:color w:val="auto"/>
          <w:sz w:val="24"/>
          <w:highlight w:val="none"/>
        </w:rPr>
        <w:t>年</w:t>
      </w:r>
      <w:r>
        <w:rPr>
          <w:rFonts w:ascii="Times New Roman" w:hAnsi="Times New Roman" w:eastAsia="Times New Roman" w:cs="Times New Roman"/>
          <w:color w:val="auto"/>
          <w:sz w:val="24"/>
          <w:highlight w:val="none"/>
        </w:rPr>
        <w:t>12</w:t>
      </w:r>
      <w:r>
        <w:rPr>
          <w:rFonts w:ascii="宋体" w:hAnsi="宋体" w:eastAsia="宋体" w:cs="宋体"/>
          <w:color w:val="auto"/>
          <w:sz w:val="24"/>
          <w:highlight w:val="none"/>
        </w:rPr>
        <w:t>月</w:t>
      </w:r>
      <w:r>
        <w:rPr>
          <w:rFonts w:ascii="Times New Roman" w:hAnsi="Times New Roman" w:eastAsia="Times New Roman" w:cs="Times New Roman"/>
          <w:color w:val="auto"/>
          <w:sz w:val="24"/>
          <w:highlight w:val="none"/>
        </w:rPr>
        <w:t>31</w:t>
      </w:r>
      <w:r>
        <w:rPr>
          <w:rFonts w:ascii="宋体" w:hAnsi="宋体" w:eastAsia="宋体" w:cs="宋体"/>
          <w:color w:val="auto"/>
          <w:sz w:val="24"/>
          <w:highlight w:val="none"/>
        </w:rPr>
        <w:t>日止</w:t>
      </w:r>
      <w:r>
        <w:rPr>
          <w:rFonts w:hint="eastAsia" w:ascii="Times New Roman" w:hAnsi="Times New Roman" w:eastAsia="宋体" w:cs="仿宋"/>
          <w:color w:val="auto"/>
          <w:sz w:val="24"/>
          <w:szCs w:val="24"/>
          <w:highlight w:val="none"/>
          <w:lang w:eastAsia="zh-CN"/>
        </w:rPr>
        <w:t>。</w:t>
      </w:r>
    </w:p>
    <w:p w14:paraId="7DD2974D">
      <w:pPr>
        <w:keepNext w:val="0"/>
        <w:keepLines w:val="0"/>
        <w:pageBreakBefore w:val="0"/>
        <w:widowControl w:val="0"/>
        <w:spacing w:line="340" w:lineRule="exact"/>
        <w:ind w:firstLine="482"/>
        <w:rPr>
          <w:rFonts w:ascii="Times New Roman" w:hAnsi="Times New Roman" w:eastAsia="宋体" w:cs="仿宋"/>
          <w:color w:val="auto"/>
          <w:sz w:val="24"/>
          <w:highlight w:val="none"/>
        </w:rPr>
      </w:pPr>
      <w:r>
        <w:rPr>
          <w:rFonts w:hint="eastAsia" w:ascii="宋体" w:hAnsi="宋体" w:eastAsia="宋体" w:cs="宋体"/>
          <w:b w:val="0"/>
          <w:bCs w:val="0"/>
          <w:color w:val="auto"/>
          <w:sz w:val="24"/>
          <w:szCs w:val="24"/>
          <w:highlight w:val="none"/>
          <w:lang w:val="en-US" w:eastAsia="zh-CN"/>
        </w:rPr>
        <w:t>4、</w:t>
      </w:r>
      <w:r>
        <w:rPr>
          <w:rFonts w:hint="eastAsia" w:ascii="Times New Roman" w:hAnsi="Times New Roman" w:eastAsia="宋体" w:cs="仿宋"/>
          <w:b/>
          <w:color w:val="auto"/>
          <w:sz w:val="24"/>
          <w:highlight w:val="none"/>
        </w:rPr>
        <w:t>费用标准、结算与付款方式：</w:t>
      </w:r>
    </w:p>
    <w:p w14:paraId="3C72685B">
      <w:pPr>
        <w:keepNext w:val="0"/>
        <w:keepLines w:val="0"/>
        <w:pageBreakBefore w:val="0"/>
        <w:widowControl w:val="0"/>
        <w:spacing w:line="340" w:lineRule="exact"/>
        <w:ind w:firstLine="482"/>
        <w:rPr>
          <w:rFonts w:hint="eastAsia" w:ascii="Times New Roman" w:hAnsi="Times New Roman" w:eastAsia="宋体" w:cs="仿宋"/>
          <w:color w:val="auto"/>
          <w:sz w:val="24"/>
          <w:highlight w:val="none"/>
          <w:lang w:eastAsia="zh-CN"/>
        </w:rPr>
      </w:pPr>
      <w:r>
        <w:rPr>
          <w:rFonts w:hint="eastAsia" w:ascii="Times New Roman" w:hAnsi="Times New Roman" w:eastAsia="宋体" w:cs="仿宋"/>
          <w:color w:val="auto"/>
          <w:sz w:val="24"/>
          <w:highlight w:val="none"/>
          <w:lang w:eastAsia="zh-CN"/>
        </w:rPr>
        <w:t>（</w:t>
      </w:r>
      <w:r>
        <w:rPr>
          <w:rFonts w:hint="eastAsia" w:ascii="Times New Roman" w:hAnsi="Times New Roman" w:eastAsia="宋体" w:cs="仿宋"/>
          <w:color w:val="auto"/>
          <w:sz w:val="24"/>
          <w:highlight w:val="none"/>
          <w:lang w:val="en-US" w:eastAsia="zh-CN"/>
        </w:rPr>
        <w:t>1</w:t>
      </w:r>
      <w:r>
        <w:rPr>
          <w:rFonts w:hint="eastAsia" w:ascii="Times New Roman" w:hAnsi="Times New Roman" w:eastAsia="宋体" w:cs="仿宋"/>
          <w:color w:val="auto"/>
          <w:sz w:val="24"/>
          <w:highlight w:val="none"/>
          <w:lang w:eastAsia="zh-CN"/>
        </w:rPr>
        <w:t>）</w:t>
      </w:r>
      <w:r>
        <w:rPr>
          <w:rFonts w:hint="eastAsia" w:ascii="Times New Roman" w:hAnsi="Times New Roman" w:eastAsia="宋体" w:cs="仿宋"/>
          <w:color w:val="auto"/>
          <w:sz w:val="24"/>
          <w:highlight w:val="none"/>
        </w:rPr>
        <w:t>费用标准：</w:t>
      </w:r>
    </w:p>
    <w:p w14:paraId="2F9E4683">
      <w:pPr>
        <w:keepNext w:val="0"/>
        <w:keepLines w:val="0"/>
        <w:pageBreakBefore w:val="0"/>
        <w:widowControl w:val="0"/>
        <w:spacing w:line="340" w:lineRule="exact"/>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孤独症康复服务，0-16周岁孤独症儿童，1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8</w:t>
      </w:r>
      <w:r>
        <w:rPr>
          <w:rFonts w:hint="eastAsia" w:ascii="宋体" w:hAnsi="宋体" w:eastAsia="宋体" w:cs="宋体"/>
          <w:color w:val="auto"/>
          <w:sz w:val="24"/>
          <w:szCs w:val="24"/>
          <w:highlight w:val="none"/>
          <w:lang w:val="en-US" w:eastAsia="zh-CN"/>
        </w:rPr>
        <w:t>万</w:t>
      </w:r>
      <w:r>
        <w:rPr>
          <w:rFonts w:hint="eastAsia" w:ascii="宋体" w:hAnsi="宋体" w:eastAsia="宋体" w:cs="宋体"/>
          <w:color w:val="auto"/>
          <w:sz w:val="24"/>
          <w:szCs w:val="24"/>
          <w:highlight w:val="none"/>
        </w:rPr>
        <w:t>元/人/年，1年按满额服务9个月计；</w:t>
      </w:r>
    </w:p>
    <w:p w14:paraId="76CFF28A">
      <w:pPr>
        <w:keepNext w:val="0"/>
        <w:keepLines w:val="0"/>
        <w:pageBreakBefore w:val="0"/>
        <w:widowControl w:val="0"/>
        <w:spacing w:line="3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注：非全日制残疾儿童康复救助经费标准按照康复类别全日制救助标准的90%，结算年度康复救助经费。</w:t>
      </w:r>
    </w:p>
    <w:p w14:paraId="0539519E">
      <w:pPr>
        <w:keepNext w:val="0"/>
        <w:keepLines w:val="0"/>
        <w:pageBreakBefore w:val="0"/>
        <w:widowControl w:val="0"/>
        <w:spacing w:line="340" w:lineRule="exact"/>
        <w:ind w:firstLine="480"/>
        <w:rPr>
          <w:rFonts w:hint="eastAsia" w:ascii="Times New Roman" w:hAnsi="Times New Roman" w:eastAsia="宋体" w:cs="仿宋"/>
          <w:b w:val="0"/>
          <w:bCs w:val="0"/>
          <w:color w:val="auto"/>
          <w:sz w:val="24"/>
          <w:szCs w:val="24"/>
          <w:highlight w:val="none"/>
        </w:rPr>
      </w:pPr>
      <w:r>
        <w:rPr>
          <w:rFonts w:hint="eastAsia" w:ascii="Times New Roman" w:hAnsi="Times New Roman" w:eastAsia="宋体" w:cs="仿宋"/>
          <w:b w:val="0"/>
          <w:bCs w:val="0"/>
          <w:color w:val="auto"/>
          <w:sz w:val="24"/>
          <w:szCs w:val="24"/>
          <w:highlight w:val="none"/>
          <w:lang w:eastAsia="zh-CN"/>
        </w:rPr>
        <w:t>（</w:t>
      </w:r>
      <w:r>
        <w:rPr>
          <w:rFonts w:hint="eastAsia" w:ascii="仿宋_GB2312"/>
          <w:b w:val="0"/>
          <w:bCs w:val="0"/>
          <w:color w:val="auto"/>
          <w:sz w:val="24"/>
          <w:highlight w:val="none"/>
        </w:rPr>
        <w:t>本项目执行类别补助标准，</w:t>
      </w:r>
      <w:r>
        <w:rPr>
          <w:rFonts w:hint="eastAsia" w:ascii="仿宋_GB2312"/>
          <w:b w:val="0"/>
          <w:bCs w:val="0"/>
          <w:color w:val="auto"/>
          <w:sz w:val="24"/>
          <w:highlight w:val="none"/>
          <w:lang w:val="en-US" w:eastAsia="zh-CN"/>
        </w:rPr>
        <w:t>只需要单价报价，</w:t>
      </w:r>
      <w:r>
        <w:rPr>
          <w:rFonts w:hint="eastAsia" w:ascii="仿宋_GB2312"/>
          <w:b w:val="0"/>
          <w:bCs w:val="0"/>
          <w:color w:val="auto"/>
          <w:sz w:val="24"/>
          <w:highlight w:val="none"/>
        </w:rPr>
        <w:t>在开标一览表</w:t>
      </w:r>
      <w:r>
        <w:rPr>
          <w:rFonts w:hint="eastAsia" w:ascii="仿宋_GB2312"/>
          <w:b w:val="0"/>
          <w:bCs w:val="0"/>
          <w:color w:val="auto"/>
          <w:sz w:val="24"/>
          <w:highlight w:val="none"/>
          <w:lang w:val="en-US" w:eastAsia="zh-CN"/>
        </w:rPr>
        <w:t>中“单价”统一填入1.8万元，本项目以实际发生的服务进行结算。</w:t>
      </w:r>
      <w:r>
        <w:rPr>
          <w:rFonts w:hint="eastAsia" w:ascii="Times New Roman" w:hAnsi="Times New Roman" w:eastAsia="宋体" w:cs="仿宋"/>
          <w:b w:val="0"/>
          <w:bCs w:val="0"/>
          <w:color w:val="auto"/>
          <w:sz w:val="24"/>
          <w:szCs w:val="24"/>
          <w:highlight w:val="none"/>
          <w:lang w:eastAsia="zh-CN"/>
        </w:rPr>
        <w:t>）</w:t>
      </w:r>
    </w:p>
    <w:p w14:paraId="26AB1D98">
      <w:pPr>
        <w:keepNext w:val="0"/>
        <w:keepLines w:val="0"/>
        <w:pageBreakBefore w:val="0"/>
        <w:widowControl w:val="0"/>
        <w:spacing w:line="340" w:lineRule="exact"/>
        <w:ind w:firstLine="482"/>
        <w:rPr>
          <w:rFonts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（2）结算：</w:t>
      </w:r>
    </w:p>
    <w:p w14:paraId="383CEBE1">
      <w:pPr>
        <w:keepNext w:val="0"/>
        <w:keepLines w:val="0"/>
        <w:pageBreakBefore w:val="0"/>
        <w:widowControl w:val="0"/>
        <w:spacing w:line="340" w:lineRule="exact"/>
        <w:ind w:firstLine="480"/>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孤独症康复服务结算价=</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8</w:t>
      </w:r>
      <w:r>
        <w:rPr>
          <w:rFonts w:hint="eastAsia" w:ascii="宋体" w:hAnsi="宋体" w:eastAsia="宋体" w:cs="宋体"/>
          <w:color w:val="auto"/>
          <w:sz w:val="24"/>
          <w:szCs w:val="24"/>
          <w:highlight w:val="none"/>
          <w:lang w:val="en-US" w:eastAsia="zh-CN"/>
        </w:rPr>
        <w:t>万</w:t>
      </w:r>
      <w:r>
        <w:rPr>
          <w:rFonts w:hint="eastAsia" w:ascii="宋体" w:hAnsi="宋体" w:eastAsia="宋体" w:cs="宋体"/>
          <w:color w:val="auto"/>
          <w:sz w:val="24"/>
          <w:szCs w:val="24"/>
          <w:highlight w:val="none"/>
        </w:rPr>
        <w:t>元/人/年*实际提供康复服务时间（实际提供康复服务月（日））</w:t>
      </w:r>
      <w:r>
        <w:rPr>
          <w:rFonts w:hint="eastAsia" w:ascii="宋体" w:hAnsi="宋体" w:eastAsia="宋体" w:cs="宋体"/>
          <w:color w:val="auto"/>
          <w:sz w:val="24"/>
          <w:szCs w:val="24"/>
          <w:highlight w:val="none"/>
          <w:lang w:val="en-US" w:eastAsia="zh-CN"/>
        </w:rPr>
        <w:t>；注：前述月（日）须折算成对应的固定单价中的年，此处1年按满额服务9个月计。</w:t>
      </w:r>
    </w:p>
    <w:p w14:paraId="6C3AD3A3">
      <w:pPr>
        <w:keepNext w:val="0"/>
        <w:keepLines w:val="0"/>
        <w:pageBreakBefore w:val="0"/>
        <w:widowControl w:val="0"/>
        <w:spacing w:line="340" w:lineRule="exact"/>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注：非全日制残疾儿童康复救助经费标准按照康复类别全日制救助标准的90%，结算年度康复救助经费。本项目以实际发生的服务进行结算。</w:t>
      </w:r>
    </w:p>
    <w:p w14:paraId="52C56760">
      <w:pPr>
        <w:keepNext w:val="0"/>
        <w:keepLines w:val="0"/>
        <w:pageBreakBefore w:val="0"/>
        <w:widowControl w:val="0"/>
        <w:spacing w:line="340" w:lineRule="exact"/>
        <w:ind w:firstLine="482"/>
        <w:rPr>
          <w:rFonts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转介到异地</w:t>
      </w:r>
      <w:r>
        <w:rPr>
          <w:rFonts w:hint="eastAsia" w:ascii="Times New Roman" w:hAnsi="Times New Roman" w:eastAsia="宋体" w:cs="仿宋"/>
          <w:color w:val="auto"/>
          <w:sz w:val="24"/>
          <w:highlight w:val="none"/>
          <w:lang w:eastAsia="zh-CN"/>
        </w:rPr>
        <w:t>（</w:t>
      </w:r>
      <w:r>
        <w:rPr>
          <w:rFonts w:hint="eastAsia" w:ascii="Times New Roman" w:hAnsi="Times New Roman" w:eastAsia="宋体" w:cs="仿宋"/>
          <w:color w:val="auto"/>
          <w:sz w:val="24"/>
          <w:highlight w:val="none"/>
          <w:lang w:val="en-US" w:eastAsia="zh-CN"/>
        </w:rPr>
        <w:t>含市外</w:t>
      </w:r>
      <w:r>
        <w:rPr>
          <w:rFonts w:hint="eastAsia" w:ascii="Times New Roman" w:hAnsi="Times New Roman" w:eastAsia="宋体" w:cs="仿宋"/>
          <w:color w:val="auto"/>
          <w:sz w:val="24"/>
          <w:highlight w:val="none"/>
          <w:lang w:eastAsia="zh-CN"/>
        </w:rPr>
        <w:t>）</w:t>
      </w:r>
      <w:r>
        <w:rPr>
          <w:rFonts w:hint="eastAsia" w:ascii="Times New Roman" w:hAnsi="Times New Roman" w:eastAsia="宋体" w:cs="仿宋"/>
          <w:color w:val="auto"/>
          <w:sz w:val="24"/>
          <w:highlight w:val="none"/>
        </w:rPr>
        <w:t>的受助儿童康复服务经费结算，原则上按户籍地救助标准执行，户籍地救助标准高于服务承接地标准时，按服务承接地救助标准执行。</w:t>
      </w:r>
    </w:p>
    <w:p w14:paraId="131C0B55">
      <w:pPr>
        <w:keepNext w:val="0"/>
        <w:keepLines w:val="0"/>
        <w:pageBreakBefore w:val="0"/>
        <w:widowControl w:val="0"/>
        <w:spacing w:line="340" w:lineRule="exact"/>
        <w:ind w:firstLine="482"/>
        <w:rPr>
          <w:rFonts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w:t>
      </w:r>
      <w:r>
        <w:rPr>
          <w:rFonts w:hint="eastAsia" w:ascii="Times New Roman" w:hAnsi="Times New Roman" w:eastAsia="宋体" w:cs="仿宋"/>
          <w:color w:val="auto"/>
          <w:sz w:val="24"/>
          <w:highlight w:val="none"/>
          <w:lang w:val="en-US" w:eastAsia="zh-CN"/>
        </w:rPr>
        <w:t>3</w:t>
      </w:r>
      <w:r>
        <w:rPr>
          <w:rFonts w:hint="eastAsia" w:ascii="Times New Roman" w:hAnsi="Times New Roman" w:eastAsia="宋体" w:cs="仿宋"/>
          <w:color w:val="auto"/>
          <w:sz w:val="24"/>
          <w:highlight w:val="none"/>
        </w:rPr>
        <w:t>）付款方式：</w:t>
      </w:r>
    </w:p>
    <w:p w14:paraId="7903524E">
      <w:pPr>
        <w:keepNext w:val="0"/>
        <w:keepLines w:val="0"/>
        <w:pageBreakBefore w:val="0"/>
        <w:widowControl w:val="0"/>
        <w:spacing w:line="340" w:lineRule="exact"/>
        <w:ind w:firstLine="482"/>
        <w:rPr>
          <w:rFonts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预付款：</w:t>
      </w:r>
      <w:r>
        <w:rPr>
          <w:rFonts w:hint="eastAsia" w:ascii="Times New Roman" w:hAnsi="Times New Roman" w:eastAsia="宋体" w:cs="仿宋"/>
          <w:color w:val="auto"/>
          <w:sz w:val="24"/>
          <w:highlight w:val="none"/>
          <w:lang w:val="en-US" w:eastAsia="zh-CN"/>
        </w:rPr>
        <w:t>合同签订且收到供应商发票后15个工作日内预付合同总价款的10%</w:t>
      </w:r>
      <w:r>
        <w:rPr>
          <w:rFonts w:hint="eastAsia" w:ascii="Times New Roman" w:hAnsi="Times New Roman" w:eastAsia="宋体" w:cs="仿宋"/>
          <w:color w:val="auto"/>
          <w:sz w:val="24"/>
          <w:highlight w:val="none"/>
        </w:rPr>
        <w:t xml:space="preserve">； </w:t>
      </w:r>
    </w:p>
    <w:p w14:paraId="78EBB266">
      <w:pPr>
        <w:keepNext w:val="0"/>
        <w:keepLines w:val="0"/>
        <w:pageBreakBefore w:val="0"/>
        <w:widowControl w:val="0"/>
        <w:spacing w:line="340" w:lineRule="exact"/>
        <w:ind w:firstLine="482"/>
        <w:rPr>
          <w:rFonts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进度款：根据季度考核结果进行预拨付，每季度一次。前三个季度按照季度考核结果且自收到供应商发票后1</w:t>
      </w:r>
      <w:r>
        <w:rPr>
          <w:rFonts w:hint="eastAsia" w:ascii="Times New Roman" w:hAnsi="Times New Roman" w:eastAsia="宋体" w:cs="仿宋"/>
          <w:color w:val="auto"/>
          <w:sz w:val="24"/>
          <w:highlight w:val="none"/>
          <w:lang w:val="en-US" w:eastAsia="zh-CN"/>
        </w:rPr>
        <w:t>5</w:t>
      </w:r>
      <w:r>
        <w:rPr>
          <w:rFonts w:hint="eastAsia" w:ascii="Times New Roman" w:hAnsi="Times New Roman" w:eastAsia="宋体" w:cs="仿宋"/>
          <w:color w:val="auto"/>
          <w:sz w:val="24"/>
          <w:highlight w:val="none"/>
        </w:rPr>
        <w:t>个工作日内进行预拨付服务费用。年度考核由县残联会同第三方审计机构对中标机构儿童康复服务情况进行真实性审查和绩效评估，并根据各中标机构实际发生的费用及考核结果结算剩余资金。对考核不达标的，扣减救助资金，并限期整改。</w:t>
      </w:r>
    </w:p>
    <w:p w14:paraId="35DE4DCD">
      <w:pPr>
        <w:keepNext w:val="0"/>
        <w:keepLines w:val="0"/>
        <w:pageBreakBefore w:val="0"/>
        <w:widowControl w:val="0"/>
        <w:spacing w:line="340" w:lineRule="exact"/>
        <w:ind w:firstLine="482"/>
        <w:rPr>
          <w:rFonts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（注：在签订合同时，中标人明确表示无需预付款或者主动要求降低预付款比例的金额，采购人可不适用预付款规定。）</w:t>
      </w:r>
    </w:p>
    <w:p w14:paraId="3D0F97C9">
      <w:pPr>
        <w:keepNext w:val="0"/>
        <w:keepLines w:val="0"/>
        <w:pageBreakBefore w:val="0"/>
        <w:widowControl w:val="0"/>
        <w:spacing w:line="340" w:lineRule="exact"/>
        <w:ind w:firstLine="482"/>
        <w:rPr>
          <w:rFonts w:hint="eastAsia" w:ascii="宋体" w:hAnsi="宋体" w:eastAsia="宋体" w:cs="Times New Roman"/>
          <w:b/>
          <w:color w:val="auto"/>
          <w:sz w:val="24"/>
          <w:szCs w:val="24"/>
          <w:highlight w:val="none"/>
          <w:lang w:val="en-US" w:eastAsia="zh-CN"/>
        </w:rPr>
      </w:pPr>
    </w:p>
    <w:p w14:paraId="6BA04CBB">
      <w:pPr>
        <w:keepNext w:val="0"/>
        <w:keepLines w:val="0"/>
        <w:pageBreakBefore w:val="0"/>
        <w:widowControl w:val="0"/>
        <w:spacing w:line="340" w:lineRule="exact"/>
        <w:ind w:firstLine="482"/>
        <w:rPr>
          <w:rFonts w:hint="eastAsia" w:ascii="宋体" w:hAnsi="宋体" w:eastAsia="宋体" w:cs="Times New Roman"/>
          <w:b/>
          <w:color w:val="auto"/>
          <w:sz w:val="24"/>
          <w:szCs w:val="24"/>
          <w:highlight w:val="none"/>
          <w:lang w:val="en-US" w:eastAsia="zh-CN"/>
        </w:rPr>
      </w:pPr>
      <w:r>
        <w:rPr>
          <w:rFonts w:hint="eastAsia" w:ascii="宋体" w:hAnsi="宋体" w:eastAsia="宋体" w:cs="Times New Roman"/>
          <w:b/>
          <w:color w:val="auto"/>
          <w:sz w:val="24"/>
          <w:szCs w:val="24"/>
          <w:highlight w:val="none"/>
          <w:lang w:val="en-US" w:eastAsia="zh-CN"/>
        </w:rPr>
        <w:t>二、服务对象</w:t>
      </w:r>
    </w:p>
    <w:p w14:paraId="09D26A80">
      <w:pPr>
        <w:keepNext w:val="0"/>
        <w:keepLines w:val="0"/>
        <w:pageBreakBefore w:val="0"/>
        <w:widowControl w:val="0"/>
        <w:spacing w:line="340" w:lineRule="exact"/>
        <w:ind w:firstLine="482"/>
        <w:rPr>
          <w:rFonts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1、</w:t>
      </w:r>
      <w:r>
        <w:rPr>
          <w:rFonts w:hint="eastAsia" w:ascii="Times New Roman" w:hAnsi="Times New Roman" w:eastAsia="宋体" w:cs="仿宋"/>
          <w:b/>
          <w:color w:val="auto"/>
          <w:sz w:val="24"/>
          <w:highlight w:val="none"/>
        </w:rPr>
        <w:t>基本康复服务对象</w:t>
      </w:r>
      <w:r>
        <w:rPr>
          <w:rFonts w:hint="eastAsia" w:ascii="Times New Roman" w:hAnsi="Times New Roman" w:eastAsia="宋体" w:cs="仿宋"/>
          <w:color w:val="auto"/>
          <w:sz w:val="24"/>
          <w:highlight w:val="none"/>
        </w:rPr>
        <w:t>，是指具有</w:t>
      </w:r>
      <w:r>
        <w:rPr>
          <w:rFonts w:hint="eastAsia" w:ascii="Times New Roman" w:hAnsi="Times New Roman" w:eastAsia="宋体" w:cs="仿宋"/>
          <w:color w:val="auto"/>
          <w:sz w:val="24"/>
          <w:highlight w:val="none"/>
          <w:lang w:eastAsia="zh-CN"/>
        </w:rPr>
        <w:t>沭阳</w:t>
      </w:r>
      <w:r>
        <w:rPr>
          <w:rFonts w:hint="eastAsia" w:ascii="Times New Roman" w:hAnsi="Times New Roman" w:eastAsia="宋体" w:cs="仿宋"/>
          <w:color w:val="auto"/>
          <w:sz w:val="24"/>
          <w:highlight w:val="none"/>
        </w:rPr>
        <w:t>县户籍，有康复需求和康复意愿，经国内三级医院、</w:t>
      </w:r>
      <w:r>
        <w:rPr>
          <w:rFonts w:hint="eastAsia" w:ascii="Times New Roman" w:hAnsi="Times New Roman" w:eastAsia="宋体" w:cs="仿宋"/>
          <w:color w:val="auto"/>
          <w:sz w:val="24"/>
          <w:highlight w:val="none"/>
        </w:rPr>
        <w:t>县级以上残联指定的残疾评定机构或残疾评定专家组诊断评估有康复训练适应指征的</w:t>
      </w:r>
      <w:r>
        <w:rPr>
          <w:rFonts w:hint="eastAsia" w:ascii="Times New Roman" w:hAnsi="Times New Roman" w:eastAsia="宋体" w:cs="仿宋"/>
          <w:color w:val="auto"/>
          <w:sz w:val="24"/>
          <w:highlight w:val="none"/>
          <w:lang w:val="en-US" w:eastAsia="zh-CN"/>
        </w:rPr>
        <w:t>0-16周岁</w:t>
      </w:r>
      <w:r>
        <w:rPr>
          <w:rFonts w:hint="eastAsia" w:ascii="Times New Roman" w:hAnsi="Times New Roman" w:eastAsia="宋体" w:cs="仿宋"/>
          <w:color w:val="auto"/>
          <w:sz w:val="24"/>
          <w:szCs w:val="24"/>
          <w:highlight w:val="none"/>
          <w:lang w:eastAsia="zh-CN"/>
        </w:rPr>
        <w:t>孤独症</w:t>
      </w:r>
      <w:r>
        <w:rPr>
          <w:rFonts w:hint="eastAsia" w:ascii="Times New Roman" w:hAnsi="Times New Roman" w:eastAsia="宋体" w:cs="仿宋"/>
          <w:color w:val="auto"/>
          <w:sz w:val="24"/>
          <w:szCs w:val="24"/>
          <w:highlight w:val="none"/>
          <w:lang w:val="en-US" w:eastAsia="zh-CN"/>
        </w:rPr>
        <w:t>儿童</w:t>
      </w:r>
      <w:r>
        <w:rPr>
          <w:rFonts w:hint="eastAsia" w:ascii="Times New Roman" w:hAnsi="Times New Roman" w:eastAsia="宋体" w:cs="仿宋"/>
          <w:color w:val="auto"/>
          <w:sz w:val="24"/>
          <w:highlight w:val="none"/>
        </w:rPr>
        <w:t>康复训练儿童。</w:t>
      </w:r>
    </w:p>
    <w:p w14:paraId="5BB944F0">
      <w:pPr>
        <w:keepNext w:val="0"/>
        <w:keepLines w:val="0"/>
        <w:pageBreakBefore w:val="0"/>
        <w:widowControl w:val="0"/>
        <w:spacing w:line="340" w:lineRule="exact"/>
        <w:ind w:firstLine="482"/>
        <w:rPr>
          <w:rFonts w:ascii="Times New Roman" w:hAnsi="Times New Roman" w:eastAsia="宋体" w:cs="仿宋"/>
          <w:color w:val="auto"/>
          <w:sz w:val="24"/>
          <w:highlight w:val="none"/>
        </w:rPr>
      </w:pPr>
      <w:r>
        <w:rPr>
          <w:rFonts w:hint="eastAsia" w:ascii="Times New Roman" w:hAnsi="Times New Roman" w:eastAsia="宋体" w:cs="仿宋"/>
          <w:color w:val="auto"/>
          <w:sz w:val="24"/>
          <w:highlight w:val="none"/>
          <w:lang w:val="en-US" w:eastAsia="zh-CN"/>
        </w:rPr>
        <w:t>经国内三级医院相应科室副主任医师以上职称的医师诊断为孤独症发育功能障碍。</w:t>
      </w:r>
      <w:r>
        <w:rPr>
          <w:rFonts w:hint="eastAsia" w:ascii="Times New Roman" w:hAnsi="Times New Roman" w:eastAsia="宋体" w:cs="仿宋"/>
          <w:color w:val="auto"/>
          <w:sz w:val="24"/>
          <w:highlight w:val="none"/>
        </w:rPr>
        <w:t>确需接受康复训练的儿童，由医院出具医学诊断证明书。医学诊断证明书须注明需要康复的</w:t>
      </w:r>
      <w:r>
        <w:rPr>
          <w:rFonts w:hint="eastAsia" w:ascii="Times New Roman" w:hAnsi="Times New Roman" w:eastAsia="宋体" w:cs="仿宋"/>
          <w:color w:val="auto"/>
          <w:sz w:val="24"/>
          <w:highlight w:val="none"/>
        </w:rPr>
        <w:t>类别，加盖医院诊断专用章。首次申请康复救助的医学诊断证明书，诊断证明书自开具之日起3年内有效。医学诊断证明书表述模糊不清、未注明需要康复类别的，县级以上残联应组织复筛复查。</w:t>
      </w:r>
    </w:p>
    <w:p w14:paraId="29B83D8F">
      <w:pPr>
        <w:keepNext w:val="0"/>
        <w:keepLines w:val="0"/>
        <w:pageBreakBefore w:val="0"/>
        <w:widowControl w:val="0"/>
        <w:spacing w:line="340" w:lineRule="exact"/>
        <w:ind w:firstLine="482"/>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lang w:val="en-US" w:eastAsia="zh-CN"/>
        </w:rPr>
        <w:t>孤独症儿童</w:t>
      </w:r>
      <w:r>
        <w:rPr>
          <w:rFonts w:hint="eastAsia" w:ascii="Times New Roman" w:hAnsi="Times New Roman" w:eastAsia="宋体" w:cs="仿宋"/>
          <w:color w:val="auto"/>
          <w:sz w:val="24"/>
          <w:highlight w:val="none"/>
        </w:rPr>
        <w:t>，其监护人可向户籍地县级残联申请残疾评定。符合残疾评定标准的，残疾评定表中应注明残疾类别和分级，由户籍地县级残联盖章确认。</w:t>
      </w:r>
    </w:p>
    <w:p w14:paraId="30617B88">
      <w:pPr>
        <w:keepNext w:val="0"/>
        <w:keepLines w:val="0"/>
        <w:pageBreakBefore w:val="0"/>
        <w:widowControl w:val="0"/>
        <w:spacing w:line="340" w:lineRule="exact"/>
        <w:ind w:firstLine="482"/>
        <w:rPr>
          <w:rFonts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7-1</w:t>
      </w:r>
      <w:r>
        <w:rPr>
          <w:rFonts w:hint="eastAsia" w:ascii="Times New Roman" w:hAnsi="Times New Roman" w:eastAsia="宋体" w:cs="仿宋"/>
          <w:color w:val="auto"/>
          <w:sz w:val="24"/>
          <w:highlight w:val="none"/>
          <w:lang w:val="en-US" w:eastAsia="zh-CN"/>
        </w:rPr>
        <w:t>6</w:t>
      </w:r>
      <w:r>
        <w:rPr>
          <w:rFonts w:hint="eastAsia" w:ascii="Times New Roman" w:hAnsi="Times New Roman" w:eastAsia="宋体" w:cs="仿宋"/>
          <w:color w:val="auto"/>
          <w:sz w:val="24"/>
          <w:highlight w:val="none"/>
        </w:rPr>
        <w:t>周岁</w:t>
      </w:r>
      <w:r>
        <w:rPr>
          <w:rFonts w:hint="eastAsia" w:ascii="Times New Roman" w:hAnsi="Times New Roman" w:eastAsia="宋体" w:cs="仿宋"/>
          <w:color w:val="auto"/>
          <w:sz w:val="24"/>
          <w:highlight w:val="none"/>
          <w:lang w:eastAsia="zh-CN"/>
        </w:rPr>
        <w:t>孤独症</w:t>
      </w:r>
      <w:r>
        <w:rPr>
          <w:rFonts w:hint="eastAsia" w:ascii="Times New Roman" w:hAnsi="Times New Roman" w:eastAsia="宋体" w:cs="仿宋"/>
          <w:color w:val="auto"/>
          <w:sz w:val="24"/>
          <w:highlight w:val="none"/>
        </w:rPr>
        <w:t>儿童，符合残疾评定标准的，鼓励监护人为残疾儿童申领残疾人证。</w:t>
      </w:r>
    </w:p>
    <w:p w14:paraId="23D26299">
      <w:pPr>
        <w:keepNext w:val="0"/>
        <w:keepLines w:val="0"/>
        <w:pageBreakBefore w:val="0"/>
        <w:widowControl w:val="0"/>
        <w:spacing w:line="340" w:lineRule="exact"/>
        <w:ind w:firstLine="482"/>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2、申请康复救助需提供残疾儿童户籍证明</w:t>
      </w:r>
      <w:r>
        <w:rPr>
          <w:rFonts w:hint="eastAsia" w:ascii="Times New Roman" w:hAnsi="Times New Roman" w:eastAsia="宋体" w:cs="仿宋"/>
          <w:color w:val="auto"/>
          <w:sz w:val="24"/>
          <w:highlight w:val="none"/>
          <w:lang w:eastAsia="zh-CN"/>
        </w:rPr>
        <w:t>（</w:t>
      </w:r>
      <w:r>
        <w:rPr>
          <w:rFonts w:hint="eastAsia" w:ascii="Times New Roman" w:hAnsi="Times New Roman" w:eastAsia="宋体" w:cs="仿宋"/>
          <w:color w:val="auto"/>
          <w:sz w:val="24"/>
          <w:highlight w:val="none"/>
        </w:rPr>
        <w:t>身份证</w:t>
      </w:r>
      <w:r>
        <w:rPr>
          <w:rFonts w:hint="eastAsia" w:ascii="Times New Roman" w:hAnsi="Times New Roman" w:eastAsia="宋体" w:cs="仿宋"/>
          <w:color w:val="auto"/>
          <w:sz w:val="24"/>
          <w:highlight w:val="none"/>
          <w:lang w:eastAsia="zh-CN"/>
        </w:rPr>
        <w:t>）</w:t>
      </w:r>
      <w:r>
        <w:rPr>
          <w:rFonts w:hint="eastAsia" w:ascii="Times New Roman" w:hAnsi="Times New Roman" w:eastAsia="宋体" w:cs="仿宋"/>
          <w:color w:val="auto"/>
          <w:sz w:val="24"/>
          <w:highlight w:val="none"/>
        </w:rPr>
        <w:t>资料、医学诊断证明书</w:t>
      </w:r>
      <w:r>
        <w:rPr>
          <w:rFonts w:hint="eastAsia" w:ascii="Times New Roman" w:hAnsi="Times New Roman" w:eastAsia="宋体" w:cs="仿宋"/>
          <w:color w:val="auto"/>
          <w:sz w:val="24"/>
          <w:highlight w:val="none"/>
          <w:lang w:eastAsia="zh-CN"/>
        </w:rPr>
        <w:t>（</w:t>
      </w:r>
      <w:r>
        <w:rPr>
          <w:rFonts w:hint="eastAsia" w:ascii="Times New Roman" w:hAnsi="Times New Roman" w:eastAsia="宋体" w:cs="仿宋"/>
          <w:color w:val="auto"/>
          <w:sz w:val="24"/>
          <w:highlight w:val="none"/>
        </w:rPr>
        <w:t>残疾评定表、残疾人证</w:t>
      </w:r>
      <w:r>
        <w:rPr>
          <w:rFonts w:hint="eastAsia" w:ascii="Times New Roman" w:hAnsi="Times New Roman" w:eastAsia="宋体" w:cs="仿宋"/>
          <w:color w:val="auto"/>
          <w:sz w:val="24"/>
          <w:highlight w:val="none"/>
          <w:lang w:eastAsia="zh-CN"/>
        </w:rPr>
        <w:t>）</w:t>
      </w:r>
      <w:r>
        <w:rPr>
          <w:rFonts w:hint="eastAsia" w:ascii="Times New Roman" w:hAnsi="Times New Roman" w:eastAsia="宋体" w:cs="仿宋"/>
          <w:color w:val="auto"/>
          <w:sz w:val="24"/>
          <w:highlight w:val="none"/>
        </w:rPr>
        <w:t>。</w:t>
      </w:r>
    </w:p>
    <w:p w14:paraId="23FCF8EC">
      <w:pPr>
        <w:keepNext w:val="0"/>
        <w:keepLines w:val="0"/>
        <w:pageBreakBefore w:val="0"/>
        <w:widowControl w:val="0"/>
        <w:spacing w:line="340" w:lineRule="exact"/>
        <w:ind w:firstLine="482"/>
        <w:rPr>
          <w:rFonts w:ascii="Times New Roman" w:hAnsi="Times New Roman" w:eastAsia="宋体" w:cs="仿宋"/>
          <w:color w:val="auto"/>
          <w:sz w:val="24"/>
          <w:highlight w:val="none"/>
        </w:rPr>
      </w:pPr>
      <w:r>
        <w:rPr>
          <w:rFonts w:hint="eastAsia" w:ascii="Times New Roman" w:hAnsi="Times New Roman" w:eastAsia="宋体" w:cs="仿宋"/>
          <w:color w:val="auto"/>
          <w:sz w:val="24"/>
          <w:highlight w:val="none"/>
          <w:lang w:val="en-US" w:eastAsia="zh-CN"/>
        </w:rPr>
        <w:t>3、</w:t>
      </w:r>
      <w:r>
        <w:rPr>
          <w:rFonts w:hint="eastAsia" w:ascii="Times New Roman" w:hAnsi="Times New Roman" w:eastAsia="宋体" w:cs="仿宋"/>
          <w:color w:val="auto"/>
          <w:sz w:val="24"/>
          <w:highlight w:val="none"/>
        </w:rPr>
        <w:t>县级残联应与当地教育部门建立信息共享机制，及时通报达到义务教育入学年龄仍在机构接受康复服务的儿童信息。</w:t>
      </w:r>
    </w:p>
    <w:p w14:paraId="7626AFED">
      <w:pPr>
        <w:keepNext w:val="0"/>
        <w:keepLines w:val="0"/>
        <w:pageBreakBefore w:val="0"/>
        <w:widowControl w:val="0"/>
        <w:spacing w:line="340" w:lineRule="exact"/>
        <w:ind w:firstLine="482"/>
        <w:rPr>
          <w:rFonts w:hint="eastAsia" w:ascii="Times New Roman" w:hAnsi="Times New Roman" w:eastAsia="宋体" w:cs="仿宋"/>
          <w:color w:val="auto"/>
          <w:sz w:val="24"/>
          <w:highlight w:val="none"/>
          <w:lang w:val="en-US" w:eastAsia="zh-CN"/>
        </w:rPr>
      </w:pPr>
    </w:p>
    <w:p w14:paraId="5EEC568F">
      <w:pPr>
        <w:keepNext w:val="0"/>
        <w:keepLines w:val="0"/>
        <w:pageBreakBefore w:val="0"/>
        <w:widowControl w:val="0"/>
        <w:spacing w:line="340" w:lineRule="exact"/>
        <w:ind w:firstLine="482"/>
        <w:rPr>
          <w:rFonts w:ascii="宋体" w:hAnsi="宋体" w:eastAsia="宋体" w:cs="Times New Roman"/>
          <w:b/>
          <w:color w:val="auto"/>
          <w:sz w:val="24"/>
          <w:szCs w:val="24"/>
          <w:highlight w:val="none"/>
          <w:lang w:val="en-US" w:eastAsia="zh-CN"/>
        </w:rPr>
      </w:pPr>
      <w:r>
        <w:rPr>
          <w:rFonts w:hint="eastAsia" w:ascii="宋体" w:hAnsi="宋体" w:eastAsia="宋体" w:cs="Times New Roman"/>
          <w:b/>
          <w:color w:val="auto"/>
          <w:sz w:val="24"/>
          <w:szCs w:val="24"/>
          <w:highlight w:val="none"/>
          <w:lang w:val="en-US" w:eastAsia="zh-CN"/>
        </w:rPr>
        <w:t>三、服务目标与内容</w:t>
      </w:r>
    </w:p>
    <w:p w14:paraId="3B6347F3">
      <w:pPr>
        <w:keepNext w:val="0"/>
        <w:keepLines w:val="0"/>
        <w:pageBreakBefore w:val="0"/>
        <w:widowControl w:val="0"/>
        <w:spacing w:line="340" w:lineRule="exact"/>
        <w:ind w:firstLine="482"/>
        <w:rPr>
          <w:rFonts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1、服务目标与标准：本项目基本康复服务着眼改善和提高</w:t>
      </w:r>
      <w:r>
        <w:rPr>
          <w:rFonts w:hint="eastAsia" w:ascii="Times New Roman" w:hAnsi="Times New Roman" w:eastAsia="宋体" w:cs="仿宋"/>
          <w:color w:val="auto"/>
          <w:sz w:val="24"/>
          <w:highlight w:val="none"/>
          <w:lang w:val="en-US" w:eastAsia="zh-CN"/>
        </w:rPr>
        <w:t>孤独症</w:t>
      </w:r>
      <w:r>
        <w:rPr>
          <w:rFonts w:hint="eastAsia" w:ascii="Times New Roman" w:hAnsi="Times New Roman" w:eastAsia="宋体" w:cs="仿宋"/>
          <w:color w:val="auto"/>
          <w:sz w:val="24"/>
          <w:highlight w:val="none"/>
        </w:rPr>
        <w:t>儿童感知</w:t>
      </w:r>
      <w:r>
        <w:rPr>
          <w:rFonts w:hint="eastAsia" w:ascii="Times New Roman" w:hAnsi="Times New Roman" w:eastAsia="宋体" w:cs="仿宋"/>
          <w:color w:val="auto"/>
          <w:sz w:val="24"/>
          <w:highlight w:val="none"/>
        </w:rPr>
        <w:t>、运动、认知、言语沟通、情绪管理、生活自理、社会交往等能力。</w:t>
      </w:r>
    </w:p>
    <w:p w14:paraId="3F79F165">
      <w:pPr>
        <w:keepNext w:val="0"/>
        <w:keepLines w:val="0"/>
        <w:pageBreakBefore w:val="0"/>
        <w:widowControl w:val="0"/>
        <w:spacing w:line="340" w:lineRule="exact"/>
        <w:ind w:firstLine="482"/>
        <w:rPr>
          <w:rFonts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2、</w:t>
      </w:r>
      <w:r>
        <w:rPr>
          <w:rFonts w:hint="eastAsia" w:ascii="Times New Roman" w:hAnsi="Times New Roman" w:eastAsia="宋体" w:cs="仿宋"/>
          <w:b/>
          <w:color w:val="auto"/>
          <w:sz w:val="24"/>
          <w:highlight w:val="none"/>
        </w:rPr>
        <w:t>服务项目内容与范围：</w:t>
      </w:r>
      <w:r>
        <w:rPr>
          <w:rFonts w:hint="eastAsia" w:ascii="Times New Roman" w:hAnsi="Times New Roman" w:eastAsia="宋体" w:cs="仿宋"/>
          <w:color w:val="auto"/>
          <w:sz w:val="24"/>
          <w:highlight w:val="none"/>
        </w:rPr>
        <w:t>按照《江苏省残疾人基本康复服务目录》提供与年龄和残疾类别相适应的康复训练、康复医疗、辅助器具适配和支持性服务，并向残疾儿童及其家庭提供康复评估、康复咨询、康复指导和康复宣传服务。</w:t>
      </w:r>
    </w:p>
    <w:p w14:paraId="1B8A58B9">
      <w:pPr>
        <w:keepNext w:val="0"/>
        <w:keepLines w:val="0"/>
        <w:pageBreakBefore w:val="0"/>
        <w:widowControl w:val="0"/>
        <w:spacing w:line="340" w:lineRule="exact"/>
        <w:ind w:firstLine="482"/>
        <w:rPr>
          <w:rFonts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3、</w:t>
      </w:r>
      <w:r>
        <w:rPr>
          <w:rFonts w:hint="eastAsia" w:ascii="Times New Roman" w:hAnsi="Times New Roman" w:eastAsia="宋体" w:cs="仿宋"/>
          <w:b/>
          <w:color w:val="auto"/>
          <w:sz w:val="24"/>
          <w:highlight w:val="none"/>
        </w:rPr>
        <w:t>服务时间安排：</w:t>
      </w:r>
    </w:p>
    <w:p w14:paraId="6FE0D0EB">
      <w:pPr>
        <w:keepNext w:val="0"/>
        <w:keepLines w:val="0"/>
        <w:pageBreakBefore w:val="0"/>
        <w:widowControl w:val="0"/>
        <w:spacing w:line="340" w:lineRule="exact"/>
        <w:ind w:firstLine="482"/>
        <w:rPr>
          <w:rFonts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（1）为保证康复效果连续有效，政府购买的残疾儿童基本康复服务应在机构内进行，年度基本康复时间不少于9个月。执行与教育部门同步学期规定的公办机构（特教学校）可延至次年1月31日。</w:t>
      </w:r>
    </w:p>
    <w:p w14:paraId="660A570C">
      <w:pPr>
        <w:keepNext w:val="0"/>
        <w:keepLines w:val="0"/>
        <w:pageBreakBefore w:val="0"/>
        <w:widowControl w:val="0"/>
        <w:spacing w:line="340" w:lineRule="exact"/>
        <w:ind w:firstLine="482"/>
        <w:rPr>
          <w:rFonts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（2）</w:t>
      </w:r>
      <w:r>
        <w:rPr>
          <w:rFonts w:hint="eastAsia" w:ascii="Times New Roman" w:hAnsi="Times New Roman" w:eastAsia="宋体" w:cs="仿宋"/>
          <w:color w:val="auto"/>
          <w:sz w:val="24"/>
          <w:highlight w:val="none"/>
        </w:rPr>
        <w:t>基本康复服务形</w:t>
      </w:r>
      <w:r>
        <w:rPr>
          <w:rFonts w:hint="eastAsia" w:ascii="Times New Roman" w:hAnsi="Times New Roman" w:eastAsia="宋体" w:cs="仿宋"/>
          <w:color w:val="auto"/>
          <w:sz w:val="24"/>
          <w:highlight w:val="none"/>
        </w:rPr>
        <w:t>式分全日制和非全日制两种类型，残疾儿童监护人可自主选择服务类型。</w:t>
      </w:r>
    </w:p>
    <w:p w14:paraId="11B183B9">
      <w:pPr>
        <w:keepNext w:val="0"/>
        <w:keepLines w:val="0"/>
        <w:pageBreakBefore w:val="0"/>
        <w:widowControl w:val="0"/>
        <w:spacing w:line="340" w:lineRule="exact"/>
        <w:ind w:firstLine="482"/>
        <w:rPr>
          <w:rFonts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全日制是指残疾儿童在定点机构内同步接受康复服务和学前（学科）教育。在当月法定工作（学习）日，接</w:t>
      </w:r>
      <w:r>
        <w:rPr>
          <w:rFonts w:hint="eastAsia" w:ascii="Times New Roman" w:hAnsi="Times New Roman" w:eastAsia="宋体" w:cs="仿宋"/>
          <w:color w:val="auto"/>
          <w:sz w:val="24"/>
          <w:highlight w:val="none"/>
        </w:rPr>
        <w:t>受每天4小时的基本康复服务，课程设置应符合残疾儿童个性特征，其中个性化服务支持每天不少于1节课40分钟。</w:t>
      </w:r>
    </w:p>
    <w:p w14:paraId="3C680439">
      <w:pPr>
        <w:keepNext w:val="0"/>
        <w:keepLines w:val="0"/>
        <w:pageBreakBefore w:val="0"/>
        <w:widowControl w:val="0"/>
        <w:spacing w:line="340" w:lineRule="exact"/>
        <w:ind w:firstLine="482"/>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非全日制是指残疾儿童在家庭、幼儿园、中小学的托幼照料、学前（学科）教育间隙，到定点机构接受以个性化服务支持为主的基本康复服务，每月</w:t>
      </w:r>
      <w:r>
        <w:rPr>
          <w:rFonts w:hint="eastAsia" w:ascii="Times New Roman" w:hAnsi="Times New Roman" w:eastAsia="宋体" w:cs="仿宋"/>
          <w:color w:val="auto"/>
          <w:sz w:val="24"/>
          <w:highlight w:val="none"/>
          <w:lang w:val="en-US" w:eastAsia="zh-CN"/>
        </w:rPr>
        <w:t>不少于</w:t>
      </w:r>
      <w:r>
        <w:rPr>
          <w:rFonts w:hint="eastAsia" w:ascii="Times New Roman" w:hAnsi="Times New Roman" w:eastAsia="宋体" w:cs="仿宋"/>
          <w:color w:val="auto"/>
          <w:sz w:val="24"/>
          <w:highlight w:val="none"/>
        </w:rPr>
        <w:t>20天</w:t>
      </w:r>
      <w:r>
        <w:rPr>
          <w:rFonts w:hint="eastAsia" w:ascii="Times New Roman" w:hAnsi="Times New Roman" w:eastAsia="宋体" w:cs="仿宋"/>
          <w:color w:val="auto"/>
          <w:sz w:val="24"/>
          <w:highlight w:val="none"/>
          <w:lang w:val="en-US" w:eastAsia="zh-CN"/>
        </w:rPr>
        <w:t>，</w:t>
      </w:r>
      <w:r>
        <w:rPr>
          <w:rFonts w:hint="eastAsia" w:ascii="Times New Roman" w:hAnsi="Times New Roman" w:eastAsia="宋体" w:cs="仿宋"/>
          <w:color w:val="auto"/>
          <w:sz w:val="24"/>
          <w:highlight w:val="none"/>
        </w:rPr>
        <w:t>每天不少于1.5小时，其中个性化服务支持不少于1小时。</w:t>
      </w:r>
    </w:p>
    <w:p w14:paraId="4A92B45A">
      <w:pPr>
        <w:keepNext w:val="0"/>
        <w:keepLines w:val="0"/>
        <w:pageBreakBefore w:val="0"/>
        <w:widowControl w:val="0"/>
        <w:spacing w:line="340" w:lineRule="exact"/>
        <w:ind w:firstLine="482"/>
        <w:rPr>
          <w:rFonts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（3）残疾儿童自申请之日起一个年度康复服务周期内，只享受一种残疾类别的康复救助，多类别康复救助经费不叠加计算。</w:t>
      </w:r>
    </w:p>
    <w:p w14:paraId="0745CE48">
      <w:pPr>
        <w:keepNext w:val="0"/>
        <w:keepLines w:val="0"/>
        <w:pageBreakBefore w:val="0"/>
        <w:widowControl w:val="0"/>
        <w:spacing w:line="340" w:lineRule="exact"/>
        <w:ind w:firstLine="482"/>
        <w:rPr>
          <w:rFonts w:ascii="宋体" w:hAnsi="宋体" w:eastAsia="宋体" w:cs="Times New Roman"/>
          <w:b/>
          <w:color w:val="auto"/>
          <w:sz w:val="24"/>
          <w:szCs w:val="24"/>
          <w:highlight w:val="none"/>
          <w:lang w:val="en-US" w:eastAsia="zh-CN"/>
        </w:rPr>
      </w:pPr>
      <w:r>
        <w:rPr>
          <w:rFonts w:hint="eastAsia" w:ascii="宋体" w:hAnsi="宋体" w:eastAsia="宋体" w:cs="Times New Roman"/>
          <w:b/>
          <w:color w:val="auto"/>
          <w:sz w:val="24"/>
          <w:szCs w:val="24"/>
          <w:highlight w:val="none"/>
          <w:lang w:val="en-US" w:eastAsia="zh-CN"/>
        </w:rPr>
        <w:br w:type="textWrapping" w:clear="all"/>
      </w:r>
      <w:r>
        <w:rPr>
          <w:rFonts w:hint="eastAsia" w:ascii="宋体" w:hAnsi="宋体" w:eastAsia="宋体" w:cs="Times New Roman"/>
          <w:b/>
          <w:color w:val="auto"/>
          <w:sz w:val="24"/>
          <w:szCs w:val="24"/>
          <w:highlight w:val="none"/>
          <w:lang w:val="en-US" w:eastAsia="zh-CN"/>
        </w:rPr>
        <w:t xml:space="preserve">    四、服务管理与考核</w:t>
      </w:r>
    </w:p>
    <w:p w14:paraId="1668A637">
      <w:pPr>
        <w:keepNext w:val="0"/>
        <w:keepLines w:val="0"/>
        <w:pageBreakBefore w:val="0"/>
        <w:widowControl w:val="0"/>
        <w:spacing w:line="340" w:lineRule="exact"/>
        <w:ind w:firstLine="482"/>
        <w:rPr>
          <w:rFonts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本项目经招标确定的定点康复服务机构，须全面服从采购人（即合同签订甲方）的康复服务机构各项管理与考核安排及要求，包含但不限于如下具体内容。</w:t>
      </w:r>
    </w:p>
    <w:p w14:paraId="10B0C9BE">
      <w:pPr>
        <w:keepNext w:val="0"/>
        <w:keepLines w:val="0"/>
        <w:pageBreakBefore w:val="0"/>
        <w:widowControl w:val="0"/>
        <w:spacing w:line="340" w:lineRule="exact"/>
        <w:ind w:firstLine="482"/>
        <w:rPr>
          <w:rFonts w:ascii="Times New Roman" w:hAnsi="Times New Roman" w:eastAsia="宋体" w:cs="仿宋"/>
          <w:b/>
          <w:color w:val="auto"/>
          <w:sz w:val="24"/>
          <w:highlight w:val="none"/>
        </w:rPr>
      </w:pPr>
      <w:r>
        <w:rPr>
          <w:rFonts w:hint="eastAsia" w:ascii="Times New Roman" w:hAnsi="Times New Roman" w:eastAsia="宋体" w:cs="仿宋"/>
          <w:b/>
          <w:color w:val="auto"/>
          <w:sz w:val="24"/>
          <w:highlight w:val="none"/>
        </w:rPr>
        <w:t>（一）基本硬件建设：</w:t>
      </w:r>
    </w:p>
    <w:p w14:paraId="26DD88BB">
      <w:pPr>
        <w:keepNext w:val="0"/>
        <w:keepLines w:val="0"/>
        <w:pageBreakBefore w:val="0"/>
        <w:widowControl w:val="0"/>
        <w:spacing w:line="340" w:lineRule="exact"/>
        <w:ind w:firstLine="482"/>
        <w:rPr>
          <w:rFonts w:ascii="Times New Roman" w:hAnsi="Times New Roman" w:eastAsia="宋体" w:cs="仿宋"/>
          <w:b/>
          <w:color w:val="auto"/>
          <w:sz w:val="24"/>
          <w:highlight w:val="none"/>
        </w:rPr>
      </w:pPr>
      <w:r>
        <w:rPr>
          <w:rFonts w:hint="eastAsia" w:ascii="Times New Roman" w:hAnsi="Times New Roman" w:eastAsia="宋体" w:cs="仿宋"/>
          <w:b/>
          <w:color w:val="auto"/>
          <w:sz w:val="24"/>
          <w:highlight w:val="none"/>
        </w:rPr>
        <w:t>1、建设标准</w:t>
      </w:r>
    </w:p>
    <w:p w14:paraId="40E8955C">
      <w:pPr>
        <w:keepNext w:val="0"/>
        <w:keepLines w:val="0"/>
        <w:pageBreakBefore w:val="0"/>
        <w:widowControl w:val="0"/>
        <w:spacing w:line="340" w:lineRule="exact"/>
        <w:ind w:firstLine="482"/>
        <w:rPr>
          <w:rFonts w:ascii="Times New Roman" w:hAnsi="Times New Roman" w:eastAsia="宋体" w:cs="仿宋"/>
          <w:b/>
          <w:bCs/>
          <w:color w:val="auto"/>
          <w:sz w:val="24"/>
          <w:highlight w:val="none"/>
          <w:u w:val="none"/>
          <w:lang w:val="en-US" w:eastAsia="zh-CN"/>
        </w:rPr>
      </w:pPr>
      <w:r>
        <w:rPr>
          <w:rFonts w:hint="eastAsia" w:ascii="Times New Roman" w:hAnsi="Times New Roman" w:eastAsia="宋体" w:cs="仿宋"/>
          <w:b w:val="0"/>
          <w:bCs w:val="0"/>
          <w:color w:val="auto"/>
          <w:sz w:val="24"/>
          <w:highlight w:val="none"/>
          <w:u w:val="none"/>
        </w:rPr>
        <w:t>★</w:t>
      </w:r>
      <w:r>
        <w:rPr>
          <w:rFonts w:hint="eastAsia" w:ascii="Times New Roman" w:hAnsi="Times New Roman" w:eastAsia="宋体" w:cs="仿宋"/>
          <w:b w:val="0"/>
          <w:bCs w:val="0"/>
          <w:color w:val="auto"/>
          <w:sz w:val="24"/>
          <w:highlight w:val="none"/>
          <w:u w:val="none"/>
          <w:lang w:val="en-US" w:eastAsia="zh-CN"/>
        </w:rPr>
        <w:t>1.1</w:t>
      </w:r>
      <w:r>
        <w:rPr>
          <w:rFonts w:hint="eastAsia" w:ascii="Times New Roman" w:hAnsi="Times New Roman" w:eastAsia="宋体" w:cs="仿宋"/>
          <w:b w:val="0"/>
          <w:bCs w:val="0"/>
          <w:color w:val="auto"/>
          <w:sz w:val="24"/>
          <w:highlight w:val="none"/>
          <w:u w:val="none"/>
        </w:rPr>
        <w:t>消防达标要求：符合国家《建筑防火通用规范》（GB55037-2022）中关于“儿童活动场所”的相关要求，按照《建设工程消防设计审查验收管理暂行规定》(住建部第 51 号令)</w:t>
      </w:r>
      <w:r>
        <w:rPr>
          <w:rFonts w:hint="eastAsia" w:ascii="Times New Roman" w:hAnsi="Times New Roman" w:eastAsia="宋体" w:cs="仿宋"/>
          <w:b w:val="0"/>
          <w:bCs/>
          <w:color w:val="auto"/>
          <w:sz w:val="24"/>
          <w:highlight w:val="none"/>
          <w:u w:val="none"/>
        </w:rPr>
        <w:t>规定，儿童室内活动场所总建筑面积大于 1000 平方米以上的机构，建设前应取得建设工程消防设计审查合格意见书，竣工后应取得建设工程消防验收合格意见书；儿童室内活动场所总建筑面积 1000 平方米以下的机构，应在建设工程竣工验收合格之日起五个工作日内，向消防设计审查验收主管部门备案，并取得备案合格凭证。</w:t>
      </w:r>
      <w:r>
        <w:rPr>
          <w:rFonts w:hint="eastAsia" w:ascii="Times New Roman" w:hAnsi="Times New Roman" w:eastAsia="宋体" w:cs="仿宋"/>
          <w:color w:val="auto"/>
          <w:sz w:val="24"/>
          <w:highlight w:val="none"/>
          <w:u w:val="none"/>
          <w:lang w:val="en-US" w:eastAsia="zh-CN"/>
        </w:rPr>
        <w:t>须提供前述相关证明资料，否则不予认可。</w:t>
      </w:r>
    </w:p>
    <w:p w14:paraId="28ABE079">
      <w:pPr>
        <w:keepNext w:val="0"/>
        <w:keepLines w:val="0"/>
        <w:pageBreakBefore w:val="0"/>
        <w:widowControl w:val="0"/>
        <w:spacing w:line="340" w:lineRule="exact"/>
        <w:ind w:firstLine="482"/>
        <w:rPr>
          <w:rFonts w:ascii="Times New Roman" w:hAnsi="Times New Roman" w:eastAsia="宋体" w:cs="仿宋"/>
          <w:b w:val="0"/>
          <w:bCs/>
          <w:color w:val="auto"/>
          <w:sz w:val="24"/>
          <w:highlight w:val="none"/>
          <w:u w:val="none"/>
        </w:rPr>
      </w:pPr>
      <w:r>
        <w:rPr>
          <w:rFonts w:hint="eastAsia" w:ascii="Times New Roman" w:hAnsi="Times New Roman" w:eastAsia="宋体" w:cs="仿宋"/>
          <w:b w:val="0"/>
          <w:bCs/>
          <w:color w:val="auto"/>
          <w:sz w:val="24"/>
          <w:highlight w:val="none"/>
          <w:u w:val="none"/>
          <w:lang w:val="en-US" w:eastAsia="zh-CN"/>
        </w:rPr>
        <w:t>1.2</w:t>
      </w:r>
      <w:r>
        <w:rPr>
          <w:rFonts w:hint="eastAsia" w:ascii="Times New Roman" w:hAnsi="Times New Roman" w:eastAsia="宋体" w:cs="仿宋"/>
          <w:b w:val="0"/>
          <w:bCs/>
          <w:color w:val="auto"/>
          <w:sz w:val="24"/>
          <w:highlight w:val="none"/>
          <w:u w:val="none"/>
        </w:rPr>
        <w:t>建设要求：机构规划布局、建设规模和建设面积执行《残疾人康复机构建设标准》（建标165－2013）中关于“选址与规划布局”和“建设规模与建筑面积指标”的相关规定。</w:t>
      </w:r>
    </w:p>
    <w:p w14:paraId="729B67B5">
      <w:pPr>
        <w:keepNext w:val="0"/>
        <w:keepLines w:val="0"/>
        <w:pageBreakBefore w:val="0"/>
        <w:widowControl w:val="0"/>
        <w:spacing w:line="340" w:lineRule="exact"/>
        <w:ind w:firstLine="482"/>
        <w:rPr>
          <w:rFonts w:ascii="Times New Roman" w:hAnsi="Times New Roman" w:eastAsia="宋体" w:cs="仿宋"/>
          <w:b w:val="0"/>
          <w:bCs/>
          <w:color w:val="auto"/>
          <w:sz w:val="24"/>
          <w:highlight w:val="none"/>
          <w:u w:val="none"/>
        </w:rPr>
      </w:pPr>
      <w:r>
        <w:rPr>
          <w:rFonts w:hint="eastAsia" w:ascii="Times New Roman" w:hAnsi="Times New Roman" w:eastAsia="宋体" w:cs="仿宋"/>
          <w:b w:val="0"/>
          <w:bCs w:val="0"/>
          <w:color w:val="auto"/>
          <w:sz w:val="24"/>
          <w:highlight w:val="none"/>
          <w:u w:val="none"/>
        </w:rPr>
        <w:t>★</w:t>
      </w:r>
      <w:r>
        <w:rPr>
          <w:rFonts w:hint="eastAsia" w:ascii="Times New Roman" w:hAnsi="Times New Roman" w:eastAsia="宋体" w:cs="仿宋"/>
          <w:b w:val="0"/>
          <w:bCs/>
          <w:color w:val="auto"/>
          <w:sz w:val="24"/>
          <w:highlight w:val="none"/>
          <w:u w:val="none"/>
          <w:lang w:val="en-US" w:eastAsia="zh-CN"/>
        </w:rPr>
        <w:t>1.3</w:t>
      </w:r>
      <w:r>
        <w:rPr>
          <w:rFonts w:hint="eastAsia" w:ascii="Times New Roman" w:hAnsi="Times New Roman" w:eastAsia="宋体" w:cs="仿宋"/>
          <w:b w:val="0"/>
          <w:bCs/>
          <w:color w:val="auto"/>
          <w:sz w:val="24"/>
          <w:highlight w:val="none"/>
          <w:u w:val="none"/>
        </w:rPr>
        <w:t>环境要求</w:t>
      </w:r>
    </w:p>
    <w:p w14:paraId="0408152D">
      <w:pPr>
        <w:keepNext w:val="0"/>
        <w:keepLines w:val="0"/>
        <w:pageBreakBefore w:val="0"/>
        <w:widowControl w:val="0"/>
        <w:spacing w:line="340" w:lineRule="exact"/>
        <w:ind w:firstLine="482"/>
        <w:rPr>
          <w:rFonts w:ascii="Times New Roman" w:hAnsi="Times New Roman" w:eastAsia="宋体" w:cs="仿宋"/>
          <w:color w:val="auto"/>
          <w:sz w:val="24"/>
          <w:highlight w:val="none"/>
          <w:u w:val="none"/>
        </w:rPr>
      </w:pPr>
      <w:r>
        <w:rPr>
          <w:rFonts w:hint="eastAsia" w:ascii="Times New Roman" w:hAnsi="Times New Roman" w:eastAsia="宋体" w:cs="仿宋"/>
          <w:color w:val="auto"/>
          <w:sz w:val="24"/>
          <w:highlight w:val="none"/>
          <w:u w:val="none"/>
        </w:rPr>
        <w:t>应有与收训规模相适应的独立、安全、相对稳定的房屋，并设置在安全区域内，周围50米以内无污染、噪音影响。平房有独立院落，多层建筑宜设置在三层以下。不应与易爆、易燃等危化品生产、储存、装卸场所相邻，应远离高压线、垃圾站及大型机动车停车场。</w:t>
      </w:r>
    </w:p>
    <w:p w14:paraId="34478A04">
      <w:pPr>
        <w:keepNext w:val="0"/>
        <w:keepLines w:val="0"/>
        <w:pageBreakBefore w:val="0"/>
        <w:widowControl w:val="0"/>
        <w:spacing w:line="340" w:lineRule="exact"/>
        <w:ind w:firstLine="482"/>
        <w:rPr>
          <w:rFonts w:hint="eastAsia" w:ascii="Times New Roman" w:hAnsi="Times New Roman" w:eastAsia="宋体" w:cs="仿宋"/>
          <w:color w:val="auto"/>
          <w:sz w:val="24"/>
          <w:highlight w:val="none"/>
          <w:u w:val="none"/>
        </w:rPr>
      </w:pPr>
      <w:r>
        <w:rPr>
          <w:rFonts w:hint="eastAsia" w:ascii="Times New Roman" w:hAnsi="Times New Roman" w:eastAsia="宋体" w:cs="仿宋"/>
          <w:color w:val="auto"/>
          <w:sz w:val="24"/>
          <w:highlight w:val="none"/>
          <w:u w:val="none"/>
        </w:rPr>
        <w:t>生活用房应设在建筑的底层，设有独立出入口；有独立的室外活动场地。生活用房和室外场地与其他建筑部分采取隔离措施，配备防止物体坠落设施，光照充足，通风良好。</w:t>
      </w:r>
    </w:p>
    <w:p w14:paraId="6D93D9DB">
      <w:pPr>
        <w:keepNext w:val="0"/>
        <w:keepLines w:val="0"/>
        <w:pageBreakBefore w:val="0"/>
        <w:widowControl w:val="0"/>
        <w:spacing w:line="340" w:lineRule="exact"/>
        <w:ind w:firstLine="482"/>
        <w:rPr>
          <w:rFonts w:ascii="Times New Roman" w:hAnsi="Times New Roman" w:eastAsia="宋体" w:cs="仿宋"/>
          <w:b/>
          <w:color w:val="auto"/>
          <w:sz w:val="24"/>
          <w:highlight w:val="none"/>
          <w:u w:val="none"/>
        </w:rPr>
      </w:pPr>
      <w:r>
        <w:rPr>
          <w:rFonts w:hint="eastAsia" w:ascii="Times New Roman" w:hAnsi="Times New Roman" w:eastAsia="宋体" w:cs="仿宋"/>
          <w:b/>
          <w:color w:val="auto"/>
          <w:sz w:val="24"/>
          <w:highlight w:val="none"/>
          <w:u w:val="none"/>
        </w:rPr>
        <w:t>注：提供满足上述环境要求的承诺书加盖公章，格式自拟，如中标后，环境与上述要求不符视为虚假承诺，采购人将取消其中标资格并报送相关监管部门予以处罚</w:t>
      </w:r>
      <w:r>
        <w:rPr>
          <w:rFonts w:hint="eastAsia" w:ascii="Times New Roman" w:hAnsi="Times New Roman" w:eastAsia="宋体" w:cs="仿宋"/>
          <w:b/>
          <w:color w:val="auto"/>
          <w:sz w:val="24"/>
          <w:szCs w:val="22"/>
          <w:highlight w:val="none"/>
          <w:u w:val="none"/>
        </w:rPr>
        <w:t>。</w:t>
      </w:r>
    </w:p>
    <w:p w14:paraId="168F6870">
      <w:pPr>
        <w:keepNext w:val="0"/>
        <w:keepLines w:val="0"/>
        <w:pageBreakBefore w:val="0"/>
        <w:widowControl w:val="0"/>
        <w:spacing w:line="340" w:lineRule="exact"/>
        <w:ind w:firstLine="482"/>
        <w:rPr>
          <w:rFonts w:hint="eastAsia" w:ascii="Times New Roman" w:hAnsi="Times New Roman" w:eastAsia="宋体" w:cs="仿宋"/>
          <w:b/>
          <w:color w:val="auto"/>
          <w:sz w:val="24"/>
          <w:highlight w:val="none"/>
          <w:u w:val="none"/>
          <w:lang w:val="en-US" w:eastAsia="zh-CN"/>
        </w:rPr>
      </w:pPr>
      <w:r>
        <w:rPr>
          <w:rFonts w:hint="eastAsia" w:ascii="Times New Roman" w:hAnsi="Times New Roman" w:eastAsia="宋体" w:cs="仿宋"/>
          <w:b/>
          <w:color w:val="auto"/>
          <w:sz w:val="24"/>
          <w:highlight w:val="none"/>
          <w:u w:val="none"/>
          <w:lang w:val="en-US" w:eastAsia="zh-CN"/>
        </w:rPr>
        <w:t>2、</w:t>
      </w:r>
      <w:r>
        <w:rPr>
          <w:rFonts w:hint="eastAsia" w:ascii="Times New Roman" w:hAnsi="Times New Roman" w:eastAsia="宋体" w:cs="仿宋"/>
          <w:b/>
          <w:color w:val="auto"/>
          <w:sz w:val="24"/>
          <w:highlight w:val="none"/>
          <w:u w:val="none"/>
        </w:rPr>
        <w:t>定点机构</w:t>
      </w:r>
      <w:r>
        <w:rPr>
          <w:rFonts w:hint="eastAsia" w:ascii="Times New Roman" w:hAnsi="Times New Roman" w:eastAsia="宋体" w:cs="仿宋"/>
          <w:b/>
          <w:color w:val="auto"/>
          <w:sz w:val="24"/>
          <w:highlight w:val="none"/>
          <w:u w:val="none"/>
          <w:lang w:val="en-US" w:eastAsia="zh-CN"/>
        </w:rPr>
        <w:t>内部管理</w:t>
      </w:r>
    </w:p>
    <w:p w14:paraId="16677F59">
      <w:pPr>
        <w:keepNext w:val="0"/>
        <w:keepLines w:val="0"/>
        <w:pageBreakBefore w:val="0"/>
        <w:widowControl w:val="0"/>
        <w:spacing w:line="340" w:lineRule="exact"/>
        <w:ind w:firstLine="482"/>
        <w:rPr>
          <w:rFonts w:hint="eastAsia" w:ascii="Times New Roman" w:hAnsi="Times New Roman" w:eastAsia="宋体" w:cs="仿宋"/>
          <w:b w:val="0"/>
          <w:bCs/>
          <w:color w:val="auto"/>
          <w:sz w:val="24"/>
          <w:highlight w:val="none"/>
          <w:u w:val="none"/>
          <w:lang w:val="en-US" w:eastAsia="zh-CN"/>
        </w:rPr>
      </w:pPr>
      <w:r>
        <w:rPr>
          <w:rFonts w:hint="eastAsia" w:ascii="Times New Roman" w:hAnsi="Times New Roman" w:eastAsia="宋体" w:cs="仿宋"/>
          <w:b w:val="0"/>
          <w:bCs/>
          <w:color w:val="auto"/>
          <w:sz w:val="24"/>
          <w:highlight w:val="none"/>
          <w:u w:val="none"/>
          <w:lang w:val="en-US" w:eastAsia="zh-CN"/>
        </w:rPr>
        <w:t>2.2制度管理</w:t>
      </w:r>
    </w:p>
    <w:p w14:paraId="2CCFB820">
      <w:pPr>
        <w:keepNext w:val="0"/>
        <w:keepLines w:val="0"/>
        <w:pageBreakBefore w:val="0"/>
        <w:widowControl w:val="0"/>
        <w:spacing w:line="340" w:lineRule="exact"/>
        <w:ind w:firstLine="482"/>
        <w:rPr>
          <w:rFonts w:hint="eastAsia" w:ascii="Times New Roman" w:hAnsi="Times New Roman" w:eastAsia="宋体" w:cs="仿宋"/>
          <w:b w:val="0"/>
          <w:bCs/>
          <w:color w:val="auto"/>
          <w:sz w:val="24"/>
          <w:highlight w:val="none"/>
          <w:u w:val="none"/>
          <w:lang w:val="en-US" w:eastAsia="zh-CN"/>
        </w:rPr>
      </w:pPr>
      <w:r>
        <w:rPr>
          <w:rFonts w:hint="eastAsia" w:ascii="Times New Roman" w:hAnsi="Times New Roman" w:eastAsia="宋体" w:cs="仿宋"/>
          <w:b w:val="0"/>
          <w:bCs/>
          <w:color w:val="auto"/>
          <w:sz w:val="24"/>
          <w:highlight w:val="none"/>
          <w:u w:val="none"/>
          <w:lang w:val="en-US" w:eastAsia="zh-CN"/>
        </w:rPr>
        <w:t>具备岗位职责、业务管理、人力资源管理、财务管理、突发事件应急预案、信息管理、服务项目及收费标准等信息公示，有年度自查的总结报告。</w:t>
      </w:r>
    </w:p>
    <w:p w14:paraId="3B4E9C99">
      <w:pPr>
        <w:keepNext w:val="0"/>
        <w:keepLines w:val="0"/>
        <w:pageBreakBefore w:val="0"/>
        <w:widowControl w:val="0"/>
        <w:spacing w:line="340" w:lineRule="exact"/>
        <w:ind w:firstLine="482"/>
        <w:rPr>
          <w:rFonts w:hint="eastAsia" w:ascii="Times New Roman" w:hAnsi="Times New Roman" w:eastAsia="宋体" w:cs="仿宋"/>
          <w:b w:val="0"/>
          <w:bCs/>
          <w:color w:val="auto"/>
          <w:sz w:val="24"/>
          <w:highlight w:val="none"/>
          <w:u w:val="none"/>
          <w:lang w:val="en-US" w:eastAsia="zh-CN"/>
        </w:rPr>
      </w:pPr>
      <w:r>
        <w:rPr>
          <w:rFonts w:hint="eastAsia" w:ascii="Times New Roman" w:hAnsi="Times New Roman" w:eastAsia="宋体" w:cs="仿宋"/>
          <w:b w:val="0"/>
          <w:bCs/>
          <w:color w:val="auto"/>
          <w:sz w:val="24"/>
          <w:highlight w:val="none"/>
          <w:u w:val="none"/>
          <w:lang w:val="en-US" w:eastAsia="zh-CN"/>
        </w:rPr>
        <w:t>2.3绩效审计</w:t>
      </w:r>
    </w:p>
    <w:p w14:paraId="1CF2A1F4">
      <w:pPr>
        <w:keepNext w:val="0"/>
        <w:keepLines w:val="0"/>
        <w:pageBreakBefore w:val="0"/>
        <w:widowControl w:val="0"/>
        <w:spacing w:line="340" w:lineRule="exact"/>
        <w:ind w:firstLine="482"/>
        <w:rPr>
          <w:rFonts w:ascii="Times New Roman" w:hAnsi="Times New Roman" w:eastAsia="宋体" w:cs="仿宋"/>
          <w:b w:val="0"/>
          <w:bCs/>
          <w:color w:val="auto"/>
          <w:sz w:val="24"/>
          <w:highlight w:val="none"/>
          <w:u w:val="none"/>
          <w:lang w:val="en-US" w:eastAsia="zh-CN"/>
        </w:rPr>
      </w:pPr>
      <w:r>
        <w:rPr>
          <w:rFonts w:hint="eastAsia" w:ascii="Times New Roman" w:hAnsi="Times New Roman" w:eastAsia="宋体" w:cs="仿宋"/>
          <w:b w:val="0"/>
          <w:bCs/>
          <w:color w:val="auto"/>
          <w:sz w:val="24"/>
          <w:highlight w:val="none"/>
          <w:u w:val="none"/>
          <w:lang w:val="en-US" w:eastAsia="zh-CN"/>
        </w:rPr>
        <w:t>接受业务主管部门财务检查和年度审计，经县级以上残联会同财政部门年度康复服务项目绩效考核合格以上。</w:t>
      </w:r>
    </w:p>
    <w:p w14:paraId="7C7617D3">
      <w:pPr>
        <w:keepNext w:val="0"/>
        <w:keepLines w:val="0"/>
        <w:pageBreakBefore w:val="0"/>
        <w:widowControl w:val="0"/>
        <w:spacing w:line="340" w:lineRule="exact"/>
        <w:ind w:firstLine="482"/>
        <w:rPr>
          <w:rFonts w:hint="eastAsia" w:ascii="Times New Roman" w:hAnsi="Times New Roman" w:eastAsia="宋体" w:cs="仿宋"/>
          <w:b/>
          <w:color w:val="auto"/>
          <w:sz w:val="24"/>
          <w:highlight w:val="none"/>
          <w:u w:val="none"/>
          <w:lang w:val="en-US" w:eastAsia="zh-CN"/>
        </w:rPr>
      </w:pPr>
      <w:r>
        <w:rPr>
          <w:rFonts w:hint="eastAsia" w:ascii="Times New Roman" w:hAnsi="Times New Roman" w:eastAsia="宋体" w:cs="仿宋"/>
          <w:b/>
          <w:color w:val="auto"/>
          <w:sz w:val="24"/>
          <w:highlight w:val="none"/>
          <w:u w:val="none"/>
          <w:lang w:val="en-US" w:eastAsia="zh-CN"/>
        </w:rPr>
        <w:t>3、</w:t>
      </w:r>
      <w:r>
        <w:rPr>
          <w:rFonts w:hint="eastAsia" w:ascii="Times New Roman" w:hAnsi="Times New Roman" w:eastAsia="宋体" w:cs="仿宋"/>
          <w:b/>
          <w:color w:val="auto"/>
          <w:sz w:val="24"/>
          <w:highlight w:val="none"/>
          <w:u w:val="none"/>
        </w:rPr>
        <w:t>定点机构</w:t>
      </w:r>
      <w:r>
        <w:rPr>
          <w:rFonts w:hint="eastAsia" w:ascii="Times New Roman" w:hAnsi="Times New Roman" w:eastAsia="宋体" w:cs="仿宋"/>
          <w:b/>
          <w:color w:val="auto"/>
          <w:sz w:val="24"/>
          <w:highlight w:val="none"/>
          <w:u w:val="none"/>
          <w:lang w:val="en-US" w:eastAsia="zh-CN"/>
        </w:rPr>
        <w:t>设施设备</w:t>
      </w:r>
    </w:p>
    <w:p w14:paraId="73C599F6">
      <w:pPr>
        <w:keepNext w:val="0"/>
        <w:keepLines w:val="0"/>
        <w:pageBreakBefore w:val="0"/>
        <w:widowControl w:val="0"/>
        <w:spacing w:line="340" w:lineRule="exact"/>
        <w:ind w:firstLine="482"/>
        <w:rPr>
          <w:rFonts w:ascii="Times New Roman" w:hAnsi="Times New Roman" w:eastAsia="宋体" w:cs="仿宋"/>
          <w:b/>
          <w:bCs/>
          <w:color w:val="auto"/>
          <w:sz w:val="24"/>
          <w:highlight w:val="none"/>
          <w:u w:val="none"/>
          <w:lang w:val="en-US" w:eastAsia="zh-CN"/>
        </w:rPr>
      </w:pPr>
      <w:r>
        <w:rPr>
          <w:rFonts w:hint="eastAsia" w:ascii="Times New Roman" w:hAnsi="Times New Roman" w:eastAsia="宋体" w:cs="仿宋"/>
          <w:b/>
          <w:bCs/>
          <w:color w:val="auto"/>
          <w:sz w:val="24"/>
          <w:highlight w:val="none"/>
          <w:u w:val="none"/>
          <w:lang w:val="en-US" w:eastAsia="zh-CN"/>
        </w:rPr>
        <w:t>3.1训练场地</w:t>
      </w:r>
    </w:p>
    <w:p w14:paraId="05E39218">
      <w:pPr>
        <w:keepNext w:val="0"/>
        <w:keepLines w:val="0"/>
        <w:pageBreakBefore w:val="0"/>
        <w:widowControl w:val="0"/>
        <w:spacing w:line="340" w:lineRule="exact"/>
        <w:ind w:firstLine="482"/>
        <w:rPr>
          <w:rFonts w:hint="eastAsia" w:ascii="Times New Roman" w:hAnsi="Times New Roman" w:eastAsia="宋体" w:cs="仿宋"/>
          <w:b w:val="0"/>
          <w:bCs/>
          <w:color w:val="auto"/>
          <w:sz w:val="24"/>
          <w:highlight w:val="none"/>
          <w:u w:val="none"/>
          <w:lang w:eastAsia="zh-CN"/>
        </w:rPr>
      </w:pPr>
      <w:r>
        <w:rPr>
          <w:rFonts w:hint="eastAsia" w:ascii="Times New Roman" w:hAnsi="Times New Roman" w:eastAsia="宋体" w:cs="仿宋"/>
          <w:b w:val="0"/>
          <w:bCs/>
          <w:color w:val="auto"/>
          <w:sz w:val="24"/>
          <w:highlight w:val="none"/>
          <w:u w:val="none"/>
        </w:rPr>
        <w:t>应设置咨询接待(评估)室、集体(组别)训练教室、运动(感统)训练室</w:t>
      </w:r>
      <w:r>
        <w:rPr>
          <w:rFonts w:hint="eastAsia" w:ascii="Times New Roman" w:hAnsi="Times New Roman" w:eastAsia="宋体" w:cs="仿宋"/>
          <w:b w:val="0"/>
          <w:bCs/>
          <w:color w:val="auto"/>
          <w:sz w:val="24"/>
          <w:highlight w:val="none"/>
          <w:u w:val="none"/>
          <w:lang w:eastAsia="zh-CN"/>
        </w:rPr>
        <w:t>、生</w:t>
      </w:r>
      <w:r>
        <w:rPr>
          <w:rFonts w:hint="eastAsia" w:ascii="Times New Roman" w:hAnsi="Times New Roman" w:eastAsia="宋体" w:cs="仿宋"/>
          <w:b w:val="0"/>
          <w:bCs/>
          <w:color w:val="auto"/>
          <w:sz w:val="24"/>
          <w:highlight w:val="none"/>
          <w:u w:val="none"/>
        </w:rPr>
        <w:t>活自理训练室、个训教室、档案室，有可利用的室外活动场地，无障碍建设和设施完备</w:t>
      </w:r>
      <w:r>
        <w:rPr>
          <w:rFonts w:hint="eastAsia" w:ascii="Times New Roman" w:hAnsi="Times New Roman" w:eastAsia="宋体" w:cs="仿宋"/>
          <w:b w:val="0"/>
          <w:bCs/>
          <w:color w:val="auto"/>
          <w:sz w:val="24"/>
          <w:highlight w:val="none"/>
          <w:u w:val="none"/>
          <w:lang w:eastAsia="zh-CN"/>
        </w:rPr>
        <w:t>；</w:t>
      </w:r>
      <w:r>
        <w:rPr>
          <w:rFonts w:hint="eastAsia" w:ascii="Times New Roman" w:hAnsi="Times New Roman" w:eastAsia="宋体" w:cs="仿宋"/>
          <w:b w:val="0"/>
          <w:bCs/>
          <w:color w:val="auto"/>
          <w:sz w:val="24"/>
          <w:highlight w:val="none"/>
          <w:u w:val="none"/>
        </w:rPr>
        <w:t>业务用房面积不少于建筑总</w:t>
      </w:r>
      <w:r>
        <w:rPr>
          <w:rFonts w:hint="eastAsia" w:ascii="Times New Roman" w:hAnsi="Times New Roman" w:eastAsia="宋体" w:cs="仿宋"/>
          <w:b w:val="0"/>
          <w:bCs/>
          <w:color w:val="auto"/>
          <w:sz w:val="24"/>
          <w:highlight w:val="none"/>
          <w:u w:val="none"/>
          <w:lang w:eastAsia="zh-CN"/>
        </w:rPr>
        <w:t>面积</w:t>
      </w:r>
      <w:r>
        <w:rPr>
          <w:rFonts w:hint="eastAsia" w:ascii="Times New Roman" w:hAnsi="Times New Roman" w:eastAsia="宋体" w:cs="仿宋"/>
          <w:b w:val="0"/>
          <w:bCs/>
          <w:color w:val="auto"/>
          <w:sz w:val="24"/>
          <w:highlight w:val="none"/>
          <w:u w:val="none"/>
        </w:rPr>
        <w:t>的60%</w:t>
      </w:r>
      <w:r>
        <w:rPr>
          <w:rFonts w:hint="eastAsia" w:ascii="Times New Roman" w:hAnsi="Times New Roman" w:eastAsia="宋体" w:cs="仿宋"/>
          <w:b w:val="0"/>
          <w:bCs/>
          <w:color w:val="auto"/>
          <w:sz w:val="24"/>
          <w:highlight w:val="none"/>
          <w:u w:val="none"/>
          <w:lang w:eastAsia="zh-CN"/>
        </w:rPr>
        <w:t>。</w:t>
      </w:r>
    </w:p>
    <w:p w14:paraId="7DA0E530">
      <w:pPr>
        <w:keepNext w:val="0"/>
        <w:keepLines w:val="0"/>
        <w:pageBreakBefore w:val="0"/>
        <w:widowControl w:val="0"/>
        <w:spacing w:line="340" w:lineRule="exact"/>
        <w:ind w:firstLine="482"/>
        <w:rPr>
          <w:rFonts w:hint="eastAsia" w:ascii="Times New Roman" w:hAnsi="Times New Roman" w:eastAsia="宋体" w:cs="仿宋"/>
          <w:b w:val="0"/>
          <w:bCs/>
          <w:color w:val="auto"/>
          <w:sz w:val="24"/>
          <w:highlight w:val="none"/>
          <w:u w:val="none"/>
          <w:lang w:eastAsia="zh-CN"/>
        </w:rPr>
      </w:pPr>
      <w:r>
        <w:rPr>
          <w:rFonts w:hint="eastAsia" w:ascii="Times New Roman" w:hAnsi="Times New Roman" w:eastAsia="宋体" w:cs="仿宋"/>
          <w:b w:val="0"/>
          <w:bCs/>
          <w:color w:val="auto"/>
          <w:sz w:val="24"/>
          <w:highlight w:val="none"/>
          <w:u w:val="none"/>
        </w:rPr>
        <w:t>咨询接待(评估)室至少1间</w:t>
      </w:r>
      <w:r>
        <w:rPr>
          <w:rFonts w:hint="eastAsia" w:ascii="Times New Roman" w:hAnsi="Times New Roman" w:eastAsia="宋体" w:cs="仿宋"/>
          <w:b w:val="0"/>
          <w:bCs/>
          <w:color w:val="auto"/>
          <w:sz w:val="24"/>
          <w:highlight w:val="none"/>
          <w:u w:val="none"/>
          <w:lang w:eastAsia="zh-CN"/>
        </w:rPr>
        <w:t>，</w:t>
      </w:r>
      <w:r>
        <w:rPr>
          <w:rFonts w:hint="eastAsia" w:ascii="Times New Roman" w:hAnsi="Times New Roman" w:eastAsia="宋体" w:cs="仿宋"/>
          <w:b w:val="0"/>
          <w:bCs/>
          <w:color w:val="auto"/>
          <w:sz w:val="24"/>
          <w:highlight w:val="none"/>
          <w:u w:val="none"/>
        </w:rPr>
        <w:t>面积不小于15平方米</w:t>
      </w:r>
      <w:r>
        <w:rPr>
          <w:rFonts w:hint="eastAsia" w:ascii="Times New Roman" w:hAnsi="Times New Roman" w:eastAsia="宋体" w:cs="仿宋"/>
          <w:b w:val="0"/>
          <w:bCs/>
          <w:color w:val="auto"/>
          <w:sz w:val="24"/>
          <w:highlight w:val="none"/>
          <w:u w:val="none"/>
          <w:lang w:eastAsia="zh-CN"/>
        </w:rPr>
        <w:t>；</w:t>
      </w:r>
    </w:p>
    <w:p w14:paraId="401D4196">
      <w:pPr>
        <w:keepNext w:val="0"/>
        <w:keepLines w:val="0"/>
        <w:pageBreakBefore w:val="0"/>
        <w:widowControl w:val="0"/>
        <w:spacing w:line="340" w:lineRule="exact"/>
        <w:ind w:firstLine="482"/>
        <w:rPr>
          <w:rFonts w:hint="eastAsia" w:ascii="Times New Roman" w:hAnsi="Times New Roman" w:eastAsia="宋体" w:cs="仿宋"/>
          <w:b w:val="0"/>
          <w:bCs/>
          <w:color w:val="auto"/>
          <w:sz w:val="24"/>
          <w:highlight w:val="none"/>
          <w:u w:val="none"/>
        </w:rPr>
      </w:pPr>
      <w:r>
        <w:rPr>
          <w:rFonts w:hint="eastAsia" w:ascii="Times New Roman" w:hAnsi="Times New Roman" w:eastAsia="宋体" w:cs="仿宋"/>
          <w:b w:val="0"/>
          <w:bCs/>
          <w:color w:val="auto"/>
          <w:sz w:val="24"/>
          <w:highlight w:val="none"/>
          <w:u w:val="none"/>
        </w:rPr>
        <w:t>集体(组别)训练教室按1</w:t>
      </w:r>
      <w:r>
        <w:rPr>
          <w:rFonts w:hint="eastAsia" w:ascii="Times New Roman" w:hAnsi="Times New Roman" w:eastAsia="宋体" w:cs="仿宋"/>
          <w:b w:val="0"/>
          <w:bCs/>
          <w:color w:val="auto"/>
          <w:sz w:val="24"/>
          <w:highlight w:val="none"/>
          <w:u w:val="none"/>
          <w:lang w:val="en-US" w:eastAsia="zh-CN"/>
        </w:rPr>
        <w:t>:</w:t>
      </w:r>
      <w:r>
        <w:rPr>
          <w:rFonts w:hint="eastAsia" w:ascii="Times New Roman" w:hAnsi="Times New Roman" w:eastAsia="宋体" w:cs="仿宋"/>
          <w:b w:val="0"/>
          <w:bCs/>
          <w:color w:val="auto"/>
          <w:sz w:val="24"/>
          <w:highlight w:val="none"/>
          <w:u w:val="none"/>
        </w:rPr>
        <w:t>20的比例标准设置，至少1间，内设游戏活动区</w:t>
      </w:r>
      <w:r>
        <w:rPr>
          <w:rFonts w:hint="eastAsia" w:ascii="Times New Roman" w:hAnsi="Times New Roman" w:eastAsia="宋体" w:cs="仿宋"/>
          <w:b w:val="0"/>
          <w:bCs/>
          <w:color w:val="auto"/>
          <w:sz w:val="24"/>
          <w:highlight w:val="none"/>
          <w:u w:val="none"/>
          <w:lang w:eastAsia="zh-CN"/>
        </w:rPr>
        <w:t>，</w:t>
      </w:r>
      <w:r>
        <w:rPr>
          <w:rFonts w:hint="eastAsia" w:ascii="Times New Roman" w:hAnsi="Times New Roman" w:eastAsia="宋体" w:cs="仿宋"/>
          <w:b w:val="0"/>
          <w:bCs/>
          <w:color w:val="auto"/>
          <w:sz w:val="24"/>
          <w:highlight w:val="none"/>
          <w:u w:val="none"/>
        </w:rPr>
        <w:t>每间不小于30平方米。</w:t>
      </w:r>
    </w:p>
    <w:p w14:paraId="01B67140">
      <w:pPr>
        <w:keepNext w:val="0"/>
        <w:keepLines w:val="0"/>
        <w:pageBreakBefore w:val="0"/>
        <w:widowControl w:val="0"/>
        <w:spacing w:line="340" w:lineRule="exact"/>
        <w:ind w:firstLine="482"/>
        <w:rPr>
          <w:rFonts w:hint="eastAsia" w:ascii="Times New Roman" w:hAnsi="Times New Roman" w:eastAsia="宋体" w:cs="仿宋"/>
          <w:b w:val="0"/>
          <w:bCs/>
          <w:color w:val="auto"/>
          <w:sz w:val="24"/>
          <w:highlight w:val="none"/>
          <w:u w:val="none"/>
        </w:rPr>
      </w:pPr>
      <w:r>
        <w:rPr>
          <w:rFonts w:hint="eastAsia" w:ascii="Times New Roman" w:hAnsi="Times New Roman" w:eastAsia="宋体" w:cs="仿宋"/>
          <w:b w:val="0"/>
          <w:bCs/>
          <w:color w:val="auto"/>
          <w:sz w:val="24"/>
          <w:highlight w:val="none"/>
          <w:u w:val="none"/>
        </w:rPr>
        <w:t>运动(感统)训练室至少1间</w:t>
      </w:r>
      <w:r>
        <w:rPr>
          <w:rFonts w:hint="eastAsia" w:ascii="Times New Roman" w:hAnsi="Times New Roman" w:eastAsia="宋体" w:cs="仿宋"/>
          <w:b w:val="0"/>
          <w:bCs/>
          <w:color w:val="auto"/>
          <w:sz w:val="24"/>
          <w:highlight w:val="none"/>
          <w:u w:val="none"/>
          <w:lang w:eastAsia="zh-CN"/>
        </w:rPr>
        <w:t>，</w:t>
      </w:r>
      <w:r>
        <w:rPr>
          <w:rFonts w:hint="eastAsia" w:ascii="Times New Roman" w:hAnsi="Times New Roman" w:eastAsia="宋体" w:cs="仿宋"/>
          <w:b w:val="0"/>
          <w:bCs/>
          <w:color w:val="auto"/>
          <w:sz w:val="24"/>
          <w:highlight w:val="none"/>
          <w:u w:val="none"/>
        </w:rPr>
        <w:t>面积不小于50平方米，</w:t>
      </w:r>
    </w:p>
    <w:p w14:paraId="6B6CAB85">
      <w:pPr>
        <w:keepNext w:val="0"/>
        <w:keepLines w:val="0"/>
        <w:pageBreakBefore w:val="0"/>
        <w:widowControl w:val="0"/>
        <w:spacing w:line="340" w:lineRule="exact"/>
        <w:ind w:firstLine="482"/>
        <w:rPr>
          <w:rFonts w:hint="eastAsia" w:ascii="Times New Roman" w:hAnsi="Times New Roman" w:eastAsia="宋体" w:cs="仿宋"/>
          <w:b w:val="0"/>
          <w:bCs/>
          <w:color w:val="auto"/>
          <w:sz w:val="24"/>
          <w:highlight w:val="none"/>
          <w:u w:val="none"/>
          <w:lang w:eastAsia="zh-CN"/>
        </w:rPr>
      </w:pPr>
      <w:r>
        <w:rPr>
          <w:rFonts w:hint="eastAsia" w:ascii="Times New Roman" w:hAnsi="Times New Roman" w:eastAsia="宋体" w:cs="仿宋"/>
          <w:b w:val="0"/>
          <w:bCs/>
          <w:color w:val="auto"/>
          <w:sz w:val="24"/>
          <w:highlight w:val="none"/>
          <w:u w:val="none"/>
          <w:lang w:val="en-US" w:eastAsia="zh-CN"/>
        </w:rPr>
        <w:t>生</w:t>
      </w:r>
      <w:r>
        <w:rPr>
          <w:rFonts w:hint="eastAsia" w:ascii="Times New Roman" w:hAnsi="Times New Roman" w:eastAsia="宋体" w:cs="仿宋"/>
          <w:b w:val="0"/>
          <w:bCs/>
          <w:color w:val="auto"/>
          <w:sz w:val="24"/>
          <w:highlight w:val="none"/>
          <w:u w:val="none"/>
        </w:rPr>
        <w:t>活自理能力训练区</w:t>
      </w:r>
      <w:r>
        <w:rPr>
          <w:rFonts w:hint="eastAsia" w:ascii="Times New Roman" w:hAnsi="Times New Roman" w:eastAsia="宋体" w:cs="仿宋"/>
          <w:b w:val="0"/>
          <w:bCs/>
          <w:color w:val="auto"/>
          <w:sz w:val="24"/>
          <w:highlight w:val="none"/>
          <w:u w:val="none"/>
          <w:lang w:eastAsia="zh-CN"/>
        </w:rPr>
        <w:t>，</w:t>
      </w:r>
      <w:r>
        <w:rPr>
          <w:rFonts w:hint="eastAsia" w:ascii="Times New Roman" w:hAnsi="Times New Roman" w:eastAsia="宋体" w:cs="仿宋"/>
          <w:b w:val="0"/>
          <w:bCs/>
          <w:color w:val="auto"/>
          <w:sz w:val="24"/>
          <w:highlight w:val="none"/>
          <w:u w:val="none"/>
        </w:rPr>
        <w:t>包括洗漱、就餐、更衣、如厕等区域</w:t>
      </w:r>
      <w:r>
        <w:rPr>
          <w:rFonts w:hint="eastAsia" w:ascii="Times New Roman" w:hAnsi="Times New Roman" w:eastAsia="宋体" w:cs="仿宋"/>
          <w:b w:val="0"/>
          <w:bCs/>
          <w:color w:val="auto"/>
          <w:sz w:val="24"/>
          <w:highlight w:val="none"/>
          <w:u w:val="none"/>
          <w:lang w:eastAsia="zh-CN"/>
        </w:rPr>
        <w:t>，</w:t>
      </w:r>
      <w:r>
        <w:rPr>
          <w:rFonts w:hint="eastAsia" w:ascii="Times New Roman" w:hAnsi="Times New Roman" w:eastAsia="宋体" w:cs="仿宋"/>
          <w:b w:val="0"/>
          <w:bCs/>
          <w:color w:val="auto"/>
          <w:sz w:val="24"/>
          <w:highlight w:val="none"/>
          <w:u w:val="none"/>
        </w:rPr>
        <w:t>可结合机构日常生活环境设置</w:t>
      </w:r>
      <w:r>
        <w:rPr>
          <w:rFonts w:hint="eastAsia" w:ascii="Times New Roman" w:hAnsi="Times New Roman" w:eastAsia="宋体" w:cs="仿宋"/>
          <w:b w:val="0"/>
          <w:bCs/>
          <w:color w:val="auto"/>
          <w:sz w:val="24"/>
          <w:highlight w:val="none"/>
          <w:u w:val="none"/>
          <w:lang w:eastAsia="zh-CN"/>
        </w:rPr>
        <w:t>。</w:t>
      </w:r>
    </w:p>
    <w:p w14:paraId="5304FDBD">
      <w:pPr>
        <w:keepNext w:val="0"/>
        <w:keepLines w:val="0"/>
        <w:pageBreakBefore w:val="0"/>
        <w:widowControl w:val="0"/>
        <w:spacing w:line="340" w:lineRule="exact"/>
        <w:ind w:firstLine="482"/>
        <w:rPr>
          <w:rFonts w:hint="eastAsia" w:ascii="Times New Roman" w:hAnsi="Times New Roman" w:eastAsia="宋体" w:cs="仿宋"/>
          <w:b w:val="0"/>
          <w:bCs/>
          <w:color w:val="auto"/>
          <w:sz w:val="24"/>
          <w:highlight w:val="none"/>
          <w:u w:val="none"/>
        </w:rPr>
      </w:pPr>
      <w:r>
        <w:rPr>
          <w:rFonts w:hint="eastAsia" w:ascii="Times New Roman" w:hAnsi="Times New Roman" w:eastAsia="宋体" w:cs="仿宋"/>
          <w:b w:val="0"/>
          <w:bCs/>
          <w:color w:val="auto"/>
          <w:sz w:val="24"/>
          <w:highlight w:val="none"/>
          <w:u w:val="none"/>
        </w:rPr>
        <w:t>个训教室数量与收训儿童人数按1:5的比例标准设置</w:t>
      </w:r>
      <w:r>
        <w:rPr>
          <w:rFonts w:hint="eastAsia" w:ascii="Times New Roman" w:hAnsi="Times New Roman" w:eastAsia="宋体" w:cs="仿宋"/>
          <w:b w:val="0"/>
          <w:bCs/>
          <w:color w:val="auto"/>
          <w:sz w:val="24"/>
          <w:highlight w:val="none"/>
          <w:u w:val="none"/>
          <w:lang w:eastAsia="zh-CN"/>
        </w:rPr>
        <w:t>，</w:t>
      </w:r>
      <w:r>
        <w:rPr>
          <w:rFonts w:hint="eastAsia" w:ascii="Times New Roman" w:hAnsi="Times New Roman" w:eastAsia="宋体" w:cs="仿宋"/>
          <w:b w:val="0"/>
          <w:bCs/>
          <w:color w:val="auto"/>
          <w:sz w:val="24"/>
          <w:highlight w:val="none"/>
          <w:u w:val="none"/>
        </w:rPr>
        <w:t>每间面积应不小于8平方米。</w:t>
      </w:r>
    </w:p>
    <w:p w14:paraId="552C4DB9">
      <w:pPr>
        <w:keepNext w:val="0"/>
        <w:keepLines w:val="0"/>
        <w:pageBreakBefore w:val="0"/>
        <w:widowControl w:val="0"/>
        <w:spacing w:line="340" w:lineRule="exact"/>
        <w:ind w:firstLine="482"/>
        <w:rPr>
          <w:rFonts w:hint="eastAsia" w:ascii="Times New Roman" w:hAnsi="Times New Roman" w:eastAsia="宋体" w:cs="仿宋"/>
          <w:b w:val="0"/>
          <w:bCs/>
          <w:color w:val="auto"/>
          <w:sz w:val="24"/>
          <w:highlight w:val="none"/>
          <w:u w:val="none"/>
        </w:rPr>
      </w:pPr>
      <w:r>
        <w:rPr>
          <w:rFonts w:hint="eastAsia" w:ascii="Times New Roman" w:hAnsi="Times New Roman" w:eastAsia="宋体" w:cs="仿宋"/>
          <w:b w:val="0"/>
          <w:bCs/>
          <w:color w:val="auto"/>
          <w:sz w:val="24"/>
          <w:highlight w:val="none"/>
          <w:u w:val="none"/>
        </w:rPr>
        <w:t>室外活动场地面积按人均2平方米标准设置，建有与孤独症儿童相适应的运动器材和游戏娱乐设施，室外场地应独立，设有安全提示标志和安全设施</w:t>
      </w:r>
      <w:r>
        <w:rPr>
          <w:rFonts w:hint="eastAsia" w:ascii="Times New Roman" w:hAnsi="Times New Roman" w:eastAsia="宋体" w:cs="仿宋"/>
          <w:b w:val="0"/>
          <w:bCs/>
          <w:color w:val="auto"/>
          <w:sz w:val="24"/>
          <w:highlight w:val="none"/>
          <w:u w:val="none"/>
          <w:lang w:eastAsia="zh-CN"/>
        </w:rPr>
        <w:t>，</w:t>
      </w:r>
      <w:r>
        <w:rPr>
          <w:rFonts w:hint="eastAsia" w:ascii="Times New Roman" w:hAnsi="Times New Roman" w:eastAsia="宋体" w:cs="仿宋"/>
          <w:b w:val="0"/>
          <w:bCs/>
          <w:color w:val="auto"/>
          <w:sz w:val="24"/>
          <w:highlight w:val="none"/>
          <w:u w:val="none"/>
        </w:rPr>
        <w:t>确保无安全隐患。</w:t>
      </w:r>
    </w:p>
    <w:p w14:paraId="75FA4664">
      <w:pPr>
        <w:widowControl w:val="0"/>
        <w:spacing w:line="340" w:lineRule="exact"/>
        <w:ind w:firstLine="482"/>
        <w:rPr>
          <w:rFonts w:ascii="Times New Roman" w:hAnsi="Times New Roman" w:eastAsia="宋体" w:cs="仿宋"/>
          <w:b/>
          <w:color w:val="auto"/>
          <w:sz w:val="24"/>
          <w:highlight w:val="none"/>
          <w:u w:val="none"/>
        </w:rPr>
      </w:pPr>
      <w:r>
        <w:rPr>
          <w:rFonts w:hint="eastAsia" w:ascii="Times New Roman" w:hAnsi="Times New Roman" w:eastAsia="宋体" w:cs="仿宋"/>
          <w:b/>
          <w:color w:val="auto"/>
          <w:sz w:val="24"/>
          <w:highlight w:val="none"/>
          <w:u w:val="none"/>
        </w:rPr>
        <w:t>注：提供满足上述</w:t>
      </w:r>
      <w:r>
        <w:rPr>
          <w:rFonts w:hint="eastAsia" w:ascii="Times New Roman" w:hAnsi="Times New Roman" w:eastAsia="宋体" w:cs="仿宋"/>
          <w:b/>
          <w:color w:val="auto"/>
          <w:sz w:val="24"/>
          <w:highlight w:val="none"/>
          <w:u w:val="none"/>
          <w:lang w:val="en-US" w:eastAsia="zh-CN"/>
        </w:rPr>
        <w:t>训练场地</w:t>
      </w:r>
      <w:r>
        <w:rPr>
          <w:rFonts w:hint="eastAsia" w:ascii="Times New Roman" w:hAnsi="Times New Roman" w:eastAsia="宋体" w:cs="仿宋"/>
          <w:b/>
          <w:color w:val="auto"/>
          <w:sz w:val="24"/>
          <w:highlight w:val="none"/>
          <w:u w:val="none"/>
        </w:rPr>
        <w:t>要求的</w:t>
      </w:r>
      <w:r>
        <w:rPr>
          <w:rFonts w:hint="eastAsia" w:ascii="Times New Roman" w:hAnsi="Times New Roman" w:cs="仿宋"/>
          <w:b/>
          <w:color w:val="auto"/>
          <w:sz w:val="24"/>
          <w:highlight w:val="none"/>
          <w:u w:val="none"/>
          <w:lang w:val="en-US" w:eastAsia="zh-CN"/>
        </w:rPr>
        <w:t>承诺书</w:t>
      </w:r>
      <w:r>
        <w:rPr>
          <w:rFonts w:hint="eastAsia" w:ascii="Times New Roman" w:hAnsi="Times New Roman" w:eastAsia="宋体" w:cs="仿宋"/>
          <w:b/>
          <w:color w:val="auto"/>
          <w:sz w:val="24"/>
          <w:highlight w:val="none"/>
          <w:u w:val="none"/>
        </w:rPr>
        <w:t>加盖公章</w:t>
      </w:r>
      <w:r>
        <w:rPr>
          <w:rFonts w:hint="eastAsia" w:ascii="Times New Roman" w:hAnsi="Times New Roman" w:cs="仿宋"/>
          <w:b/>
          <w:color w:val="auto"/>
          <w:sz w:val="24"/>
          <w:highlight w:val="none"/>
          <w:u w:val="none"/>
          <w:lang w:eastAsia="zh-CN"/>
        </w:rPr>
        <w:t>（</w:t>
      </w:r>
      <w:r>
        <w:rPr>
          <w:rFonts w:hint="eastAsia" w:ascii="Times New Roman" w:hAnsi="Times New Roman" w:eastAsia="宋体" w:cs="仿宋"/>
          <w:b/>
          <w:color w:val="auto"/>
          <w:sz w:val="24"/>
          <w:highlight w:val="none"/>
          <w:u w:val="none"/>
        </w:rPr>
        <w:t>格式自拟</w:t>
      </w:r>
      <w:r>
        <w:rPr>
          <w:rFonts w:hint="eastAsia" w:ascii="Times New Roman" w:hAnsi="Times New Roman" w:cs="仿宋"/>
          <w:b/>
          <w:color w:val="auto"/>
          <w:sz w:val="24"/>
          <w:highlight w:val="none"/>
          <w:u w:val="none"/>
          <w:lang w:eastAsia="zh-CN"/>
        </w:rPr>
        <w:t>）</w:t>
      </w:r>
      <w:r>
        <w:rPr>
          <w:rFonts w:hint="eastAsia" w:ascii="Times New Roman" w:hAnsi="Times New Roman" w:cs="仿宋"/>
          <w:b/>
          <w:color w:val="auto"/>
          <w:sz w:val="24"/>
          <w:highlight w:val="none"/>
          <w:u w:val="none"/>
          <w:lang w:val="en-US" w:eastAsia="zh-CN"/>
        </w:rPr>
        <w:t>及</w:t>
      </w:r>
      <w:r>
        <w:rPr>
          <w:rFonts w:hint="eastAsia" w:ascii="Times New Roman" w:hAnsi="Times New Roman" w:eastAsia="宋体" w:cs="仿宋"/>
          <w:b/>
          <w:color w:val="auto"/>
          <w:sz w:val="24"/>
          <w:highlight w:val="none"/>
          <w:u w:val="none"/>
        </w:rPr>
        <w:t>相关图片</w:t>
      </w:r>
      <w:r>
        <w:rPr>
          <w:rFonts w:hint="eastAsia" w:ascii="Times New Roman" w:hAnsi="Times New Roman" w:cs="仿宋"/>
          <w:b/>
          <w:color w:val="auto"/>
          <w:sz w:val="24"/>
          <w:highlight w:val="none"/>
          <w:u w:val="none"/>
          <w:lang w:val="en-US" w:eastAsia="zh-CN"/>
        </w:rPr>
        <w:t>和情况介绍</w:t>
      </w:r>
      <w:r>
        <w:rPr>
          <w:rFonts w:hint="eastAsia" w:ascii="Times New Roman" w:hAnsi="Times New Roman" w:eastAsia="宋体" w:cs="仿宋"/>
          <w:b/>
          <w:color w:val="auto"/>
          <w:sz w:val="24"/>
          <w:highlight w:val="none"/>
          <w:u w:val="none"/>
        </w:rPr>
        <w:t>，如中标后，</w:t>
      </w:r>
      <w:r>
        <w:rPr>
          <w:rFonts w:hint="eastAsia" w:ascii="Times New Roman" w:hAnsi="Times New Roman" w:eastAsia="宋体" w:cs="仿宋"/>
          <w:b/>
          <w:color w:val="auto"/>
          <w:sz w:val="24"/>
          <w:highlight w:val="none"/>
          <w:u w:val="none"/>
          <w:lang w:val="en-US" w:eastAsia="zh-CN"/>
        </w:rPr>
        <w:t>训练场地</w:t>
      </w:r>
      <w:r>
        <w:rPr>
          <w:rFonts w:hint="eastAsia" w:ascii="Times New Roman" w:hAnsi="Times New Roman" w:eastAsia="宋体" w:cs="仿宋"/>
          <w:b/>
          <w:color w:val="auto"/>
          <w:sz w:val="24"/>
          <w:highlight w:val="none"/>
          <w:u w:val="none"/>
        </w:rPr>
        <w:t>与上述要求不符视为虚假承诺，采购人将取消其中标资格并报送相关监管部门予以处罚。</w:t>
      </w:r>
    </w:p>
    <w:p w14:paraId="409AA593">
      <w:pPr>
        <w:keepNext w:val="0"/>
        <w:keepLines w:val="0"/>
        <w:pageBreakBefore w:val="0"/>
        <w:widowControl w:val="0"/>
        <w:spacing w:line="340" w:lineRule="exact"/>
        <w:ind w:firstLine="482"/>
        <w:rPr>
          <w:rFonts w:ascii="Times New Roman" w:hAnsi="Times New Roman" w:eastAsia="宋体" w:cs="仿宋"/>
          <w:color w:val="auto"/>
          <w:sz w:val="24"/>
          <w:highlight w:val="none"/>
          <w:u w:val="none"/>
        </w:rPr>
      </w:pPr>
      <w:r>
        <w:rPr>
          <w:rFonts w:hint="eastAsia" w:ascii="Times New Roman" w:hAnsi="Times New Roman" w:eastAsia="宋体" w:cs="仿宋"/>
          <w:b/>
          <w:color w:val="auto"/>
          <w:sz w:val="24"/>
          <w:highlight w:val="none"/>
          <w:u w:val="none"/>
          <w:lang w:val="en-US" w:eastAsia="zh-CN"/>
        </w:rPr>
        <w:t>3.2训练设备</w:t>
      </w:r>
    </w:p>
    <w:p w14:paraId="38E8D530">
      <w:pPr>
        <w:keepNext w:val="0"/>
        <w:keepLines w:val="0"/>
        <w:pageBreakBefore w:val="0"/>
        <w:widowControl w:val="0"/>
        <w:spacing w:line="340" w:lineRule="exact"/>
        <w:ind w:firstLine="482"/>
        <w:rPr>
          <w:rFonts w:hint="eastAsia" w:ascii="Times New Roman" w:hAnsi="Times New Roman" w:eastAsia="宋体" w:cs="仿宋"/>
          <w:b w:val="0"/>
          <w:bCs/>
          <w:color w:val="auto"/>
          <w:sz w:val="24"/>
          <w:highlight w:val="none"/>
          <w:lang w:eastAsia="zh-CN"/>
        </w:rPr>
      </w:pPr>
      <w:r>
        <w:rPr>
          <w:rFonts w:hint="eastAsia" w:ascii="Times New Roman" w:hAnsi="Times New Roman" w:eastAsia="宋体" w:cs="仿宋"/>
          <w:b w:val="0"/>
          <w:bCs/>
          <w:color w:val="auto"/>
          <w:sz w:val="24"/>
          <w:highlight w:val="none"/>
        </w:rPr>
        <w:t>具备基本康复评估工具，包括心理教育评估表(PEP-3)/C-PEP-3/孤独症儿童发展评</w:t>
      </w:r>
      <w:r>
        <w:rPr>
          <w:rFonts w:hint="eastAsia" w:ascii="Times New Roman" w:hAnsi="Times New Roman" w:eastAsia="宋体" w:cs="仿宋"/>
          <w:b w:val="0"/>
          <w:bCs/>
          <w:color w:val="auto"/>
          <w:sz w:val="24"/>
          <w:highlight w:val="none"/>
          <w:lang w:val="en-US" w:eastAsia="zh-CN"/>
        </w:rPr>
        <w:t>估</w:t>
      </w:r>
      <w:r>
        <w:rPr>
          <w:rFonts w:hint="eastAsia" w:ascii="Times New Roman" w:hAnsi="Times New Roman" w:eastAsia="宋体" w:cs="仿宋"/>
          <w:b w:val="0"/>
          <w:bCs/>
          <w:color w:val="auto"/>
          <w:sz w:val="24"/>
          <w:highlight w:val="none"/>
        </w:rPr>
        <w:t>表(C-PEP)、语言行为里程碑评估及安置程序(VB-MAPP)、婴儿-初中生社会生活量表/儿童适应行为评定量表/Gesell 发育量表</w:t>
      </w:r>
      <w:r>
        <w:rPr>
          <w:rFonts w:hint="eastAsia" w:ascii="Times New Roman" w:hAnsi="Times New Roman" w:eastAsia="宋体" w:cs="仿宋"/>
          <w:b w:val="0"/>
          <w:bCs/>
          <w:color w:val="auto"/>
          <w:sz w:val="24"/>
          <w:highlight w:val="none"/>
          <w:lang w:eastAsia="zh-CN"/>
        </w:rPr>
        <w:t>；</w:t>
      </w:r>
    </w:p>
    <w:p w14:paraId="55D4329D">
      <w:pPr>
        <w:keepNext w:val="0"/>
        <w:keepLines w:val="0"/>
        <w:pageBreakBefore w:val="0"/>
        <w:widowControl w:val="0"/>
        <w:spacing w:line="340" w:lineRule="exact"/>
        <w:ind w:firstLine="482"/>
        <w:rPr>
          <w:rFonts w:hint="eastAsia" w:ascii="Times New Roman" w:hAnsi="Times New Roman" w:eastAsia="宋体" w:cs="仿宋"/>
          <w:b w:val="0"/>
          <w:bCs/>
          <w:color w:val="auto"/>
          <w:sz w:val="24"/>
          <w:highlight w:val="none"/>
          <w:lang w:eastAsia="zh-CN"/>
        </w:rPr>
      </w:pPr>
      <w:r>
        <w:rPr>
          <w:rFonts w:hint="eastAsia" w:ascii="Times New Roman" w:hAnsi="Times New Roman" w:eastAsia="宋体" w:cs="仿宋"/>
          <w:b w:val="0"/>
          <w:bCs/>
          <w:color w:val="auto"/>
          <w:sz w:val="24"/>
          <w:highlight w:val="none"/>
        </w:rPr>
        <w:t>基本训练设备</w:t>
      </w:r>
      <w:r>
        <w:rPr>
          <w:rFonts w:hint="eastAsia" w:ascii="Times New Roman" w:hAnsi="Times New Roman" w:eastAsia="宋体" w:cs="仿宋"/>
          <w:b w:val="0"/>
          <w:bCs/>
          <w:color w:val="auto"/>
          <w:sz w:val="24"/>
          <w:highlight w:val="none"/>
          <w:lang w:eastAsia="zh-CN"/>
        </w:rPr>
        <w:t>：</w:t>
      </w:r>
      <w:r>
        <w:rPr>
          <w:rFonts w:hint="eastAsia" w:ascii="Times New Roman" w:hAnsi="Times New Roman" w:eastAsia="宋体" w:cs="仿宋"/>
          <w:b w:val="0"/>
          <w:bCs/>
          <w:color w:val="auto"/>
          <w:sz w:val="24"/>
          <w:highlight w:val="none"/>
        </w:rPr>
        <w:t>滑板车、大滑板、吊筒、钻滚筒、羊角球、大龙球、布袋跳触觉球、按摩地垫、平衡木、平衡踩踏车、万象组合包、精细运动训练玩具</w:t>
      </w:r>
      <w:r>
        <w:rPr>
          <w:rFonts w:hint="eastAsia" w:ascii="Times New Roman" w:hAnsi="Times New Roman" w:eastAsia="宋体" w:cs="仿宋"/>
          <w:b w:val="0"/>
          <w:bCs/>
          <w:color w:val="auto"/>
          <w:sz w:val="24"/>
          <w:highlight w:val="none"/>
          <w:lang w:eastAsia="zh-CN"/>
        </w:rPr>
        <w:t>等；</w:t>
      </w:r>
    </w:p>
    <w:p w14:paraId="1DB6E3B0">
      <w:pPr>
        <w:keepNext w:val="0"/>
        <w:keepLines w:val="0"/>
        <w:pageBreakBefore w:val="0"/>
        <w:widowControl w:val="0"/>
        <w:spacing w:line="340" w:lineRule="exact"/>
        <w:ind w:firstLine="482"/>
        <w:rPr>
          <w:rFonts w:hint="eastAsia" w:ascii="Times New Roman" w:hAnsi="Times New Roman" w:eastAsia="宋体" w:cs="仿宋"/>
          <w:b w:val="0"/>
          <w:bCs/>
          <w:color w:val="auto"/>
          <w:sz w:val="24"/>
          <w:highlight w:val="none"/>
        </w:rPr>
      </w:pPr>
      <w:r>
        <w:rPr>
          <w:rFonts w:hint="eastAsia" w:ascii="Times New Roman" w:hAnsi="Times New Roman" w:eastAsia="宋体" w:cs="仿宋"/>
          <w:b w:val="0"/>
          <w:bCs/>
          <w:color w:val="auto"/>
          <w:sz w:val="24"/>
          <w:highlight w:val="none"/>
        </w:rPr>
        <w:t>教学设备</w:t>
      </w:r>
      <w:r>
        <w:rPr>
          <w:rFonts w:hint="eastAsia" w:ascii="Times New Roman" w:hAnsi="Times New Roman" w:eastAsia="宋体" w:cs="仿宋"/>
          <w:b w:val="0"/>
          <w:bCs/>
          <w:color w:val="auto"/>
          <w:sz w:val="24"/>
          <w:highlight w:val="none"/>
          <w:lang w:eastAsia="zh-CN"/>
        </w:rPr>
        <w:t>：</w:t>
      </w:r>
      <w:r>
        <w:rPr>
          <w:rFonts w:hint="eastAsia" w:ascii="Times New Roman" w:hAnsi="Times New Roman" w:eastAsia="宋体" w:cs="仿宋"/>
          <w:b w:val="0"/>
          <w:bCs/>
          <w:color w:val="auto"/>
          <w:sz w:val="24"/>
          <w:highlight w:val="none"/>
        </w:rPr>
        <w:t>配备儿童的课桌椅、大小黑(白)板、多媒体教学器材</w:t>
      </w:r>
      <w:r>
        <w:rPr>
          <w:rFonts w:hint="eastAsia" w:ascii="Times New Roman" w:hAnsi="Times New Roman" w:eastAsia="宋体" w:cs="仿宋"/>
          <w:b w:val="0"/>
          <w:bCs/>
          <w:color w:val="auto"/>
          <w:sz w:val="24"/>
          <w:highlight w:val="none"/>
          <w:lang w:eastAsia="zh-CN"/>
        </w:rPr>
        <w:t>；</w:t>
      </w:r>
      <w:r>
        <w:rPr>
          <w:rFonts w:hint="eastAsia" w:ascii="Times New Roman" w:hAnsi="Times New Roman" w:eastAsia="宋体" w:cs="仿宋"/>
          <w:b w:val="0"/>
          <w:bCs/>
          <w:color w:val="auto"/>
          <w:sz w:val="24"/>
          <w:highlight w:val="none"/>
        </w:rPr>
        <w:t>适合儿童特点的挂图、卡片、音乐、游戏等教玩具。</w:t>
      </w:r>
    </w:p>
    <w:p w14:paraId="5AEFEC38">
      <w:pPr>
        <w:keepNext w:val="0"/>
        <w:keepLines w:val="0"/>
        <w:pageBreakBefore w:val="0"/>
        <w:widowControl w:val="0"/>
        <w:spacing w:line="340" w:lineRule="exact"/>
        <w:ind w:firstLine="482"/>
        <w:rPr>
          <w:rFonts w:ascii="Times New Roman" w:hAnsi="Times New Roman" w:eastAsia="宋体" w:cs="仿宋"/>
          <w:b w:val="0"/>
          <w:bCs/>
          <w:color w:val="auto"/>
          <w:sz w:val="24"/>
          <w:highlight w:val="none"/>
        </w:rPr>
      </w:pPr>
      <w:r>
        <w:rPr>
          <w:rFonts w:hint="eastAsia" w:ascii="Times New Roman" w:hAnsi="Times New Roman" w:eastAsia="宋体" w:cs="仿宋"/>
          <w:b w:val="0"/>
          <w:bCs/>
          <w:color w:val="auto"/>
          <w:sz w:val="24"/>
          <w:highlight w:val="none"/>
        </w:rPr>
        <w:t>其它设备</w:t>
      </w:r>
      <w:r>
        <w:rPr>
          <w:rFonts w:hint="eastAsia" w:ascii="Times New Roman" w:hAnsi="Times New Roman" w:eastAsia="宋体" w:cs="仿宋"/>
          <w:b w:val="0"/>
          <w:bCs/>
          <w:color w:val="auto"/>
          <w:sz w:val="24"/>
          <w:highlight w:val="none"/>
          <w:lang w:eastAsia="zh-CN"/>
        </w:rPr>
        <w:t>：</w:t>
      </w:r>
      <w:r>
        <w:rPr>
          <w:rFonts w:hint="eastAsia" w:ascii="Times New Roman" w:hAnsi="Times New Roman" w:eastAsia="宋体" w:cs="仿宋"/>
          <w:b w:val="0"/>
          <w:bCs/>
          <w:color w:val="auto"/>
          <w:sz w:val="24"/>
          <w:highlight w:val="none"/>
        </w:rPr>
        <w:t>按人均4件的标准配备符合儿童训练特点的各类玩具和图书。配备家长培训所需的教学设备。</w:t>
      </w:r>
    </w:p>
    <w:p w14:paraId="18DE9357">
      <w:pPr>
        <w:keepNext w:val="0"/>
        <w:keepLines w:val="0"/>
        <w:pageBreakBefore w:val="0"/>
        <w:widowControl w:val="0"/>
        <w:spacing w:line="340" w:lineRule="exact"/>
        <w:ind w:firstLine="482"/>
        <w:rPr>
          <w:rFonts w:hint="eastAsia" w:ascii="Times New Roman" w:hAnsi="Times New Roman" w:eastAsia="宋体" w:cs="仿宋"/>
          <w:b/>
          <w:color w:val="auto"/>
          <w:sz w:val="24"/>
          <w:highlight w:val="none"/>
        </w:rPr>
      </w:pPr>
      <w:r>
        <w:rPr>
          <w:rFonts w:hint="eastAsia" w:ascii="Times New Roman" w:hAnsi="Times New Roman" w:eastAsia="宋体" w:cs="仿宋"/>
          <w:b/>
          <w:color w:val="auto"/>
          <w:sz w:val="24"/>
          <w:highlight w:val="none"/>
          <w:lang w:val="en-US" w:eastAsia="zh-CN"/>
        </w:rPr>
        <w:t>4、机构管理</w:t>
      </w:r>
    </w:p>
    <w:p w14:paraId="6513A75F">
      <w:pPr>
        <w:keepNext w:val="0"/>
        <w:keepLines w:val="0"/>
        <w:pageBreakBefore w:val="0"/>
        <w:widowControl w:val="0"/>
        <w:spacing w:line="340" w:lineRule="exact"/>
        <w:ind w:firstLine="482"/>
        <w:rPr>
          <w:rFonts w:hint="eastAsia" w:ascii="Times New Roman" w:hAnsi="Times New Roman" w:eastAsia="宋体" w:cs="仿宋"/>
          <w:b w:val="0"/>
          <w:bCs/>
          <w:color w:val="auto"/>
          <w:sz w:val="24"/>
          <w:highlight w:val="none"/>
          <w:lang w:val="en-US" w:eastAsia="zh-CN"/>
        </w:rPr>
      </w:pPr>
      <w:r>
        <w:rPr>
          <w:rFonts w:hint="eastAsia" w:ascii="Times New Roman" w:hAnsi="Times New Roman" w:eastAsia="宋体" w:cs="仿宋"/>
          <w:b w:val="0"/>
          <w:bCs/>
          <w:color w:val="auto"/>
          <w:sz w:val="24"/>
          <w:highlight w:val="none"/>
          <w:lang w:val="en-US" w:eastAsia="zh-CN"/>
        </w:rPr>
        <w:t>4.1人员配备：配备康复业务主管、教师、康复治疗师(行为分析师、言语治疗师、作业治疗师)、保育员、保健医生等工作人员。</w:t>
      </w:r>
    </w:p>
    <w:p w14:paraId="7C5916AA">
      <w:pPr>
        <w:keepNext w:val="0"/>
        <w:keepLines w:val="0"/>
        <w:pageBreakBefore w:val="0"/>
        <w:widowControl w:val="0"/>
        <w:spacing w:line="340" w:lineRule="exact"/>
        <w:ind w:firstLine="482"/>
        <w:rPr>
          <w:rFonts w:hint="eastAsia" w:ascii="Times New Roman" w:hAnsi="Times New Roman" w:eastAsia="宋体" w:cs="仿宋"/>
          <w:b w:val="0"/>
          <w:bCs/>
          <w:color w:val="auto"/>
          <w:sz w:val="24"/>
          <w:highlight w:val="none"/>
          <w:lang w:val="en-US" w:eastAsia="zh-CN"/>
        </w:rPr>
      </w:pPr>
      <w:r>
        <w:rPr>
          <w:rFonts w:hint="eastAsia" w:ascii="Times New Roman" w:hAnsi="Times New Roman" w:eastAsia="宋体" w:cs="仿宋"/>
          <w:b w:val="0"/>
          <w:bCs/>
          <w:color w:val="auto"/>
          <w:sz w:val="24"/>
          <w:highlight w:val="none"/>
          <w:lang w:val="en-US" w:eastAsia="zh-CN"/>
        </w:rPr>
        <w:t>4.2人员组成：</w:t>
      </w:r>
    </w:p>
    <w:p w14:paraId="16950AD5">
      <w:pPr>
        <w:keepNext w:val="0"/>
        <w:keepLines w:val="0"/>
        <w:pageBreakBefore w:val="0"/>
        <w:widowControl w:val="0"/>
        <w:spacing w:line="340" w:lineRule="exact"/>
        <w:ind w:firstLine="482"/>
        <w:rPr>
          <w:rFonts w:hint="eastAsia" w:ascii="Times New Roman" w:hAnsi="Times New Roman" w:eastAsia="宋体" w:cs="仿宋"/>
          <w:color w:val="auto"/>
          <w:sz w:val="24"/>
          <w:highlight w:val="none"/>
          <w:lang w:val="en-US" w:eastAsia="zh-CN"/>
        </w:rPr>
      </w:pPr>
      <w:r>
        <w:rPr>
          <w:rFonts w:hint="eastAsia" w:ascii="Times New Roman" w:hAnsi="Times New Roman" w:eastAsia="宋体" w:cs="仿宋"/>
          <w:color w:val="auto"/>
          <w:sz w:val="24"/>
          <w:highlight w:val="none"/>
          <w:lang w:val="en-US" w:eastAsia="zh-CN"/>
        </w:rPr>
        <w:t>个训教师与残疾儿童比例应不低于1:8。</w:t>
      </w:r>
    </w:p>
    <w:p w14:paraId="746F8DEB">
      <w:pPr>
        <w:keepNext w:val="0"/>
        <w:keepLines w:val="0"/>
        <w:pageBreakBefore w:val="0"/>
        <w:widowControl w:val="0"/>
        <w:spacing w:line="340" w:lineRule="exact"/>
        <w:ind w:firstLine="482"/>
        <w:rPr>
          <w:rFonts w:hint="eastAsia" w:ascii="Times New Roman" w:hAnsi="Times New Roman" w:eastAsia="宋体" w:cs="仿宋"/>
          <w:color w:val="auto"/>
          <w:sz w:val="24"/>
          <w:highlight w:val="none"/>
          <w:lang w:val="en-US" w:eastAsia="zh-CN"/>
        </w:rPr>
      </w:pPr>
      <w:r>
        <w:rPr>
          <w:rFonts w:hint="eastAsia" w:ascii="Times New Roman" w:hAnsi="Times New Roman" w:eastAsia="宋体" w:cs="仿宋"/>
          <w:color w:val="auto"/>
          <w:sz w:val="24"/>
          <w:highlight w:val="none"/>
          <w:lang w:val="en-US" w:eastAsia="zh-CN"/>
        </w:rPr>
        <w:t>康复治疗师与残疾儿童的比例应不低于1:15。</w:t>
      </w:r>
    </w:p>
    <w:p w14:paraId="4192B139">
      <w:pPr>
        <w:keepNext w:val="0"/>
        <w:keepLines w:val="0"/>
        <w:pageBreakBefore w:val="0"/>
        <w:widowControl w:val="0"/>
        <w:spacing w:line="340" w:lineRule="exact"/>
        <w:ind w:firstLine="482"/>
        <w:rPr>
          <w:rFonts w:hint="eastAsia" w:ascii="Times New Roman" w:hAnsi="Times New Roman" w:eastAsia="宋体" w:cs="仿宋"/>
          <w:color w:val="auto"/>
          <w:sz w:val="24"/>
          <w:highlight w:val="none"/>
          <w:lang w:val="en-US" w:eastAsia="zh-CN"/>
        </w:rPr>
      </w:pPr>
      <w:r>
        <w:rPr>
          <w:rFonts w:hint="eastAsia" w:ascii="Times New Roman" w:hAnsi="Times New Roman" w:eastAsia="宋体" w:cs="仿宋"/>
          <w:color w:val="auto"/>
          <w:sz w:val="24"/>
          <w:highlight w:val="none"/>
          <w:lang w:val="en-US" w:eastAsia="zh-CN"/>
        </w:rPr>
        <w:t>业务主管、教师、康复治疗师不低于机构内职工总数的70%。</w:t>
      </w:r>
    </w:p>
    <w:p w14:paraId="757DD5A1">
      <w:pPr>
        <w:keepNext w:val="0"/>
        <w:keepLines w:val="0"/>
        <w:pageBreakBefore w:val="0"/>
        <w:widowControl w:val="0"/>
        <w:spacing w:line="340" w:lineRule="exact"/>
        <w:ind w:firstLine="482"/>
        <w:rPr>
          <w:rFonts w:ascii="Times New Roman" w:hAnsi="Times New Roman" w:eastAsia="宋体" w:cs="仿宋"/>
          <w:b w:val="0"/>
          <w:bCs/>
          <w:color w:val="auto"/>
          <w:sz w:val="24"/>
          <w:highlight w:val="none"/>
        </w:rPr>
      </w:pPr>
      <w:r>
        <w:rPr>
          <w:rFonts w:hint="eastAsia" w:ascii="Times New Roman" w:hAnsi="Times New Roman" w:eastAsia="宋体" w:cs="仿宋"/>
          <w:b w:val="0"/>
          <w:bCs/>
          <w:color w:val="auto"/>
          <w:sz w:val="24"/>
          <w:highlight w:val="none"/>
          <w:lang w:val="en-US" w:eastAsia="zh-CN"/>
        </w:rPr>
        <w:t>4.3资历</w:t>
      </w:r>
      <w:r>
        <w:rPr>
          <w:rFonts w:hint="eastAsia" w:ascii="Times New Roman" w:hAnsi="Times New Roman" w:eastAsia="宋体" w:cs="仿宋"/>
          <w:b w:val="0"/>
          <w:bCs/>
          <w:color w:val="auto"/>
          <w:sz w:val="24"/>
          <w:highlight w:val="none"/>
        </w:rPr>
        <w:t>要求：</w:t>
      </w:r>
    </w:p>
    <w:p w14:paraId="45FF957A">
      <w:pPr>
        <w:keepNext w:val="0"/>
        <w:keepLines w:val="0"/>
        <w:pageBreakBefore w:val="0"/>
        <w:widowControl w:val="0"/>
        <w:spacing w:line="340" w:lineRule="exact"/>
        <w:ind w:firstLine="482"/>
        <w:rPr>
          <w:rFonts w:ascii="Times New Roman" w:hAnsi="Times New Roman" w:eastAsia="宋体" w:cs="仿宋"/>
          <w:color w:val="auto"/>
          <w:sz w:val="24"/>
          <w:highlight w:val="none"/>
          <w:lang w:val="en-US" w:eastAsia="zh-CN"/>
        </w:rPr>
      </w:pPr>
      <w:r>
        <w:rPr>
          <w:rFonts w:ascii="Times New Roman" w:hAnsi="Times New Roman" w:eastAsia="宋体" w:cs="仿宋"/>
          <w:color w:val="auto"/>
          <w:sz w:val="24"/>
          <w:highlight w:val="none"/>
          <w:lang w:val="en-US" w:eastAsia="zh-CN"/>
        </w:rPr>
        <w:t>业务主管具有教育、医疗、康复、心理等相关专业大专以上学历。有3年</w:t>
      </w:r>
      <w:r>
        <w:rPr>
          <w:rFonts w:hint="eastAsia" w:ascii="Times New Roman" w:hAnsi="Times New Roman" w:eastAsia="宋体" w:cs="仿宋"/>
          <w:color w:val="auto"/>
          <w:sz w:val="24"/>
          <w:highlight w:val="none"/>
          <w:lang w:val="en-US" w:eastAsia="zh-CN"/>
        </w:rPr>
        <w:t>以上</w:t>
      </w:r>
      <w:r>
        <w:rPr>
          <w:rFonts w:ascii="Times New Roman" w:hAnsi="Times New Roman" w:eastAsia="宋体" w:cs="仿宋"/>
          <w:color w:val="auto"/>
          <w:sz w:val="24"/>
          <w:highlight w:val="none"/>
          <w:lang w:val="en-US" w:eastAsia="zh-CN"/>
        </w:rPr>
        <w:t>儿童康复训练的服务经验。</w:t>
      </w:r>
    </w:p>
    <w:p w14:paraId="382E3A13">
      <w:pPr>
        <w:keepNext w:val="0"/>
        <w:keepLines w:val="0"/>
        <w:pageBreakBefore w:val="0"/>
        <w:widowControl w:val="0"/>
        <w:spacing w:line="340" w:lineRule="exact"/>
        <w:ind w:firstLine="482"/>
        <w:rPr>
          <w:rFonts w:ascii="Times New Roman" w:hAnsi="Times New Roman" w:eastAsia="宋体" w:cs="仿宋"/>
          <w:color w:val="auto"/>
          <w:sz w:val="24"/>
          <w:highlight w:val="none"/>
          <w:lang w:val="en-US" w:eastAsia="zh-CN"/>
        </w:rPr>
      </w:pPr>
      <w:r>
        <w:rPr>
          <w:rFonts w:ascii="Times New Roman" w:hAnsi="Times New Roman" w:eastAsia="宋体" w:cs="仿宋"/>
          <w:color w:val="auto"/>
          <w:sz w:val="24"/>
          <w:highlight w:val="none"/>
          <w:lang w:val="en-US" w:eastAsia="zh-CN"/>
        </w:rPr>
        <w:t>教师取得资格证、具有学前教育、特殊教育等相关专业大专以上学历。应全部接受过孤独症康复教育的岗前培训。</w:t>
      </w:r>
    </w:p>
    <w:p w14:paraId="7847B8CC">
      <w:pPr>
        <w:keepNext w:val="0"/>
        <w:keepLines w:val="0"/>
        <w:pageBreakBefore w:val="0"/>
        <w:widowControl w:val="0"/>
        <w:spacing w:line="340" w:lineRule="exact"/>
        <w:ind w:firstLine="482"/>
        <w:rPr>
          <w:rFonts w:ascii="Times New Roman" w:hAnsi="Times New Roman" w:eastAsia="宋体" w:cs="仿宋"/>
          <w:color w:val="auto"/>
          <w:sz w:val="24"/>
          <w:highlight w:val="none"/>
          <w:lang w:val="en-US" w:eastAsia="zh-CN"/>
        </w:rPr>
      </w:pPr>
      <w:r>
        <w:rPr>
          <w:rFonts w:ascii="Times New Roman" w:hAnsi="Times New Roman" w:eastAsia="宋体" w:cs="仿宋"/>
          <w:color w:val="auto"/>
          <w:sz w:val="24"/>
          <w:highlight w:val="none"/>
          <w:lang w:val="en-US" w:eastAsia="zh-CN"/>
        </w:rPr>
        <w:t>康复治疗师具有康复治疗专业大专以上学历。取得资格证或经过相关业务培训</w:t>
      </w:r>
      <w:r>
        <w:rPr>
          <w:rFonts w:hint="eastAsia" w:ascii="Times New Roman" w:hAnsi="Times New Roman" w:eastAsia="宋体" w:cs="仿宋"/>
          <w:color w:val="auto"/>
          <w:sz w:val="24"/>
          <w:highlight w:val="none"/>
          <w:lang w:val="en-US" w:eastAsia="zh-CN"/>
        </w:rPr>
        <w:t>。</w:t>
      </w:r>
    </w:p>
    <w:p w14:paraId="439AA875">
      <w:pPr>
        <w:keepNext w:val="0"/>
        <w:keepLines w:val="0"/>
        <w:pageBreakBefore w:val="0"/>
        <w:widowControl w:val="0"/>
        <w:spacing w:line="340" w:lineRule="exact"/>
        <w:ind w:firstLine="482"/>
        <w:rPr>
          <w:rFonts w:ascii="Times New Roman" w:hAnsi="Times New Roman" w:eastAsia="宋体" w:cs="仿宋"/>
          <w:color w:val="auto"/>
          <w:sz w:val="24"/>
          <w:highlight w:val="none"/>
          <w:lang w:val="en-US" w:eastAsia="zh-CN"/>
        </w:rPr>
      </w:pPr>
      <w:r>
        <w:rPr>
          <w:rFonts w:ascii="Times New Roman" w:hAnsi="Times New Roman" w:eastAsia="宋体" w:cs="仿宋"/>
          <w:color w:val="auto"/>
          <w:sz w:val="24"/>
          <w:highlight w:val="none"/>
          <w:lang w:val="en-US" w:eastAsia="zh-CN"/>
        </w:rPr>
        <w:t>每年不少于30%康复专业技术人员参加市级以上组织的规范化培训不少于21个学时。</w:t>
      </w:r>
    </w:p>
    <w:p w14:paraId="2FFF80AC">
      <w:pPr>
        <w:keepNext w:val="0"/>
        <w:keepLines w:val="0"/>
        <w:pageBreakBefore w:val="0"/>
        <w:widowControl w:val="0"/>
        <w:spacing w:line="340" w:lineRule="exact"/>
        <w:ind w:firstLine="482"/>
        <w:rPr>
          <w:rFonts w:ascii="Times New Roman" w:hAnsi="Times New Roman" w:eastAsia="宋体" w:cs="仿宋"/>
          <w:color w:val="auto"/>
          <w:sz w:val="24"/>
          <w:highlight w:val="none"/>
          <w:lang w:val="en-US" w:eastAsia="zh-CN"/>
        </w:rPr>
      </w:pPr>
      <w:r>
        <w:rPr>
          <w:rFonts w:ascii="Times New Roman" w:hAnsi="Times New Roman" w:eastAsia="宋体" w:cs="仿宋"/>
          <w:color w:val="auto"/>
          <w:sz w:val="24"/>
          <w:highlight w:val="none"/>
          <w:lang w:val="en-US" w:eastAsia="zh-CN"/>
        </w:rPr>
        <w:t>保育员、保健医生配置参照《幼儿园教职工配备标准(暂行)》和《托儿所幼儿园卫生保健工作规范》执行。</w:t>
      </w:r>
    </w:p>
    <w:p w14:paraId="22BA7010">
      <w:pPr>
        <w:keepNext w:val="0"/>
        <w:keepLines w:val="0"/>
        <w:pageBreakBefore w:val="0"/>
        <w:widowControl w:val="0"/>
        <w:spacing w:line="340" w:lineRule="exact"/>
        <w:ind w:firstLine="482"/>
        <w:rPr>
          <w:rFonts w:ascii="Times New Roman" w:hAnsi="Times New Roman" w:eastAsia="宋体" w:cs="仿宋"/>
          <w:color w:val="auto"/>
          <w:sz w:val="24"/>
          <w:highlight w:val="none"/>
          <w:lang w:val="en-US" w:eastAsia="zh-CN"/>
        </w:rPr>
      </w:pPr>
      <w:r>
        <w:rPr>
          <w:rFonts w:ascii="Times New Roman" w:hAnsi="Times New Roman" w:eastAsia="宋体" w:cs="仿宋"/>
          <w:color w:val="auto"/>
          <w:sz w:val="24"/>
          <w:highlight w:val="none"/>
          <w:lang w:val="en-US" w:eastAsia="zh-CN"/>
        </w:rPr>
        <w:t>机构所有工作人员根据岗位要求取得健康证明。</w:t>
      </w:r>
    </w:p>
    <w:p w14:paraId="48C26D93">
      <w:pPr>
        <w:keepNext w:val="0"/>
        <w:keepLines w:val="0"/>
        <w:pageBreakBefore w:val="0"/>
        <w:widowControl w:val="0"/>
        <w:spacing w:line="340" w:lineRule="exact"/>
        <w:ind w:firstLine="482"/>
        <w:rPr>
          <w:rFonts w:ascii="Times New Roman" w:hAnsi="Times New Roman" w:eastAsia="宋体" w:cs="仿宋"/>
          <w:b/>
          <w:color w:val="auto"/>
          <w:sz w:val="24"/>
          <w:highlight w:val="none"/>
          <w:lang w:val="en-US" w:eastAsia="zh-CN"/>
        </w:rPr>
      </w:pPr>
      <w:r>
        <w:rPr>
          <w:rFonts w:hint="eastAsia" w:ascii="Times New Roman" w:hAnsi="Times New Roman" w:eastAsia="宋体" w:cs="仿宋"/>
          <w:b/>
          <w:color w:val="auto"/>
          <w:sz w:val="24"/>
          <w:highlight w:val="none"/>
          <w:lang w:val="en-US" w:eastAsia="zh-CN"/>
        </w:rPr>
        <w:t>5、业务功能</w:t>
      </w:r>
    </w:p>
    <w:p w14:paraId="7331696E">
      <w:pPr>
        <w:keepNext w:val="0"/>
        <w:keepLines w:val="0"/>
        <w:pageBreakBefore w:val="0"/>
        <w:widowControl w:val="0"/>
        <w:spacing w:line="340" w:lineRule="exact"/>
        <w:ind w:firstLine="482"/>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lang w:val="en-US" w:eastAsia="zh-CN"/>
        </w:rPr>
        <w:t>5.1部门设置：</w:t>
      </w:r>
      <w:r>
        <w:rPr>
          <w:rFonts w:hint="eastAsia" w:ascii="Times New Roman" w:hAnsi="Times New Roman" w:eastAsia="宋体" w:cs="仿宋"/>
          <w:color w:val="auto"/>
          <w:sz w:val="24"/>
          <w:highlight w:val="none"/>
        </w:rPr>
        <w:t>设置教学评估/医疗评估，康复训练、教育培训、后勤保障、行政办公等部门。</w:t>
      </w:r>
    </w:p>
    <w:p w14:paraId="7E3A85DF">
      <w:pPr>
        <w:keepNext w:val="0"/>
        <w:keepLines w:val="0"/>
        <w:pageBreakBefore w:val="0"/>
        <w:widowControl w:val="0"/>
        <w:spacing w:line="340" w:lineRule="exact"/>
        <w:ind w:firstLine="482"/>
        <w:rPr>
          <w:rFonts w:hint="eastAsia" w:ascii="Times New Roman" w:hAnsi="Times New Roman" w:eastAsia="宋体" w:cs="仿宋"/>
          <w:color w:val="auto"/>
          <w:sz w:val="24"/>
          <w:highlight w:val="none"/>
          <w:lang w:eastAsia="zh-CN"/>
        </w:rPr>
      </w:pPr>
      <w:r>
        <w:rPr>
          <w:rFonts w:hint="eastAsia" w:ascii="Times New Roman" w:hAnsi="Times New Roman" w:eastAsia="宋体" w:cs="仿宋"/>
          <w:b/>
          <w:color w:val="auto"/>
          <w:sz w:val="24"/>
          <w:highlight w:val="none"/>
          <w:lang w:val="en-US" w:eastAsia="zh-CN"/>
        </w:rPr>
        <w:t>5.2</w:t>
      </w:r>
      <w:r>
        <w:rPr>
          <w:rFonts w:hint="eastAsia" w:ascii="Times New Roman" w:hAnsi="Times New Roman" w:eastAsia="宋体" w:cs="仿宋"/>
          <w:b/>
          <w:color w:val="auto"/>
          <w:sz w:val="24"/>
          <w:highlight w:val="none"/>
        </w:rPr>
        <w:t>服务能力</w:t>
      </w:r>
    </w:p>
    <w:p w14:paraId="284AC25E">
      <w:pPr>
        <w:keepNext w:val="0"/>
        <w:keepLines w:val="0"/>
        <w:pageBreakBefore w:val="0"/>
        <w:widowControl w:val="0"/>
        <w:spacing w:line="340" w:lineRule="exact"/>
        <w:ind w:firstLine="482"/>
        <w:rPr>
          <w:rFonts w:hint="eastAsia" w:ascii="Times New Roman" w:hAnsi="Times New Roman" w:eastAsia="宋体" w:cs="仿宋"/>
          <w:color w:val="auto"/>
          <w:sz w:val="24"/>
          <w:highlight w:val="none"/>
          <w:lang w:val="en-US" w:eastAsia="zh-CN"/>
        </w:rPr>
      </w:pPr>
      <w:r>
        <w:rPr>
          <w:rFonts w:hint="eastAsia" w:ascii="Times New Roman" w:hAnsi="Times New Roman" w:eastAsia="宋体" w:cs="仿宋"/>
          <w:color w:val="auto"/>
          <w:sz w:val="24"/>
          <w:highlight w:val="none"/>
          <w:lang w:val="en-US" w:eastAsia="zh-CN"/>
        </w:rPr>
        <w:t>具有同时收训</w:t>
      </w:r>
      <w:r>
        <w:rPr>
          <w:rFonts w:hint="eastAsia" w:ascii="Times New Roman" w:hAnsi="Times New Roman" w:cs="仿宋"/>
          <w:color w:val="auto"/>
          <w:sz w:val="24"/>
          <w:highlight w:val="none"/>
          <w:lang w:val="en-US" w:eastAsia="zh-CN"/>
        </w:rPr>
        <w:t>15</w:t>
      </w:r>
      <w:r>
        <w:rPr>
          <w:rFonts w:hint="eastAsia" w:ascii="Times New Roman" w:hAnsi="Times New Roman" w:eastAsia="宋体" w:cs="仿宋"/>
          <w:color w:val="auto"/>
          <w:sz w:val="24"/>
          <w:highlight w:val="none"/>
          <w:lang w:val="en-US" w:eastAsia="zh-CN"/>
        </w:rPr>
        <w:t>0名以上孤独症儿童的能力。</w:t>
      </w:r>
    </w:p>
    <w:p w14:paraId="06304A6D">
      <w:pPr>
        <w:keepNext w:val="0"/>
        <w:keepLines w:val="0"/>
        <w:pageBreakBefore w:val="0"/>
        <w:widowControl w:val="0"/>
        <w:spacing w:line="340" w:lineRule="exact"/>
        <w:ind w:firstLine="482"/>
        <w:rPr>
          <w:rFonts w:hint="eastAsia" w:ascii="Times New Roman" w:hAnsi="Times New Roman" w:eastAsia="宋体" w:cs="仿宋"/>
          <w:color w:val="auto"/>
          <w:sz w:val="24"/>
          <w:highlight w:val="none"/>
          <w:lang w:val="en-US" w:eastAsia="zh-CN"/>
        </w:rPr>
      </w:pPr>
      <w:r>
        <w:rPr>
          <w:rFonts w:hint="eastAsia" w:ascii="Times New Roman" w:hAnsi="Times New Roman" w:eastAsia="宋体" w:cs="仿宋"/>
          <w:color w:val="auto"/>
          <w:sz w:val="24"/>
          <w:highlight w:val="none"/>
          <w:lang w:val="en-US" w:eastAsia="zh-CN"/>
        </w:rPr>
        <w:t>残联系统从事残疾儿童康复服务的助残机构；教育系统建有学前融合教育资源中心的学前教育机构和特殊教育学校；民政系统开设有儿童康复专科或特教办学点的儿童福利机构；卫健系统县级以上妇幼保健所等公益一类事业单位，不设人数下限。</w:t>
      </w:r>
    </w:p>
    <w:p w14:paraId="45D61ED8">
      <w:pPr>
        <w:keepNext w:val="0"/>
        <w:keepLines w:val="0"/>
        <w:pageBreakBefore w:val="0"/>
        <w:widowControl w:val="0"/>
        <w:spacing w:line="340" w:lineRule="exact"/>
        <w:ind w:firstLine="482"/>
        <w:rPr>
          <w:rFonts w:hint="eastAsia" w:ascii="Times New Roman" w:hAnsi="Times New Roman" w:eastAsia="宋体" w:cs="仿宋"/>
          <w:color w:val="auto"/>
          <w:sz w:val="24"/>
          <w:highlight w:val="none"/>
          <w:lang w:val="en-US" w:eastAsia="zh-CN"/>
        </w:rPr>
      </w:pPr>
      <w:r>
        <w:rPr>
          <w:rFonts w:hint="eastAsia" w:ascii="Times New Roman" w:hAnsi="Times New Roman" w:eastAsia="宋体" w:cs="仿宋"/>
          <w:color w:val="auto"/>
          <w:sz w:val="24"/>
          <w:highlight w:val="none"/>
          <w:lang w:val="en-US" w:eastAsia="zh-CN"/>
        </w:rPr>
        <w:t>康复训练：年度机构内基本康复服务时间不少于9个月。服务内容包括社会交往与沟通、认知与感知、运动、生活自理、兴趣与行为、情绪管理和社会融合活动。</w:t>
      </w:r>
    </w:p>
    <w:p w14:paraId="2983942F">
      <w:pPr>
        <w:keepNext w:val="0"/>
        <w:keepLines w:val="0"/>
        <w:pageBreakBefore w:val="0"/>
        <w:widowControl w:val="0"/>
        <w:spacing w:line="340" w:lineRule="exact"/>
        <w:ind w:firstLine="482"/>
        <w:rPr>
          <w:rFonts w:hint="eastAsia" w:ascii="Times New Roman" w:hAnsi="Times New Roman" w:eastAsia="宋体" w:cs="仿宋"/>
          <w:color w:val="auto"/>
          <w:sz w:val="24"/>
          <w:highlight w:val="none"/>
          <w:lang w:val="en-US" w:eastAsia="zh-CN"/>
        </w:rPr>
      </w:pPr>
      <w:r>
        <w:rPr>
          <w:rFonts w:hint="eastAsia" w:ascii="Times New Roman" w:hAnsi="Times New Roman" w:eastAsia="宋体" w:cs="仿宋"/>
          <w:color w:val="auto"/>
          <w:sz w:val="24"/>
          <w:highlight w:val="none"/>
          <w:lang w:val="en-US" w:eastAsia="zh-CN"/>
        </w:rPr>
        <w:t>全日制康复服务每天4</w:t>
      </w:r>
      <w:r>
        <w:rPr>
          <w:rFonts w:hint="eastAsia" w:ascii="Times New Roman" w:hAnsi="Times New Roman" w:eastAsia="宋体" w:cs="仿宋"/>
          <w:color w:val="auto"/>
          <w:sz w:val="24"/>
          <w:highlight w:val="none"/>
          <w:lang w:val="en-US" w:eastAsia="zh-CN"/>
        </w:rPr>
        <w:t>小时【当月法定工作(学习)日】，课程</w:t>
      </w:r>
      <w:r>
        <w:rPr>
          <w:rFonts w:hint="eastAsia" w:ascii="Times New Roman" w:hAnsi="Times New Roman" w:eastAsia="宋体" w:cs="仿宋"/>
          <w:color w:val="auto"/>
          <w:sz w:val="24"/>
          <w:highlight w:val="none"/>
          <w:lang w:val="en-US" w:eastAsia="zh-CN"/>
        </w:rPr>
        <w:t>设置应符合残疾儿童个性特征，每天个性化服务支持不少于1节课40分钟。</w:t>
      </w:r>
    </w:p>
    <w:p w14:paraId="086F71EB">
      <w:pPr>
        <w:keepNext w:val="0"/>
        <w:keepLines w:val="0"/>
        <w:pageBreakBefore w:val="0"/>
        <w:widowControl w:val="0"/>
        <w:spacing w:line="340" w:lineRule="exact"/>
        <w:ind w:firstLine="482"/>
        <w:rPr>
          <w:rFonts w:hint="eastAsia" w:ascii="Times New Roman" w:hAnsi="Times New Roman" w:eastAsia="宋体" w:cs="仿宋"/>
          <w:color w:val="auto"/>
          <w:sz w:val="24"/>
          <w:highlight w:val="none"/>
          <w:lang w:val="en-US" w:eastAsia="zh-CN"/>
        </w:rPr>
      </w:pPr>
      <w:r>
        <w:rPr>
          <w:rFonts w:hint="eastAsia" w:ascii="Times New Roman" w:hAnsi="Times New Roman" w:eastAsia="宋体" w:cs="仿宋"/>
          <w:color w:val="auto"/>
          <w:sz w:val="24"/>
          <w:highlight w:val="none"/>
          <w:lang w:val="en-US" w:eastAsia="zh-CN"/>
        </w:rPr>
        <w:t>非全日制康复服务每月不少于20天，每天不少于1.5小时，其中个性化服务支持不少于1小时。</w:t>
      </w:r>
    </w:p>
    <w:p w14:paraId="759D9CE5">
      <w:pPr>
        <w:keepNext w:val="0"/>
        <w:keepLines w:val="0"/>
        <w:pageBreakBefore w:val="0"/>
        <w:widowControl w:val="0"/>
        <w:spacing w:line="340" w:lineRule="exact"/>
        <w:ind w:firstLine="482"/>
        <w:rPr>
          <w:rFonts w:hint="eastAsia" w:ascii="Times New Roman" w:hAnsi="Times New Roman" w:eastAsia="宋体" w:cs="仿宋"/>
          <w:color w:val="auto"/>
          <w:sz w:val="24"/>
          <w:highlight w:val="none"/>
          <w:lang w:val="en-US" w:eastAsia="zh-CN"/>
        </w:rPr>
      </w:pPr>
      <w:r>
        <w:rPr>
          <w:rFonts w:hint="eastAsia" w:ascii="Times New Roman" w:hAnsi="Times New Roman" w:eastAsia="宋体" w:cs="仿宋"/>
          <w:color w:val="auto"/>
          <w:sz w:val="24"/>
          <w:highlight w:val="none"/>
          <w:lang w:val="en-US" w:eastAsia="zh-CN"/>
        </w:rPr>
        <w:t>支持性服务：为受训儿童及家长提供家庭康复指导、心理辅导、政策咨询和知识普及等支持性服务。康复知识个别化讲解和康复训练指导根据实际需要为家长提供，集中培训活动每两月不少于1次，每次不少于1小时。</w:t>
      </w:r>
    </w:p>
    <w:p w14:paraId="24CB624F">
      <w:pPr>
        <w:keepNext w:val="0"/>
        <w:keepLines w:val="0"/>
        <w:pageBreakBefore w:val="0"/>
        <w:widowControl w:val="0"/>
        <w:spacing w:line="340" w:lineRule="exact"/>
        <w:ind w:firstLine="482"/>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lang w:val="en-US" w:eastAsia="zh-CN"/>
        </w:rPr>
        <w:t>残疾儿童年度康复训练前、训练中、训练后应进行康复效能评估，每年不少于3次。</w:t>
      </w:r>
    </w:p>
    <w:p w14:paraId="72C2CACD">
      <w:pPr>
        <w:keepNext w:val="0"/>
        <w:keepLines w:val="0"/>
        <w:pageBreakBefore w:val="0"/>
        <w:widowControl w:val="0"/>
        <w:spacing w:line="340" w:lineRule="exact"/>
        <w:ind w:firstLine="482"/>
        <w:rPr>
          <w:rFonts w:hint="eastAsia" w:ascii="Times New Roman" w:hAnsi="Times New Roman" w:eastAsia="宋体" w:cs="仿宋"/>
          <w:b/>
          <w:color w:val="auto"/>
          <w:sz w:val="24"/>
          <w:highlight w:val="none"/>
          <w:lang w:val="en-US" w:eastAsia="zh-CN"/>
        </w:rPr>
      </w:pPr>
      <w:r>
        <w:rPr>
          <w:rFonts w:hint="eastAsia" w:ascii="Times New Roman" w:hAnsi="Times New Roman" w:eastAsia="宋体" w:cs="仿宋"/>
          <w:b/>
          <w:color w:val="auto"/>
          <w:sz w:val="24"/>
          <w:highlight w:val="none"/>
          <w:lang w:val="en-US" w:eastAsia="zh-CN"/>
        </w:rPr>
        <w:t>5.3工作台账</w:t>
      </w:r>
    </w:p>
    <w:p w14:paraId="175AE517">
      <w:pPr>
        <w:keepNext w:val="0"/>
        <w:keepLines w:val="0"/>
        <w:pageBreakBefore w:val="0"/>
        <w:widowControl w:val="0"/>
        <w:spacing w:line="340" w:lineRule="exact"/>
        <w:ind w:firstLine="482"/>
        <w:rPr>
          <w:rFonts w:hint="eastAsia" w:ascii="Times New Roman" w:hAnsi="Times New Roman" w:eastAsia="宋体" w:cs="仿宋"/>
          <w:color w:val="auto"/>
          <w:sz w:val="24"/>
          <w:highlight w:val="none"/>
          <w:lang w:eastAsia="zh-CN"/>
        </w:rPr>
      </w:pPr>
      <w:r>
        <w:rPr>
          <w:rFonts w:hint="eastAsia" w:ascii="Times New Roman" w:hAnsi="Times New Roman" w:eastAsia="宋体" w:cs="仿宋"/>
          <w:color w:val="auto"/>
          <w:sz w:val="24"/>
          <w:highlight w:val="none"/>
        </w:rPr>
        <w:t>康复训练档案齐全，包括残疾儿童康复服务登记表、初始状态评估表、康复训练计划、康复训练日志、阶段性评估表、训练出勤表</w:t>
      </w:r>
      <w:r>
        <w:rPr>
          <w:rFonts w:hint="eastAsia" w:ascii="Times New Roman" w:hAnsi="Times New Roman" w:eastAsia="宋体" w:cs="仿宋"/>
          <w:color w:val="auto"/>
          <w:sz w:val="24"/>
          <w:highlight w:val="none"/>
          <w:lang w:eastAsia="zh-CN"/>
        </w:rPr>
        <w:t>；</w:t>
      </w:r>
    </w:p>
    <w:p w14:paraId="1240532C">
      <w:pPr>
        <w:keepNext w:val="0"/>
        <w:keepLines w:val="0"/>
        <w:pageBreakBefore w:val="0"/>
        <w:widowControl w:val="0"/>
        <w:spacing w:line="340" w:lineRule="exact"/>
        <w:ind w:firstLine="482"/>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《残疾儿童康复救助平台》</w:t>
      </w:r>
      <w:r>
        <w:rPr>
          <w:rFonts w:hint="eastAsia" w:ascii="Times New Roman" w:hAnsi="Times New Roman" w:eastAsia="宋体" w:cs="仿宋"/>
          <w:color w:val="auto"/>
          <w:sz w:val="24"/>
          <w:highlight w:val="none"/>
          <w:lang w:eastAsia="zh-CN"/>
        </w:rPr>
        <w:t>数据录入</w:t>
      </w:r>
      <w:r>
        <w:rPr>
          <w:rFonts w:hint="eastAsia" w:ascii="Times New Roman" w:hAnsi="Times New Roman" w:eastAsia="宋体" w:cs="仿宋"/>
          <w:color w:val="auto"/>
          <w:sz w:val="24"/>
          <w:highlight w:val="none"/>
        </w:rPr>
        <w:t>及时、准确、完备。</w:t>
      </w:r>
    </w:p>
    <w:p w14:paraId="300CB3CE">
      <w:pPr>
        <w:keepNext w:val="0"/>
        <w:keepLines w:val="0"/>
        <w:pageBreakBefore w:val="0"/>
        <w:widowControl w:val="0"/>
        <w:spacing w:line="340" w:lineRule="exact"/>
        <w:ind w:firstLine="482"/>
        <w:rPr>
          <w:rFonts w:ascii="Times New Roman" w:hAnsi="Times New Roman" w:eastAsia="宋体" w:cs="仿宋"/>
          <w:b/>
          <w:color w:val="auto"/>
          <w:sz w:val="24"/>
          <w:highlight w:val="none"/>
          <w:lang w:val="en-US" w:eastAsia="zh-CN"/>
        </w:rPr>
      </w:pPr>
      <w:r>
        <w:rPr>
          <w:rFonts w:hint="eastAsia" w:ascii="Times New Roman" w:hAnsi="Times New Roman" w:eastAsia="宋体" w:cs="仿宋"/>
          <w:b/>
          <w:color w:val="auto"/>
          <w:sz w:val="24"/>
          <w:highlight w:val="none"/>
          <w:lang w:val="en-US" w:eastAsia="zh-CN"/>
        </w:rPr>
        <w:t>5.4家长培训</w:t>
      </w:r>
    </w:p>
    <w:p w14:paraId="2FB320A7">
      <w:pPr>
        <w:keepNext w:val="0"/>
        <w:keepLines w:val="0"/>
        <w:pageBreakBefore w:val="0"/>
        <w:widowControl w:val="0"/>
        <w:spacing w:line="340" w:lineRule="exact"/>
        <w:ind w:firstLine="482"/>
        <w:rPr>
          <w:rFonts w:ascii="Times New Roman" w:hAnsi="Times New Roman" w:eastAsia="宋体" w:cs="仿宋"/>
          <w:color w:val="auto"/>
          <w:sz w:val="24"/>
          <w:highlight w:val="none"/>
        </w:rPr>
      </w:pPr>
      <w:r>
        <w:rPr>
          <w:rFonts w:ascii="Times New Roman" w:hAnsi="Times New Roman" w:eastAsia="宋体" w:cs="仿宋"/>
          <w:color w:val="auto"/>
          <w:sz w:val="24"/>
          <w:highlight w:val="none"/>
        </w:rPr>
        <w:t>定期向家长提供每年不少于4次的相关培训，并有相关书面和视频记录；</w:t>
      </w:r>
    </w:p>
    <w:p w14:paraId="3830F027">
      <w:pPr>
        <w:keepNext w:val="0"/>
        <w:keepLines w:val="0"/>
        <w:pageBreakBefore w:val="0"/>
        <w:widowControl w:val="0"/>
        <w:spacing w:line="340" w:lineRule="exact"/>
        <w:ind w:firstLine="482"/>
        <w:rPr>
          <w:rFonts w:ascii="Times New Roman" w:hAnsi="Times New Roman" w:eastAsia="宋体" w:cs="仿宋"/>
          <w:color w:val="auto"/>
          <w:sz w:val="24"/>
          <w:highlight w:val="none"/>
        </w:rPr>
      </w:pPr>
      <w:r>
        <w:rPr>
          <w:rFonts w:ascii="Times New Roman" w:hAnsi="Times New Roman" w:eastAsia="宋体" w:cs="仿宋"/>
          <w:color w:val="auto"/>
          <w:sz w:val="24"/>
          <w:highlight w:val="none"/>
        </w:rPr>
        <w:t>家长了解在社区和家庭环境中进行康复训练的目标；</w:t>
      </w:r>
    </w:p>
    <w:p w14:paraId="1BA37D3B">
      <w:pPr>
        <w:keepNext w:val="0"/>
        <w:keepLines w:val="0"/>
        <w:pageBreakBefore w:val="0"/>
        <w:widowControl w:val="0"/>
        <w:spacing w:line="340" w:lineRule="exact"/>
        <w:ind w:firstLine="482"/>
        <w:rPr>
          <w:rFonts w:ascii="Times New Roman" w:hAnsi="Times New Roman" w:eastAsia="宋体" w:cs="仿宋"/>
          <w:color w:val="auto"/>
          <w:sz w:val="24"/>
          <w:highlight w:val="none"/>
        </w:rPr>
      </w:pPr>
      <w:r>
        <w:rPr>
          <w:rFonts w:ascii="Times New Roman" w:hAnsi="Times New Roman" w:eastAsia="宋体" w:cs="仿宋"/>
          <w:color w:val="auto"/>
          <w:sz w:val="24"/>
          <w:highlight w:val="none"/>
        </w:rPr>
        <w:t>家长掌握基本康复训练的流程和组织实施方法。</w:t>
      </w:r>
    </w:p>
    <w:p w14:paraId="08E13260">
      <w:pPr>
        <w:keepNext w:val="0"/>
        <w:keepLines w:val="0"/>
        <w:pageBreakBefore w:val="0"/>
        <w:widowControl w:val="0"/>
        <w:spacing w:line="340" w:lineRule="exact"/>
        <w:ind w:firstLine="482"/>
        <w:rPr>
          <w:rFonts w:hint="eastAsia" w:ascii="Times New Roman" w:hAnsi="Times New Roman" w:eastAsia="宋体" w:cs="仿宋"/>
          <w:b/>
          <w:color w:val="auto"/>
          <w:sz w:val="24"/>
          <w:highlight w:val="none"/>
        </w:rPr>
      </w:pPr>
      <w:r>
        <w:rPr>
          <w:rFonts w:hint="eastAsia" w:ascii="Times New Roman" w:hAnsi="Times New Roman" w:eastAsia="宋体" w:cs="仿宋"/>
          <w:b/>
          <w:color w:val="auto"/>
          <w:sz w:val="24"/>
          <w:highlight w:val="none"/>
          <w:lang w:val="en-US" w:eastAsia="zh-CN"/>
        </w:rPr>
        <w:t>5.5</w:t>
      </w:r>
      <w:r>
        <w:rPr>
          <w:rFonts w:hint="eastAsia" w:ascii="Times New Roman" w:hAnsi="Times New Roman" w:eastAsia="宋体" w:cs="仿宋"/>
          <w:b/>
          <w:color w:val="auto"/>
          <w:sz w:val="24"/>
          <w:highlight w:val="none"/>
        </w:rPr>
        <w:t>业务指导</w:t>
      </w:r>
    </w:p>
    <w:p w14:paraId="727B5362">
      <w:pPr>
        <w:keepNext w:val="0"/>
        <w:keepLines w:val="0"/>
        <w:pageBreakBefore w:val="0"/>
        <w:widowControl w:val="0"/>
        <w:spacing w:line="340" w:lineRule="exact"/>
        <w:ind w:firstLine="482"/>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开展儿童转介或跟踪服务；</w:t>
      </w:r>
    </w:p>
    <w:p w14:paraId="5D2BD48B">
      <w:pPr>
        <w:keepNext w:val="0"/>
        <w:keepLines w:val="0"/>
        <w:pageBreakBefore w:val="0"/>
        <w:widowControl w:val="0"/>
        <w:spacing w:line="340" w:lineRule="exact"/>
        <w:ind w:firstLine="482"/>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面向社区提供家庭康复延伸的培训；</w:t>
      </w:r>
    </w:p>
    <w:p w14:paraId="54274BCE">
      <w:pPr>
        <w:keepNext w:val="0"/>
        <w:keepLines w:val="0"/>
        <w:pageBreakBefore w:val="0"/>
        <w:widowControl w:val="0"/>
        <w:spacing w:line="340" w:lineRule="exact"/>
        <w:ind w:firstLine="482"/>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根据服务对象特点提供指导服务、派发相关宣传资料；</w:t>
      </w:r>
    </w:p>
    <w:p w14:paraId="23329473">
      <w:pPr>
        <w:keepNext w:val="0"/>
        <w:keepLines w:val="0"/>
        <w:pageBreakBefore w:val="0"/>
        <w:widowControl w:val="0"/>
        <w:spacing w:line="340" w:lineRule="exact"/>
        <w:ind w:firstLine="482"/>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结合</w:t>
      </w:r>
      <w:r>
        <w:rPr>
          <w:rFonts w:hint="eastAsia" w:ascii="Times New Roman" w:hAnsi="Times New Roman" w:eastAsia="宋体" w:cs="仿宋"/>
          <w:color w:val="auto"/>
          <w:sz w:val="24"/>
          <w:highlight w:val="none"/>
          <w:lang w:eastAsia="zh-CN"/>
        </w:rPr>
        <w:t>“</w:t>
      </w:r>
      <w:r>
        <w:rPr>
          <w:rFonts w:hint="eastAsia" w:ascii="Times New Roman" w:hAnsi="Times New Roman" w:eastAsia="宋体" w:cs="仿宋"/>
          <w:color w:val="auto"/>
          <w:sz w:val="24"/>
          <w:highlight w:val="none"/>
          <w:lang w:val="en-US" w:eastAsia="zh-CN"/>
        </w:rPr>
        <w:t>孤独症日</w:t>
      </w:r>
      <w:r>
        <w:rPr>
          <w:rFonts w:hint="eastAsia" w:ascii="Times New Roman" w:hAnsi="Times New Roman" w:eastAsia="宋体" w:cs="仿宋"/>
          <w:color w:val="auto"/>
          <w:sz w:val="24"/>
          <w:highlight w:val="none"/>
          <w:lang w:eastAsia="zh-CN"/>
        </w:rPr>
        <w:t>”</w:t>
      </w:r>
      <w:r>
        <w:rPr>
          <w:rFonts w:hint="eastAsia" w:ascii="Times New Roman" w:hAnsi="Times New Roman" w:eastAsia="宋体" w:cs="仿宋"/>
          <w:color w:val="auto"/>
          <w:sz w:val="24"/>
          <w:highlight w:val="none"/>
        </w:rPr>
        <w:t>“全国助残日”等专题日，参与公益活动，每年不少于2次；</w:t>
      </w:r>
    </w:p>
    <w:p w14:paraId="3914C4F2">
      <w:pPr>
        <w:keepNext w:val="0"/>
        <w:keepLines w:val="0"/>
        <w:pageBreakBefore w:val="0"/>
        <w:widowControl w:val="0"/>
        <w:spacing w:line="340" w:lineRule="exact"/>
        <w:ind w:firstLine="482"/>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对于康复效果明显，符合入园、入学条件的儿童，及时动员家长办理入园、入学</w:t>
      </w:r>
      <w:r>
        <w:rPr>
          <w:rFonts w:hint="eastAsia" w:ascii="Times New Roman" w:hAnsi="Times New Roman" w:eastAsia="宋体" w:cs="仿宋"/>
          <w:color w:val="auto"/>
          <w:sz w:val="24"/>
          <w:highlight w:val="none"/>
          <w:lang w:val="en-US" w:eastAsia="zh-CN"/>
        </w:rPr>
        <w:t>手续</w:t>
      </w:r>
      <w:r>
        <w:rPr>
          <w:rFonts w:hint="eastAsia" w:ascii="Times New Roman" w:hAnsi="Times New Roman" w:eastAsia="宋体" w:cs="仿宋"/>
          <w:color w:val="auto"/>
          <w:sz w:val="24"/>
          <w:highlight w:val="none"/>
        </w:rPr>
        <w:t>，并跟踪进行康复服务指导。</w:t>
      </w:r>
    </w:p>
    <w:p w14:paraId="492C624E">
      <w:pPr>
        <w:keepNext w:val="0"/>
        <w:keepLines w:val="0"/>
        <w:pageBreakBefore w:val="0"/>
        <w:widowControl w:val="0"/>
        <w:spacing w:line="340" w:lineRule="exact"/>
        <w:ind w:firstLine="482"/>
        <w:rPr>
          <w:rFonts w:hint="eastAsia" w:ascii="Times New Roman" w:hAnsi="Times New Roman" w:eastAsia="宋体" w:cs="仿宋"/>
          <w:b/>
          <w:color w:val="auto"/>
          <w:sz w:val="24"/>
          <w:highlight w:val="none"/>
        </w:rPr>
      </w:pPr>
      <w:r>
        <w:rPr>
          <w:rFonts w:hint="eastAsia" w:ascii="Times New Roman" w:hAnsi="Times New Roman" w:eastAsia="宋体" w:cs="仿宋"/>
          <w:b/>
          <w:color w:val="auto"/>
          <w:sz w:val="24"/>
          <w:highlight w:val="none"/>
          <w:lang w:val="en-US" w:eastAsia="zh-CN"/>
        </w:rPr>
        <w:t>5.6</w:t>
      </w:r>
      <w:r>
        <w:rPr>
          <w:rFonts w:hint="eastAsia" w:ascii="Times New Roman" w:hAnsi="Times New Roman" w:eastAsia="宋体" w:cs="仿宋"/>
          <w:b/>
          <w:color w:val="auto"/>
          <w:sz w:val="24"/>
          <w:highlight w:val="none"/>
        </w:rPr>
        <w:t>质量控制</w:t>
      </w:r>
    </w:p>
    <w:p w14:paraId="7445F46B">
      <w:pPr>
        <w:keepNext w:val="0"/>
        <w:keepLines w:val="0"/>
        <w:pageBreakBefore w:val="0"/>
        <w:widowControl w:val="0"/>
        <w:spacing w:line="340" w:lineRule="exact"/>
        <w:ind w:firstLine="482"/>
        <w:rPr>
          <w:rFonts w:hint="eastAsia" w:ascii="Times New Roman" w:hAnsi="Times New Roman" w:eastAsia="宋体" w:cs="仿宋"/>
          <w:b w:val="0"/>
          <w:bCs/>
          <w:color w:val="auto"/>
          <w:sz w:val="24"/>
          <w:highlight w:val="none"/>
          <w:lang w:eastAsia="zh-CN"/>
        </w:rPr>
      </w:pPr>
      <w:r>
        <w:rPr>
          <w:rFonts w:hint="eastAsia" w:ascii="Times New Roman" w:hAnsi="Times New Roman" w:eastAsia="宋体" w:cs="仿宋"/>
          <w:b w:val="0"/>
          <w:bCs/>
          <w:color w:val="auto"/>
          <w:sz w:val="24"/>
          <w:highlight w:val="none"/>
        </w:rPr>
        <w:t>有需求</w:t>
      </w:r>
      <w:r>
        <w:rPr>
          <w:rFonts w:hint="eastAsia" w:ascii="Times New Roman" w:hAnsi="Times New Roman" w:eastAsia="宋体" w:cs="仿宋"/>
          <w:b w:val="0"/>
          <w:bCs/>
          <w:color w:val="auto"/>
          <w:sz w:val="24"/>
          <w:highlight w:val="none"/>
          <w:lang w:eastAsia="zh-CN"/>
        </w:rPr>
        <w:t>孤独症</w:t>
      </w:r>
      <w:r>
        <w:rPr>
          <w:rFonts w:hint="eastAsia" w:ascii="Times New Roman" w:hAnsi="Times New Roman" w:eastAsia="宋体" w:cs="仿宋"/>
          <w:b w:val="0"/>
          <w:bCs/>
          <w:color w:val="auto"/>
          <w:sz w:val="24"/>
          <w:highlight w:val="none"/>
        </w:rPr>
        <w:t>残疾儿童康复评估、训练建档率100%</w:t>
      </w:r>
      <w:r>
        <w:rPr>
          <w:rFonts w:hint="eastAsia" w:ascii="Times New Roman" w:hAnsi="Times New Roman" w:eastAsia="宋体" w:cs="仿宋"/>
          <w:b w:val="0"/>
          <w:bCs/>
          <w:color w:val="auto"/>
          <w:sz w:val="24"/>
          <w:highlight w:val="none"/>
          <w:lang w:eastAsia="zh-CN"/>
        </w:rPr>
        <w:t>；</w:t>
      </w:r>
    </w:p>
    <w:p w14:paraId="3E6C8123">
      <w:pPr>
        <w:keepNext w:val="0"/>
        <w:keepLines w:val="0"/>
        <w:pageBreakBefore w:val="0"/>
        <w:widowControl w:val="0"/>
        <w:spacing w:line="340" w:lineRule="exact"/>
        <w:ind w:firstLine="482"/>
        <w:rPr>
          <w:rFonts w:hint="eastAsia" w:ascii="Times New Roman" w:hAnsi="Times New Roman" w:eastAsia="宋体" w:cs="仿宋"/>
          <w:b w:val="0"/>
          <w:bCs/>
          <w:color w:val="auto"/>
          <w:sz w:val="24"/>
          <w:highlight w:val="none"/>
          <w:lang w:eastAsia="zh-CN"/>
        </w:rPr>
      </w:pPr>
      <w:r>
        <w:rPr>
          <w:rFonts w:hint="eastAsia" w:ascii="Times New Roman" w:hAnsi="Times New Roman" w:eastAsia="宋体" w:cs="仿宋"/>
          <w:b w:val="0"/>
          <w:bCs/>
          <w:color w:val="auto"/>
          <w:sz w:val="24"/>
          <w:highlight w:val="none"/>
        </w:rPr>
        <w:t>家长满意度调查达90%以上</w:t>
      </w:r>
      <w:r>
        <w:rPr>
          <w:rFonts w:hint="eastAsia" w:ascii="Times New Roman" w:hAnsi="Times New Roman" w:eastAsia="宋体" w:cs="仿宋"/>
          <w:b w:val="0"/>
          <w:bCs/>
          <w:color w:val="auto"/>
          <w:sz w:val="24"/>
          <w:highlight w:val="none"/>
          <w:lang w:eastAsia="zh-CN"/>
        </w:rPr>
        <w:t>；</w:t>
      </w:r>
    </w:p>
    <w:p w14:paraId="10228C6C">
      <w:pPr>
        <w:keepNext w:val="0"/>
        <w:keepLines w:val="0"/>
        <w:pageBreakBefore w:val="0"/>
        <w:widowControl w:val="0"/>
        <w:spacing w:line="340" w:lineRule="exact"/>
        <w:ind w:firstLine="482"/>
        <w:rPr>
          <w:rFonts w:hint="eastAsia" w:ascii="Times New Roman" w:hAnsi="Times New Roman" w:eastAsia="宋体" w:cs="仿宋"/>
          <w:b w:val="0"/>
          <w:bCs/>
          <w:color w:val="auto"/>
          <w:sz w:val="24"/>
          <w:highlight w:val="none"/>
        </w:rPr>
      </w:pPr>
      <w:r>
        <w:rPr>
          <w:rFonts w:hint="eastAsia" w:ascii="Times New Roman" w:hAnsi="Times New Roman" w:eastAsia="宋体" w:cs="仿宋"/>
          <w:b w:val="0"/>
          <w:bCs/>
          <w:color w:val="auto"/>
          <w:sz w:val="24"/>
          <w:highlight w:val="none"/>
        </w:rPr>
        <w:t>组织</w:t>
      </w:r>
      <w:r>
        <w:rPr>
          <w:rFonts w:hint="eastAsia" w:ascii="Times New Roman" w:hAnsi="Times New Roman" w:eastAsia="宋体" w:cs="仿宋"/>
          <w:b w:val="0"/>
          <w:bCs/>
          <w:color w:val="auto"/>
          <w:sz w:val="24"/>
          <w:highlight w:val="none"/>
          <w:lang w:eastAsia="zh-CN"/>
        </w:rPr>
        <w:t>孤独症</w:t>
      </w:r>
      <w:r>
        <w:rPr>
          <w:rFonts w:hint="eastAsia" w:ascii="Times New Roman" w:hAnsi="Times New Roman" w:eastAsia="宋体" w:cs="仿宋"/>
          <w:b w:val="0"/>
          <w:bCs/>
          <w:color w:val="auto"/>
          <w:sz w:val="24"/>
          <w:highlight w:val="none"/>
        </w:rPr>
        <w:t>残疾儿童参加社会融合活动每年不少于4次。</w:t>
      </w:r>
    </w:p>
    <w:p w14:paraId="43FC0821">
      <w:pPr>
        <w:keepNext w:val="0"/>
        <w:keepLines w:val="0"/>
        <w:pageBreakBefore w:val="0"/>
        <w:widowControl w:val="0"/>
        <w:spacing w:line="340" w:lineRule="exact"/>
        <w:ind w:firstLine="482"/>
        <w:rPr>
          <w:rFonts w:hint="eastAsia" w:ascii="Times New Roman" w:hAnsi="Times New Roman" w:eastAsia="宋体" w:cs="仿宋"/>
          <w:b/>
          <w:color w:val="auto"/>
          <w:sz w:val="24"/>
          <w:highlight w:val="none"/>
          <w:lang w:eastAsia="zh-CN"/>
        </w:rPr>
      </w:pPr>
    </w:p>
    <w:p w14:paraId="11F2CE4F">
      <w:pPr>
        <w:keepNext w:val="0"/>
        <w:keepLines w:val="0"/>
        <w:pageBreakBefore w:val="0"/>
        <w:widowControl w:val="0"/>
        <w:spacing w:line="340" w:lineRule="exact"/>
        <w:ind w:firstLine="482"/>
        <w:rPr>
          <w:rFonts w:ascii="Times New Roman" w:hAnsi="Times New Roman" w:eastAsia="宋体" w:cs="仿宋"/>
          <w:b/>
          <w:color w:val="auto"/>
          <w:sz w:val="24"/>
          <w:highlight w:val="none"/>
        </w:rPr>
      </w:pPr>
      <w:r>
        <w:rPr>
          <w:rFonts w:hint="eastAsia" w:ascii="Times New Roman" w:hAnsi="Times New Roman" w:eastAsia="宋体" w:cs="仿宋"/>
          <w:b/>
          <w:color w:val="auto"/>
          <w:sz w:val="24"/>
          <w:highlight w:val="none"/>
          <w:lang w:eastAsia="zh-CN"/>
        </w:rPr>
        <w:t>（</w:t>
      </w:r>
      <w:r>
        <w:rPr>
          <w:rFonts w:hint="eastAsia" w:ascii="Times New Roman" w:hAnsi="Times New Roman" w:eastAsia="宋体" w:cs="仿宋"/>
          <w:b/>
          <w:color w:val="auto"/>
          <w:sz w:val="24"/>
          <w:highlight w:val="none"/>
          <w:lang w:val="en-US" w:eastAsia="zh-CN"/>
        </w:rPr>
        <w:t>二</w:t>
      </w:r>
      <w:r>
        <w:rPr>
          <w:rFonts w:hint="eastAsia" w:ascii="Times New Roman" w:hAnsi="Times New Roman" w:eastAsia="宋体" w:cs="仿宋"/>
          <w:b/>
          <w:color w:val="auto"/>
          <w:sz w:val="24"/>
          <w:highlight w:val="none"/>
          <w:lang w:eastAsia="zh-CN"/>
        </w:rPr>
        <w:t>）</w:t>
      </w:r>
      <w:r>
        <w:rPr>
          <w:rFonts w:hint="eastAsia" w:ascii="Times New Roman" w:hAnsi="Times New Roman" w:eastAsia="宋体" w:cs="仿宋"/>
          <w:b/>
          <w:color w:val="auto"/>
          <w:sz w:val="24"/>
          <w:highlight w:val="none"/>
        </w:rPr>
        <w:t>定点机构考核评价，每季度组织考核1次。</w:t>
      </w:r>
    </w:p>
    <w:p w14:paraId="650C5A40">
      <w:pPr>
        <w:keepNext w:val="0"/>
        <w:keepLines w:val="0"/>
        <w:pageBreakBefore w:val="0"/>
        <w:widowControl w:val="0"/>
        <w:spacing w:line="340" w:lineRule="exact"/>
        <w:ind w:firstLine="482"/>
        <w:rPr>
          <w:rFonts w:ascii="Times New Roman" w:hAnsi="Times New Roman" w:eastAsia="宋体" w:cs="仿宋"/>
          <w:color w:val="auto"/>
          <w:sz w:val="24"/>
          <w:highlight w:val="none"/>
        </w:rPr>
      </w:pPr>
      <w:r>
        <w:rPr>
          <w:rFonts w:hint="eastAsia" w:ascii="Times New Roman" w:hAnsi="Times New Roman" w:eastAsia="宋体" w:cs="仿宋"/>
          <w:color w:val="auto"/>
          <w:sz w:val="24"/>
          <w:highlight w:val="none"/>
          <w:lang w:val="en-US" w:eastAsia="zh-CN"/>
        </w:rPr>
        <w:t>1、</w:t>
      </w:r>
      <w:r>
        <w:rPr>
          <w:rFonts w:hint="eastAsia" w:ascii="Times New Roman" w:hAnsi="Times New Roman" w:eastAsia="宋体" w:cs="仿宋"/>
          <w:color w:val="auto"/>
          <w:sz w:val="24"/>
          <w:highlight w:val="none"/>
        </w:rPr>
        <w:t>定点机构评估核查、信息备案、规范流程、档案管理、安全管理、动态调整等年度评价工作，由</w:t>
      </w:r>
      <w:r>
        <w:rPr>
          <w:rFonts w:hint="eastAsia" w:ascii="Times New Roman" w:hAnsi="Times New Roman" w:eastAsia="宋体" w:cs="仿宋"/>
          <w:color w:val="auto"/>
          <w:sz w:val="24"/>
          <w:highlight w:val="none"/>
          <w:lang w:eastAsia="zh-CN"/>
        </w:rPr>
        <w:t>沭阳</w:t>
      </w:r>
      <w:r>
        <w:rPr>
          <w:rFonts w:hint="eastAsia" w:ascii="Times New Roman" w:hAnsi="Times New Roman" w:eastAsia="宋体" w:cs="仿宋"/>
          <w:color w:val="auto"/>
          <w:sz w:val="24"/>
          <w:highlight w:val="none"/>
        </w:rPr>
        <w:t>县残疾人联合会会同县级教育、民政、财政、人社、医保、卫生健康等部门按照评估细则组织开展。</w:t>
      </w:r>
    </w:p>
    <w:p w14:paraId="239F9735">
      <w:pPr>
        <w:keepNext w:val="0"/>
        <w:keepLines w:val="0"/>
        <w:pageBreakBefore w:val="0"/>
        <w:widowControl w:val="0"/>
        <w:spacing w:line="340" w:lineRule="exact"/>
        <w:ind w:firstLine="482"/>
        <w:rPr>
          <w:rFonts w:ascii="Times New Roman" w:hAnsi="Times New Roman" w:eastAsia="宋体" w:cs="仿宋"/>
          <w:color w:val="auto"/>
          <w:sz w:val="24"/>
          <w:highlight w:val="none"/>
        </w:rPr>
      </w:pPr>
      <w:r>
        <w:rPr>
          <w:rFonts w:hint="eastAsia" w:ascii="Times New Roman" w:hAnsi="Times New Roman" w:eastAsia="宋体" w:cs="仿宋"/>
          <w:color w:val="auto"/>
          <w:sz w:val="24"/>
          <w:highlight w:val="none"/>
          <w:lang w:val="en-US" w:eastAsia="zh-CN"/>
        </w:rPr>
        <w:t>2、</w:t>
      </w:r>
      <w:r>
        <w:rPr>
          <w:rFonts w:hint="eastAsia" w:ascii="Times New Roman" w:hAnsi="Times New Roman" w:eastAsia="宋体" w:cs="仿宋"/>
          <w:color w:val="auto"/>
          <w:sz w:val="24"/>
          <w:highlight w:val="none"/>
        </w:rPr>
        <w:t>定点机构性质、法人代表、执业地点、执业范围、业务项目发生变动，应向</w:t>
      </w:r>
      <w:r>
        <w:rPr>
          <w:rFonts w:hint="eastAsia" w:ascii="Times New Roman" w:hAnsi="Times New Roman" w:eastAsia="宋体" w:cs="仿宋"/>
          <w:color w:val="auto"/>
          <w:sz w:val="24"/>
          <w:highlight w:val="none"/>
          <w:lang w:val="en-US" w:eastAsia="zh-CN"/>
        </w:rPr>
        <w:t>沭阳</w:t>
      </w:r>
      <w:r>
        <w:rPr>
          <w:rFonts w:hint="eastAsia" w:ascii="Times New Roman" w:hAnsi="Times New Roman" w:eastAsia="宋体" w:cs="仿宋"/>
          <w:color w:val="auto"/>
          <w:sz w:val="24"/>
          <w:highlight w:val="none"/>
        </w:rPr>
        <w:t>县残疾人联合会报备，并在变动之日起1个月内接受重新评估。</w:t>
      </w:r>
    </w:p>
    <w:p w14:paraId="2E53CE1B">
      <w:pPr>
        <w:keepNext w:val="0"/>
        <w:keepLines w:val="0"/>
        <w:pageBreakBefore w:val="0"/>
        <w:widowControl w:val="0"/>
        <w:spacing w:line="340" w:lineRule="exact"/>
        <w:ind w:firstLine="482"/>
        <w:rPr>
          <w:rFonts w:ascii="Times New Roman" w:hAnsi="Times New Roman" w:eastAsia="宋体" w:cs="仿宋"/>
          <w:color w:val="auto"/>
          <w:sz w:val="24"/>
          <w:highlight w:val="none"/>
        </w:rPr>
      </w:pPr>
      <w:r>
        <w:rPr>
          <w:rFonts w:hint="eastAsia" w:ascii="Times New Roman" w:hAnsi="Times New Roman" w:eastAsia="宋体" w:cs="仿宋"/>
          <w:color w:val="auto"/>
          <w:sz w:val="24"/>
          <w:highlight w:val="none"/>
          <w:lang w:val="en-US" w:eastAsia="zh-CN"/>
        </w:rPr>
        <w:t>3、</w:t>
      </w:r>
      <w:r>
        <w:rPr>
          <w:rFonts w:hint="eastAsia" w:ascii="Times New Roman" w:hAnsi="Times New Roman" w:eastAsia="宋体" w:cs="仿宋"/>
          <w:color w:val="auto"/>
          <w:sz w:val="24"/>
          <w:highlight w:val="none"/>
        </w:rPr>
        <w:t>定点机构年度评估不合格或存在违规（法）行为的，依据《江苏省残疾儿童基本康复服务管理暂行</w:t>
      </w:r>
      <w:r>
        <w:rPr>
          <w:rFonts w:hint="eastAsia" w:ascii="Times New Roman" w:hAnsi="Times New Roman" w:eastAsia="宋体" w:cs="仿宋"/>
          <w:color w:val="auto"/>
          <w:sz w:val="24"/>
          <w:highlight w:val="none"/>
        </w:rPr>
        <w:t>办法》</w:t>
      </w:r>
      <w:r>
        <w:rPr>
          <w:rFonts w:hint="eastAsia" w:ascii="Times New Roman" w:hAnsi="Times New Roman" w:eastAsia="宋体" w:cs="仿宋"/>
          <w:color w:val="auto"/>
          <w:sz w:val="24"/>
          <w:highlight w:val="none"/>
          <w:lang w:eastAsia="zh-CN"/>
        </w:rPr>
        <w:t>（</w:t>
      </w:r>
      <w:r>
        <w:rPr>
          <w:rFonts w:hint="eastAsia" w:ascii="Times New Roman" w:hAnsi="Times New Roman" w:eastAsia="宋体" w:cs="仿宋"/>
          <w:color w:val="auto"/>
          <w:sz w:val="24"/>
          <w:highlight w:val="none"/>
          <w:lang w:val="en-US" w:eastAsia="zh-CN"/>
        </w:rPr>
        <w:t>苏残发〔2020〕23号</w:t>
      </w:r>
      <w:r>
        <w:rPr>
          <w:rFonts w:hint="eastAsia" w:ascii="Times New Roman" w:hAnsi="Times New Roman" w:eastAsia="宋体" w:cs="仿宋"/>
          <w:color w:val="auto"/>
          <w:sz w:val="24"/>
          <w:highlight w:val="none"/>
          <w:lang w:eastAsia="zh-CN"/>
        </w:rPr>
        <w:t>）</w:t>
      </w:r>
      <w:r>
        <w:rPr>
          <w:rFonts w:hint="eastAsia" w:ascii="Times New Roman" w:hAnsi="Times New Roman" w:eastAsia="宋体" w:cs="仿宋"/>
          <w:color w:val="auto"/>
          <w:sz w:val="24"/>
          <w:highlight w:val="none"/>
          <w:lang w:eastAsia="zh-CN"/>
        </w:rPr>
        <w:t>、</w:t>
      </w:r>
      <w:r>
        <w:rPr>
          <w:rFonts w:hint="eastAsia" w:ascii="Times New Roman" w:hAnsi="Times New Roman" w:eastAsia="宋体" w:cs="仿宋"/>
          <w:color w:val="auto"/>
          <w:sz w:val="24"/>
          <w:highlight w:val="none"/>
        </w:rPr>
        <w:t>《宿迁市残疾儿童定点康复机构绩效考核办法和细则》，给予相应处罚。</w:t>
      </w:r>
    </w:p>
    <w:p w14:paraId="61E29D87">
      <w:pPr>
        <w:keepNext w:val="0"/>
        <w:keepLines w:val="0"/>
        <w:pageBreakBefore w:val="0"/>
        <w:widowControl w:val="0"/>
        <w:spacing w:line="340" w:lineRule="exact"/>
        <w:ind w:firstLine="482"/>
        <w:rPr>
          <w:rFonts w:ascii="Times New Roman" w:hAnsi="Times New Roman" w:eastAsia="宋体" w:cs="仿宋"/>
          <w:color w:val="auto"/>
          <w:sz w:val="24"/>
          <w:highlight w:val="none"/>
        </w:rPr>
      </w:pPr>
      <w:r>
        <w:rPr>
          <w:rFonts w:hint="eastAsia" w:ascii="Times New Roman" w:hAnsi="Times New Roman" w:eastAsia="宋体" w:cs="仿宋"/>
          <w:color w:val="auto"/>
          <w:sz w:val="24"/>
          <w:highlight w:val="none"/>
          <w:lang w:val="en-US" w:eastAsia="zh-CN"/>
        </w:rPr>
        <w:t>4.</w:t>
      </w:r>
      <w:r>
        <w:rPr>
          <w:rFonts w:hint="eastAsia" w:ascii="Times New Roman" w:hAnsi="Times New Roman" w:eastAsia="宋体" w:cs="仿宋"/>
          <w:color w:val="auto"/>
          <w:sz w:val="24"/>
          <w:highlight w:val="none"/>
        </w:rPr>
        <w:t>对存在以下问题的定点机构，一律解除服务合同，取消定点机构资格：</w:t>
      </w:r>
    </w:p>
    <w:p w14:paraId="779FEF54">
      <w:pPr>
        <w:keepNext w:val="0"/>
        <w:keepLines w:val="0"/>
        <w:pageBreakBefore w:val="0"/>
        <w:widowControl w:val="0"/>
        <w:spacing w:line="340" w:lineRule="exact"/>
        <w:ind w:firstLine="482"/>
        <w:rPr>
          <w:rFonts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不按合同要求、自行降低服务标准的，不执行《江苏省残疾儿童基本康复服务实施规范（2023版）》和宿迁市、</w:t>
      </w:r>
      <w:r>
        <w:rPr>
          <w:rFonts w:hint="eastAsia" w:ascii="Times New Roman" w:hAnsi="Times New Roman" w:eastAsia="宋体" w:cs="仿宋"/>
          <w:color w:val="auto"/>
          <w:sz w:val="24"/>
          <w:highlight w:val="none"/>
          <w:lang w:eastAsia="zh-CN"/>
        </w:rPr>
        <w:t>沭阳</w:t>
      </w:r>
      <w:r>
        <w:rPr>
          <w:rFonts w:hint="eastAsia" w:ascii="Times New Roman" w:hAnsi="Times New Roman" w:eastAsia="宋体" w:cs="仿宋"/>
          <w:color w:val="auto"/>
          <w:sz w:val="24"/>
          <w:highlight w:val="none"/>
        </w:rPr>
        <w:t>县地方技术标准的，两次告诫或通报批评后仍不改正的；或发生严重安全及重大责任事故的机构，解除服务合同，取消定点康复机构资格。</w:t>
      </w:r>
    </w:p>
    <w:p w14:paraId="5C16D6E1">
      <w:pPr>
        <w:keepNext w:val="0"/>
        <w:keepLines w:val="0"/>
        <w:pageBreakBefore w:val="0"/>
        <w:widowControl w:val="0"/>
        <w:spacing w:line="340" w:lineRule="exact"/>
        <w:ind w:firstLine="482"/>
        <w:rPr>
          <w:rFonts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按照绩效考核，年度考核不合格的，且不完成限期整改的；</w:t>
      </w:r>
    </w:p>
    <w:p w14:paraId="0339B2DA">
      <w:pPr>
        <w:keepNext w:val="0"/>
        <w:keepLines w:val="0"/>
        <w:pageBreakBefore w:val="0"/>
        <w:widowControl w:val="0"/>
        <w:spacing w:line="340" w:lineRule="exact"/>
        <w:ind w:firstLine="482"/>
        <w:rPr>
          <w:rFonts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弄虚作假，开具假证明、假服务记录、假票据等行为套取政府购买服务资金的，限期整改并退回套取资金，情节严重涉嫌犯罪的，移送司法机关依法处理。</w:t>
      </w:r>
    </w:p>
    <w:p w14:paraId="7196F819">
      <w:pPr>
        <w:keepNext w:val="0"/>
        <w:keepLines w:val="0"/>
        <w:pageBreakBefore w:val="0"/>
        <w:widowControl w:val="0"/>
        <w:spacing w:line="340" w:lineRule="exact"/>
        <w:ind w:firstLine="482"/>
        <w:rPr>
          <w:rFonts w:hint="eastAsia" w:ascii="Times New Roman" w:hAnsi="Times New Roman" w:eastAsia="宋体" w:cs="仿宋"/>
          <w:b/>
          <w:color w:val="auto"/>
          <w:sz w:val="24"/>
          <w:highlight w:val="none"/>
          <w:lang w:eastAsia="zh-CN"/>
        </w:rPr>
      </w:pPr>
    </w:p>
    <w:p w14:paraId="30BE1E5D">
      <w:pPr>
        <w:keepNext w:val="0"/>
        <w:keepLines w:val="0"/>
        <w:pageBreakBefore w:val="0"/>
        <w:widowControl w:val="0"/>
        <w:spacing w:line="340" w:lineRule="exact"/>
        <w:ind w:firstLine="482"/>
        <w:rPr>
          <w:rFonts w:ascii="Times New Roman" w:hAnsi="Times New Roman" w:eastAsia="宋体" w:cs="仿宋"/>
          <w:b/>
          <w:color w:val="auto"/>
          <w:sz w:val="24"/>
          <w:highlight w:val="none"/>
        </w:rPr>
      </w:pPr>
      <w:r>
        <w:rPr>
          <w:rFonts w:hint="eastAsia" w:ascii="Times New Roman" w:hAnsi="Times New Roman" w:eastAsia="宋体" w:cs="仿宋"/>
          <w:b/>
          <w:color w:val="auto"/>
          <w:sz w:val="24"/>
          <w:highlight w:val="none"/>
          <w:lang w:eastAsia="zh-CN"/>
        </w:rPr>
        <w:t>（</w:t>
      </w:r>
      <w:r>
        <w:rPr>
          <w:rFonts w:hint="eastAsia" w:ascii="Times New Roman" w:hAnsi="Times New Roman" w:eastAsia="宋体" w:cs="仿宋"/>
          <w:b/>
          <w:color w:val="auto"/>
          <w:sz w:val="24"/>
          <w:highlight w:val="none"/>
          <w:lang w:val="en-US" w:eastAsia="zh-CN"/>
        </w:rPr>
        <w:t>三</w:t>
      </w:r>
      <w:r>
        <w:rPr>
          <w:rFonts w:hint="eastAsia" w:ascii="Times New Roman" w:hAnsi="Times New Roman" w:eastAsia="宋体" w:cs="仿宋"/>
          <w:b/>
          <w:color w:val="auto"/>
          <w:sz w:val="24"/>
          <w:highlight w:val="none"/>
          <w:lang w:eastAsia="zh-CN"/>
        </w:rPr>
        <w:t>）</w:t>
      </w:r>
      <w:r>
        <w:rPr>
          <w:rFonts w:hint="eastAsia" w:ascii="Times New Roman" w:hAnsi="Times New Roman" w:eastAsia="宋体" w:cs="仿宋"/>
          <w:b/>
          <w:color w:val="auto"/>
          <w:sz w:val="24"/>
          <w:highlight w:val="none"/>
        </w:rPr>
        <w:t>绩效评价与考核结果运用：</w:t>
      </w:r>
    </w:p>
    <w:p w14:paraId="2BEC3C69">
      <w:pPr>
        <w:keepNext w:val="0"/>
        <w:keepLines w:val="0"/>
        <w:pageBreakBefore w:val="0"/>
        <w:widowControl w:val="0"/>
        <w:spacing w:line="340" w:lineRule="exact"/>
        <w:ind w:firstLine="482"/>
        <w:rPr>
          <w:rFonts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按照财政资金绩效评价相关规定开展，由</w:t>
      </w:r>
      <w:r>
        <w:rPr>
          <w:rFonts w:hint="eastAsia" w:ascii="Times New Roman" w:hAnsi="Times New Roman" w:eastAsia="宋体" w:cs="仿宋"/>
          <w:color w:val="auto"/>
          <w:sz w:val="24"/>
          <w:highlight w:val="none"/>
          <w:lang w:eastAsia="zh-CN"/>
        </w:rPr>
        <w:t>沭阳</w:t>
      </w:r>
      <w:r>
        <w:rPr>
          <w:rFonts w:hint="eastAsia" w:ascii="Times New Roman" w:hAnsi="Times New Roman" w:eastAsia="宋体" w:cs="仿宋"/>
          <w:color w:val="auto"/>
          <w:sz w:val="24"/>
          <w:highlight w:val="none"/>
        </w:rPr>
        <w:t>县残疾人联合会自主或委托第三方实施，评价结果作为今后承接主体选择、预算安排及政策调整的重要依据。定点机构年度考核不合格的</w:t>
      </w:r>
      <w:r>
        <w:rPr>
          <w:rFonts w:hint="eastAsia" w:ascii="Times New Roman" w:hAnsi="Times New Roman" w:eastAsia="宋体" w:cs="仿宋"/>
          <w:color w:val="auto"/>
          <w:sz w:val="24"/>
          <w:highlight w:val="none"/>
          <w:lang w:eastAsia="zh-CN"/>
        </w:rPr>
        <w:t>，沭阳</w:t>
      </w:r>
      <w:r>
        <w:rPr>
          <w:rFonts w:hint="eastAsia" w:ascii="Times New Roman" w:hAnsi="Times New Roman" w:eastAsia="宋体" w:cs="仿宋"/>
          <w:color w:val="auto"/>
          <w:sz w:val="24"/>
          <w:highlight w:val="none"/>
        </w:rPr>
        <w:t>县残疾人联合会应给予康复机构黄牌警告，责成整改，下一年度考核再次不合格的，将被县残联列入履约失信供应商名录，拒绝其在3年内参与本单位组织的任何招标、采购活动，并妥善处理好该机构内受助儿童后续康复服务。</w:t>
      </w:r>
    </w:p>
    <w:p w14:paraId="27C03518">
      <w:pPr>
        <w:keepNext w:val="0"/>
        <w:keepLines w:val="0"/>
        <w:pageBreakBefore w:val="0"/>
        <w:widowControl w:val="0"/>
        <w:spacing w:line="340" w:lineRule="exact"/>
        <w:ind w:firstLine="482"/>
        <w:rPr>
          <w:rFonts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附件1、省残联等六部门关于印发《江苏省残疾儿童基本康复服务管理暂行办法》的通知（苏残发〔2020〕23 号）</w:t>
      </w:r>
    </w:p>
    <w:p w14:paraId="3F032C9D">
      <w:pPr>
        <w:keepNext w:val="0"/>
        <w:keepLines w:val="0"/>
        <w:pageBreakBefore w:val="0"/>
        <w:widowControl w:val="0"/>
        <w:spacing w:line="340" w:lineRule="exact"/>
        <w:ind w:firstLine="482"/>
        <w:rPr>
          <w:rFonts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附件2、省残联等四部门关于印发《江苏省残疾儿童基本康复服务实施规范（2023版）》的通知（苏残规〔2023〕1 号）</w:t>
      </w:r>
    </w:p>
    <w:p w14:paraId="036059DC">
      <w:pPr>
        <w:keepNext w:val="0"/>
        <w:keepLines w:val="0"/>
        <w:pageBreakBefore w:val="0"/>
        <w:widowControl w:val="0"/>
        <w:spacing w:line="340" w:lineRule="exact"/>
        <w:ind w:firstLine="482"/>
        <w:rPr>
          <w:rFonts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附件3、市残联等四部门关于印发《宿迁市残疾儿童基本康复服务实施规范(2024年版)》的通知（宿残联发〔2024〕11号）</w:t>
      </w:r>
    </w:p>
    <w:p w14:paraId="61EC6675">
      <w:pPr>
        <w:keepNext w:val="0"/>
        <w:keepLines w:val="0"/>
        <w:pageBreakBefore w:val="0"/>
        <w:widowControl w:val="0"/>
        <w:spacing w:line="340" w:lineRule="exact"/>
        <w:ind w:firstLine="482"/>
        <w:rPr>
          <w:rFonts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注：以上附件，供应商须遵照和执行（如果有新文件，按照最新文件执行）。</w:t>
      </w:r>
    </w:p>
    <w:p w14:paraId="33247F3E">
      <w:pPr>
        <w:keepNext w:val="0"/>
        <w:keepLines w:val="0"/>
        <w:pageBreakBefore w:val="0"/>
        <w:widowControl w:val="0"/>
        <w:spacing w:line="340" w:lineRule="exact"/>
        <w:ind w:firstLine="482"/>
        <w:rPr>
          <w:rFonts w:hint="eastAsia" w:ascii="Times New Roman" w:hAnsi="Times New Roman" w:eastAsia="宋体" w:cs="仿宋"/>
          <w:b/>
          <w:color w:val="auto"/>
          <w:sz w:val="24"/>
          <w:highlight w:val="none"/>
          <w:lang w:val="en-US" w:eastAsia="zh-CN"/>
        </w:rPr>
      </w:pPr>
    </w:p>
    <w:p w14:paraId="15C3355E">
      <w:pPr>
        <w:keepNext w:val="0"/>
        <w:keepLines w:val="0"/>
        <w:pageBreakBefore w:val="0"/>
        <w:widowControl w:val="0"/>
        <w:spacing w:line="340" w:lineRule="exact"/>
        <w:ind w:firstLine="482"/>
        <w:rPr>
          <w:rFonts w:ascii="Times New Roman" w:hAnsi="Times New Roman" w:eastAsia="宋体" w:cs="仿宋"/>
          <w:b/>
          <w:color w:val="auto"/>
          <w:sz w:val="24"/>
          <w:highlight w:val="none"/>
          <w:lang w:val="en-US" w:eastAsia="zh-CN"/>
        </w:rPr>
      </w:pPr>
      <w:r>
        <w:rPr>
          <w:rFonts w:hint="eastAsia" w:ascii="Times New Roman" w:hAnsi="Times New Roman" w:eastAsia="宋体" w:cs="仿宋"/>
          <w:b/>
          <w:color w:val="auto"/>
          <w:sz w:val="24"/>
          <w:highlight w:val="none"/>
          <w:lang w:val="en-US" w:eastAsia="zh-CN"/>
        </w:rPr>
        <w:t>五、项目实施方案</w:t>
      </w:r>
    </w:p>
    <w:p w14:paraId="58B90366">
      <w:pPr>
        <w:keepNext w:val="0"/>
        <w:keepLines w:val="0"/>
        <w:pageBreakBefore w:val="0"/>
        <w:widowControl w:val="0"/>
        <w:spacing w:line="340" w:lineRule="exact"/>
        <w:ind w:firstLine="482"/>
        <w:rPr>
          <w:rFonts w:ascii="Times New Roman" w:hAnsi="Times New Roman" w:eastAsia="宋体" w:cs="仿宋"/>
          <w:color w:val="auto"/>
          <w:sz w:val="24"/>
          <w:highlight w:val="none"/>
          <w:lang w:val="en-US" w:eastAsia="zh-CN"/>
        </w:rPr>
      </w:pPr>
      <w:r>
        <w:rPr>
          <w:rFonts w:hint="eastAsia" w:ascii="Times New Roman" w:hAnsi="Times New Roman" w:eastAsia="宋体" w:cs="仿宋"/>
          <w:color w:val="auto"/>
          <w:sz w:val="24"/>
          <w:highlight w:val="none"/>
          <w:lang w:val="en-US" w:eastAsia="zh-CN"/>
        </w:rPr>
        <w:t>供应商针对本项目需求制定具体的服务实施方案，含项目整体组织实施团队架构、实施内容、计划及时间安排、服务措施、工作流程、服务能力等。服务实施方案应当详细，符合实际，思路清晰、科学合理可行有序，涵盖内容全面、要点突出，重点难点分析中肯且对应措施得力。</w:t>
      </w:r>
    </w:p>
    <w:p w14:paraId="1914A255">
      <w:pPr>
        <w:keepNext w:val="0"/>
        <w:keepLines w:val="0"/>
        <w:pageBreakBefore w:val="0"/>
        <w:widowControl w:val="0"/>
        <w:spacing w:line="340" w:lineRule="exact"/>
        <w:ind w:firstLine="482"/>
        <w:rPr>
          <w:rFonts w:hint="eastAsia" w:ascii="Times New Roman" w:hAnsi="Times New Roman" w:eastAsia="宋体" w:cs="仿宋"/>
          <w:b/>
          <w:bCs/>
          <w:color w:val="auto"/>
          <w:sz w:val="24"/>
          <w:highlight w:val="none"/>
          <w:lang w:val="en-US" w:eastAsia="zh-CN"/>
        </w:rPr>
      </w:pPr>
    </w:p>
    <w:p w14:paraId="3EFF0DB4">
      <w:pPr>
        <w:keepNext w:val="0"/>
        <w:keepLines w:val="0"/>
        <w:pageBreakBefore w:val="0"/>
        <w:widowControl w:val="0"/>
        <w:spacing w:line="340" w:lineRule="exact"/>
        <w:ind w:firstLine="482"/>
        <w:rPr>
          <w:rFonts w:ascii="Times New Roman" w:hAnsi="Times New Roman" w:eastAsia="宋体" w:cs="仿宋"/>
          <w:b/>
          <w:bCs/>
          <w:color w:val="auto"/>
          <w:sz w:val="24"/>
          <w:highlight w:val="none"/>
          <w:lang w:val="en-US" w:eastAsia="zh-CN"/>
        </w:rPr>
      </w:pPr>
      <w:r>
        <w:rPr>
          <w:rFonts w:hint="eastAsia" w:ascii="Times New Roman" w:hAnsi="Times New Roman" w:eastAsia="宋体" w:cs="仿宋"/>
          <w:b/>
          <w:bCs/>
          <w:color w:val="auto"/>
          <w:sz w:val="24"/>
          <w:highlight w:val="none"/>
          <w:lang w:val="en-US" w:eastAsia="zh-CN"/>
        </w:rPr>
        <w:t>六、管理方案</w:t>
      </w:r>
    </w:p>
    <w:p w14:paraId="19A128E1">
      <w:pPr>
        <w:keepNext w:val="0"/>
        <w:keepLines w:val="0"/>
        <w:pageBreakBefore w:val="0"/>
        <w:widowControl w:val="0"/>
        <w:spacing w:line="340" w:lineRule="exact"/>
        <w:ind w:firstLine="482"/>
        <w:rPr>
          <w:rFonts w:ascii="Times New Roman" w:hAnsi="Times New Roman" w:eastAsia="宋体" w:cs="仿宋"/>
          <w:color w:val="auto"/>
          <w:sz w:val="24"/>
          <w:highlight w:val="none"/>
          <w:lang w:val="en-US" w:eastAsia="zh-CN"/>
        </w:rPr>
      </w:pPr>
      <w:r>
        <w:rPr>
          <w:rFonts w:hint="eastAsia" w:ascii="Times New Roman" w:hAnsi="Times New Roman" w:eastAsia="宋体" w:cs="仿宋"/>
          <w:color w:val="auto"/>
          <w:sz w:val="24"/>
          <w:highlight w:val="none"/>
          <w:lang w:val="en-US" w:eastAsia="zh-CN"/>
        </w:rPr>
        <w:t>供应商提供的管理方案，包含服务质量管理制度、服务反馈制度、服务考核奖惩、服务承诺制度、服务对象档案管理制度、服务满意度、社会融合活动保障措施等内容。服务管理方案、制度详细，管理规范，指标、体系定位准确符合实际，指标科学可行操作性强，各项措施符合实际且操作可行有效。</w:t>
      </w:r>
    </w:p>
    <w:p w14:paraId="3F8E3FE0">
      <w:pPr>
        <w:keepNext w:val="0"/>
        <w:keepLines w:val="0"/>
        <w:pageBreakBefore w:val="0"/>
        <w:widowControl w:val="0"/>
        <w:spacing w:line="340" w:lineRule="exact"/>
        <w:ind w:firstLine="482"/>
        <w:rPr>
          <w:rFonts w:hint="eastAsia" w:ascii="Times New Roman" w:hAnsi="Times New Roman" w:eastAsia="宋体" w:cs="仿宋"/>
          <w:b/>
          <w:bCs/>
          <w:color w:val="auto"/>
          <w:sz w:val="24"/>
          <w:highlight w:val="none"/>
          <w:lang w:val="en-US" w:eastAsia="zh-CN"/>
        </w:rPr>
      </w:pPr>
    </w:p>
    <w:p w14:paraId="2F333426">
      <w:pPr>
        <w:keepNext w:val="0"/>
        <w:keepLines w:val="0"/>
        <w:pageBreakBefore w:val="0"/>
        <w:widowControl w:val="0"/>
        <w:spacing w:line="340" w:lineRule="exact"/>
        <w:ind w:firstLine="482"/>
        <w:rPr>
          <w:rFonts w:ascii="Times New Roman" w:hAnsi="Times New Roman" w:eastAsia="宋体" w:cs="仿宋"/>
          <w:b/>
          <w:bCs/>
          <w:color w:val="auto"/>
          <w:sz w:val="24"/>
          <w:highlight w:val="none"/>
          <w:lang w:val="en-US" w:eastAsia="zh-CN"/>
        </w:rPr>
      </w:pPr>
      <w:r>
        <w:rPr>
          <w:rFonts w:hint="eastAsia" w:ascii="Times New Roman" w:hAnsi="Times New Roman" w:eastAsia="宋体" w:cs="仿宋"/>
          <w:b/>
          <w:bCs/>
          <w:color w:val="auto"/>
          <w:sz w:val="24"/>
          <w:highlight w:val="none"/>
          <w:lang w:val="en-US" w:eastAsia="zh-CN"/>
        </w:rPr>
        <w:t>七、人员配置及管理方案</w:t>
      </w:r>
    </w:p>
    <w:p w14:paraId="3E4D3387">
      <w:pPr>
        <w:keepNext w:val="0"/>
        <w:keepLines w:val="0"/>
        <w:pageBreakBefore w:val="0"/>
        <w:widowControl w:val="0"/>
        <w:spacing w:line="340" w:lineRule="exact"/>
        <w:ind w:firstLine="482"/>
        <w:rPr>
          <w:rFonts w:ascii="Times New Roman" w:hAnsi="Times New Roman" w:eastAsia="宋体" w:cs="仿宋"/>
          <w:color w:val="auto"/>
          <w:sz w:val="24"/>
          <w:highlight w:val="none"/>
          <w:lang w:val="en-US" w:eastAsia="zh-CN"/>
        </w:rPr>
      </w:pPr>
      <w:r>
        <w:rPr>
          <w:rFonts w:hint="eastAsia" w:ascii="Times New Roman" w:hAnsi="Times New Roman" w:eastAsia="宋体" w:cs="仿宋"/>
          <w:color w:val="auto"/>
          <w:sz w:val="24"/>
          <w:highlight w:val="none"/>
          <w:lang w:val="en-US" w:eastAsia="zh-CN"/>
        </w:rPr>
        <w:t>供应商提供服务机构人员培训宣传及考核方案以及日常行政、业务管理合理设置职能部门，各职能部门均按需配备人员，及人员培训、考核、奖惩机制等进行综合评议，且各项工作均有专人负责，岗位职能职责定位准确，服务内容及要求界定清晰明确，服务形式及流程具体有序规范，细则要点突出、奖惩明确。</w:t>
      </w:r>
    </w:p>
    <w:p w14:paraId="61A968E4">
      <w:pPr>
        <w:keepNext w:val="0"/>
        <w:keepLines w:val="0"/>
        <w:pageBreakBefore w:val="0"/>
        <w:widowControl w:val="0"/>
        <w:spacing w:line="340" w:lineRule="exact"/>
        <w:ind w:firstLine="482"/>
        <w:rPr>
          <w:rFonts w:hint="eastAsia" w:ascii="Times New Roman" w:hAnsi="Times New Roman" w:eastAsia="宋体" w:cs="仿宋"/>
          <w:b/>
          <w:bCs/>
          <w:color w:val="auto"/>
          <w:sz w:val="24"/>
          <w:highlight w:val="none"/>
          <w:lang w:val="en-US" w:eastAsia="zh-CN"/>
        </w:rPr>
      </w:pPr>
    </w:p>
    <w:p w14:paraId="1BCB17A2">
      <w:pPr>
        <w:keepNext w:val="0"/>
        <w:keepLines w:val="0"/>
        <w:pageBreakBefore w:val="0"/>
        <w:widowControl w:val="0"/>
        <w:spacing w:line="340" w:lineRule="exact"/>
        <w:ind w:firstLine="482"/>
        <w:rPr>
          <w:rFonts w:ascii="Times New Roman" w:hAnsi="Times New Roman" w:eastAsia="宋体" w:cs="仿宋"/>
          <w:b/>
          <w:bCs/>
          <w:color w:val="auto"/>
          <w:sz w:val="24"/>
          <w:highlight w:val="none"/>
          <w:lang w:val="en-US" w:eastAsia="zh-CN"/>
        </w:rPr>
      </w:pPr>
      <w:r>
        <w:rPr>
          <w:rFonts w:hint="eastAsia" w:ascii="Times New Roman" w:hAnsi="Times New Roman" w:eastAsia="宋体" w:cs="仿宋"/>
          <w:b/>
          <w:bCs/>
          <w:color w:val="auto"/>
          <w:sz w:val="24"/>
          <w:highlight w:val="none"/>
          <w:lang w:val="en-US" w:eastAsia="zh-CN"/>
        </w:rPr>
        <w:t>八</w:t>
      </w:r>
      <w:r>
        <w:rPr>
          <w:rFonts w:ascii="Times New Roman" w:hAnsi="Times New Roman" w:eastAsia="宋体" w:cs="仿宋"/>
          <w:b/>
          <w:bCs/>
          <w:color w:val="auto"/>
          <w:sz w:val="24"/>
          <w:highlight w:val="none"/>
          <w:lang w:val="en-US" w:eastAsia="zh-CN"/>
        </w:rPr>
        <w:t>、应急预案</w:t>
      </w:r>
    </w:p>
    <w:p w14:paraId="538C6021">
      <w:pPr>
        <w:keepNext w:val="0"/>
        <w:keepLines w:val="0"/>
        <w:pageBreakBefore w:val="0"/>
        <w:widowControl w:val="0"/>
        <w:spacing w:line="340" w:lineRule="exact"/>
        <w:ind w:firstLine="482"/>
        <w:rPr>
          <w:rFonts w:ascii="Times New Roman" w:hAnsi="Times New Roman" w:eastAsia="宋体" w:cs="仿宋"/>
          <w:color w:val="auto"/>
          <w:sz w:val="24"/>
          <w:highlight w:val="none"/>
          <w:lang w:val="en-US" w:eastAsia="zh-CN"/>
        </w:rPr>
      </w:pPr>
      <w:r>
        <w:rPr>
          <w:rFonts w:hint="eastAsia" w:ascii="Times New Roman" w:hAnsi="Times New Roman" w:eastAsia="宋体" w:cs="仿宋"/>
          <w:color w:val="auto"/>
          <w:sz w:val="24"/>
          <w:highlight w:val="none"/>
          <w:lang w:val="en-US" w:eastAsia="zh-CN"/>
        </w:rPr>
        <w:t>供应商针对本项目制定的突发事件应急预案（内容包括但不限于在服务过程中康复对象出现意外情况的应对方案、服务人员出现意外情况的应对方案，以及突发公共卫生事件的应对方案等），保证在日常运行及突发事件中正常运行的应急措施的科学合理和全面综合。</w:t>
      </w:r>
    </w:p>
    <w:p w14:paraId="7492CC04">
      <w:pPr>
        <w:keepNext w:val="0"/>
        <w:keepLines w:val="0"/>
        <w:pageBreakBefore w:val="0"/>
        <w:widowControl w:val="0"/>
        <w:spacing w:line="340" w:lineRule="exact"/>
        <w:ind w:firstLine="482"/>
        <w:rPr>
          <w:rFonts w:hint="eastAsia" w:ascii="Times New Roman" w:hAnsi="Times New Roman" w:eastAsia="宋体" w:cs="仿宋"/>
          <w:b/>
          <w:bCs/>
          <w:color w:val="auto"/>
          <w:sz w:val="24"/>
          <w:highlight w:val="none"/>
          <w:lang w:val="en-US" w:eastAsia="zh-CN"/>
        </w:rPr>
      </w:pPr>
    </w:p>
    <w:p w14:paraId="11FC4D18">
      <w:pPr>
        <w:keepNext w:val="0"/>
        <w:keepLines w:val="0"/>
        <w:pageBreakBefore w:val="0"/>
        <w:widowControl w:val="0"/>
        <w:spacing w:line="340" w:lineRule="exact"/>
        <w:ind w:firstLine="482"/>
        <w:rPr>
          <w:rFonts w:ascii="Times New Roman" w:hAnsi="Times New Roman" w:eastAsia="宋体" w:cs="仿宋"/>
          <w:b/>
          <w:bCs/>
          <w:color w:val="auto"/>
          <w:sz w:val="24"/>
          <w:highlight w:val="none"/>
          <w:lang w:val="en-US" w:eastAsia="zh-CN"/>
        </w:rPr>
      </w:pPr>
      <w:r>
        <w:rPr>
          <w:rFonts w:hint="eastAsia" w:ascii="Times New Roman" w:hAnsi="Times New Roman" w:eastAsia="宋体" w:cs="仿宋"/>
          <w:b/>
          <w:bCs/>
          <w:color w:val="auto"/>
          <w:sz w:val="24"/>
          <w:highlight w:val="none"/>
          <w:lang w:val="en-US" w:eastAsia="zh-CN"/>
        </w:rPr>
        <w:t>九</w:t>
      </w:r>
      <w:r>
        <w:rPr>
          <w:rFonts w:ascii="Times New Roman" w:hAnsi="Times New Roman" w:eastAsia="宋体" w:cs="仿宋"/>
          <w:b/>
          <w:bCs/>
          <w:color w:val="auto"/>
          <w:sz w:val="24"/>
          <w:highlight w:val="none"/>
          <w:lang w:val="en-US" w:eastAsia="zh-CN"/>
        </w:rPr>
        <w:t>、</w:t>
      </w:r>
      <w:r>
        <w:rPr>
          <w:rFonts w:hint="eastAsia" w:ascii="Times New Roman" w:hAnsi="Times New Roman" w:eastAsia="宋体" w:cs="仿宋"/>
          <w:b/>
          <w:bCs/>
          <w:color w:val="auto"/>
          <w:sz w:val="24"/>
          <w:highlight w:val="none"/>
          <w:lang w:val="en-US" w:eastAsia="zh-CN"/>
        </w:rPr>
        <w:t>其它</w:t>
      </w:r>
    </w:p>
    <w:p w14:paraId="10224E32">
      <w:pPr>
        <w:keepNext w:val="0"/>
        <w:keepLines w:val="0"/>
        <w:pageBreakBefore w:val="0"/>
        <w:widowControl w:val="0"/>
        <w:spacing w:line="340" w:lineRule="exact"/>
        <w:ind w:firstLine="482"/>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1、</w:t>
      </w:r>
      <w:r>
        <w:rPr>
          <w:rFonts w:ascii="Times New Roman" w:hAnsi="Times New Roman" w:eastAsia="宋体" w:cs="仿宋"/>
          <w:color w:val="auto"/>
          <w:sz w:val="24"/>
          <w:highlight w:val="none"/>
        </w:rPr>
        <w:t>本项目</w:t>
      </w:r>
      <w:r>
        <w:rPr>
          <w:rFonts w:hint="eastAsia" w:ascii="Times New Roman" w:hAnsi="Times New Roman" w:eastAsia="宋体" w:cs="仿宋"/>
          <w:color w:val="auto"/>
          <w:sz w:val="24"/>
          <w:highlight w:val="none"/>
        </w:rPr>
        <w:t>采用固定价，投标人无需进行报价。最终按考核结果据实结算。不接受备选的投标方案或有选择的报价。价格内容主要包含：所有涉及到本次服务项目的一切相关费用，包括完成该项目的成本、利润、税金、开办费、技术措施费、服务实施过程现场服务咨询、宣传费、资料增加成本费、风险费、政策性文件规定费</w:t>
      </w:r>
      <w:r>
        <w:rPr>
          <w:rFonts w:hint="eastAsia" w:ascii="Times New Roman" w:hAnsi="Times New Roman" w:eastAsia="宋体" w:cs="仿宋"/>
          <w:color w:val="auto"/>
          <w:sz w:val="24"/>
          <w:highlight w:val="none"/>
          <w:lang w:val="en-US" w:eastAsia="zh-CN"/>
        </w:rPr>
        <w:t>用等所有与本项目关联的一切费用；必须包括合同项目成本费、税费及其他不</w:t>
      </w:r>
      <w:r>
        <w:rPr>
          <w:rFonts w:hint="eastAsia" w:ascii="Times New Roman" w:hAnsi="Times New Roman" w:eastAsia="宋体" w:cs="仿宋"/>
          <w:color w:val="auto"/>
          <w:sz w:val="24"/>
          <w:highlight w:val="none"/>
        </w:rPr>
        <w:t>可预见费等全部费用。</w:t>
      </w:r>
    </w:p>
    <w:p w14:paraId="6D3D49C4">
      <w:pPr>
        <w:keepNext w:val="0"/>
        <w:keepLines w:val="0"/>
        <w:pageBreakBefore w:val="0"/>
        <w:widowControl w:val="0"/>
        <w:spacing w:line="340" w:lineRule="exact"/>
        <w:ind w:firstLine="482"/>
        <w:rPr>
          <w:rFonts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2、供应商投标时应充分考虑所有可能影响到后期服务的因素，自行踏勘了解，因勘察不足或不全面，导致投标人投标和经营管理产生的风险由投标人自行承担。一旦最终中标，单价将包定，不予调整。</w:t>
      </w:r>
    </w:p>
    <w:p w14:paraId="65859B10">
      <w:pPr>
        <w:keepNext w:val="0"/>
        <w:keepLines w:val="0"/>
        <w:pageBreakBefore w:val="0"/>
        <w:widowControl w:val="0"/>
        <w:spacing w:line="340" w:lineRule="exact"/>
        <w:ind w:firstLine="482"/>
        <w:rPr>
          <w:rFonts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3、</w:t>
      </w:r>
      <w:r>
        <w:rPr>
          <w:rFonts w:hint="eastAsia" w:ascii="Times New Roman" w:hAnsi="Times New Roman" w:eastAsia="宋体" w:cs="仿宋"/>
          <w:color w:val="auto"/>
          <w:sz w:val="24"/>
          <w:highlight w:val="none"/>
          <w:lang w:val="en-US" w:eastAsia="zh-CN"/>
        </w:rPr>
        <w:t>中标后，中标供应商自行负责为完成本项目而提供的对应人员工资及其他相关费用</w:t>
      </w:r>
      <w:r>
        <w:rPr>
          <w:rFonts w:hint="eastAsia" w:ascii="Times New Roman" w:hAnsi="Times New Roman" w:eastAsia="宋体" w:cs="仿宋"/>
          <w:color w:val="auto"/>
          <w:sz w:val="24"/>
          <w:highlight w:val="none"/>
        </w:rPr>
        <w:t>。</w:t>
      </w:r>
    </w:p>
    <w:p w14:paraId="7BC13E35">
      <w:pPr>
        <w:keepNext w:val="0"/>
        <w:keepLines w:val="0"/>
        <w:pageBreakBefore w:val="0"/>
        <w:widowControl w:val="0"/>
        <w:spacing w:line="340" w:lineRule="exact"/>
        <w:ind w:firstLine="482"/>
        <w:rPr>
          <w:rFonts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4、重要指标：招标文件在采购需求中列出了采购人可以接受的最低服务指标，投标供应商必须对服务要求中各项服务和指标进行实质性响应，所推荐的每一项服务在性能上不能低于所列的各项指标。</w:t>
      </w:r>
    </w:p>
    <w:p w14:paraId="13C9149A">
      <w:pPr>
        <w:keepNext w:val="0"/>
        <w:keepLines w:val="0"/>
        <w:pageBreakBefore w:val="0"/>
        <w:widowControl w:val="0"/>
        <w:spacing w:line="340" w:lineRule="exact"/>
        <w:ind w:firstLine="482"/>
        <w:rPr>
          <w:rFonts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注：以上与本项目关联的人员及其他配置安排，均须满足本项目功能服务需</w:t>
      </w:r>
      <w:r>
        <w:rPr>
          <w:rFonts w:hint="eastAsia" w:ascii="Times New Roman" w:hAnsi="Times New Roman" w:eastAsia="宋体" w:cs="仿宋"/>
          <w:color w:val="auto"/>
          <w:sz w:val="24"/>
          <w:highlight w:val="none"/>
        </w:rPr>
        <w:t>求和采购人需求。</w:t>
      </w:r>
    </w:p>
    <w:p w14:paraId="32208AFC">
      <w:pPr>
        <w:keepNext w:val="0"/>
        <w:keepLines w:val="0"/>
        <w:pageBreakBefore w:val="0"/>
        <w:widowControl w:val="0"/>
        <w:spacing w:line="340" w:lineRule="exact"/>
        <w:ind w:firstLine="482"/>
        <w:rPr>
          <w:rFonts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5、保险要求：供应商应为在训儿童购买意外伤害保险或公众责任险。</w:t>
      </w:r>
    </w:p>
    <w:p w14:paraId="12CC074C">
      <w:pPr>
        <w:rPr>
          <w:rFonts w:eastAsia="宋体" w:cs="Times New Roman"/>
          <w:color w:val="auto"/>
          <w:highlight w:val="none"/>
        </w:rPr>
      </w:pPr>
    </w:p>
    <w:p w14:paraId="31019B1B">
      <w:pPr>
        <w:pStyle w:val="38"/>
        <w:spacing w:before="200"/>
        <w:jc w:val="center"/>
        <w:rPr>
          <w:rFonts w:hint="eastAsia" w:ascii="Calibri" w:hAnsi="Calibri" w:eastAsia="宋体" w:cs="Times New Roman"/>
          <w:b/>
          <w:color w:val="auto"/>
          <w:sz w:val="44"/>
          <w:szCs w:val="44"/>
          <w:highlight w:val="none"/>
        </w:rPr>
      </w:pPr>
    </w:p>
    <w:p w14:paraId="6533A643">
      <w:pPr>
        <w:pStyle w:val="38"/>
        <w:spacing w:before="200"/>
        <w:jc w:val="center"/>
        <w:rPr>
          <w:rFonts w:hint="eastAsia" w:ascii="Calibri" w:hAnsi="Calibri" w:eastAsia="宋体" w:cs="Times New Roman"/>
          <w:b/>
          <w:color w:val="auto"/>
          <w:sz w:val="44"/>
          <w:szCs w:val="44"/>
          <w:highlight w:val="none"/>
        </w:rPr>
      </w:pPr>
    </w:p>
    <w:p w14:paraId="5AD26758">
      <w:pPr>
        <w:rPr>
          <w:rFonts w:hint="eastAsia"/>
          <w:color w:val="auto"/>
          <w:highlight w:val="none"/>
        </w:rPr>
      </w:pPr>
    </w:p>
    <w:p w14:paraId="588D507A">
      <w:pPr>
        <w:pStyle w:val="38"/>
        <w:spacing w:before="200"/>
        <w:jc w:val="center"/>
        <w:rPr>
          <w:rFonts w:hint="eastAsia" w:ascii="Calibri" w:hAnsi="Calibri" w:eastAsia="宋体" w:cs="Times New Roman"/>
          <w:b/>
          <w:color w:val="auto"/>
          <w:sz w:val="44"/>
          <w:szCs w:val="44"/>
          <w:highlight w:val="none"/>
        </w:rPr>
      </w:pPr>
    </w:p>
    <w:p w14:paraId="2B7C3D33">
      <w:pPr>
        <w:rPr>
          <w:rFonts w:hint="eastAsia"/>
          <w:color w:val="auto"/>
          <w:highlight w:val="none"/>
        </w:rPr>
      </w:pPr>
    </w:p>
    <w:p w14:paraId="0E2CA628">
      <w:pPr>
        <w:pStyle w:val="38"/>
        <w:spacing w:before="200"/>
        <w:jc w:val="center"/>
        <w:rPr>
          <w:rFonts w:hint="eastAsia" w:ascii="Calibri" w:hAnsi="Calibri" w:eastAsia="宋体" w:cs="Times New Roman"/>
          <w:b/>
          <w:bCs/>
          <w:color w:val="auto"/>
          <w:sz w:val="44"/>
          <w:szCs w:val="44"/>
          <w:highlight w:val="none"/>
        </w:rPr>
      </w:pPr>
    </w:p>
    <w:p w14:paraId="049991D3">
      <w:pPr>
        <w:pStyle w:val="38"/>
        <w:spacing w:before="200"/>
        <w:jc w:val="center"/>
        <w:rPr>
          <w:rFonts w:hint="eastAsia" w:ascii="Calibri" w:hAnsi="Calibri" w:eastAsia="宋体" w:cs="Times New Roman"/>
          <w:b/>
          <w:color w:val="auto"/>
          <w:sz w:val="44"/>
          <w:szCs w:val="44"/>
          <w:highlight w:val="none"/>
        </w:rPr>
      </w:pPr>
    </w:p>
    <w:p w14:paraId="5191311A">
      <w:pPr>
        <w:rPr>
          <w:rFonts w:hint="eastAsia" w:ascii="Calibri" w:hAnsi="Calibri" w:eastAsia="宋体" w:cs="Times New Roman"/>
          <w:b/>
          <w:color w:val="auto"/>
          <w:sz w:val="44"/>
          <w:szCs w:val="44"/>
          <w:highlight w:val="none"/>
        </w:rPr>
      </w:pPr>
    </w:p>
    <w:p w14:paraId="09EB64F2">
      <w:pPr>
        <w:rPr>
          <w:rFonts w:hint="eastAsia" w:ascii="Calibri" w:hAnsi="Calibri" w:eastAsia="宋体" w:cs="Times New Roman"/>
          <w:b/>
          <w:color w:val="auto"/>
          <w:sz w:val="44"/>
          <w:szCs w:val="44"/>
          <w:highlight w:val="none"/>
        </w:rPr>
      </w:pPr>
    </w:p>
    <w:p w14:paraId="0B84AF9C">
      <w:pPr>
        <w:pStyle w:val="38"/>
        <w:spacing w:before="200"/>
        <w:jc w:val="center"/>
        <w:rPr>
          <w:rFonts w:hint="eastAsia" w:ascii="Calibri" w:hAnsi="Calibri" w:eastAsia="宋体" w:cs="Times New Roman"/>
          <w:b/>
          <w:bCs/>
          <w:color w:val="auto"/>
          <w:sz w:val="44"/>
          <w:szCs w:val="44"/>
          <w:highlight w:val="none"/>
        </w:rPr>
      </w:pPr>
      <w:r>
        <w:rPr>
          <w:rFonts w:hint="eastAsia" w:ascii="Calibri" w:hAnsi="Calibri" w:eastAsia="宋体" w:cs="Times New Roman"/>
          <w:b/>
          <w:color w:val="auto"/>
          <w:sz w:val="44"/>
          <w:szCs w:val="44"/>
          <w:highlight w:val="none"/>
        </w:rPr>
        <w:t>第五章</w:t>
      </w:r>
      <w:r>
        <w:rPr>
          <w:rFonts w:ascii="Calibri" w:hAnsi="Calibri" w:eastAsia="宋体" w:cs="Times New Roman"/>
          <w:b/>
          <w:color w:val="auto"/>
          <w:sz w:val="44"/>
          <w:szCs w:val="44"/>
          <w:highlight w:val="none"/>
        </w:rPr>
        <w:t xml:space="preserve">  </w:t>
      </w:r>
      <w:r>
        <w:rPr>
          <w:rFonts w:hint="eastAsia" w:ascii="Calibri" w:hAnsi="Calibri" w:eastAsia="宋体" w:cs="Times New Roman"/>
          <w:b/>
          <w:color w:val="auto"/>
          <w:sz w:val="44"/>
          <w:szCs w:val="44"/>
          <w:highlight w:val="none"/>
        </w:rPr>
        <w:t>合同文本</w:t>
      </w:r>
      <w:bookmarkEnd w:id="121"/>
      <w:bookmarkEnd w:id="122"/>
      <w:bookmarkEnd w:id="123"/>
      <w:bookmarkEnd w:id="124"/>
      <w:bookmarkEnd w:id="125"/>
      <w:bookmarkStart w:id="126" w:name="_Toc16938559"/>
      <w:bookmarkStart w:id="127" w:name="_Toc20823315"/>
      <w:bookmarkStart w:id="128" w:name="_Toc513029243"/>
    </w:p>
    <w:p w14:paraId="3422AE63">
      <w:pPr>
        <w:spacing w:line="400" w:lineRule="exact"/>
        <w:rPr>
          <w:rFonts w:ascii="宋体" w:hAnsi="宋体"/>
          <w:bCs/>
          <w:color w:val="auto"/>
          <w:sz w:val="24"/>
          <w:szCs w:val="24"/>
          <w:highlight w:val="none"/>
        </w:rPr>
      </w:pPr>
    </w:p>
    <w:p w14:paraId="541998DA">
      <w:pPr>
        <w:spacing w:line="400" w:lineRule="exact"/>
        <w:rPr>
          <w:rFonts w:hint="eastAsia" w:ascii="宋体" w:hAnsi="宋体"/>
          <w:bCs/>
          <w:color w:val="auto"/>
          <w:sz w:val="24"/>
          <w:szCs w:val="24"/>
          <w:highlight w:val="none"/>
        </w:rPr>
      </w:pPr>
    </w:p>
    <w:p w14:paraId="50C59CA6">
      <w:pPr>
        <w:spacing w:line="400" w:lineRule="exact"/>
        <w:rPr>
          <w:rFonts w:hint="eastAsia" w:ascii="宋体" w:hAnsi="宋体"/>
          <w:bCs/>
          <w:color w:val="auto"/>
          <w:sz w:val="24"/>
          <w:szCs w:val="24"/>
          <w:highlight w:val="none"/>
        </w:rPr>
      </w:pPr>
    </w:p>
    <w:p w14:paraId="4281FA76">
      <w:pPr>
        <w:spacing w:line="400" w:lineRule="exact"/>
        <w:rPr>
          <w:rFonts w:hint="eastAsia" w:ascii="宋体" w:hAnsi="宋体"/>
          <w:bCs/>
          <w:color w:val="auto"/>
          <w:sz w:val="24"/>
          <w:szCs w:val="24"/>
          <w:highlight w:val="none"/>
        </w:rPr>
      </w:pPr>
    </w:p>
    <w:p w14:paraId="46FA812E">
      <w:pPr>
        <w:spacing w:line="400" w:lineRule="exact"/>
        <w:rPr>
          <w:rFonts w:hint="eastAsia" w:ascii="宋体" w:hAnsi="宋体"/>
          <w:bCs/>
          <w:color w:val="auto"/>
          <w:sz w:val="24"/>
          <w:szCs w:val="24"/>
          <w:highlight w:val="none"/>
        </w:rPr>
      </w:pPr>
    </w:p>
    <w:p w14:paraId="481A943F">
      <w:pPr>
        <w:spacing w:line="500" w:lineRule="exact"/>
        <w:rPr>
          <w:rFonts w:hint="eastAsia" w:ascii="宋体" w:hAnsi="宋体"/>
          <w:bCs/>
          <w:color w:val="auto"/>
          <w:sz w:val="24"/>
          <w:szCs w:val="24"/>
          <w:highlight w:val="none"/>
        </w:rPr>
      </w:pPr>
    </w:p>
    <w:p w14:paraId="1420893F">
      <w:pPr>
        <w:pStyle w:val="75"/>
        <w:jc w:val="center"/>
        <w:rPr>
          <w:rFonts w:ascii="宋体" w:hAnsi="宋体" w:eastAsia="宋体" w:cs="宋体"/>
          <w:b/>
          <w:bCs/>
          <w:color w:val="auto"/>
          <w:spacing w:val="-20"/>
          <w:highlight w:val="none"/>
          <w:lang w:eastAsia="zh-CN"/>
        </w:rPr>
      </w:pPr>
    </w:p>
    <w:p w14:paraId="7D0BE717">
      <w:pPr>
        <w:pStyle w:val="75"/>
        <w:jc w:val="center"/>
        <w:rPr>
          <w:rFonts w:ascii="宋体" w:hAnsi="宋体" w:eastAsia="宋体" w:cs="宋体"/>
          <w:b/>
          <w:bCs/>
          <w:color w:val="auto"/>
          <w:spacing w:val="-20"/>
          <w:highlight w:val="none"/>
          <w:lang w:eastAsia="zh-CN"/>
        </w:rPr>
      </w:pPr>
      <w:bookmarkStart w:id="129" w:name="_Hlk187856708"/>
    </w:p>
    <w:p w14:paraId="07CDA1C8">
      <w:pPr>
        <w:pStyle w:val="75"/>
        <w:jc w:val="center"/>
        <w:rPr>
          <w:rFonts w:hint="eastAsia" w:ascii="宋体" w:hAnsi="宋体" w:eastAsia="宋体" w:cs="宋体"/>
          <w:b/>
          <w:bCs/>
          <w:color w:val="auto"/>
          <w:spacing w:val="0"/>
          <w:sz w:val="32"/>
          <w:highlight w:val="none"/>
          <w:lang w:eastAsia="zh-CN"/>
        </w:rPr>
      </w:pPr>
      <w:r>
        <w:rPr>
          <w:rFonts w:hint="eastAsia" w:ascii="宋体" w:hAnsi="宋体" w:eastAsia="宋体" w:cs="宋体"/>
          <w:b/>
          <w:bCs/>
          <w:color w:val="auto"/>
          <w:spacing w:val="0"/>
          <w:sz w:val="32"/>
          <w:highlight w:val="none"/>
          <w:lang w:eastAsia="zh-CN"/>
        </w:rPr>
        <w:t>政府采购</w:t>
      </w:r>
      <w:r>
        <w:rPr>
          <w:rFonts w:hint="eastAsia" w:ascii="宋体" w:hAnsi="宋体" w:eastAsia="宋体" w:cs="宋体"/>
          <w:b/>
          <w:bCs/>
          <w:color w:val="auto"/>
          <w:spacing w:val="0"/>
          <w:sz w:val="32"/>
          <w:highlight w:val="none"/>
          <w:lang w:val="en-US" w:eastAsia="zh-CN"/>
        </w:rPr>
        <w:t>服务</w:t>
      </w:r>
      <w:r>
        <w:rPr>
          <w:rFonts w:hint="eastAsia" w:ascii="宋体" w:hAnsi="宋体" w:eastAsia="宋体" w:cs="宋体"/>
          <w:b/>
          <w:bCs/>
          <w:color w:val="auto"/>
          <w:spacing w:val="0"/>
          <w:sz w:val="32"/>
          <w:highlight w:val="none"/>
          <w:lang w:eastAsia="zh-CN"/>
        </w:rPr>
        <w:t>合同</w:t>
      </w:r>
    </w:p>
    <w:p w14:paraId="15A92885">
      <w:pPr>
        <w:pStyle w:val="75"/>
        <w:jc w:val="center"/>
        <w:rPr>
          <w:rFonts w:ascii="宋体" w:hAnsi="宋体" w:eastAsia="宋体" w:cs="宋体"/>
          <w:b/>
          <w:bCs/>
          <w:color w:val="auto"/>
          <w:spacing w:val="-20"/>
          <w:highlight w:val="none"/>
          <w:lang w:eastAsia="zh-CN"/>
        </w:rPr>
      </w:pPr>
      <w:r>
        <w:rPr>
          <w:rFonts w:hint="eastAsia" w:ascii="宋体" w:hAnsi="宋体" w:eastAsia="宋体" w:cs="宋体"/>
          <w:b/>
          <w:bCs/>
          <w:color w:val="auto"/>
          <w:spacing w:val="-20"/>
          <w:highlight w:val="none"/>
          <w:lang w:eastAsia="zh-CN"/>
        </w:rPr>
        <w:t>范    本</w:t>
      </w:r>
    </w:p>
    <w:p w14:paraId="428A7BF6">
      <w:pPr>
        <w:rPr>
          <w:rFonts w:ascii="宋体" w:hAnsi="宋体" w:cs="宋体"/>
          <w:b/>
          <w:bCs/>
          <w:color w:val="auto"/>
          <w:spacing w:val="-20"/>
          <w:sz w:val="40"/>
          <w:szCs w:val="40"/>
          <w:highlight w:val="none"/>
        </w:rPr>
      </w:pPr>
    </w:p>
    <w:p w14:paraId="63F8A667">
      <w:pPr>
        <w:rPr>
          <w:rFonts w:ascii="宋体" w:hAnsi="宋体" w:cs="宋体"/>
          <w:b/>
          <w:bCs/>
          <w:color w:val="auto"/>
          <w:spacing w:val="-20"/>
          <w:sz w:val="40"/>
          <w:szCs w:val="40"/>
          <w:highlight w:val="none"/>
        </w:rPr>
      </w:pPr>
    </w:p>
    <w:p w14:paraId="383CFFAE">
      <w:pPr>
        <w:rPr>
          <w:rFonts w:ascii="宋体" w:hAnsi="宋体" w:cs="宋体"/>
          <w:b/>
          <w:bCs/>
          <w:color w:val="auto"/>
          <w:spacing w:val="-20"/>
          <w:sz w:val="40"/>
          <w:szCs w:val="40"/>
          <w:highlight w:val="none"/>
        </w:rPr>
      </w:pPr>
    </w:p>
    <w:p w14:paraId="1C0A488A">
      <w:pPr>
        <w:spacing w:line="360" w:lineRule="auto"/>
        <w:ind w:left="420"/>
        <w:rPr>
          <w:color w:val="auto"/>
          <w:sz w:val="28"/>
          <w:szCs w:val="28"/>
          <w:highlight w:val="none"/>
        </w:rPr>
      </w:pPr>
      <w:r>
        <w:rPr>
          <w:rFonts w:hint="eastAsia" w:ascii="宋体" w:hAnsi="宋体" w:cs="宋体"/>
          <w:color w:val="auto"/>
          <w:sz w:val="28"/>
          <w:szCs w:val="28"/>
          <w:highlight w:val="none"/>
        </w:rPr>
        <w:t>项目名称：</w:t>
      </w:r>
      <w:r>
        <w:rPr>
          <w:rFonts w:hint="eastAsia"/>
          <w:color w:val="auto"/>
          <w:sz w:val="28"/>
          <w:szCs w:val="28"/>
          <w:highlight w:val="none"/>
          <w:u w:val="single"/>
        </w:rPr>
        <w:t xml:space="preserve">                             </w:t>
      </w:r>
    </w:p>
    <w:p w14:paraId="5E1900EB">
      <w:pPr>
        <w:spacing w:line="360" w:lineRule="auto"/>
        <w:ind w:left="420"/>
        <w:rPr>
          <w:color w:val="auto"/>
          <w:sz w:val="28"/>
          <w:szCs w:val="28"/>
          <w:highlight w:val="none"/>
          <w:u w:val="single"/>
        </w:rPr>
      </w:pPr>
      <w:r>
        <w:rPr>
          <w:rFonts w:hint="eastAsia"/>
          <w:color w:val="auto"/>
          <w:sz w:val="28"/>
          <w:szCs w:val="28"/>
          <w:highlight w:val="none"/>
        </w:rPr>
        <w:t>合同编号：</w:t>
      </w:r>
      <w:r>
        <w:rPr>
          <w:rFonts w:hint="eastAsia"/>
          <w:color w:val="auto"/>
          <w:sz w:val="28"/>
          <w:szCs w:val="28"/>
          <w:highlight w:val="none"/>
          <w:u w:val="single"/>
        </w:rPr>
        <w:t xml:space="preserve">                             </w:t>
      </w:r>
    </w:p>
    <w:p w14:paraId="412C5C66">
      <w:pPr>
        <w:spacing w:line="360" w:lineRule="auto"/>
        <w:ind w:left="420"/>
        <w:rPr>
          <w:color w:val="auto"/>
          <w:sz w:val="28"/>
          <w:szCs w:val="28"/>
          <w:highlight w:val="none"/>
        </w:rPr>
      </w:pPr>
      <w:r>
        <w:rPr>
          <w:rFonts w:hint="eastAsia"/>
          <w:color w:val="auto"/>
          <w:sz w:val="28"/>
          <w:szCs w:val="28"/>
          <w:highlight w:val="none"/>
        </w:rPr>
        <w:t>甲    方：</w:t>
      </w:r>
      <w:r>
        <w:rPr>
          <w:rFonts w:hint="eastAsia"/>
          <w:color w:val="auto"/>
          <w:sz w:val="28"/>
          <w:szCs w:val="28"/>
          <w:highlight w:val="none"/>
          <w:u w:val="single"/>
        </w:rPr>
        <w:t xml:space="preserve">                             </w:t>
      </w:r>
    </w:p>
    <w:p w14:paraId="3EA68876">
      <w:pPr>
        <w:spacing w:line="360" w:lineRule="auto"/>
        <w:ind w:left="420"/>
        <w:rPr>
          <w:color w:val="auto"/>
          <w:sz w:val="28"/>
          <w:szCs w:val="28"/>
          <w:highlight w:val="none"/>
          <w:u w:val="single"/>
        </w:rPr>
      </w:pPr>
      <w:r>
        <w:rPr>
          <w:rFonts w:hint="eastAsia"/>
          <w:color w:val="auto"/>
          <w:sz w:val="28"/>
          <w:szCs w:val="28"/>
          <w:highlight w:val="none"/>
        </w:rPr>
        <w:t>乙    方：</w:t>
      </w:r>
      <w:r>
        <w:rPr>
          <w:rFonts w:hint="eastAsia"/>
          <w:color w:val="auto"/>
          <w:sz w:val="28"/>
          <w:szCs w:val="28"/>
          <w:highlight w:val="none"/>
          <w:u w:val="single"/>
        </w:rPr>
        <w:t xml:space="preserve">                             </w:t>
      </w:r>
    </w:p>
    <w:p w14:paraId="412FC25D">
      <w:pPr>
        <w:spacing w:line="360" w:lineRule="auto"/>
        <w:ind w:left="420"/>
        <w:rPr>
          <w:color w:val="auto"/>
          <w:sz w:val="28"/>
          <w:szCs w:val="28"/>
          <w:highlight w:val="none"/>
        </w:rPr>
      </w:pPr>
      <w:r>
        <w:rPr>
          <w:rFonts w:hint="eastAsia"/>
          <w:color w:val="auto"/>
          <w:sz w:val="28"/>
          <w:szCs w:val="28"/>
          <w:highlight w:val="none"/>
        </w:rPr>
        <w:t>签订时间：</w:t>
      </w:r>
      <w:r>
        <w:rPr>
          <w:rFonts w:hint="eastAsia"/>
          <w:color w:val="auto"/>
          <w:sz w:val="28"/>
          <w:szCs w:val="28"/>
          <w:highlight w:val="none"/>
          <w:u w:val="single"/>
        </w:rPr>
        <w:t xml:space="preserve">      </w:t>
      </w:r>
      <w:r>
        <w:rPr>
          <w:color w:val="auto"/>
          <w:sz w:val="28"/>
          <w:szCs w:val="28"/>
          <w:highlight w:val="none"/>
          <w:u w:val="single"/>
        </w:rPr>
        <w:t xml:space="preserve">           </w:t>
      </w:r>
      <w:r>
        <w:rPr>
          <w:rFonts w:hint="eastAsia"/>
          <w:color w:val="auto"/>
          <w:sz w:val="28"/>
          <w:szCs w:val="28"/>
          <w:highlight w:val="none"/>
          <w:u w:val="single"/>
        </w:rPr>
        <w:t xml:space="preserve">            </w:t>
      </w:r>
      <w:bookmarkEnd w:id="129"/>
    </w:p>
    <w:p w14:paraId="60E5B80F">
      <w:pPr>
        <w:rPr>
          <w:color w:val="auto"/>
          <w:highlight w:val="none"/>
        </w:rPr>
      </w:pPr>
    </w:p>
    <w:p w14:paraId="5A7C3322">
      <w:pPr>
        <w:rPr>
          <w:rFonts w:eastAsia="黑体"/>
          <w:color w:val="auto"/>
          <w:sz w:val="44"/>
          <w:szCs w:val="44"/>
          <w:highlight w:val="none"/>
        </w:rPr>
      </w:pPr>
    </w:p>
    <w:p w14:paraId="64FBC218">
      <w:pPr>
        <w:rPr>
          <w:rFonts w:eastAsia="黑体"/>
          <w:color w:val="auto"/>
          <w:sz w:val="44"/>
          <w:szCs w:val="44"/>
          <w:highlight w:val="none"/>
        </w:rPr>
      </w:pPr>
    </w:p>
    <w:p w14:paraId="2F4CD14F">
      <w:pPr>
        <w:rPr>
          <w:rFonts w:eastAsia="黑体"/>
          <w:color w:val="auto"/>
          <w:sz w:val="44"/>
          <w:szCs w:val="44"/>
          <w:highlight w:val="none"/>
        </w:rPr>
      </w:pPr>
    </w:p>
    <w:p w14:paraId="41DB6CBE">
      <w:pPr>
        <w:rPr>
          <w:rFonts w:eastAsia="黑体"/>
          <w:color w:val="auto"/>
          <w:sz w:val="44"/>
          <w:szCs w:val="44"/>
          <w:highlight w:val="none"/>
        </w:rPr>
      </w:pPr>
    </w:p>
    <w:p w14:paraId="27074AE1">
      <w:pPr>
        <w:jc w:val="center"/>
        <w:rPr>
          <w:rFonts w:ascii="宋体" w:hAnsi="宋体"/>
          <w:color w:val="auto"/>
          <w:sz w:val="32"/>
          <w:szCs w:val="32"/>
          <w:highlight w:val="none"/>
        </w:rPr>
      </w:pPr>
    </w:p>
    <w:p w14:paraId="39411CBC">
      <w:pPr>
        <w:jc w:val="center"/>
        <w:rPr>
          <w:rFonts w:ascii="宋体" w:hAnsi="宋体"/>
          <w:color w:val="auto"/>
          <w:sz w:val="32"/>
          <w:szCs w:val="32"/>
          <w:highlight w:val="none"/>
        </w:rPr>
      </w:pPr>
    </w:p>
    <w:p w14:paraId="09CEBE73">
      <w:pPr>
        <w:rPr>
          <w:color w:val="auto"/>
          <w:highlight w:val="none"/>
        </w:rPr>
      </w:pPr>
    </w:p>
    <w:p w14:paraId="1DF4C954">
      <w:pPr>
        <w:keepNext/>
        <w:keepLines/>
        <w:widowControl w:val="0"/>
        <w:spacing w:before="260" w:after="260" w:line="400" w:lineRule="exact"/>
        <w:jc w:val="center"/>
        <w:outlineLvl w:val="1"/>
        <w:rPr>
          <w:rFonts w:ascii="黑体" w:hAnsi="华文中宋" w:eastAsia="黑体" w:cs="Times New Roman"/>
          <w:b w:val="0"/>
          <w:color w:val="auto"/>
          <w:sz w:val="32"/>
          <w:szCs w:val="32"/>
          <w:highlight w:val="none"/>
          <w:lang w:val="en-US" w:eastAsia="zh-CN" w:bidi="ar-SA"/>
        </w:rPr>
      </w:pPr>
      <w:r>
        <w:rPr>
          <w:rFonts w:hint="eastAsia" w:ascii="黑体" w:hAnsi="黑体" w:eastAsia="黑体" w:cs="Times New Roman"/>
          <w:b w:val="0"/>
          <w:color w:val="auto"/>
          <w:sz w:val="32"/>
          <w:szCs w:val="32"/>
          <w:highlight w:val="none"/>
          <w:lang w:val="en-US" w:eastAsia="zh-CN" w:bidi="ar-SA"/>
        </w:rPr>
        <w:t xml:space="preserve">第一节  </w:t>
      </w:r>
      <w:r>
        <w:rPr>
          <w:rFonts w:hint="eastAsia" w:ascii="黑体" w:hAnsi="华文中宋" w:eastAsia="黑体" w:cs="Times New Roman"/>
          <w:b w:val="0"/>
          <w:color w:val="auto"/>
          <w:sz w:val="32"/>
          <w:szCs w:val="32"/>
          <w:highlight w:val="none"/>
          <w:lang w:val="en-US" w:eastAsia="zh-CN" w:bidi="ar-SA"/>
        </w:rPr>
        <w:t>政府采购合同协议书（草案）</w:t>
      </w:r>
    </w:p>
    <w:p w14:paraId="1041A6D3">
      <w:pPr>
        <w:keepNext w:val="0"/>
        <w:keepLines w:val="0"/>
        <w:pageBreakBefore w:val="0"/>
        <w:widowControl w:val="0"/>
        <w:spacing w:line="380" w:lineRule="exact"/>
        <w:jc w:val="both"/>
        <w:rPr>
          <w:rFonts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采购单位（全称）：</w:t>
      </w:r>
      <w:r>
        <w:rPr>
          <w:rFonts w:hint="eastAsia" w:ascii="宋体" w:hAnsi="宋体" w:eastAsia="宋体" w:cs="宋体"/>
          <w:b/>
          <w:color w:val="auto"/>
          <w:sz w:val="24"/>
          <w:szCs w:val="24"/>
          <w:highlight w:val="none"/>
          <w:u w:val="single"/>
          <w:lang w:val="en-US" w:eastAsia="zh-CN" w:bidi="ar-SA"/>
        </w:rPr>
        <w:t xml:space="preserve">  </w:t>
      </w:r>
      <w:r>
        <w:rPr>
          <w:rFonts w:hint="eastAsia" w:ascii="宋体" w:hAnsi="宋体" w:eastAsia="宋体" w:cs="宋体"/>
          <w:b/>
          <w:color w:val="auto"/>
          <w:sz w:val="24"/>
          <w:szCs w:val="20"/>
          <w:highlight w:val="none"/>
          <w:u w:val="single"/>
          <w:lang w:val="en-US" w:eastAsia="zh-CN" w:bidi="ar-SA"/>
        </w:rPr>
        <w:t>沭阳县残疾人联合会</w:t>
      </w:r>
      <w:r>
        <w:rPr>
          <w:rFonts w:hint="eastAsia" w:ascii="宋体" w:hAnsi="宋体" w:eastAsia="宋体" w:cs="宋体"/>
          <w:b/>
          <w:color w:val="auto"/>
          <w:sz w:val="24"/>
          <w:szCs w:val="24"/>
          <w:highlight w:val="none"/>
          <w:u w:val="single"/>
          <w:lang w:val="en-US" w:eastAsia="zh-CN" w:bidi="ar-SA"/>
        </w:rPr>
        <w:t xml:space="preserve"> </w:t>
      </w:r>
      <w:r>
        <w:rPr>
          <w:rFonts w:hint="eastAsia" w:ascii="宋体" w:hAnsi="宋体" w:cs="宋体"/>
          <w:b/>
          <w:color w:val="auto"/>
          <w:sz w:val="24"/>
          <w:szCs w:val="24"/>
          <w:highlight w:val="none"/>
          <w:u w:val="single"/>
          <w:lang w:val="en-US" w:eastAsia="zh-CN" w:bidi="ar-SA"/>
        </w:rPr>
        <w:t xml:space="preserve">     </w:t>
      </w:r>
      <w:r>
        <w:rPr>
          <w:rFonts w:hint="eastAsia" w:ascii="宋体" w:hAnsi="宋体" w:eastAsia="宋体" w:cs="宋体"/>
          <w:b/>
          <w:color w:val="auto"/>
          <w:sz w:val="24"/>
          <w:szCs w:val="24"/>
          <w:highlight w:val="none"/>
          <w:u w:val="single"/>
          <w:lang w:val="en-US" w:eastAsia="zh-CN" w:bidi="ar-SA"/>
        </w:rPr>
        <w:t xml:space="preserve">  </w:t>
      </w:r>
      <w:r>
        <w:rPr>
          <w:rFonts w:hint="eastAsia" w:ascii="宋体" w:hAnsi="宋体" w:eastAsia="宋体" w:cs="宋体"/>
          <w:b/>
          <w:color w:val="auto"/>
          <w:sz w:val="24"/>
          <w:szCs w:val="24"/>
          <w:highlight w:val="none"/>
          <w:lang w:val="en-US" w:eastAsia="zh-CN" w:bidi="ar-SA"/>
        </w:rPr>
        <w:t>（简称甲方）</w:t>
      </w:r>
    </w:p>
    <w:p w14:paraId="56FFC713">
      <w:pPr>
        <w:keepNext w:val="0"/>
        <w:keepLines w:val="0"/>
        <w:pageBreakBefore w:val="0"/>
        <w:widowControl w:val="0"/>
        <w:spacing w:before="156" w:line="380" w:lineRule="exact"/>
        <w:jc w:val="both"/>
        <w:rPr>
          <w:rFonts w:ascii="宋体" w:hAnsi="宋体" w:eastAsia="宋体" w:cs="宋体"/>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t>中标供应商（全称）：</w:t>
      </w:r>
      <w:r>
        <w:rPr>
          <w:rFonts w:hint="eastAsia" w:ascii="宋体" w:hAnsi="宋体" w:eastAsia="宋体" w:cs="宋体"/>
          <w:b/>
          <w:color w:val="auto"/>
          <w:sz w:val="24"/>
          <w:szCs w:val="20"/>
          <w:highlight w:val="none"/>
          <w:u w:val="single"/>
          <w:lang w:val="en-US" w:eastAsia="zh-CN" w:bidi="ar-SA"/>
        </w:rPr>
        <w:t xml:space="preserve"> </w:t>
      </w:r>
      <w:r>
        <w:rPr>
          <w:rFonts w:hint="eastAsia" w:ascii="宋体" w:hAnsi="宋体" w:cs="宋体"/>
          <w:b/>
          <w:color w:val="auto"/>
          <w:sz w:val="24"/>
          <w:szCs w:val="20"/>
          <w:highlight w:val="none"/>
          <w:u w:val="single"/>
          <w:lang w:val="en-US" w:eastAsia="zh-CN" w:bidi="ar-SA"/>
        </w:rPr>
        <w:t xml:space="preserve">                       </w:t>
      </w:r>
      <w:r>
        <w:rPr>
          <w:rFonts w:hint="eastAsia" w:ascii="宋体" w:hAnsi="宋体" w:eastAsia="宋体" w:cs="宋体"/>
          <w:b/>
          <w:color w:val="auto"/>
          <w:sz w:val="24"/>
          <w:szCs w:val="20"/>
          <w:highlight w:val="none"/>
          <w:u w:val="single"/>
          <w:lang w:val="en-US" w:eastAsia="zh-CN" w:bidi="ar-SA"/>
        </w:rPr>
        <w:t xml:space="preserve">   </w:t>
      </w:r>
      <w:r>
        <w:rPr>
          <w:rFonts w:hint="eastAsia" w:ascii="宋体" w:hAnsi="宋体" w:eastAsia="宋体" w:cs="宋体"/>
          <w:b/>
          <w:color w:val="auto"/>
          <w:sz w:val="24"/>
          <w:szCs w:val="20"/>
          <w:highlight w:val="none"/>
          <w:lang w:val="en-US" w:eastAsia="zh-CN" w:bidi="ar-SA"/>
        </w:rPr>
        <w:t>（简称乙方）</w:t>
      </w:r>
    </w:p>
    <w:p w14:paraId="7F00F393">
      <w:pPr>
        <w:keepNext w:val="0"/>
        <w:keepLines w:val="0"/>
        <w:pageBreakBefore w:val="0"/>
        <w:widowControl w:val="0"/>
        <w:spacing w:line="380" w:lineRule="exact"/>
        <w:ind w:firstLine="480"/>
        <w:rPr>
          <w:rFonts w:hint="eastAsia" w:ascii="宋体" w:hAnsi="宋体" w:eastAsia="宋体" w:cs="Times New Roman"/>
          <w:color w:val="auto"/>
          <w:sz w:val="24"/>
          <w:szCs w:val="24"/>
          <w:highlight w:val="none"/>
        </w:rPr>
      </w:pPr>
      <w:bookmarkStart w:id="130" w:name="_Hlk187832913"/>
      <w:r>
        <w:rPr>
          <w:rFonts w:hint="eastAsia" w:ascii="宋体" w:hAnsi="宋体" w:eastAsia="宋体" w:cs="Times New Roman"/>
          <w:color w:val="auto"/>
          <w:sz w:val="24"/>
          <w:szCs w:val="24"/>
          <w:highlight w:val="none"/>
        </w:rPr>
        <w:t>依据</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中华人民共和国政府采购法》</w:t>
      </w:r>
      <w:r>
        <w:rPr>
          <w:rFonts w:hint="eastAsia" w:ascii="宋体" w:hAnsi="宋体" w:cs="Times New Roman"/>
          <w:color w:val="auto"/>
          <w:sz w:val="24"/>
          <w:szCs w:val="24"/>
          <w:highlight w:val="none"/>
          <w:lang w:eastAsia="zh-CN"/>
        </w:rPr>
        <w:t>、</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中华人民共和国政府采购法</w:t>
      </w:r>
      <w:r>
        <w:rPr>
          <w:rFonts w:hint="eastAsia" w:ascii="宋体" w:hAnsi="宋体" w:cs="Times New Roman"/>
          <w:color w:val="auto"/>
          <w:sz w:val="24"/>
          <w:szCs w:val="24"/>
          <w:highlight w:val="none"/>
          <w:lang w:val="en-US" w:eastAsia="zh-CN"/>
        </w:rPr>
        <w:t>实施条例</w:t>
      </w:r>
      <w:r>
        <w:rPr>
          <w:rFonts w:hint="eastAsia" w:ascii="宋体" w:hAnsi="宋体" w:eastAsia="宋体" w:cs="Times New Roman"/>
          <w:color w:val="auto"/>
          <w:sz w:val="24"/>
          <w:szCs w:val="24"/>
          <w:highlight w:val="none"/>
        </w:rPr>
        <w:t>》</w:t>
      </w:r>
      <w:r>
        <w:rPr>
          <w:rFonts w:hint="eastAsia" w:ascii="宋体" w:hAnsi="宋体" w:cs="Times New Roman"/>
          <w:color w:val="auto"/>
          <w:sz w:val="24"/>
          <w:szCs w:val="24"/>
          <w:highlight w:val="none"/>
          <w:lang w:eastAsia="zh-CN"/>
        </w:rPr>
        <w:t>、</w:t>
      </w:r>
      <w:r>
        <w:rPr>
          <w:rFonts w:hint="eastAsia" w:ascii="宋体" w:hAnsi="宋体" w:eastAsia="宋体" w:cs="Times New Roman"/>
          <w:color w:val="auto"/>
          <w:sz w:val="24"/>
          <w:szCs w:val="24"/>
          <w:highlight w:val="none"/>
        </w:rPr>
        <w:t>《中华人民共和国民法典</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 xml:space="preserve">等有关的法律法规，以及本采购项目采购文件、乙方的《投标文件》及《中标通知书》，甲乙双方同意签订本合同。具体情况及要求如下： </w:t>
      </w:r>
      <w:bookmarkEnd w:id="130"/>
    </w:p>
    <w:p w14:paraId="0070D8BD">
      <w:pPr>
        <w:keepNext w:val="0"/>
        <w:keepLines w:val="0"/>
        <w:pageBreakBefore w:val="0"/>
        <w:widowControl w:val="0"/>
        <w:spacing w:line="380" w:lineRule="exact"/>
        <w:ind w:firstLine="482"/>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lang w:val="en-US" w:eastAsia="zh-CN"/>
        </w:rPr>
        <w:t>一、</w:t>
      </w:r>
      <w:r>
        <w:rPr>
          <w:rFonts w:hint="eastAsia" w:ascii="宋体" w:hAnsi="宋体" w:eastAsia="宋体" w:cs="Times New Roman"/>
          <w:b/>
          <w:bCs/>
          <w:color w:val="auto"/>
          <w:sz w:val="24"/>
          <w:szCs w:val="24"/>
          <w:highlight w:val="none"/>
        </w:rPr>
        <w:t>项目信息</w:t>
      </w:r>
    </w:p>
    <w:p w14:paraId="3B2A02CE">
      <w:pPr>
        <w:keepNext w:val="0"/>
        <w:keepLines w:val="0"/>
        <w:pageBreakBefore w:val="0"/>
        <w:widowControl w:val="0"/>
        <w:spacing w:line="380" w:lineRule="exact"/>
        <w:ind w:firstLine="480"/>
        <w:rPr>
          <w:rFonts w:ascii="Times New Roman" w:hAnsi="Times New Roman" w:eastAsia="宋体" w:cs="Times New Roman"/>
          <w:color w:val="auto"/>
          <w:sz w:val="24"/>
          <w:szCs w:val="24"/>
          <w:highlight w:val="none"/>
          <w:u w:val="single"/>
        </w:rPr>
      </w:pPr>
      <w:bookmarkStart w:id="131" w:name="_Hlk187833240"/>
      <w:r>
        <w:rPr>
          <w:rFonts w:ascii="Times New Roman" w:hAnsi="Times New Roman" w:eastAsia="宋体" w:cs="Times New Roman"/>
          <w:color w:val="auto"/>
          <w:sz w:val="24"/>
          <w:szCs w:val="24"/>
          <w:highlight w:val="none"/>
        </w:rPr>
        <w:t>（1）采购项目名称：</w:t>
      </w:r>
      <w:r>
        <w:rPr>
          <w:rFonts w:ascii="Times New Roman" w:hAnsi="Times New Roman" w:eastAsia="宋体" w:cs="Times New Roman"/>
          <w:color w:val="auto"/>
          <w:sz w:val="24"/>
          <w:szCs w:val="24"/>
          <w:highlight w:val="none"/>
          <w:u w:val="single"/>
        </w:rPr>
        <w:t xml:space="preserve"> </w:t>
      </w:r>
      <w:r>
        <w:rPr>
          <w:rFonts w:hint="eastAsia" w:ascii="Times New Roman" w:hAnsi="Times New Roman" w:cs="Times New Roman"/>
          <w:color w:val="auto"/>
          <w:sz w:val="24"/>
          <w:szCs w:val="24"/>
          <w:highlight w:val="none"/>
          <w:u w:val="single"/>
          <w:lang w:val="en-US" w:eastAsia="zh-CN"/>
        </w:rPr>
        <w:t xml:space="preserve">               </w:t>
      </w:r>
      <w:r>
        <w:rPr>
          <w:rFonts w:ascii="Times New Roman" w:hAnsi="Times New Roman" w:eastAsia="宋体" w:cs="Times New Roman"/>
          <w:color w:val="auto"/>
          <w:sz w:val="24"/>
          <w:szCs w:val="24"/>
          <w:highlight w:val="none"/>
          <w:u w:val="single"/>
        </w:rPr>
        <w:t xml:space="preserve"> </w:t>
      </w:r>
    </w:p>
    <w:p w14:paraId="78C4668F">
      <w:pPr>
        <w:keepNext w:val="0"/>
        <w:keepLines w:val="0"/>
        <w:pageBreakBefore w:val="0"/>
        <w:widowControl w:val="0"/>
        <w:spacing w:line="380" w:lineRule="exact"/>
        <w:ind w:firstLine="480"/>
        <w:rPr>
          <w:rFonts w:hint="default" w:ascii="Times New Roman" w:hAnsi="Times New Roman" w:eastAsia="宋体" w:cs="Times New Roman"/>
          <w:color w:val="auto"/>
          <w:sz w:val="24"/>
          <w:szCs w:val="24"/>
          <w:highlight w:val="none"/>
          <w:u w:val="single"/>
          <w:lang w:val="en-US" w:eastAsia="zh-CN"/>
        </w:rPr>
      </w:pPr>
      <w:r>
        <w:rPr>
          <w:rFonts w:hint="eastAsia" w:ascii="Times New Roman" w:hAnsi="Times New Roman" w:eastAsia="宋体" w:cs="Times New Roman"/>
          <w:color w:val="auto"/>
          <w:sz w:val="24"/>
          <w:szCs w:val="24"/>
          <w:highlight w:val="none"/>
          <w:lang w:eastAsia="zh-CN"/>
        </w:rPr>
        <w:t>（</w:t>
      </w:r>
      <w:r>
        <w:rPr>
          <w:rFonts w:hint="eastAsia" w:ascii="Times New Roman" w:hAnsi="Times New Roman" w:eastAsia="宋体" w:cs="Times New Roman"/>
          <w:color w:val="auto"/>
          <w:sz w:val="24"/>
          <w:szCs w:val="24"/>
          <w:highlight w:val="none"/>
          <w:lang w:val="en-US" w:eastAsia="zh-CN"/>
        </w:rPr>
        <w:t>2</w:t>
      </w:r>
      <w:r>
        <w:rPr>
          <w:rFonts w:hint="eastAsia" w:ascii="Times New Roman" w:hAnsi="Times New Roman" w:eastAsia="宋体" w:cs="Times New Roman"/>
          <w:color w:val="auto"/>
          <w:sz w:val="24"/>
          <w:szCs w:val="24"/>
          <w:highlight w:val="none"/>
          <w:lang w:eastAsia="zh-CN"/>
        </w:rPr>
        <w:t>）</w:t>
      </w:r>
      <w:r>
        <w:rPr>
          <w:rFonts w:ascii="Times New Roman" w:hAnsi="Times New Roman" w:eastAsia="宋体" w:cs="Times New Roman"/>
          <w:color w:val="auto"/>
          <w:sz w:val="24"/>
          <w:szCs w:val="24"/>
          <w:highlight w:val="none"/>
        </w:rPr>
        <w:t>采购项目编号：</w:t>
      </w:r>
      <w:r>
        <w:rPr>
          <w:rFonts w:ascii="Times New Roman" w:hAnsi="Times New Roman" w:eastAsia="宋体" w:cs="Times New Roman"/>
          <w:color w:val="auto"/>
          <w:sz w:val="24"/>
          <w:szCs w:val="24"/>
          <w:highlight w:val="none"/>
          <w:u w:val="single"/>
        </w:rPr>
        <w:t xml:space="preserve"> </w:t>
      </w:r>
      <w:bookmarkEnd w:id="131"/>
      <w:r>
        <w:rPr>
          <w:rFonts w:hint="eastAsia" w:ascii="Times New Roman" w:hAnsi="Times New Roman" w:cs="Times New Roman"/>
          <w:color w:val="auto"/>
          <w:sz w:val="24"/>
          <w:szCs w:val="24"/>
          <w:highlight w:val="none"/>
          <w:u w:val="single"/>
          <w:lang w:val="en-US" w:eastAsia="zh-CN"/>
        </w:rPr>
        <w:t xml:space="preserve">                </w:t>
      </w:r>
    </w:p>
    <w:p w14:paraId="3AB2CBCF">
      <w:pPr>
        <w:keepNext w:val="0"/>
        <w:keepLines w:val="0"/>
        <w:pageBreakBefore w:val="0"/>
        <w:widowControl w:val="0"/>
        <w:spacing w:line="380" w:lineRule="exact"/>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二、乙方向甲方提供</w:t>
      </w:r>
    </w:p>
    <w:p w14:paraId="65DFC12B">
      <w:pPr>
        <w:keepNext w:val="0"/>
        <w:keepLines w:val="0"/>
        <w:pageBreakBefore w:val="0"/>
        <w:widowControl w:val="0"/>
        <w:spacing w:line="38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Times New Roman"/>
          <w:b w:val="0"/>
          <w:bCs w:val="0"/>
          <w:color w:val="auto"/>
          <w:sz w:val="24"/>
          <w:szCs w:val="24"/>
          <w:highlight w:val="none"/>
          <w:lang w:val="en-US" w:eastAsia="zh-CN" w:bidi="ar-SA"/>
        </w:rPr>
        <w:t>孤独症康复服务</w:t>
      </w:r>
      <w:r>
        <w:rPr>
          <w:rFonts w:hint="eastAsia" w:ascii="宋体" w:hAnsi="宋体" w:cs="Times New Roman"/>
          <w:b w:val="0"/>
          <w:bCs w:val="0"/>
          <w:color w:val="auto"/>
          <w:sz w:val="24"/>
          <w:szCs w:val="24"/>
          <w:highlight w:val="none"/>
          <w:lang w:val="en-US" w:eastAsia="zh-CN" w:bidi="ar-SA"/>
        </w:rPr>
        <w:t>，</w:t>
      </w:r>
      <w:r>
        <w:rPr>
          <w:rFonts w:hint="eastAsia" w:ascii="宋体" w:hAnsi="宋体" w:eastAsia="宋体" w:cs="宋体"/>
          <w:color w:val="auto"/>
          <w:sz w:val="24"/>
          <w:szCs w:val="24"/>
          <w:highlight w:val="none"/>
        </w:rPr>
        <w:t>0-16周岁孤独症儿童，1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8</w:t>
      </w:r>
      <w:r>
        <w:rPr>
          <w:rFonts w:hint="eastAsia" w:ascii="宋体" w:hAnsi="宋体" w:eastAsia="宋体" w:cs="宋体"/>
          <w:color w:val="auto"/>
          <w:sz w:val="24"/>
          <w:szCs w:val="24"/>
          <w:highlight w:val="none"/>
          <w:lang w:val="en-US" w:eastAsia="zh-CN"/>
        </w:rPr>
        <w:t>万</w:t>
      </w:r>
      <w:r>
        <w:rPr>
          <w:rFonts w:hint="eastAsia" w:ascii="宋体" w:hAnsi="宋体" w:eastAsia="宋体" w:cs="宋体"/>
          <w:color w:val="auto"/>
          <w:sz w:val="24"/>
          <w:szCs w:val="24"/>
          <w:highlight w:val="none"/>
        </w:rPr>
        <w:t>元/人/年，1年按满额服务9个月计</w:t>
      </w:r>
      <w:r>
        <w:rPr>
          <w:rFonts w:hint="eastAsia" w:ascii="宋体" w:hAnsi="宋体" w:cs="宋体"/>
          <w:color w:val="auto"/>
          <w:sz w:val="24"/>
          <w:szCs w:val="24"/>
          <w:highlight w:val="none"/>
          <w:lang w:eastAsia="zh-CN"/>
        </w:rPr>
        <w:t>。</w:t>
      </w:r>
    </w:p>
    <w:p w14:paraId="43E69113">
      <w:pPr>
        <w:keepNext w:val="0"/>
        <w:keepLines w:val="0"/>
        <w:pageBreakBefore w:val="0"/>
        <w:widowControl w:val="0"/>
        <w:spacing w:line="340" w:lineRule="exact"/>
        <w:ind w:firstLine="480"/>
        <w:rPr>
          <w:rFonts w:ascii="宋体" w:hAnsi="宋体" w:eastAsia="宋体" w:cs="宋体"/>
          <w:b w:val="0"/>
          <w:bCs w:val="0"/>
          <w:color w:val="auto"/>
          <w:sz w:val="24"/>
          <w:szCs w:val="24"/>
          <w:highlight w:val="none"/>
        </w:rPr>
      </w:pPr>
      <w:r>
        <w:rPr>
          <w:rFonts w:hint="eastAsia" w:ascii="宋体" w:hAnsi="宋体" w:eastAsia="宋体" w:cs="宋体"/>
          <w:b/>
          <w:bCs/>
          <w:color w:val="auto"/>
          <w:sz w:val="24"/>
          <w:szCs w:val="24"/>
          <w:highlight w:val="none"/>
        </w:rPr>
        <w:t>注：非全日制残疾儿童康复救助经费标准按照康复类别全日制救助标准的90%，结算年度康复救助经费。本项目以实际发生的服务进行结算。</w:t>
      </w:r>
    </w:p>
    <w:p w14:paraId="31BBF1DE">
      <w:pPr>
        <w:keepNext w:val="0"/>
        <w:keepLines w:val="0"/>
        <w:pageBreakBefore w:val="0"/>
        <w:widowControl w:val="0"/>
        <w:spacing w:line="340" w:lineRule="exact"/>
        <w:ind w:firstLine="482"/>
        <w:rPr>
          <w:rFonts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转介到异地</w:t>
      </w:r>
      <w:r>
        <w:rPr>
          <w:rFonts w:hint="eastAsia" w:ascii="Times New Roman" w:hAnsi="Times New Roman" w:eastAsia="宋体" w:cs="仿宋"/>
          <w:color w:val="auto"/>
          <w:sz w:val="24"/>
          <w:highlight w:val="none"/>
          <w:lang w:eastAsia="zh-CN"/>
        </w:rPr>
        <w:t>（</w:t>
      </w:r>
      <w:r>
        <w:rPr>
          <w:rFonts w:hint="eastAsia" w:ascii="Times New Roman" w:hAnsi="Times New Roman" w:eastAsia="宋体" w:cs="仿宋"/>
          <w:color w:val="auto"/>
          <w:sz w:val="24"/>
          <w:highlight w:val="none"/>
          <w:lang w:val="en-US" w:eastAsia="zh-CN"/>
        </w:rPr>
        <w:t>含市外</w:t>
      </w:r>
      <w:r>
        <w:rPr>
          <w:rFonts w:hint="eastAsia" w:ascii="Times New Roman" w:hAnsi="Times New Roman" w:eastAsia="宋体" w:cs="仿宋"/>
          <w:color w:val="auto"/>
          <w:sz w:val="24"/>
          <w:highlight w:val="none"/>
          <w:lang w:eastAsia="zh-CN"/>
        </w:rPr>
        <w:t>）</w:t>
      </w:r>
      <w:r>
        <w:rPr>
          <w:rFonts w:hint="eastAsia" w:ascii="Times New Roman" w:hAnsi="Times New Roman" w:eastAsia="宋体" w:cs="仿宋"/>
          <w:color w:val="auto"/>
          <w:sz w:val="24"/>
          <w:highlight w:val="none"/>
        </w:rPr>
        <w:t>的受助儿童康复服务经费结算，原则上按户籍地救助标准执行，户籍地救助标准高于服务承接地标准时，按服务承接地救助标准执行。</w:t>
      </w:r>
    </w:p>
    <w:p w14:paraId="54BAD1E0">
      <w:pPr>
        <w:keepNext w:val="0"/>
        <w:keepLines w:val="0"/>
        <w:pageBreakBefore w:val="0"/>
        <w:widowControl w:val="0"/>
        <w:spacing w:line="380" w:lineRule="exact"/>
        <w:ind w:firstLine="482"/>
        <w:rPr>
          <w:rFonts w:ascii="Times New Roman" w:hAnsi="Times New Roman" w:eastAsia="宋体" w:cs="仿宋"/>
          <w:color w:val="auto"/>
          <w:sz w:val="24"/>
          <w:highlight w:val="none"/>
        </w:rPr>
      </w:pPr>
    </w:p>
    <w:tbl>
      <w:tblPr>
        <w:tblStyle w:val="28"/>
        <w:tblW w:w="87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57"/>
        <w:gridCol w:w="2677"/>
        <w:gridCol w:w="5345"/>
      </w:tblGrid>
      <w:tr w14:paraId="1F8503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0" w:hRule="atLeast"/>
          <w:jc w:val="center"/>
        </w:trPr>
        <w:tc>
          <w:tcPr>
            <w:tcW w:w="757" w:type="dxa"/>
            <w:noWrap/>
            <w:vAlign w:val="center"/>
          </w:tcPr>
          <w:p w14:paraId="539E8DE6">
            <w:pPr>
              <w:keepNext w:val="0"/>
              <w:keepLines w:val="0"/>
              <w:pageBreakBefore w:val="0"/>
              <w:widowControl w:val="0"/>
              <w:spacing w:line="420" w:lineRule="exact"/>
              <w:jc w:val="center"/>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序号</w:t>
            </w:r>
          </w:p>
        </w:tc>
        <w:tc>
          <w:tcPr>
            <w:tcW w:w="2677" w:type="dxa"/>
            <w:noWrap/>
            <w:vAlign w:val="center"/>
          </w:tcPr>
          <w:p w14:paraId="007BF9C3">
            <w:pPr>
              <w:keepNext w:val="0"/>
              <w:keepLines w:val="0"/>
              <w:pageBreakBefore w:val="0"/>
              <w:widowControl w:val="0"/>
              <w:spacing w:line="420" w:lineRule="exact"/>
              <w:jc w:val="both"/>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服务内容</w:t>
            </w:r>
          </w:p>
        </w:tc>
        <w:tc>
          <w:tcPr>
            <w:tcW w:w="5345" w:type="dxa"/>
            <w:noWrap/>
            <w:vAlign w:val="center"/>
          </w:tcPr>
          <w:p w14:paraId="6FAC1061">
            <w:pPr>
              <w:keepNext w:val="0"/>
              <w:keepLines w:val="0"/>
              <w:pageBreakBefore w:val="0"/>
              <w:widowControl w:val="0"/>
              <w:spacing w:line="420" w:lineRule="exact"/>
              <w:jc w:val="both"/>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详细内容</w:t>
            </w:r>
          </w:p>
        </w:tc>
      </w:tr>
      <w:tr w14:paraId="58DB32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16" w:hRule="atLeast"/>
          <w:jc w:val="center"/>
        </w:trPr>
        <w:tc>
          <w:tcPr>
            <w:tcW w:w="757" w:type="dxa"/>
            <w:noWrap/>
            <w:vAlign w:val="center"/>
          </w:tcPr>
          <w:p w14:paraId="229DF3DF">
            <w:pPr>
              <w:keepNext w:val="0"/>
              <w:keepLines w:val="0"/>
              <w:pageBreakBefore w:val="0"/>
              <w:widowControl w:val="0"/>
              <w:spacing w:line="420" w:lineRule="exact"/>
              <w:jc w:val="center"/>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w:t>
            </w:r>
          </w:p>
        </w:tc>
        <w:tc>
          <w:tcPr>
            <w:tcW w:w="2677" w:type="dxa"/>
            <w:noWrap/>
            <w:vAlign w:val="center"/>
          </w:tcPr>
          <w:p w14:paraId="3E88A8D6">
            <w:pPr>
              <w:keepNext w:val="0"/>
              <w:keepLines w:val="0"/>
              <w:pageBreakBefore w:val="0"/>
              <w:widowControl w:val="0"/>
              <w:tabs>
                <w:tab w:val="left" w:pos="950"/>
              </w:tabs>
              <w:spacing w:before="2" w:line="420" w:lineRule="exact"/>
              <w:ind w:left="0" w:right="431" w:firstLine="0"/>
              <w:jc w:val="both"/>
              <w:rPr>
                <w:rFonts w:ascii="宋体" w:hAnsi="宋体" w:eastAsia="宋体" w:cs="宋体"/>
                <w:color w:val="auto"/>
                <w:sz w:val="24"/>
                <w:szCs w:val="24"/>
                <w:highlight w:val="none"/>
                <w:lang w:val="en-US" w:eastAsia="zh-CN" w:bidi="ar-SA"/>
              </w:rPr>
            </w:pPr>
            <w:r>
              <w:rPr>
                <w:rFonts w:hint="eastAsia" w:ascii="宋体" w:hAnsi="宋体" w:eastAsia="Times New Roman" w:cs="宋体"/>
                <w:color w:val="auto"/>
                <w:spacing w:val="-1"/>
                <w:sz w:val="24"/>
                <w:szCs w:val="24"/>
                <w:highlight w:val="none"/>
                <w:lang w:val="en-US" w:eastAsia="zh-CN" w:bidi="zh-CN"/>
              </w:rPr>
              <w:t>沭阳县2026-2028年残疾儿童基本康复服务--孤独症康复服务机构采购项目（采购包6）</w:t>
            </w:r>
          </w:p>
        </w:tc>
        <w:tc>
          <w:tcPr>
            <w:tcW w:w="5345" w:type="dxa"/>
            <w:noWrap/>
            <w:vAlign w:val="center"/>
          </w:tcPr>
          <w:p w14:paraId="70F996EA">
            <w:pPr>
              <w:keepNext w:val="0"/>
              <w:keepLines w:val="0"/>
              <w:pageBreakBefore w:val="0"/>
              <w:widowControl w:val="0"/>
              <w:tabs>
                <w:tab w:val="left" w:pos="950"/>
              </w:tabs>
              <w:spacing w:before="2" w:line="420" w:lineRule="exact"/>
              <w:ind w:left="0" w:right="431" w:firstLine="0"/>
              <w:jc w:val="both"/>
              <w:rPr>
                <w:rFonts w:ascii="宋体" w:hAnsi="宋体" w:eastAsia="Times New Roman" w:cs="宋体"/>
                <w:color w:val="auto"/>
                <w:spacing w:val="-1"/>
                <w:sz w:val="24"/>
                <w:szCs w:val="24"/>
                <w:highlight w:val="none"/>
                <w:lang w:val="en-US" w:eastAsia="zh-CN" w:bidi="zh-CN"/>
              </w:rPr>
            </w:pPr>
            <w:r>
              <w:rPr>
                <w:rFonts w:hint="eastAsia" w:ascii="宋体" w:hAnsi="宋体" w:eastAsia="Times New Roman" w:cs="宋体"/>
                <w:color w:val="auto"/>
                <w:spacing w:val="-1"/>
                <w:sz w:val="24"/>
                <w:szCs w:val="24"/>
                <w:highlight w:val="none"/>
                <w:lang w:val="en-US" w:eastAsia="zh-CN" w:bidi="zh-CN"/>
              </w:rPr>
              <w:t>针对性提供</w:t>
            </w:r>
            <w:r>
              <w:rPr>
                <w:rFonts w:hint="eastAsia" w:ascii="宋体" w:hAnsi="宋体" w:eastAsia="Times New Roman" w:cs="宋体"/>
                <w:color w:val="auto"/>
                <w:spacing w:val="-1"/>
                <w:sz w:val="24"/>
                <w:szCs w:val="24"/>
                <w:highlight w:val="none"/>
                <w:u w:val="single"/>
                <w:lang w:val="en-US" w:eastAsia="zh-CN" w:bidi="zh-CN"/>
              </w:rPr>
              <w:t xml:space="preserve">   </w:t>
            </w:r>
            <w:r>
              <w:rPr>
                <w:rFonts w:hint="eastAsia" w:ascii="宋体" w:hAnsi="宋体" w:eastAsia="Times New Roman" w:cs="宋体"/>
                <w:b/>
                <w:bCs/>
                <w:color w:val="auto"/>
                <w:sz w:val="24"/>
                <w:szCs w:val="24"/>
                <w:highlight w:val="none"/>
                <w:u w:val="single"/>
                <w:lang w:val="en-US" w:eastAsia="zh-CN" w:bidi="ar-SA"/>
              </w:rPr>
              <w:t xml:space="preserve">孤独症   </w:t>
            </w:r>
            <w:r>
              <w:rPr>
                <w:rFonts w:hint="eastAsia" w:ascii="宋体" w:hAnsi="宋体" w:eastAsia="Times New Roman" w:cs="宋体"/>
                <w:color w:val="auto"/>
                <w:spacing w:val="-1"/>
                <w:sz w:val="24"/>
                <w:szCs w:val="24"/>
                <w:highlight w:val="none"/>
                <w:lang w:val="en-US" w:eastAsia="zh-CN" w:bidi="zh-CN"/>
              </w:rPr>
              <w:t>残疾康复服务。</w:t>
            </w:r>
          </w:p>
          <w:p w14:paraId="45FD9E26">
            <w:pPr>
              <w:keepNext w:val="0"/>
              <w:keepLines w:val="0"/>
              <w:pageBreakBefore w:val="0"/>
              <w:widowControl w:val="0"/>
              <w:tabs>
                <w:tab w:val="left" w:pos="950"/>
              </w:tabs>
              <w:spacing w:before="2" w:line="420" w:lineRule="exact"/>
              <w:ind w:left="0" w:right="431" w:firstLine="0"/>
              <w:jc w:val="both"/>
              <w:rPr>
                <w:rFonts w:hint="default" w:ascii="宋体" w:hAnsi="宋体" w:eastAsia="Times New Roman" w:cs="宋体"/>
                <w:color w:val="auto"/>
                <w:spacing w:val="-1"/>
                <w:sz w:val="24"/>
                <w:szCs w:val="24"/>
                <w:highlight w:val="none"/>
                <w:lang w:val="en-US" w:eastAsia="zh-CN" w:bidi="zh-CN"/>
              </w:rPr>
            </w:pPr>
            <w:r>
              <w:rPr>
                <w:rFonts w:hint="eastAsia" w:ascii="宋体" w:hAnsi="宋体" w:eastAsia="Times New Roman" w:cs="宋体"/>
                <w:color w:val="auto"/>
                <w:spacing w:val="-1"/>
                <w:sz w:val="24"/>
                <w:szCs w:val="24"/>
                <w:highlight w:val="none"/>
                <w:lang w:val="en-US" w:eastAsia="zh-CN" w:bidi="zh-CN"/>
              </w:rPr>
              <w:t>按照《江苏省残疾人基本康复服务目录》提供与年龄和残疾类别相适应的康复训练、康复医疗、辅助器具适配和支持性服务，并向残疾儿童及其家庭提供康复评估、康复咨询、康复指导和康复宣传服务。</w:t>
            </w:r>
          </w:p>
        </w:tc>
      </w:tr>
    </w:tbl>
    <w:p w14:paraId="7C7EA593">
      <w:pPr>
        <w:keepNext w:val="0"/>
        <w:keepLines w:val="0"/>
        <w:pageBreakBefore w:val="0"/>
        <w:widowControl w:val="0"/>
        <w:spacing w:line="380" w:lineRule="exact"/>
        <w:ind w:firstLine="480"/>
        <w:jc w:val="both"/>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三、服务地点</w:t>
      </w:r>
    </w:p>
    <w:p w14:paraId="3DC6407B">
      <w:pPr>
        <w:keepNext w:val="0"/>
        <w:keepLines w:val="0"/>
        <w:pageBreakBefore w:val="0"/>
        <w:widowControl w:val="0"/>
        <w:spacing w:line="380" w:lineRule="exact"/>
        <w:ind w:firstLine="480"/>
        <w:jc w:val="both"/>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（一）采购合同签订后</w:t>
      </w:r>
      <w:r>
        <w:rPr>
          <w:rFonts w:hint="eastAsia" w:ascii="宋体" w:hAnsi="宋体" w:cs="Times New Roman"/>
          <w:b w:val="0"/>
          <w:bCs w:val="0"/>
          <w:color w:val="auto"/>
          <w:sz w:val="24"/>
          <w:szCs w:val="24"/>
          <w:highlight w:val="none"/>
          <w:lang w:val="en-US" w:eastAsia="zh-CN" w:bidi="ar-SA"/>
        </w:rPr>
        <w:t>3</w:t>
      </w:r>
      <w:r>
        <w:rPr>
          <w:rFonts w:hint="eastAsia" w:ascii="宋体" w:hAnsi="宋体" w:eastAsia="宋体" w:cs="Times New Roman"/>
          <w:b w:val="0"/>
          <w:bCs w:val="0"/>
          <w:color w:val="auto"/>
          <w:sz w:val="24"/>
          <w:szCs w:val="24"/>
          <w:highlight w:val="none"/>
          <w:lang w:val="en-US" w:eastAsia="zh-CN" w:bidi="ar-SA"/>
        </w:rPr>
        <w:t>日历天内乙方安排工作人员开展工作。</w:t>
      </w:r>
    </w:p>
    <w:p w14:paraId="1FE6FFB2">
      <w:pPr>
        <w:keepNext w:val="0"/>
        <w:keepLines w:val="0"/>
        <w:pageBreakBefore w:val="0"/>
        <w:widowControl w:val="0"/>
        <w:spacing w:line="380" w:lineRule="exact"/>
        <w:ind w:firstLine="480"/>
        <w:jc w:val="both"/>
        <w:rPr>
          <w:rFonts w:hint="default"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（二）合同履行地点：</w:t>
      </w:r>
      <w:r>
        <w:rPr>
          <w:rFonts w:hint="eastAsia" w:ascii="宋体" w:hAnsi="宋体" w:cs="Times New Roman"/>
          <w:b w:val="0"/>
          <w:bCs w:val="0"/>
          <w:color w:val="auto"/>
          <w:sz w:val="24"/>
          <w:szCs w:val="24"/>
          <w:highlight w:val="none"/>
          <w:lang w:val="en-US" w:eastAsia="zh-CN" w:bidi="ar-SA"/>
        </w:rPr>
        <w:t>按照投标文件执行，如更换服务场地、机构名称、法人代表等主要事项，必须事先向甲方提出申请，同时服务场所要适宜儿童活动有关要求并达到安全、消防等有关要求。</w:t>
      </w:r>
    </w:p>
    <w:p w14:paraId="4B7D9869">
      <w:pPr>
        <w:keepNext w:val="0"/>
        <w:keepLines w:val="0"/>
        <w:pageBreakBefore w:val="0"/>
        <w:widowControl w:val="0"/>
        <w:numPr>
          <w:ilvl w:val="0"/>
          <w:numId w:val="0"/>
        </w:numPr>
        <w:spacing w:line="380" w:lineRule="exact"/>
        <w:ind w:firstLine="482"/>
        <w:rPr>
          <w:rFonts w:hint="eastAsia" w:ascii="宋体" w:hAnsi="宋体" w:eastAsia="宋体" w:cs="Times New Roman"/>
          <w:b/>
          <w:color w:val="auto"/>
          <w:sz w:val="24"/>
          <w:szCs w:val="24"/>
          <w:highlight w:val="none"/>
          <w:lang w:val="en-US" w:eastAsia="zh-CN"/>
        </w:rPr>
      </w:pPr>
      <w:r>
        <w:rPr>
          <w:rFonts w:hint="eastAsia" w:ascii="宋体" w:hAnsi="宋体" w:eastAsia="宋体" w:cs="Times New Roman"/>
          <w:b/>
          <w:color w:val="auto"/>
          <w:sz w:val="24"/>
          <w:szCs w:val="24"/>
          <w:highlight w:val="none"/>
          <w:lang w:val="en-US" w:eastAsia="zh-CN"/>
        </w:rPr>
        <w:t>四、服务对象和服务期</w:t>
      </w:r>
    </w:p>
    <w:p w14:paraId="5D70D529">
      <w:pPr>
        <w:spacing w:line="360" w:lineRule="exact"/>
        <w:ind w:firstLine="482"/>
        <w:rPr>
          <w:rFonts w:ascii="Times New Roman" w:hAnsi="Times New Roman" w:eastAsia="宋体" w:cs="仿宋"/>
          <w:color w:val="auto"/>
          <w:sz w:val="24"/>
          <w:highlight w:val="none"/>
        </w:rPr>
      </w:pPr>
      <w:r>
        <w:rPr>
          <w:rFonts w:hint="eastAsia" w:ascii="Times New Roman" w:hAnsi="Times New Roman" w:eastAsia="宋体" w:cs="仿宋"/>
          <w:b w:val="0"/>
          <w:bCs w:val="0"/>
          <w:color w:val="auto"/>
          <w:sz w:val="24"/>
          <w:highlight w:val="none"/>
        </w:rPr>
        <w:t>1、基本康复服务对象，</w:t>
      </w:r>
      <w:r>
        <w:rPr>
          <w:rFonts w:hint="eastAsia" w:ascii="Times New Roman" w:hAnsi="Times New Roman" w:eastAsia="宋体" w:cs="仿宋"/>
          <w:color w:val="auto"/>
          <w:sz w:val="24"/>
          <w:highlight w:val="none"/>
        </w:rPr>
        <w:t>是指具有</w:t>
      </w:r>
      <w:r>
        <w:rPr>
          <w:rFonts w:hint="eastAsia" w:ascii="Times New Roman" w:hAnsi="Times New Roman" w:eastAsia="宋体" w:cs="仿宋"/>
          <w:color w:val="auto"/>
          <w:sz w:val="24"/>
          <w:highlight w:val="none"/>
          <w:lang w:eastAsia="zh-CN"/>
        </w:rPr>
        <w:t>沭阳</w:t>
      </w:r>
      <w:r>
        <w:rPr>
          <w:rFonts w:hint="eastAsia" w:ascii="Times New Roman" w:hAnsi="Times New Roman" w:eastAsia="宋体" w:cs="仿宋"/>
          <w:color w:val="auto"/>
          <w:sz w:val="24"/>
          <w:highlight w:val="none"/>
        </w:rPr>
        <w:t>县户籍，有康复需求和康复意愿，经国内三级医院、县级以上残联指定的残疾评定机构或残疾评定专家组诊断评估有康复训练适应指征的</w:t>
      </w:r>
      <w:r>
        <w:rPr>
          <w:rFonts w:hint="eastAsia" w:ascii="Times New Roman" w:hAnsi="Times New Roman" w:cs="仿宋"/>
          <w:color w:val="auto"/>
          <w:sz w:val="24"/>
          <w:highlight w:val="none"/>
          <w:lang w:val="en-US" w:eastAsia="zh-CN"/>
        </w:rPr>
        <w:t>0-16周岁孤独症谱系障碍</w:t>
      </w:r>
      <w:r>
        <w:rPr>
          <w:rFonts w:hint="eastAsia" w:ascii="Times New Roman" w:hAnsi="Times New Roman" w:eastAsia="宋体" w:cs="仿宋"/>
          <w:color w:val="auto"/>
          <w:sz w:val="24"/>
          <w:highlight w:val="none"/>
        </w:rPr>
        <w:t>儿童</w:t>
      </w:r>
      <w:r>
        <w:rPr>
          <w:rFonts w:hint="eastAsia" w:ascii="Times New Roman" w:hAnsi="Times New Roman" w:eastAsia="宋体" w:cs="仿宋"/>
          <w:color w:val="auto"/>
          <w:sz w:val="24"/>
          <w:highlight w:val="none"/>
          <w:lang w:val="en-US" w:eastAsia="zh-CN"/>
        </w:rPr>
        <w:t>进行</w:t>
      </w:r>
      <w:r>
        <w:rPr>
          <w:rFonts w:hint="eastAsia" w:ascii="Times New Roman" w:hAnsi="Times New Roman" w:eastAsia="宋体" w:cs="仿宋"/>
          <w:color w:val="auto"/>
          <w:sz w:val="24"/>
          <w:highlight w:val="none"/>
        </w:rPr>
        <w:t>基本康复服务。</w:t>
      </w:r>
    </w:p>
    <w:p w14:paraId="5315B695">
      <w:pPr>
        <w:spacing w:line="360" w:lineRule="exact"/>
        <w:ind w:firstLine="482"/>
        <w:rPr>
          <w:rFonts w:ascii="Times New Roman" w:hAnsi="Times New Roman" w:eastAsia="宋体" w:cs="仿宋"/>
          <w:color w:val="auto"/>
          <w:sz w:val="24"/>
          <w:highlight w:val="none"/>
        </w:rPr>
      </w:pPr>
      <w:r>
        <w:rPr>
          <w:rFonts w:hint="eastAsia" w:ascii="Times New Roman" w:hAnsi="Times New Roman" w:eastAsia="宋体" w:cs="仿宋"/>
          <w:color w:val="auto"/>
          <w:sz w:val="24"/>
          <w:highlight w:val="none"/>
          <w:lang w:val="en-US" w:eastAsia="zh-CN"/>
        </w:rPr>
        <w:t>经国内三级医院相应科室副主任医师以上职称的医师诊断为</w:t>
      </w:r>
      <w:r>
        <w:rPr>
          <w:rFonts w:hint="eastAsia" w:ascii="Times New Roman" w:hAnsi="Times New Roman" w:cs="仿宋"/>
          <w:color w:val="auto"/>
          <w:sz w:val="24"/>
          <w:highlight w:val="none"/>
          <w:lang w:val="en-US" w:eastAsia="zh-CN"/>
        </w:rPr>
        <w:t>孤独症的</w:t>
      </w:r>
      <w:r>
        <w:rPr>
          <w:rFonts w:hint="eastAsia" w:ascii="Times New Roman" w:hAnsi="Times New Roman" w:eastAsia="宋体" w:cs="仿宋"/>
          <w:color w:val="auto"/>
          <w:sz w:val="24"/>
          <w:highlight w:val="none"/>
          <w:lang w:val="en-US" w:eastAsia="zh-CN"/>
        </w:rPr>
        <w:t>。</w:t>
      </w:r>
      <w:r>
        <w:rPr>
          <w:rFonts w:hint="eastAsia" w:ascii="Times New Roman" w:hAnsi="Times New Roman" w:eastAsia="宋体" w:cs="仿宋"/>
          <w:color w:val="auto"/>
          <w:sz w:val="24"/>
          <w:highlight w:val="none"/>
        </w:rPr>
        <w:t>确需接受康复训练的儿童，由医院出具医学诊断证明书。医学诊断证明书须注明需要康复的类别，加盖医院诊断专用章。</w:t>
      </w:r>
      <w:r>
        <w:rPr>
          <w:rFonts w:hint="eastAsia" w:ascii="Times New Roman" w:hAnsi="Times New Roman" w:eastAsia="宋体" w:cs="仿宋"/>
          <w:color w:val="auto"/>
          <w:sz w:val="24"/>
          <w:highlight w:val="none"/>
          <w:lang w:val="en-US" w:eastAsia="zh-CN"/>
        </w:rPr>
        <w:t>首次申请康复救助的医学诊断证明书</w:t>
      </w:r>
      <w:r>
        <w:rPr>
          <w:rFonts w:hint="eastAsia" w:ascii="Times New Roman" w:hAnsi="Times New Roman" w:eastAsia="宋体" w:cs="仿宋"/>
          <w:b w:val="0"/>
          <w:bCs w:val="0"/>
          <w:color w:val="auto"/>
          <w:sz w:val="24"/>
          <w:highlight w:val="none"/>
          <w:lang w:val="en-US" w:eastAsia="zh-CN"/>
        </w:rPr>
        <w:t>，孤独症</w:t>
      </w:r>
      <w:r>
        <w:rPr>
          <w:rFonts w:hint="eastAsia" w:ascii="Times New Roman" w:hAnsi="Times New Roman" w:eastAsia="宋体" w:cs="仿宋"/>
          <w:b w:val="0"/>
          <w:bCs w:val="0"/>
          <w:color w:val="auto"/>
          <w:sz w:val="24"/>
          <w:highlight w:val="none"/>
        </w:rPr>
        <w:t>自开具之日起3年内有效。</w:t>
      </w:r>
      <w:r>
        <w:rPr>
          <w:rFonts w:hint="eastAsia" w:ascii="Times New Roman" w:hAnsi="Times New Roman" w:eastAsia="宋体" w:cs="仿宋"/>
          <w:color w:val="auto"/>
          <w:sz w:val="24"/>
          <w:highlight w:val="none"/>
        </w:rPr>
        <w:t>医学诊断证明书表述模糊不清、未注明需要康复类别的，县级以上残联应组织复筛复查。</w:t>
      </w:r>
    </w:p>
    <w:p w14:paraId="19901072">
      <w:pPr>
        <w:spacing w:line="360" w:lineRule="exact"/>
        <w:ind w:firstLine="482"/>
        <w:rPr>
          <w:rFonts w:ascii="Times New Roman" w:hAnsi="Times New Roman" w:eastAsia="宋体" w:cs="仿宋"/>
          <w:color w:val="auto"/>
          <w:sz w:val="24"/>
          <w:highlight w:val="none"/>
        </w:rPr>
      </w:pPr>
      <w:r>
        <w:rPr>
          <w:rFonts w:hint="eastAsia" w:ascii="Times New Roman" w:hAnsi="Times New Roman" w:eastAsia="宋体" w:cs="仿宋"/>
          <w:b w:val="0"/>
          <w:bCs w:val="0"/>
          <w:color w:val="auto"/>
          <w:sz w:val="24"/>
          <w:highlight w:val="none"/>
          <w:lang w:val="en-US" w:eastAsia="zh-CN"/>
        </w:rPr>
        <w:t>孤独症儿童</w:t>
      </w:r>
      <w:r>
        <w:rPr>
          <w:rFonts w:hint="eastAsia" w:ascii="Times New Roman" w:hAnsi="Times New Roman" w:eastAsia="宋体" w:cs="仿宋"/>
          <w:b w:val="0"/>
          <w:bCs w:val="0"/>
          <w:color w:val="auto"/>
          <w:sz w:val="24"/>
          <w:highlight w:val="none"/>
        </w:rPr>
        <w:t>，</w:t>
      </w:r>
      <w:r>
        <w:rPr>
          <w:rFonts w:hint="eastAsia" w:ascii="Times New Roman" w:hAnsi="Times New Roman" w:eastAsia="宋体" w:cs="仿宋"/>
          <w:color w:val="auto"/>
          <w:sz w:val="24"/>
          <w:highlight w:val="none"/>
        </w:rPr>
        <w:t>其监护人可向户籍地县级残联申请残疾评定。符合残疾评定标准的，残疾评定表中应注明残疾类别和分级，由户籍地县级残联盖章确认。</w:t>
      </w:r>
    </w:p>
    <w:p w14:paraId="7BFF2F4E">
      <w:pPr>
        <w:spacing w:line="360" w:lineRule="exact"/>
        <w:ind w:firstLine="482"/>
        <w:rPr>
          <w:rFonts w:ascii="Times New Roman" w:hAnsi="Times New Roman" w:eastAsia="宋体" w:cs="仿宋"/>
          <w:b w:val="0"/>
          <w:bCs w:val="0"/>
          <w:color w:val="auto"/>
          <w:sz w:val="24"/>
          <w:highlight w:val="none"/>
        </w:rPr>
      </w:pPr>
      <w:r>
        <w:rPr>
          <w:rFonts w:hint="eastAsia" w:ascii="Times New Roman" w:hAnsi="Times New Roman" w:eastAsia="宋体" w:cs="仿宋"/>
          <w:b w:val="0"/>
          <w:bCs w:val="0"/>
          <w:color w:val="auto"/>
          <w:sz w:val="24"/>
          <w:highlight w:val="none"/>
        </w:rPr>
        <w:t>7-1</w:t>
      </w:r>
      <w:r>
        <w:rPr>
          <w:rFonts w:hint="eastAsia" w:ascii="Times New Roman" w:hAnsi="Times New Roman" w:eastAsia="宋体" w:cs="仿宋"/>
          <w:b w:val="0"/>
          <w:bCs w:val="0"/>
          <w:color w:val="auto"/>
          <w:sz w:val="24"/>
          <w:highlight w:val="none"/>
          <w:lang w:val="en-US" w:eastAsia="zh-CN"/>
        </w:rPr>
        <w:t>6</w:t>
      </w:r>
      <w:r>
        <w:rPr>
          <w:rFonts w:hint="eastAsia" w:ascii="Times New Roman" w:hAnsi="Times New Roman" w:eastAsia="宋体" w:cs="仿宋"/>
          <w:b w:val="0"/>
          <w:bCs w:val="0"/>
          <w:color w:val="auto"/>
          <w:sz w:val="24"/>
          <w:highlight w:val="none"/>
        </w:rPr>
        <w:t>周岁</w:t>
      </w:r>
      <w:r>
        <w:rPr>
          <w:rFonts w:hint="eastAsia" w:ascii="Times New Roman" w:hAnsi="Times New Roman" w:eastAsia="宋体" w:cs="仿宋"/>
          <w:b w:val="0"/>
          <w:bCs w:val="0"/>
          <w:color w:val="auto"/>
          <w:sz w:val="24"/>
          <w:highlight w:val="none"/>
          <w:lang w:eastAsia="zh-CN"/>
        </w:rPr>
        <w:t>孤独症</w:t>
      </w:r>
      <w:r>
        <w:rPr>
          <w:rFonts w:hint="eastAsia" w:ascii="Times New Roman" w:hAnsi="Times New Roman" w:eastAsia="宋体" w:cs="仿宋"/>
          <w:b w:val="0"/>
          <w:bCs w:val="0"/>
          <w:color w:val="auto"/>
          <w:sz w:val="24"/>
          <w:highlight w:val="none"/>
        </w:rPr>
        <w:t>儿童，符合残疾评定标准的，鼓励监护人为残疾儿童申领残疾人证。</w:t>
      </w:r>
    </w:p>
    <w:p w14:paraId="16FB0200">
      <w:pPr>
        <w:spacing w:line="360" w:lineRule="exact"/>
        <w:ind w:firstLine="482"/>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2、申请康复救助需提供残疾儿童户籍证明</w:t>
      </w:r>
      <w:r>
        <w:rPr>
          <w:rFonts w:hint="eastAsia" w:ascii="Times New Roman" w:hAnsi="Times New Roman" w:eastAsia="宋体" w:cs="仿宋"/>
          <w:color w:val="auto"/>
          <w:sz w:val="24"/>
          <w:highlight w:val="none"/>
          <w:lang w:eastAsia="zh-CN"/>
        </w:rPr>
        <w:t>（</w:t>
      </w:r>
      <w:r>
        <w:rPr>
          <w:rFonts w:hint="eastAsia" w:ascii="Times New Roman" w:hAnsi="Times New Roman" w:eastAsia="宋体" w:cs="仿宋"/>
          <w:color w:val="auto"/>
          <w:sz w:val="24"/>
          <w:highlight w:val="none"/>
        </w:rPr>
        <w:t>身份证</w:t>
      </w:r>
      <w:r>
        <w:rPr>
          <w:rFonts w:hint="eastAsia" w:ascii="Times New Roman" w:hAnsi="Times New Roman" w:eastAsia="宋体" w:cs="仿宋"/>
          <w:color w:val="auto"/>
          <w:sz w:val="24"/>
          <w:highlight w:val="none"/>
          <w:lang w:eastAsia="zh-CN"/>
        </w:rPr>
        <w:t>）</w:t>
      </w:r>
      <w:r>
        <w:rPr>
          <w:rFonts w:hint="eastAsia" w:ascii="Times New Roman" w:hAnsi="Times New Roman" w:eastAsia="宋体" w:cs="仿宋"/>
          <w:color w:val="auto"/>
          <w:sz w:val="24"/>
          <w:highlight w:val="none"/>
        </w:rPr>
        <w:t>资料、医学诊断证明书</w:t>
      </w:r>
      <w:r>
        <w:rPr>
          <w:rFonts w:hint="eastAsia" w:ascii="Times New Roman" w:hAnsi="Times New Roman" w:eastAsia="宋体" w:cs="仿宋"/>
          <w:color w:val="auto"/>
          <w:sz w:val="24"/>
          <w:highlight w:val="none"/>
          <w:lang w:eastAsia="zh-CN"/>
        </w:rPr>
        <w:t>（</w:t>
      </w:r>
      <w:r>
        <w:rPr>
          <w:rFonts w:hint="eastAsia" w:ascii="Times New Roman" w:hAnsi="Times New Roman" w:eastAsia="宋体" w:cs="仿宋"/>
          <w:color w:val="auto"/>
          <w:sz w:val="24"/>
          <w:highlight w:val="none"/>
        </w:rPr>
        <w:t>残疾评定表、残疾人证</w:t>
      </w:r>
      <w:r>
        <w:rPr>
          <w:rFonts w:hint="eastAsia" w:ascii="Times New Roman" w:hAnsi="Times New Roman" w:eastAsia="宋体" w:cs="仿宋"/>
          <w:color w:val="auto"/>
          <w:sz w:val="24"/>
          <w:highlight w:val="none"/>
          <w:lang w:eastAsia="zh-CN"/>
        </w:rPr>
        <w:t>）</w:t>
      </w:r>
      <w:r>
        <w:rPr>
          <w:rFonts w:hint="eastAsia" w:ascii="Times New Roman" w:hAnsi="Times New Roman" w:eastAsia="宋体" w:cs="仿宋"/>
          <w:color w:val="auto"/>
          <w:sz w:val="24"/>
          <w:highlight w:val="none"/>
        </w:rPr>
        <w:t>。</w:t>
      </w:r>
    </w:p>
    <w:p w14:paraId="07573E2F">
      <w:pPr>
        <w:keepNext w:val="0"/>
        <w:keepLines w:val="0"/>
        <w:pageBreakBefore w:val="0"/>
        <w:widowControl w:val="0"/>
        <w:numPr>
          <w:ilvl w:val="0"/>
          <w:numId w:val="0"/>
        </w:numPr>
        <w:spacing w:line="380" w:lineRule="exact"/>
        <w:ind w:firstLine="480"/>
        <w:rPr>
          <w:rFonts w:hint="eastAsia" w:ascii="宋体" w:hAnsi="宋体" w:eastAsia="宋体" w:cs="Times New Roman"/>
          <w:b/>
          <w:color w:val="auto"/>
          <w:sz w:val="24"/>
          <w:szCs w:val="24"/>
          <w:highlight w:val="none"/>
          <w:lang w:val="en-US" w:eastAsia="zh-CN"/>
        </w:rPr>
      </w:pPr>
      <w:r>
        <w:rPr>
          <w:rFonts w:hint="eastAsia" w:ascii="Times New Roman" w:hAnsi="Times New Roman" w:eastAsia="宋体" w:cs="仿宋"/>
          <w:color w:val="auto"/>
          <w:sz w:val="24"/>
          <w:highlight w:val="none"/>
          <w:lang w:val="en-US" w:eastAsia="zh-CN"/>
        </w:rPr>
        <w:t>3、</w:t>
      </w:r>
      <w:r>
        <w:rPr>
          <w:rFonts w:hint="eastAsia" w:ascii="宋体" w:hAnsi="宋体" w:eastAsia="宋体" w:cs="Times New Roman"/>
          <w:b w:val="0"/>
          <w:bCs/>
          <w:color w:val="auto"/>
          <w:sz w:val="24"/>
          <w:szCs w:val="24"/>
          <w:highlight w:val="none"/>
          <w:lang w:val="en-US" w:eastAsia="zh-CN"/>
        </w:rPr>
        <w:t>服务期：</w:t>
      </w:r>
      <w:r>
        <w:rPr>
          <w:rFonts w:ascii="宋体" w:hAnsi="宋体" w:eastAsia="宋体" w:cs="宋体"/>
          <w:color w:val="auto"/>
          <w:sz w:val="24"/>
          <w:highlight w:val="none"/>
        </w:rPr>
        <w:t>自合同签订之日起至</w:t>
      </w:r>
      <w:r>
        <w:rPr>
          <w:rFonts w:ascii="Times New Roman" w:hAnsi="Times New Roman" w:eastAsia="Times New Roman" w:cs="Times New Roman"/>
          <w:color w:val="auto"/>
          <w:sz w:val="24"/>
          <w:highlight w:val="none"/>
        </w:rPr>
        <w:t>2028</w:t>
      </w:r>
      <w:r>
        <w:rPr>
          <w:rFonts w:ascii="宋体" w:hAnsi="宋体" w:eastAsia="宋体" w:cs="宋体"/>
          <w:color w:val="auto"/>
          <w:sz w:val="24"/>
          <w:highlight w:val="none"/>
        </w:rPr>
        <w:t>年</w:t>
      </w:r>
      <w:r>
        <w:rPr>
          <w:rFonts w:ascii="Times New Roman" w:hAnsi="Times New Roman" w:eastAsia="Times New Roman" w:cs="Times New Roman"/>
          <w:color w:val="auto"/>
          <w:sz w:val="24"/>
          <w:highlight w:val="none"/>
        </w:rPr>
        <w:t>12</w:t>
      </w:r>
      <w:r>
        <w:rPr>
          <w:rFonts w:ascii="宋体" w:hAnsi="宋体" w:eastAsia="宋体" w:cs="宋体"/>
          <w:color w:val="auto"/>
          <w:sz w:val="24"/>
          <w:highlight w:val="none"/>
        </w:rPr>
        <w:t>月</w:t>
      </w:r>
      <w:r>
        <w:rPr>
          <w:rFonts w:ascii="Times New Roman" w:hAnsi="Times New Roman" w:eastAsia="Times New Roman" w:cs="Times New Roman"/>
          <w:color w:val="auto"/>
          <w:sz w:val="24"/>
          <w:highlight w:val="none"/>
        </w:rPr>
        <w:t>31</w:t>
      </w:r>
      <w:r>
        <w:rPr>
          <w:rFonts w:ascii="宋体" w:hAnsi="宋体" w:eastAsia="宋体" w:cs="宋体"/>
          <w:color w:val="auto"/>
          <w:sz w:val="24"/>
          <w:highlight w:val="none"/>
        </w:rPr>
        <w:t>日止</w:t>
      </w:r>
      <w:r>
        <w:rPr>
          <w:rFonts w:hint="eastAsia" w:ascii="宋体" w:hAnsi="宋体" w:cs="宋体"/>
          <w:color w:val="auto"/>
          <w:sz w:val="24"/>
          <w:highlight w:val="none"/>
          <w:lang w:eastAsia="zh-CN"/>
        </w:rPr>
        <w:t>。</w:t>
      </w:r>
    </w:p>
    <w:p w14:paraId="52CBA2AE">
      <w:pPr>
        <w:keepNext w:val="0"/>
        <w:keepLines w:val="0"/>
        <w:pageBreakBefore w:val="0"/>
        <w:widowControl w:val="0"/>
        <w:spacing w:line="340" w:lineRule="exact"/>
        <w:ind w:firstLine="482"/>
        <w:rPr>
          <w:rFonts w:ascii="宋体" w:hAnsi="宋体" w:eastAsia="宋体" w:cs="Times New Roman"/>
          <w:b/>
          <w:color w:val="auto"/>
          <w:sz w:val="24"/>
          <w:szCs w:val="24"/>
          <w:highlight w:val="none"/>
          <w:lang w:val="en-US" w:eastAsia="zh-CN"/>
        </w:rPr>
      </w:pPr>
      <w:r>
        <w:rPr>
          <w:rFonts w:hint="eastAsia" w:ascii="宋体" w:hAnsi="宋体" w:eastAsia="宋体" w:cs="Times New Roman"/>
          <w:b/>
          <w:color w:val="auto"/>
          <w:sz w:val="24"/>
          <w:szCs w:val="24"/>
          <w:highlight w:val="none"/>
          <w:lang w:val="en-US" w:eastAsia="zh-CN"/>
        </w:rPr>
        <w:t>五、服务目标与内容</w:t>
      </w:r>
    </w:p>
    <w:p w14:paraId="2D3E300F">
      <w:pPr>
        <w:keepNext w:val="0"/>
        <w:keepLines w:val="0"/>
        <w:pageBreakBefore w:val="0"/>
        <w:widowControl w:val="0"/>
        <w:spacing w:line="340" w:lineRule="exact"/>
        <w:ind w:firstLine="482"/>
        <w:rPr>
          <w:rFonts w:ascii="Times New Roman" w:hAnsi="Times New Roman" w:eastAsia="宋体" w:cs="仿宋"/>
          <w:color w:val="auto"/>
          <w:sz w:val="24"/>
          <w:highlight w:val="none"/>
        </w:rPr>
      </w:pPr>
      <w:r>
        <w:rPr>
          <w:rFonts w:hint="eastAsia" w:ascii="Times New Roman" w:hAnsi="Times New Roman" w:eastAsia="宋体" w:cs="仿宋"/>
          <w:b w:val="0"/>
          <w:bCs w:val="0"/>
          <w:color w:val="auto"/>
          <w:sz w:val="24"/>
          <w:highlight w:val="none"/>
        </w:rPr>
        <w:t>1、</w:t>
      </w:r>
      <w:r>
        <w:rPr>
          <w:rFonts w:hint="eastAsia" w:ascii="Times New Roman" w:hAnsi="Times New Roman" w:eastAsia="宋体" w:cs="仿宋"/>
          <w:b/>
          <w:bCs/>
          <w:color w:val="auto"/>
          <w:sz w:val="24"/>
          <w:highlight w:val="none"/>
        </w:rPr>
        <w:t>服务目标与标准：</w:t>
      </w:r>
      <w:r>
        <w:rPr>
          <w:rFonts w:hint="eastAsia" w:ascii="Times New Roman" w:hAnsi="Times New Roman" w:eastAsia="宋体" w:cs="仿宋"/>
          <w:color w:val="auto"/>
          <w:sz w:val="24"/>
          <w:highlight w:val="none"/>
        </w:rPr>
        <w:t>本项目基本康复服务着眼改善和提高</w:t>
      </w:r>
      <w:r>
        <w:rPr>
          <w:rFonts w:hint="eastAsia" w:ascii="Times New Roman" w:hAnsi="Times New Roman" w:eastAsia="宋体" w:cs="仿宋"/>
          <w:color w:val="auto"/>
          <w:sz w:val="24"/>
          <w:highlight w:val="none"/>
          <w:lang w:val="en-US" w:eastAsia="zh-CN"/>
        </w:rPr>
        <w:t>孤独症</w:t>
      </w:r>
      <w:r>
        <w:rPr>
          <w:rFonts w:hint="eastAsia" w:ascii="Times New Roman" w:hAnsi="Times New Roman" w:eastAsia="宋体" w:cs="仿宋"/>
          <w:color w:val="auto"/>
          <w:sz w:val="24"/>
          <w:highlight w:val="none"/>
        </w:rPr>
        <w:t>儿童感知、运动、认知、言语沟通、情绪管理、生活自理、社会交往等能力。</w:t>
      </w:r>
    </w:p>
    <w:p w14:paraId="3E3225B0">
      <w:pPr>
        <w:keepNext w:val="0"/>
        <w:keepLines w:val="0"/>
        <w:pageBreakBefore w:val="0"/>
        <w:widowControl w:val="0"/>
        <w:spacing w:line="340" w:lineRule="exact"/>
        <w:ind w:firstLine="482"/>
        <w:rPr>
          <w:rFonts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2、</w:t>
      </w:r>
      <w:r>
        <w:rPr>
          <w:rFonts w:hint="eastAsia" w:ascii="Times New Roman" w:hAnsi="Times New Roman" w:eastAsia="宋体" w:cs="仿宋"/>
          <w:b/>
          <w:color w:val="auto"/>
          <w:sz w:val="24"/>
          <w:highlight w:val="none"/>
        </w:rPr>
        <w:t>服务项目内容与范围：</w:t>
      </w:r>
      <w:r>
        <w:rPr>
          <w:rFonts w:hint="eastAsia" w:ascii="Times New Roman" w:hAnsi="Times New Roman" w:cs="仿宋"/>
          <w:b w:val="0"/>
          <w:bCs/>
          <w:color w:val="auto"/>
          <w:sz w:val="24"/>
          <w:highlight w:val="none"/>
          <w:lang w:val="en-US" w:eastAsia="zh-CN"/>
        </w:rPr>
        <w:t>本项目针对性提供孤独症康复服务。</w:t>
      </w:r>
      <w:r>
        <w:rPr>
          <w:rFonts w:hint="eastAsia" w:ascii="Times New Roman" w:hAnsi="Times New Roman" w:eastAsia="宋体" w:cs="仿宋"/>
          <w:color w:val="auto"/>
          <w:sz w:val="24"/>
          <w:highlight w:val="none"/>
        </w:rPr>
        <w:t>按照《江苏省残疾人基本康复服务目录》提供与年龄和残疾类别相适应的康复训练、康复医疗、辅助器具适配和支持性服务，并向残疾儿童及其家庭提供康复评估、康复咨询、康复指导和康复宣传服务。</w:t>
      </w:r>
    </w:p>
    <w:p w14:paraId="2875F0A3">
      <w:pPr>
        <w:keepNext w:val="0"/>
        <w:keepLines w:val="0"/>
        <w:pageBreakBefore w:val="0"/>
        <w:widowControl w:val="0"/>
        <w:spacing w:line="340" w:lineRule="exact"/>
        <w:ind w:firstLine="482"/>
        <w:rPr>
          <w:rFonts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3、</w:t>
      </w:r>
      <w:r>
        <w:rPr>
          <w:rFonts w:hint="eastAsia" w:ascii="Times New Roman" w:hAnsi="Times New Roman" w:eastAsia="宋体" w:cs="仿宋"/>
          <w:b/>
          <w:color w:val="auto"/>
          <w:sz w:val="24"/>
          <w:highlight w:val="none"/>
        </w:rPr>
        <w:t>服务时间安排：</w:t>
      </w:r>
    </w:p>
    <w:p w14:paraId="122704B3">
      <w:pPr>
        <w:keepNext w:val="0"/>
        <w:keepLines w:val="0"/>
        <w:pageBreakBefore w:val="0"/>
        <w:widowControl w:val="0"/>
        <w:spacing w:line="340" w:lineRule="exact"/>
        <w:ind w:firstLine="482"/>
        <w:rPr>
          <w:rFonts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（1）为保证康复效果连续有效，政府购买的残疾儿童基本康复服务应在机构内进行，年度基本康复时间不少于9个月。执行与教育部门同步学期规定的公办机构（特教学校）可延至次年1月31日。</w:t>
      </w:r>
    </w:p>
    <w:p w14:paraId="3FBCCF0A">
      <w:pPr>
        <w:keepNext w:val="0"/>
        <w:keepLines w:val="0"/>
        <w:pageBreakBefore w:val="0"/>
        <w:widowControl w:val="0"/>
        <w:spacing w:line="340" w:lineRule="exact"/>
        <w:ind w:firstLine="482"/>
        <w:rPr>
          <w:rFonts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（2）基本康复服务形式分全日制和非全日制两种类型，残疾儿童监护人可自主选择服务类型。</w:t>
      </w:r>
    </w:p>
    <w:p w14:paraId="7168D35C">
      <w:pPr>
        <w:keepNext w:val="0"/>
        <w:keepLines w:val="0"/>
        <w:pageBreakBefore w:val="0"/>
        <w:widowControl w:val="0"/>
        <w:spacing w:line="340" w:lineRule="exact"/>
        <w:ind w:firstLine="482"/>
        <w:rPr>
          <w:rFonts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全日制是指残疾儿童在定点机构内同步接受康复服务和学前（学科）教育。</w:t>
      </w:r>
      <w:r>
        <w:rPr>
          <w:rFonts w:hint="eastAsia" w:ascii="Times New Roman" w:hAnsi="Times New Roman" w:cs="仿宋"/>
          <w:color w:val="auto"/>
          <w:sz w:val="24"/>
          <w:highlight w:val="none"/>
          <w:lang w:val="en-US" w:eastAsia="zh-CN"/>
        </w:rPr>
        <w:t>每月不少于20天</w:t>
      </w:r>
      <w:r>
        <w:rPr>
          <w:rFonts w:hint="eastAsia" w:ascii="Times New Roman" w:hAnsi="Times New Roman" w:eastAsia="宋体" w:cs="仿宋"/>
          <w:color w:val="auto"/>
          <w:sz w:val="24"/>
          <w:highlight w:val="none"/>
        </w:rPr>
        <w:t>，</w:t>
      </w:r>
      <w:r>
        <w:rPr>
          <w:rFonts w:hint="eastAsia" w:ascii="Times New Roman" w:hAnsi="Times New Roman" w:eastAsia="宋体" w:cs="仿宋"/>
          <w:color w:val="auto"/>
          <w:sz w:val="24"/>
          <w:highlight w:val="none"/>
        </w:rPr>
        <w:t>每天</w:t>
      </w:r>
      <w:r>
        <w:rPr>
          <w:rFonts w:hint="eastAsia" w:ascii="Times New Roman" w:hAnsi="Times New Roman" w:cs="仿宋"/>
          <w:color w:val="auto"/>
          <w:sz w:val="24"/>
          <w:highlight w:val="none"/>
          <w:lang w:val="en-US" w:eastAsia="zh-CN"/>
        </w:rPr>
        <w:t>不少于</w:t>
      </w:r>
      <w:r>
        <w:rPr>
          <w:rFonts w:hint="eastAsia" w:ascii="Times New Roman" w:hAnsi="Times New Roman" w:eastAsia="宋体" w:cs="仿宋"/>
          <w:color w:val="auto"/>
          <w:sz w:val="24"/>
          <w:highlight w:val="none"/>
        </w:rPr>
        <w:t>4小时的基本康复服务，课程设置应符合残疾儿童个性特征，其中个性化服务支持每天不少于1节课40分钟。</w:t>
      </w:r>
    </w:p>
    <w:p w14:paraId="10909BE8">
      <w:pPr>
        <w:keepNext w:val="0"/>
        <w:keepLines w:val="0"/>
        <w:pageBreakBefore w:val="0"/>
        <w:widowControl w:val="0"/>
        <w:spacing w:line="340" w:lineRule="exact"/>
        <w:ind w:firstLine="482"/>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非全日制是指残疾儿童在家庭、幼儿园、中小学的托幼照料、学前（学科）教育间隙，到定点机构接受以个性化服务支持为主的基本康复服务，每月</w:t>
      </w:r>
      <w:r>
        <w:rPr>
          <w:rFonts w:hint="eastAsia" w:ascii="Times New Roman" w:hAnsi="Times New Roman" w:eastAsia="宋体" w:cs="仿宋"/>
          <w:color w:val="auto"/>
          <w:sz w:val="24"/>
          <w:highlight w:val="none"/>
          <w:lang w:val="en-US" w:eastAsia="zh-CN"/>
        </w:rPr>
        <w:t>不少于</w:t>
      </w:r>
      <w:r>
        <w:rPr>
          <w:rFonts w:hint="eastAsia" w:ascii="Times New Roman" w:hAnsi="Times New Roman" w:eastAsia="宋体" w:cs="仿宋"/>
          <w:color w:val="auto"/>
          <w:sz w:val="24"/>
          <w:highlight w:val="none"/>
        </w:rPr>
        <w:t>20天</w:t>
      </w:r>
      <w:r>
        <w:rPr>
          <w:rFonts w:hint="eastAsia" w:ascii="Times New Roman" w:hAnsi="Times New Roman" w:eastAsia="宋体" w:cs="仿宋"/>
          <w:color w:val="auto"/>
          <w:sz w:val="24"/>
          <w:highlight w:val="none"/>
          <w:lang w:val="en-US" w:eastAsia="zh-CN"/>
        </w:rPr>
        <w:t>，</w:t>
      </w:r>
      <w:r>
        <w:rPr>
          <w:rFonts w:hint="eastAsia" w:ascii="Times New Roman" w:hAnsi="Times New Roman" w:eastAsia="宋体" w:cs="仿宋"/>
          <w:color w:val="auto"/>
          <w:sz w:val="24"/>
          <w:highlight w:val="none"/>
        </w:rPr>
        <w:t>每天不少于1.5小时，其中个性化服务支持不少于1小时。</w:t>
      </w:r>
    </w:p>
    <w:p w14:paraId="303BE394">
      <w:pPr>
        <w:keepNext w:val="0"/>
        <w:keepLines w:val="0"/>
        <w:pageBreakBefore w:val="0"/>
        <w:widowControl w:val="0"/>
        <w:spacing w:line="340" w:lineRule="exact"/>
        <w:ind w:firstLine="482"/>
        <w:rPr>
          <w:rFonts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（3）残疾儿童自申请之日起一个年度康复服务周期内，只享受一种残疾类别的康复救助，多类别康复救助经费不叠加计算。</w:t>
      </w:r>
    </w:p>
    <w:p w14:paraId="6DAD34C5">
      <w:pPr>
        <w:keepNext w:val="0"/>
        <w:keepLines w:val="0"/>
        <w:pageBreakBefore w:val="0"/>
        <w:widowControl w:val="0"/>
        <w:spacing w:line="340" w:lineRule="exact"/>
        <w:ind w:firstLine="482"/>
        <w:rPr>
          <w:rFonts w:ascii="宋体" w:hAnsi="宋体" w:eastAsia="宋体" w:cs="Times New Roman"/>
          <w:b/>
          <w:color w:val="auto"/>
          <w:sz w:val="24"/>
          <w:szCs w:val="24"/>
          <w:highlight w:val="none"/>
          <w:lang w:val="en-US" w:eastAsia="zh-CN"/>
        </w:rPr>
      </w:pPr>
      <w:r>
        <w:rPr>
          <w:rFonts w:hint="eastAsia" w:ascii="宋体" w:hAnsi="宋体" w:cs="Times New Roman"/>
          <w:b/>
          <w:color w:val="auto"/>
          <w:sz w:val="24"/>
          <w:szCs w:val="24"/>
          <w:highlight w:val="none"/>
          <w:lang w:val="en-US" w:eastAsia="zh-CN"/>
        </w:rPr>
        <w:t>六</w:t>
      </w:r>
      <w:r>
        <w:rPr>
          <w:rFonts w:hint="eastAsia" w:ascii="宋体" w:hAnsi="宋体" w:eastAsia="宋体" w:cs="Times New Roman"/>
          <w:b/>
          <w:color w:val="auto"/>
          <w:sz w:val="24"/>
          <w:szCs w:val="24"/>
          <w:highlight w:val="none"/>
          <w:lang w:val="en-US" w:eastAsia="zh-CN"/>
        </w:rPr>
        <w:t>、服务管理与考核</w:t>
      </w:r>
    </w:p>
    <w:p w14:paraId="5BA86097">
      <w:pPr>
        <w:keepNext w:val="0"/>
        <w:keepLines w:val="0"/>
        <w:pageBreakBefore w:val="0"/>
        <w:widowControl w:val="0"/>
        <w:spacing w:line="340" w:lineRule="exact"/>
        <w:ind w:firstLine="482"/>
        <w:rPr>
          <w:rFonts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本项目经招标确定的定点康复服务机构，须全面服从采购人（即合同签订甲方）的康复服务机构各项管理与考核安排及要求，包含但不限于如下具体内容。</w:t>
      </w:r>
    </w:p>
    <w:p w14:paraId="17AF5DBF">
      <w:pPr>
        <w:keepNext w:val="0"/>
        <w:keepLines w:val="0"/>
        <w:pageBreakBefore w:val="0"/>
        <w:widowControl w:val="0"/>
        <w:spacing w:line="340" w:lineRule="exact"/>
        <w:ind w:firstLine="482"/>
        <w:rPr>
          <w:rFonts w:ascii="Times New Roman" w:hAnsi="Times New Roman" w:eastAsia="宋体" w:cs="仿宋"/>
          <w:b/>
          <w:color w:val="auto"/>
          <w:sz w:val="24"/>
          <w:highlight w:val="none"/>
        </w:rPr>
      </w:pPr>
      <w:r>
        <w:rPr>
          <w:rFonts w:hint="eastAsia" w:ascii="Times New Roman" w:hAnsi="Times New Roman" w:eastAsia="宋体" w:cs="仿宋"/>
          <w:b/>
          <w:color w:val="auto"/>
          <w:sz w:val="24"/>
          <w:highlight w:val="none"/>
        </w:rPr>
        <w:t>（一）基本硬件建设：</w:t>
      </w:r>
    </w:p>
    <w:p w14:paraId="2461EC1B">
      <w:pPr>
        <w:keepNext w:val="0"/>
        <w:keepLines w:val="0"/>
        <w:pageBreakBefore w:val="0"/>
        <w:widowControl w:val="0"/>
        <w:spacing w:line="340" w:lineRule="exact"/>
        <w:ind w:firstLine="482"/>
        <w:rPr>
          <w:rFonts w:ascii="Times New Roman" w:hAnsi="Times New Roman" w:eastAsia="宋体" w:cs="仿宋"/>
          <w:b/>
          <w:color w:val="auto"/>
          <w:sz w:val="24"/>
          <w:highlight w:val="none"/>
        </w:rPr>
      </w:pPr>
      <w:r>
        <w:rPr>
          <w:rFonts w:hint="eastAsia" w:ascii="Times New Roman" w:hAnsi="Times New Roman" w:eastAsia="宋体" w:cs="仿宋"/>
          <w:b/>
          <w:color w:val="auto"/>
          <w:sz w:val="24"/>
          <w:highlight w:val="none"/>
        </w:rPr>
        <w:t>1、建设标准</w:t>
      </w:r>
    </w:p>
    <w:p w14:paraId="12A20097">
      <w:pPr>
        <w:keepNext w:val="0"/>
        <w:keepLines w:val="0"/>
        <w:pageBreakBefore w:val="0"/>
        <w:widowControl w:val="0"/>
        <w:spacing w:line="340" w:lineRule="exact"/>
        <w:ind w:firstLine="482"/>
        <w:rPr>
          <w:rFonts w:ascii="Times New Roman" w:hAnsi="Times New Roman" w:eastAsia="宋体" w:cs="仿宋"/>
          <w:b/>
          <w:bCs/>
          <w:color w:val="auto"/>
          <w:sz w:val="24"/>
          <w:highlight w:val="none"/>
          <w:u w:val="none"/>
          <w:lang w:val="en-US" w:eastAsia="zh-CN"/>
        </w:rPr>
      </w:pPr>
      <w:r>
        <w:rPr>
          <w:rFonts w:hint="eastAsia" w:ascii="Times New Roman" w:hAnsi="Times New Roman" w:eastAsia="宋体" w:cs="仿宋"/>
          <w:b w:val="0"/>
          <w:bCs w:val="0"/>
          <w:color w:val="auto"/>
          <w:sz w:val="24"/>
          <w:highlight w:val="none"/>
          <w:u w:val="none"/>
          <w:lang w:val="en-US" w:eastAsia="zh-CN"/>
        </w:rPr>
        <w:t>1.1</w:t>
      </w:r>
      <w:r>
        <w:rPr>
          <w:rFonts w:hint="eastAsia" w:ascii="Times New Roman" w:hAnsi="Times New Roman" w:eastAsia="宋体" w:cs="仿宋"/>
          <w:b w:val="0"/>
          <w:bCs w:val="0"/>
          <w:color w:val="auto"/>
          <w:sz w:val="24"/>
          <w:highlight w:val="none"/>
          <w:u w:val="none"/>
        </w:rPr>
        <w:t>消防达标要求：符合国家《建筑防火通用规范》（GB55037-2022）中关于“儿童活动场所”的相关要求，按照《建设工程消防设计审查验收管理暂行规定》(住建部第 51 号令)</w:t>
      </w:r>
      <w:r>
        <w:rPr>
          <w:rFonts w:hint="eastAsia" w:ascii="Times New Roman" w:hAnsi="Times New Roman" w:eastAsia="宋体" w:cs="仿宋"/>
          <w:b w:val="0"/>
          <w:bCs/>
          <w:color w:val="auto"/>
          <w:sz w:val="24"/>
          <w:highlight w:val="none"/>
          <w:u w:val="none"/>
        </w:rPr>
        <w:t>规定，儿童室内活动场所总建筑面积大于 1000 平方米以上的机构，建设前应取得建设工程消防设计审查合格意见书，竣工后应取得建设工程消防验收合格意见书；儿童室内活动场所总建筑面积 1000 平方米以下的机构，应在建设工程竣工验收合格之日起五个工作日内，向消防设计审查验收主管部门备案，并取得备案合格凭证。</w:t>
      </w:r>
      <w:r>
        <w:rPr>
          <w:rFonts w:hint="eastAsia" w:ascii="Times New Roman" w:hAnsi="Times New Roman" w:eastAsia="宋体" w:cs="仿宋"/>
          <w:color w:val="auto"/>
          <w:sz w:val="24"/>
          <w:highlight w:val="none"/>
          <w:u w:val="none"/>
          <w:lang w:val="en-US" w:eastAsia="zh-CN"/>
        </w:rPr>
        <w:t>须提供前述相关证明资料，否则不予认可。</w:t>
      </w:r>
    </w:p>
    <w:p w14:paraId="4401BDBB">
      <w:pPr>
        <w:keepNext w:val="0"/>
        <w:keepLines w:val="0"/>
        <w:pageBreakBefore w:val="0"/>
        <w:widowControl w:val="0"/>
        <w:spacing w:line="340" w:lineRule="exact"/>
        <w:ind w:firstLine="482"/>
        <w:rPr>
          <w:rFonts w:ascii="Times New Roman" w:hAnsi="Times New Roman" w:eastAsia="宋体" w:cs="仿宋"/>
          <w:b w:val="0"/>
          <w:bCs/>
          <w:color w:val="auto"/>
          <w:sz w:val="24"/>
          <w:highlight w:val="none"/>
          <w:u w:val="none"/>
        </w:rPr>
      </w:pPr>
      <w:r>
        <w:rPr>
          <w:rFonts w:hint="eastAsia" w:ascii="Times New Roman" w:hAnsi="Times New Roman" w:eastAsia="宋体" w:cs="仿宋"/>
          <w:b w:val="0"/>
          <w:bCs/>
          <w:color w:val="auto"/>
          <w:sz w:val="24"/>
          <w:highlight w:val="none"/>
          <w:u w:val="none"/>
          <w:lang w:val="en-US" w:eastAsia="zh-CN"/>
        </w:rPr>
        <w:t>1.2</w:t>
      </w:r>
      <w:r>
        <w:rPr>
          <w:rFonts w:hint="eastAsia" w:ascii="Times New Roman" w:hAnsi="Times New Roman" w:eastAsia="宋体" w:cs="仿宋"/>
          <w:b w:val="0"/>
          <w:bCs/>
          <w:color w:val="auto"/>
          <w:sz w:val="24"/>
          <w:highlight w:val="none"/>
          <w:u w:val="none"/>
        </w:rPr>
        <w:t>建设要求：机构规划布局、建设规模和建设面积执行《残疾人康复机构建设标准》（建标165－2013）中关于“选址与规划布局”和“建设规模与建筑面积指标”的相关规定。</w:t>
      </w:r>
    </w:p>
    <w:p w14:paraId="03E67E27">
      <w:pPr>
        <w:keepNext w:val="0"/>
        <w:keepLines w:val="0"/>
        <w:pageBreakBefore w:val="0"/>
        <w:widowControl w:val="0"/>
        <w:spacing w:line="340" w:lineRule="exact"/>
        <w:ind w:firstLine="482"/>
        <w:rPr>
          <w:rFonts w:ascii="Times New Roman" w:hAnsi="Times New Roman" w:eastAsia="宋体" w:cs="仿宋"/>
          <w:b w:val="0"/>
          <w:bCs/>
          <w:color w:val="auto"/>
          <w:sz w:val="24"/>
          <w:highlight w:val="none"/>
          <w:u w:val="none"/>
        </w:rPr>
      </w:pPr>
      <w:r>
        <w:rPr>
          <w:rFonts w:hint="eastAsia" w:ascii="Times New Roman" w:hAnsi="Times New Roman" w:eastAsia="宋体" w:cs="仿宋"/>
          <w:b w:val="0"/>
          <w:bCs/>
          <w:color w:val="auto"/>
          <w:sz w:val="24"/>
          <w:highlight w:val="none"/>
          <w:u w:val="none"/>
          <w:lang w:val="en-US" w:eastAsia="zh-CN"/>
        </w:rPr>
        <w:t>1.3</w:t>
      </w:r>
      <w:r>
        <w:rPr>
          <w:rFonts w:hint="eastAsia" w:ascii="Times New Roman" w:hAnsi="Times New Roman" w:eastAsia="宋体" w:cs="仿宋"/>
          <w:b w:val="0"/>
          <w:bCs/>
          <w:color w:val="auto"/>
          <w:sz w:val="24"/>
          <w:highlight w:val="none"/>
          <w:u w:val="none"/>
        </w:rPr>
        <w:t>环境要求</w:t>
      </w:r>
    </w:p>
    <w:p w14:paraId="4C081FA7">
      <w:pPr>
        <w:keepNext w:val="0"/>
        <w:keepLines w:val="0"/>
        <w:pageBreakBefore w:val="0"/>
        <w:widowControl w:val="0"/>
        <w:spacing w:line="340" w:lineRule="exact"/>
        <w:ind w:firstLine="482"/>
        <w:rPr>
          <w:rFonts w:ascii="Times New Roman" w:hAnsi="Times New Roman" w:eastAsia="宋体" w:cs="仿宋"/>
          <w:color w:val="auto"/>
          <w:sz w:val="24"/>
          <w:highlight w:val="none"/>
          <w:u w:val="none"/>
        </w:rPr>
      </w:pPr>
      <w:r>
        <w:rPr>
          <w:rFonts w:hint="eastAsia" w:ascii="Times New Roman" w:hAnsi="Times New Roman" w:eastAsia="宋体" w:cs="仿宋"/>
          <w:color w:val="auto"/>
          <w:sz w:val="24"/>
          <w:highlight w:val="none"/>
          <w:u w:val="none"/>
        </w:rPr>
        <w:t>应有与收训规模相适应的独立、安全、相对稳定的房屋，并设置在安全区域内，周围50米以内无污染、噪音影响。平房有独立院落，多层建筑宜设置在三层以下。不应与易爆、易燃等危化品生产、储存、装卸场所相邻，应远离高压线、垃圾站及大型机动车停车场。</w:t>
      </w:r>
    </w:p>
    <w:p w14:paraId="11698A47">
      <w:pPr>
        <w:keepNext w:val="0"/>
        <w:keepLines w:val="0"/>
        <w:pageBreakBefore w:val="0"/>
        <w:widowControl w:val="0"/>
        <w:spacing w:line="340" w:lineRule="exact"/>
        <w:ind w:firstLine="482"/>
        <w:rPr>
          <w:rFonts w:hint="eastAsia" w:ascii="Times New Roman" w:hAnsi="Times New Roman" w:eastAsia="宋体" w:cs="仿宋"/>
          <w:color w:val="auto"/>
          <w:sz w:val="24"/>
          <w:highlight w:val="none"/>
          <w:u w:val="none"/>
        </w:rPr>
      </w:pPr>
      <w:r>
        <w:rPr>
          <w:rFonts w:hint="eastAsia" w:ascii="Times New Roman" w:hAnsi="Times New Roman" w:eastAsia="宋体" w:cs="仿宋"/>
          <w:color w:val="auto"/>
          <w:sz w:val="24"/>
          <w:highlight w:val="none"/>
          <w:u w:val="none"/>
        </w:rPr>
        <w:t>生活用房应设在建筑的底层，设有独立出入口；有独立的室外活动场地。生活用房和室外场地与其他建筑部分采取隔离措施，配备防止物体坠落设施，光照充足，通风良好。</w:t>
      </w:r>
    </w:p>
    <w:p w14:paraId="41ADA867">
      <w:pPr>
        <w:keepNext w:val="0"/>
        <w:keepLines w:val="0"/>
        <w:pageBreakBefore w:val="0"/>
        <w:widowControl w:val="0"/>
        <w:spacing w:line="340" w:lineRule="exact"/>
        <w:ind w:firstLine="482"/>
        <w:rPr>
          <w:rFonts w:hint="eastAsia" w:ascii="Times New Roman" w:hAnsi="Times New Roman" w:eastAsia="宋体" w:cs="仿宋"/>
          <w:b/>
          <w:color w:val="auto"/>
          <w:sz w:val="24"/>
          <w:highlight w:val="none"/>
          <w:u w:val="none"/>
          <w:lang w:val="en-US" w:eastAsia="zh-CN"/>
        </w:rPr>
      </w:pPr>
      <w:r>
        <w:rPr>
          <w:rFonts w:hint="eastAsia" w:ascii="Times New Roman" w:hAnsi="Times New Roman" w:eastAsia="宋体" w:cs="仿宋"/>
          <w:b/>
          <w:color w:val="auto"/>
          <w:sz w:val="24"/>
          <w:highlight w:val="none"/>
          <w:u w:val="none"/>
          <w:lang w:val="en-US" w:eastAsia="zh-CN"/>
        </w:rPr>
        <w:t>2、</w:t>
      </w:r>
      <w:r>
        <w:rPr>
          <w:rFonts w:hint="eastAsia" w:ascii="Times New Roman" w:hAnsi="Times New Roman" w:eastAsia="宋体" w:cs="仿宋"/>
          <w:b/>
          <w:color w:val="auto"/>
          <w:sz w:val="24"/>
          <w:highlight w:val="none"/>
          <w:u w:val="none"/>
        </w:rPr>
        <w:t>定点机构</w:t>
      </w:r>
      <w:r>
        <w:rPr>
          <w:rFonts w:hint="eastAsia" w:ascii="Times New Roman" w:hAnsi="Times New Roman" w:eastAsia="宋体" w:cs="仿宋"/>
          <w:b/>
          <w:color w:val="auto"/>
          <w:sz w:val="24"/>
          <w:highlight w:val="none"/>
          <w:u w:val="none"/>
          <w:lang w:val="en-US" w:eastAsia="zh-CN"/>
        </w:rPr>
        <w:t>内部管理</w:t>
      </w:r>
    </w:p>
    <w:p w14:paraId="4865A7B4">
      <w:pPr>
        <w:keepNext w:val="0"/>
        <w:keepLines w:val="0"/>
        <w:pageBreakBefore w:val="0"/>
        <w:widowControl w:val="0"/>
        <w:spacing w:line="340" w:lineRule="exact"/>
        <w:ind w:firstLine="482"/>
        <w:rPr>
          <w:rFonts w:hint="eastAsia" w:ascii="Times New Roman" w:hAnsi="Times New Roman" w:eastAsia="宋体" w:cs="仿宋"/>
          <w:b w:val="0"/>
          <w:bCs/>
          <w:color w:val="auto"/>
          <w:sz w:val="24"/>
          <w:highlight w:val="none"/>
          <w:u w:val="none"/>
          <w:lang w:val="en-US" w:eastAsia="zh-CN"/>
        </w:rPr>
      </w:pPr>
      <w:r>
        <w:rPr>
          <w:rFonts w:hint="eastAsia" w:ascii="Times New Roman" w:hAnsi="Times New Roman" w:eastAsia="宋体" w:cs="仿宋"/>
          <w:b w:val="0"/>
          <w:bCs/>
          <w:color w:val="auto"/>
          <w:sz w:val="24"/>
          <w:highlight w:val="none"/>
          <w:u w:val="none"/>
          <w:lang w:val="en-US" w:eastAsia="zh-CN"/>
        </w:rPr>
        <w:t>2.2制度管理</w:t>
      </w:r>
    </w:p>
    <w:p w14:paraId="379943A9">
      <w:pPr>
        <w:keepNext w:val="0"/>
        <w:keepLines w:val="0"/>
        <w:pageBreakBefore w:val="0"/>
        <w:widowControl w:val="0"/>
        <w:spacing w:line="340" w:lineRule="exact"/>
        <w:ind w:firstLine="482"/>
        <w:rPr>
          <w:rFonts w:hint="eastAsia" w:ascii="Times New Roman" w:hAnsi="Times New Roman" w:eastAsia="宋体" w:cs="仿宋"/>
          <w:b w:val="0"/>
          <w:bCs/>
          <w:color w:val="auto"/>
          <w:sz w:val="24"/>
          <w:highlight w:val="none"/>
          <w:u w:val="none"/>
          <w:lang w:val="en-US" w:eastAsia="zh-CN"/>
        </w:rPr>
      </w:pPr>
      <w:r>
        <w:rPr>
          <w:rFonts w:hint="eastAsia" w:ascii="宋体" w:hAnsi="宋体" w:cs="宋体"/>
          <w:color w:val="auto"/>
          <w:sz w:val="24"/>
          <w:szCs w:val="24"/>
          <w:highlight w:val="none"/>
          <w:lang w:val="en-US" w:eastAsia="zh-CN"/>
        </w:rPr>
        <w:t>2.2.1</w:t>
      </w:r>
      <w:r>
        <w:rPr>
          <w:rFonts w:ascii="宋体" w:hAnsi="宋体" w:eastAsia="宋体" w:cs="宋体"/>
          <w:color w:val="auto"/>
          <w:sz w:val="24"/>
          <w:szCs w:val="24"/>
          <w:highlight w:val="none"/>
        </w:rPr>
        <w:t>包含岗位职责、业务管理、人力资源管理、财务管理、突发事件应急预案（含安全、消防等）、信息管理（含信息安全、舆情处置等）、服务项目及收费标准等信息公示；做好年度自查管理的总结报告。</w:t>
      </w:r>
    </w:p>
    <w:p w14:paraId="7419CF90">
      <w:pPr>
        <w:keepNext w:val="0"/>
        <w:keepLines w:val="0"/>
        <w:pageBreakBefore w:val="0"/>
        <w:widowControl w:val="0"/>
        <w:spacing w:line="340" w:lineRule="exact"/>
        <w:ind w:firstLine="482"/>
        <w:rPr>
          <w:rFonts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2.2.2</w:t>
      </w:r>
      <w:r>
        <w:rPr>
          <w:rFonts w:hint="eastAsia" w:ascii="宋体" w:hAnsi="宋体" w:eastAsia="宋体" w:cs="宋体"/>
          <w:color w:val="auto"/>
          <w:sz w:val="24"/>
          <w:szCs w:val="24"/>
          <w:highlight w:val="none"/>
        </w:rPr>
        <w:t>并有相应的督查、问责、清退和奖惩制度。</w:t>
      </w:r>
    </w:p>
    <w:p w14:paraId="578D3B67">
      <w:pPr>
        <w:keepNext w:val="0"/>
        <w:keepLines w:val="0"/>
        <w:pageBreakBefore w:val="0"/>
        <w:widowControl w:val="0"/>
        <w:spacing w:line="340" w:lineRule="exact"/>
        <w:ind w:firstLine="482"/>
        <w:rPr>
          <w:rFonts w:hint="eastAsia" w:ascii="Times New Roman" w:hAnsi="Times New Roman" w:eastAsia="宋体" w:cs="仿宋"/>
          <w:b w:val="0"/>
          <w:bCs/>
          <w:color w:val="auto"/>
          <w:sz w:val="24"/>
          <w:highlight w:val="none"/>
          <w:u w:val="none"/>
          <w:lang w:val="en-US" w:eastAsia="zh-CN"/>
        </w:rPr>
      </w:pPr>
      <w:r>
        <w:rPr>
          <w:rFonts w:hint="eastAsia" w:ascii="宋体" w:hAnsi="宋体" w:cs="宋体"/>
          <w:color w:val="auto"/>
          <w:sz w:val="24"/>
          <w:szCs w:val="24"/>
          <w:highlight w:val="none"/>
          <w:lang w:val="en-US" w:eastAsia="zh-CN"/>
        </w:rPr>
        <w:t>2.2.3</w:t>
      </w:r>
      <w:r>
        <w:rPr>
          <w:rFonts w:ascii="宋体" w:hAnsi="宋体" w:eastAsia="宋体" w:cs="宋体"/>
          <w:color w:val="auto"/>
          <w:sz w:val="24"/>
          <w:szCs w:val="24"/>
          <w:highlight w:val="none"/>
        </w:rPr>
        <w:t>各项安全管理制度和突发事件应急预案齐备，有完善的防火、防盗设施，每年至少组织一次消防逃生演练，对要害部位有特殊的管理措施和预警预案。突发事件应当及时向主管部门或有关部门报告，并有完整的过程和应急处理记录。</w:t>
      </w:r>
    </w:p>
    <w:p w14:paraId="7889C294">
      <w:pPr>
        <w:keepNext w:val="0"/>
        <w:keepLines w:val="0"/>
        <w:pageBreakBefore w:val="0"/>
        <w:widowControl w:val="0"/>
        <w:spacing w:line="340" w:lineRule="exact"/>
        <w:ind w:firstLine="482"/>
        <w:rPr>
          <w:rFonts w:hint="eastAsia" w:ascii="Times New Roman" w:hAnsi="Times New Roman" w:eastAsia="宋体" w:cs="仿宋"/>
          <w:b w:val="0"/>
          <w:bCs/>
          <w:color w:val="auto"/>
          <w:sz w:val="24"/>
          <w:highlight w:val="none"/>
          <w:u w:val="none"/>
          <w:lang w:val="en-US" w:eastAsia="zh-CN"/>
        </w:rPr>
      </w:pPr>
      <w:r>
        <w:rPr>
          <w:rFonts w:hint="eastAsia" w:ascii="Times New Roman" w:hAnsi="Times New Roman" w:eastAsia="宋体" w:cs="仿宋"/>
          <w:b w:val="0"/>
          <w:bCs/>
          <w:color w:val="auto"/>
          <w:sz w:val="24"/>
          <w:highlight w:val="none"/>
          <w:u w:val="none"/>
          <w:lang w:val="en-US" w:eastAsia="zh-CN"/>
        </w:rPr>
        <w:t>2.3绩效审计</w:t>
      </w:r>
    </w:p>
    <w:p w14:paraId="475BBBC7">
      <w:pPr>
        <w:keepNext w:val="0"/>
        <w:keepLines w:val="0"/>
        <w:pageBreakBefore w:val="0"/>
        <w:widowControl w:val="0"/>
        <w:spacing w:line="340" w:lineRule="exact"/>
        <w:ind w:firstLine="482"/>
        <w:rPr>
          <w:rFonts w:ascii="Times New Roman" w:hAnsi="Times New Roman" w:eastAsia="宋体" w:cs="仿宋"/>
          <w:b w:val="0"/>
          <w:bCs/>
          <w:color w:val="auto"/>
          <w:sz w:val="24"/>
          <w:highlight w:val="none"/>
          <w:u w:val="none"/>
          <w:lang w:val="en-US" w:eastAsia="zh-CN"/>
        </w:rPr>
      </w:pPr>
      <w:r>
        <w:rPr>
          <w:rFonts w:hint="eastAsia" w:ascii="Times New Roman" w:hAnsi="Times New Roman" w:cs="仿宋"/>
          <w:b w:val="0"/>
          <w:bCs/>
          <w:color w:val="auto"/>
          <w:sz w:val="24"/>
          <w:highlight w:val="none"/>
          <w:u w:val="none"/>
          <w:lang w:val="en-US" w:eastAsia="zh-CN"/>
        </w:rPr>
        <w:t>2.3.1</w:t>
      </w:r>
      <w:r>
        <w:rPr>
          <w:rFonts w:hint="eastAsia" w:ascii="Times New Roman" w:hAnsi="Times New Roman" w:eastAsia="宋体" w:cs="仿宋"/>
          <w:b w:val="0"/>
          <w:bCs/>
          <w:color w:val="auto"/>
          <w:sz w:val="24"/>
          <w:highlight w:val="none"/>
          <w:u w:val="none"/>
          <w:lang w:val="en-US" w:eastAsia="zh-CN"/>
        </w:rPr>
        <w:t>接受业务主管部门财务检查和年度审计，经县级以上残联会同财政部门年度康复服务项目绩效考核合格以上。</w:t>
      </w:r>
    </w:p>
    <w:p w14:paraId="36339612">
      <w:pPr>
        <w:keepNext w:val="0"/>
        <w:keepLines w:val="0"/>
        <w:pageBreakBefore w:val="0"/>
        <w:widowControl w:val="0"/>
        <w:spacing w:line="340" w:lineRule="exact"/>
        <w:ind w:firstLine="482"/>
        <w:rPr>
          <w:rFonts w:ascii="宋体" w:hAnsi="宋体" w:eastAsia="宋体" w:cs="宋体"/>
          <w:color w:val="auto"/>
          <w:sz w:val="24"/>
          <w:szCs w:val="24"/>
          <w:highlight w:val="none"/>
        </w:rPr>
      </w:pPr>
      <w:r>
        <w:rPr>
          <w:rFonts w:hint="eastAsia" w:ascii="Times New Roman" w:hAnsi="Times New Roman" w:cs="仿宋"/>
          <w:b w:val="0"/>
          <w:bCs/>
          <w:color w:val="auto"/>
          <w:sz w:val="24"/>
          <w:highlight w:val="none"/>
          <w:u w:val="none"/>
          <w:lang w:val="en-US" w:eastAsia="zh-CN"/>
        </w:rPr>
        <w:t>2.3.2</w:t>
      </w:r>
      <w:r>
        <w:rPr>
          <w:rFonts w:ascii="宋体" w:hAnsi="宋体" w:eastAsia="宋体" w:cs="宋体"/>
          <w:color w:val="auto"/>
          <w:sz w:val="24"/>
          <w:szCs w:val="24"/>
          <w:highlight w:val="none"/>
        </w:rPr>
        <w:t>严格执行行业收费指导标准，在机构醒目位置公布收费标准。</w:t>
      </w:r>
    </w:p>
    <w:p w14:paraId="5C9CB1EB">
      <w:pPr>
        <w:keepNext w:val="0"/>
        <w:keepLines w:val="0"/>
        <w:pageBreakBefore w:val="0"/>
        <w:widowControl w:val="0"/>
        <w:spacing w:line="340" w:lineRule="exact"/>
        <w:ind w:firstLine="482"/>
        <w:rPr>
          <w:rFonts w:ascii="宋体" w:hAnsi="宋体" w:eastAsia="宋体" w:cs="宋体"/>
          <w:color w:val="auto"/>
          <w:sz w:val="24"/>
          <w:szCs w:val="24"/>
          <w:highlight w:val="none"/>
        </w:rPr>
      </w:pPr>
      <w:r>
        <w:rPr>
          <w:rFonts w:hint="eastAsia" w:ascii="Times New Roman" w:hAnsi="Times New Roman" w:cs="仿宋"/>
          <w:b w:val="0"/>
          <w:bCs/>
          <w:color w:val="auto"/>
          <w:sz w:val="24"/>
          <w:highlight w:val="none"/>
          <w:u w:val="none"/>
          <w:lang w:val="en-US" w:eastAsia="zh-CN"/>
        </w:rPr>
        <w:t>2.3.3</w:t>
      </w:r>
      <w:r>
        <w:rPr>
          <w:rFonts w:ascii="宋体" w:hAnsi="宋体" w:eastAsia="宋体" w:cs="宋体"/>
          <w:color w:val="auto"/>
          <w:sz w:val="24"/>
          <w:szCs w:val="24"/>
          <w:highlight w:val="none"/>
        </w:rPr>
        <w:t xml:space="preserve">服务项目和收费标准等按要求进行公示，如需调整收费标准，须在机构醒目位置张榜公示3个月，期满无异议后方可调整价格，同时向县残联和市残联进行报备，杜绝乱收费和乱涨价现象的发生。 </w:t>
      </w:r>
    </w:p>
    <w:p w14:paraId="55F2849A">
      <w:pPr>
        <w:keepNext w:val="0"/>
        <w:keepLines w:val="0"/>
        <w:pageBreakBefore w:val="0"/>
        <w:widowControl w:val="0"/>
        <w:spacing w:line="340" w:lineRule="exact"/>
        <w:ind w:firstLine="482"/>
        <w:rPr>
          <w:rFonts w:hint="eastAsia" w:ascii="Times New Roman" w:hAnsi="Times New Roman" w:eastAsia="宋体" w:cs="仿宋"/>
          <w:b/>
          <w:color w:val="auto"/>
          <w:sz w:val="24"/>
          <w:highlight w:val="none"/>
          <w:u w:val="none"/>
          <w:lang w:val="en-US" w:eastAsia="zh-CN"/>
        </w:rPr>
      </w:pPr>
      <w:r>
        <w:rPr>
          <w:rFonts w:hint="eastAsia" w:ascii="Times New Roman" w:hAnsi="Times New Roman" w:eastAsia="宋体" w:cs="仿宋"/>
          <w:b/>
          <w:color w:val="auto"/>
          <w:sz w:val="24"/>
          <w:highlight w:val="none"/>
          <w:u w:val="none"/>
          <w:lang w:val="en-US" w:eastAsia="zh-CN"/>
        </w:rPr>
        <w:t>3、</w:t>
      </w:r>
      <w:r>
        <w:rPr>
          <w:rFonts w:hint="eastAsia" w:ascii="Times New Roman" w:hAnsi="Times New Roman" w:eastAsia="宋体" w:cs="仿宋"/>
          <w:b/>
          <w:color w:val="auto"/>
          <w:sz w:val="24"/>
          <w:highlight w:val="none"/>
          <w:u w:val="none"/>
        </w:rPr>
        <w:t>定点机构</w:t>
      </w:r>
      <w:r>
        <w:rPr>
          <w:rFonts w:hint="eastAsia" w:ascii="Times New Roman" w:hAnsi="Times New Roman" w:eastAsia="宋体" w:cs="仿宋"/>
          <w:b/>
          <w:color w:val="auto"/>
          <w:sz w:val="24"/>
          <w:highlight w:val="none"/>
          <w:u w:val="none"/>
          <w:lang w:val="en-US" w:eastAsia="zh-CN"/>
        </w:rPr>
        <w:t>设施设备</w:t>
      </w:r>
    </w:p>
    <w:p w14:paraId="40253F5D">
      <w:pPr>
        <w:keepNext w:val="0"/>
        <w:keepLines w:val="0"/>
        <w:pageBreakBefore w:val="0"/>
        <w:widowControl w:val="0"/>
        <w:spacing w:line="340" w:lineRule="exact"/>
        <w:ind w:firstLine="482"/>
        <w:rPr>
          <w:rFonts w:ascii="Times New Roman" w:hAnsi="Times New Roman" w:eastAsia="宋体" w:cs="仿宋"/>
          <w:b/>
          <w:bCs/>
          <w:color w:val="auto"/>
          <w:sz w:val="24"/>
          <w:highlight w:val="none"/>
          <w:u w:val="none"/>
          <w:lang w:val="en-US" w:eastAsia="zh-CN"/>
        </w:rPr>
      </w:pPr>
      <w:r>
        <w:rPr>
          <w:rFonts w:hint="eastAsia" w:ascii="Times New Roman" w:hAnsi="Times New Roman" w:eastAsia="宋体" w:cs="仿宋"/>
          <w:b/>
          <w:bCs/>
          <w:color w:val="auto"/>
          <w:sz w:val="24"/>
          <w:highlight w:val="none"/>
          <w:u w:val="none"/>
          <w:lang w:val="en-US" w:eastAsia="zh-CN"/>
        </w:rPr>
        <w:t>3.1训练场地</w:t>
      </w:r>
    </w:p>
    <w:p w14:paraId="6671A2CD">
      <w:pPr>
        <w:keepNext w:val="0"/>
        <w:keepLines w:val="0"/>
        <w:pageBreakBefore w:val="0"/>
        <w:widowControl w:val="0"/>
        <w:spacing w:line="340" w:lineRule="exact"/>
        <w:ind w:firstLine="482"/>
        <w:rPr>
          <w:rFonts w:hint="eastAsia" w:ascii="Times New Roman" w:hAnsi="Times New Roman" w:eastAsia="宋体" w:cs="仿宋"/>
          <w:b w:val="0"/>
          <w:bCs/>
          <w:color w:val="auto"/>
          <w:sz w:val="24"/>
          <w:highlight w:val="none"/>
          <w:u w:val="none"/>
          <w:lang w:eastAsia="zh-CN"/>
        </w:rPr>
      </w:pPr>
      <w:r>
        <w:rPr>
          <w:rFonts w:hint="eastAsia" w:ascii="Times New Roman" w:hAnsi="Times New Roman" w:cs="仿宋"/>
          <w:b w:val="0"/>
          <w:bCs/>
          <w:color w:val="auto"/>
          <w:sz w:val="24"/>
          <w:highlight w:val="none"/>
          <w:u w:val="none"/>
          <w:lang w:val="en-US" w:eastAsia="zh-CN"/>
        </w:rPr>
        <w:t>3.1.1</w:t>
      </w:r>
      <w:r>
        <w:rPr>
          <w:rFonts w:hint="eastAsia" w:ascii="Times New Roman" w:hAnsi="Times New Roman" w:eastAsia="宋体" w:cs="仿宋"/>
          <w:b w:val="0"/>
          <w:bCs/>
          <w:color w:val="auto"/>
          <w:sz w:val="24"/>
          <w:highlight w:val="none"/>
          <w:u w:val="none"/>
        </w:rPr>
        <w:t>应设置咨询接待(评估)室、集体(组别)训练教室、运动(感统)训练室</w:t>
      </w:r>
      <w:r>
        <w:rPr>
          <w:rFonts w:hint="eastAsia" w:ascii="Times New Roman" w:hAnsi="Times New Roman" w:eastAsia="宋体" w:cs="仿宋"/>
          <w:b w:val="0"/>
          <w:bCs/>
          <w:color w:val="auto"/>
          <w:sz w:val="24"/>
          <w:highlight w:val="none"/>
          <w:u w:val="none"/>
          <w:lang w:eastAsia="zh-CN"/>
        </w:rPr>
        <w:t>、生</w:t>
      </w:r>
      <w:r>
        <w:rPr>
          <w:rFonts w:hint="eastAsia" w:ascii="Times New Roman" w:hAnsi="Times New Roman" w:eastAsia="宋体" w:cs="仿宋"/>
          <w:b w:val="0"/>
          <w:bCs/>
          <w:color w:val="auto"/>
          <w:sz w:val="24"/>
          <w:highlight w:val="none"/>
          <w:u w:val="none"/>
        </w:rPr>
        <w:t>活自理训练室、个训教室、档案室，有可利用的室外活动场地，无障碍建设和设施完备</w:t>
      </w:r>
      <w:r>
        <w:rPr>
          <w:rFonts w:hint="eastAsia" w:ascii="Times New Roman" w:hAnsi="Times New Roman" w:eastAsia="宋体" w:cs="仿宋"/>
          <w:b w:val="0"/>
          <w:bCs/>
          <w:color w:val="auto"/>
          <w:sz w:val="24"/>
          <w:highlight w:val="none"/>
          <w:u w:val="none"/>
          <w:lang w:eastAsia="zh-CN"/>
        </w:rPr>
        <w:t>；</w:t>
      </w:r>
      <w:r>
        <w:rPr>
          <w:rFonts w:hint="eastAsia" w:ascii="Times New Roman" w:hAnsi="Times New Roman" w:eastAsia="宋体" w:cs="仿宋"/>
          <w:b w:val="0"/>
          <w:bCs/>
          <w:color w:val="auto"/>
          <w:sz w:val="24"/>
          <w:highlight w:val="none"/>
          <w:u w:val="none"/>
        </w:rPr>
        <w:t>业务用房面积不少于建筑总</w:t>
      </w:r>
      <w:r>
        <w:rPr>
          <w:rFonts w:hint="eastAsia" w:ascii="Times New Roman" w:hAnsi="Times New Roman" w:eastAsia="宋体" w:cs="仿宋"/>
          <w:b w:val="0"/>
          <w:bCs/>
          <w:color w:val="auto"/>
          <w:sz w:val="24"/>
          <w:highlight w:val="none"/>
          <w:u w:val="none"/>
          <w:lang w:eastAsia="zh-CN"/>
        </w:rPr>
        <w:t>面积</w:t>
      </w:r>
      <w:r>
        <w:rPr>
          <w:rFonts w:hint="eastAsia" w:ascii="Times New Roman" w:hAnsi="Times New Roman" w:eastAsia="宋体" w:cs="仿宋"/>
          <w:b w:val="0"/>
          <w:bCs/>
          <w:color w:val="auto"/>
          <w:sz w:val="24"/>
          <w:highlight w:val="none"/>
          <w:u w:val="none"/>
        </w:rPr>
        <w:t>的60%</w:t>
      </w:r>
      <w:r>
        <w:rPr>
          <w:rFonts w:hint="eastAsia" w:ascii="Times New Roman" w:hAnsi="Times New Roman" w:eastAsia="宋体" w:cs="仿宋"/>
          <w:b w:val="0"/>
          <w:bCs/>
          <w:color w:val="auto"/>
          <w:sz w:val="24"/>
          <w:highlight w:val="none"/>
          <w:u w:val="none"/>
          <w:lang w:eastAsia="zh-CN"/>
        </w:rPr>
        <w:t>。</w:t>
      </w:r>
    </w:p>
    <w:p w14:paraId="4F79E6A9">
      <w:pPr>
        <w:keepNext w:val="0"/>
        <w:keepLines w:val="0"/>
        <w:pageBreakBefore w:val="0"/>
        <w:widowControl w:val="0"/>
        <w:spacing w:line="340" w:lineRule="exact"/>
        <w:ind w:firstLine="482"/>
        <w:rPr>
          <w:rFonts w:hint="eastAsia" w:ascii="Times New Roman" w:hAnsi="Times New Roman" w:eastAsia="宋体" w:cs="仿宋"/>
          <w:b w:val="0"/>
          <w:bCs/>
          <w:color w:val="auto"/>
          <w:sz w:val="24"/>
          <w:highlight w:val="none"/>
          <w:u w:val="none"/>
          <w:lang w:eastAsia="zh-CN"/>
        </w:rPr>
      </w:pPr>
      <w:r>
        <w:rPr>
          <w:rFonts w:hint="eastAsia" w:ascii="Times New Roman" w:hAnsi="Times New Roman" w:cs="仿宋"/>
          <w:b w:val="0"/>
          <w:bCs/>
          <w:color w:val="auto"/>
          <w:sz w:val="24"/>
          <w:highlight w:val="none"/>
          <w:u w:val="none"/>
          <w:lang w:val="en-US" w:eastAsia="zh-CN"/>
        </w:rPr>
        <w:t>3.1.2</w:t>
      </w:r>
      <w:r>
        <w:rPr>
          <w:rFonts w:hint="eastAsia" w:ascii="Times New Roman" w:hAnsi="Times New Roman" w:eastAsia="宋体" w:cs="仿宋"/>
          <w:b w:val="0"/>
          <w:bCs/>
          <w:color w:val="auto"/>
          <w:sz w:val="24"/>
          <w:highlight w:val="none"/>
          <w:u w:val="none"/>
        </w:rPr>
        <w:t>咨询接待(评估)室至少1间</w:t>
      </w:r>
      <w:r>
        <w:rPr>
          <w:rFonts w:hint="eastAsia" w:ascii="Times New Roman" w:hAnsi="Times New Roman" w:eastAsia="宋体" w:cs="仿宋"/>
          <w:b w:val="0"/>
          <w:bCs/>
          <w:color w:val="auto"/>
          <w:sz w:val="24"/>
          <w:highlight w:val="none"/>
          <w:u w:val="none"/>
          <w:lang w:eastAsia="zh-CN"/>
        </w:rPr>
        <w:t>，</w:t>
      </w:r>
      <w:r>
        <w:rPr>
          <w:rFonts w:hint="eastAsia" w:ascii="Times New Roman" w:hAnsi="Times New Roman" w:eastAsia="宋体" w:cs="仿宋"/>
          <w:b w:val="0"/>
          <w:bCs/>
          <w:color w:val="auto"/>
          <w:sz w:val="24"/>
          <w:highlight w:val="none"/>
          <w:u w:val="none"/>
        </w:rPr>
        <w:t>面积不小于15平方米</w:t>
      </w:r>
      <w:r>
        <w:rPr>
          <w:rFonts w:hint="eastAsia" w:ascii="Times New Roman" w:hAnsi="Times New Roman" w:eastAsia="宋体" w:cs="仿宋"/>
          <w:b w:val="0"/>
          <w:bCs/>
          <w:color w:val="auto"/>
          <w:sz w:val="24"/>
          <w:highlight w:val="none"/>
          <w:u w:val="none"/>
          <w:lang w:eastAsia="zh-CN"/>
        </w:rPr>
        <w:t>；</w:t>
      </w:r>
    </w:p>
    <w:p w14:paraId="5EB3CEBE">
      <w:pPr>
        <w:keepNext w:val="0"/>
        <w:keepLines w:val="0"/>
        <w:pageBreakBefore w:val="0"/>
        <w:widowControl w:val="0"/>
        <w:spacing w:line="340" w:lineRule="exact"/>
        <w:ind w:firstLine="482"/>
        <w:rPr>
          <w:rFonts w:hint="eastAsia" w:ascii="Times New Roman" w:hAnsi="Times New Roman" w:eastAsia="宋体" w:cs="仿宋"/>
          <w:b w:val="0"/>
          <w:bCs/>
          <w:color w:val="auto"/>
          <w:sz w:val="24"/>
          <w:highlight w:val="none"/>
          <w:u w:val="none"/>
        </w:rPr>
      </w:pPr>
      <w:r>
        <w:rPr>
          <w:rFonts w:hint="eastAsia" w:ascii="Times New Roman" w:hAnsi="Times New Roman" w:cs="仿宋"/>
          <w:b w:val="0"/>
          <w:bCs/>
          <w:color w:val="auto"/>
          <w:sz w:val="24"/>
          <w:highlight w:val="none"/>
          <w:u w:val="none"/>
          <w:lang w:val="en-US" w:eastAsia="zh-CN"/>
        </w:rPr>
        <w:t>3.1.3</w:t>
      </w:r>
      <w:r>
        <w:rPr>
          <w:rFonts w:hint="eastAsia" w:ascii="Times New Roman" w:hAnsi="Times New Roman" w:eastAsia="宋体" w:cs="仿宋"/>
          <w:b w:val="0"/>
          <w:bCs/>
          <w:color w:val="auto"/>
          <w:sz w:val="24"/>
          <w:highlight w:val="none"/>
          <w:u w:val="none"/>
        </w:rPr>
        <w:t>集体(组别)训练教室按1</w:t>
      </w:r>
      <w:r>
        <w:rPr>
          <w:rFonts w:hint="eastAsia" w:ascii="Times New Roman" w:hAnsi="Times New Roman" w:eastAsia="宋体" w:cs="仿宋"/>
          <w:b w:val="0"/>
          <w:bCs/>
          <w:color w:val="auto"/>
          <w:sz w:val="24"/>
          <w:highlight w:val="none"/>
          <w:u w:val="none"/>
          <w:lang w:val="en-US" w:eastAsia="zh-CN"/>
        </w:rPr>
        <w:t>:</w:t>
      </w:r>
      <w:r>
        <w:rPr>
          <w:rFonts w:hint="eastAsia" w:ascii="Times New Roman" w:hAnsi="Times New Roman" w:eastAsia="宋体" w:cs="仿宋"/>
          <w:b w:val="0"/>
          <w:bCs/>
          <w:color w:val="auto"/>
          <w:sz w:val="24"/>
          <w:highlight w:val="none"/>
          <w:u w:val="none"/>
        </w:rPr>
        <w:t>20的比例标准设置，至少1间，内设游戏活动区</w:t>
      </w:r>
      <w:r>
        <w:rPr>
          <w:rFonts w:hint="eastAsia" w:ascii="Times New Roman" w:hAnsi="Times New Roman" w:eastAsia="宋体" w:cs="仿宋"/>
          <w:b w:val="0"/>
          <w:bCs/>
          <w:color w:val="auto"/>
          <w:sz w:val="24"/>
          <w:highlight w:val="none"/>
          <w:u w:val="none"/>
          <w:lang w:eastAsia="zh-CN"/>
        </w:rPr>
        <w:t>，</w:t>
      </w:r>
      <w:r>
        <w:rPr>
          <w:rFonts w:hint="eastAsia" w:ascii="Times New Roman" w:hAnsi="Times New Roman" w:eastAsia="宋体" w:cs="仿宋"/>
          <w:b w:val="0"/>
          <w:bCs/>
          <w:color w:val="auto"/>
          <w:sz w:val="24"/>
          <w:highlight w:val="none"/>
          <w:u w:val="none"/>
        </w:rPr>
        <w:t>每间不小于30平方米。</w:t>
      </w:r>
    </w:p>
    <w:p w14:paraId="74A1F0DE">
      <w:pPr>
        <w:keepNext w:val="0"/>
        <w:keepLines w:val="0"/>
        <w:pageBreakBefore w:val="0"/>
        <w:widowControl w:val="0"/>
        <w:spacing w:line="340" w:lineRule="exact"/>
        <w:ind w:firstLine="482"/>
        <w:rPr>
          <w:rFonts w:hint="eastAsia" w:ascii="Times New Roman" w:hAnsi="Times New Roman" w:eastAsia="宋体" w:cs="仿宋"/>
          <w:b w:val="0"/>
          <w:bCs/>
          <w:color w:val="auto"/>
          <w:sz w:val="24"/>
          <w:highlight w:val="none"/>
          <w:u w:val="none"/>
        </w:rPr>
      </w:pPr>
      <w:r>
        <w:rPr>
          <w:rFonts w:hint="eastAsia" w:ascii="Times New Roman" w:hAnsi="Times New Roman" w:cs="仿宋"/>
          <w:b w:val="0"/>
          <w:bCs/>
          <w:color w:val="auto"/>
          <w:sz w:val="24"/>
          <w:highlight w:val="none"/>
          <w:u w:val="none"/>
          <w:lang w:val="en-US" w:eastAsia="zh-CN"/>
        </w:rPr>
        <w:t>3.1.4</w:t>
      </w:r>
      <w:r>
        <w:rPr>
          <w:rFonts w:hint="eastAsia" w:ascii="Times New Roman" w:hAnsi="Times New Roman" w:eastAsia="宋体" w:cs="仿宋"/>
          <w:b w:val="0"/>
          <w:bCs/>
          <w:color w:val="auto"/>
          <w:sz w:val="24"/>
          <w:highlight w:val="none"/>
          <w:u w:val="none"/>
        </w:rPr>
        <w:t>运动(感统)训练室至少1间</w:t>
      </w:r>
      <w:r>
        <w:rPr>
          <w:rFonts w:hint="eastAsia" w:ascii="Times New Roman" w:hAnsi="Times New Roman" w:eastAsia="宋体" w:cs="仿宋"/>
          <w:b w:val="0"/>
          <w:bCs/>
          <w:color w:val="auto"/>
          <w:sz w:val="24"/>
          <w:highlight w:val="none"/>
          <w:u w:val="none"/>
          <w:lang w:eastAsia="zh-CN"/>
        </w:rPr>
        <w:t>，</w:t>
      </w:r>
      <w:r>
        <w:rPr>
          <w:rFonts w:hint="eastAsia" w:ascii="Times New Roman" w:hAnsi="Times New Roman" w:eastAsia="宋体" w:cs="仿宋"/>
          <w:b w:val="0"/>
          <w:bCs/>
          <w:color w:val="auto"/>
          <w:sz w:val="24"/>
          <w:highlight w:val="none"/>
          <w:u w:val="none"/>
        </w:rPr>
        <w:t>面积不小于50平方米，</w:t>
      </w:r>
    </w:p>
    <w:p w14:paraId="4C10036B">
      <w:pPr>
        <w:keepNext w:val="0"/>
        <w:keepLines w:val="0"/>
        <w:pageBreakBefore w:val="0"/>
        <w:widowControl w:val="0"/>
        <w:spacing w:line="340" w:lineRule="exact"/>
        <w:ind w:firstLine="482"/>
        <w:rPr>
          <w:rFonts w:hint="eastAsia" w:ascii="Times New Roman" w:hAnsi="Times New Roman" w:eastAsia="宋体" w:cs="仿宋"/>
          <w:b w:val="0"/>
          <w:bCs/>
          <w:color w:val="auto"/>
          <w:sz w:val="24"/>
          <w:highlight w:val="none"/>
          <w:u w:val="none"/>
          <w:lang w:eastAsia="zh-CN"/>
        </w:rPr>
      </w:pPr>
      <w:r>
        <w:rPr>
          <w:rFonts w:hint="eastAsia" w:ascii="Times New Roman" w:hAnsi="Times New Roman" w:cs="仿宋"/>
          <w:b w:val="0"/>
          <w:bCs/>
          <w:color w:val="auto"/>
          <w:sz w:val="24"/>
          <w:highlight w:val="none"/>
          <w:u w:val="none"/>
          <w:lang w:val="en-US" w:eastAsia="zh-CN"/>
        </w:rPr>
        <w:t>3.1.5</w:t>
      </w:r>
      <w:r>
        <w:rPr>
          <w:rFonts w:hint="eastAsia" w:ascii="Times New Roman" w:hAnsi="Times New Roman" w:eastAsia="宋体" w:cs="仿宋"/>
          <w:b w:val="0"/>
          <w:bCs/>
          <w:color w:val="auto"/>
          <w:sz w:val="24"/>
          <w:highlight w:val="none"/>
          <w:u w:val="none"/>
          <w:lang w:val="en-US" w:eastAsia="zh-CN"/>
        </w:rPr>
        <w:t>生</w:t>
      </w:r>
      <w:r>
        <w:rPr>
          <w:rFonts w:hint="eastAsia" w:ascii="Times New Roman" w:hAnsi="Times New Roman" w:eastAsia="宋体" w:cs="仿宋"/>
          <w:b w:val="0"/>
          <w:bCs/>
          <w:color w:val="auto"/>
          <w:sz w:val="24"/>
          <w:highlight w:val="none"/>
          <w:u w:val="none"/>
        </w:rPr>
        <w:t>活自理能力训练区</w:t>
      </w:r>
      <w:r>
        <w:rPr>
          <w:rFonts w:hint="eastAsia" w:ascii="Times New Roman" w:hAnsi="Times New Roman" w:eastAsia="宋体" w:cs="仿宋"/>
          <w:b w:val="0"/>
          <w:bCs/>
          <w:color w:val="auto"/>
          <w:sz w:val="24"/>
          <w:highlight w:val="none"/>
          <w:u w:val="none"/>
          <w:lang w:eastAsia="zh-CN"/>
        </w:rPr>
        <w:t>，</w:t>
      </w:r>
      <w:r>
        <w:rPr>
          <w:rFonts w:hint="eastAsia" w:ascii="Times New Roman" w:hAnsi="Times New Roman" w:eastAsia="宋体" w:cs="仿宋"/>
          <w:b w:val="0"/>
          <w:bCs/>
          <w:color w:val="auto"/>
          <w:sz w:val="24"/>
          <w:highlight w:val="none"/>
          <w:u w:val="none"/>
        </w:rPr>
        <w:t>包括洗漱、就餐、更衣、如厕等区域</w:t>
      </w:r>
      <w:r>
        <w:rPr>
          <w:rFonts w:hint="eastAsia" w:ascii="Times New Roman" w:hAnsi="Times New Roman" w:eastAsia="宋体" w:cs="仿宋"/>
          <w:b w:val="0"/>
          <w:bCs/>
          <w:color w:val="auto"/>
          <w:sz w:val="24"/>
          <w:highlight w:val="none"/>
          <w:u w:val="none"/>
          <w:lang w:eastAsia="zh-CN"/>
        </w:rPr>
        <w:t>，</w:t>
      </w:r>
      <w:r>
        <w:rPr>
          <w:rFonts w:hint="eastAsia" w:ascii="Times New Roman" w:hAnsi="Times New Roman" w:eastAsia="宋体" w:cs="仿宋"/>
          <w:b w:val="0"/>
          <w:bCs/>
          <w:color w:val="auto"/>
          <w:sz w:val="24"/>
          <w:highlight w:val="none"/>
          <w:u w:val="none"/>
        </w:rPr>
        <w:t>可结合机构日常生活环境设置</w:t>
      </w:r>
      <w:r>
        <w:rPr>
          <w:rFonts w:hint="eastAsia" w:ascii="Times New Roman" w:hAnsi="Times New Roman" w:eastAsia="宋体" w:cs="仿宋"/>
          <w:b w:val="0"/>
          <w:bCs/>
          <w:color w:val="auto"/>
          <w:sz w:val="24"/>
          <w:highlight w:val="none"/>
          <w:u w:val="none"/>
          <w:lang w:eastAsia="zh-CN"/>
        </w:rPr>
        <w:t>。</w:t>
      </w:r>
    </w:p>
    <w:p w14:paraId="1D732538">
      <w:pPr>
        <w:keepNext w:val="0"/>
        <w:keepLines w:val="0"/>
        <w:pageBreakBefore w:val="0"/>
        <w:widowControl w:val="0"/>
        <w:spacing w:line="340" w:lineRule="exact"/>
        <w:ind w:firstLine="482"/>
        <w:rPr>
          <w:rFonts w:hint="eastAsia" w:ascii="Times New Roman" w:hAnsi="Times New Roman" w:eastAsia="宋体" w:cs="仿宋"/>
          <w:b w:val="0"/>
          <w:bCs/>
          <w:color w:val="auto"/>
          <w:sz w:val="24"/>
          <w:highlight w:val="none"/>
          <w:u w:val="none"/>
        </w:rPr>
      </w:pPr>
      <w:r>
        <w:rPr>
          <w:rFonts w:hint="eastAsia" w:ascii="Times New Roman" w:hAnsi="Times New Roman" w:cs="仿宋"/>
          <w:b w:val="0"/>
          <w:bCs/>
          <w:color w:val="auto"/>
          <w:sz w:val="24"/>
          <w:highlight w:val="none"/>
          <w:u w:val="none"/>
          <w:lang w:val="en-US" w:eastAsia="zh-CN"/>
        </w:rPr>
        <w:t>3.1.6</w:t>
      </w:r>
      <w:r>
        <w:rPr>
          <w:rFonts w:hint="eastAsia" w:ascii="Times New Roman" w:hAnsi="Times New Roman" w:eastAsia="宋体" w:cs="仿宋"/>
          <w:b w:val="0"/>
          <w:bCs/>
          <w:color w:val="auto"/>
          <w:sz w:val="24"/>
          <w:highlight w:val="none"/>
          <w:u w:val="none"/>
        </w:rPr>
        <w:t>个训教室数量与收训儿童人数按1:5的比例标准设置</w:t>
      </w:r>
      <w:r>
        <w:rPr>
          <w:rFonts w:hint="eastAsia" w:ascii="Times New Roman" w:hAnsi="Times New Roman" w:eastAsia="宋体" w:cs="仿宋"/>
          <w:b w:val="0"/>
          <w:bCs/>
          <w:color w:val="auto"/>
          <w:sz w:val="24"/>
          <w:highlight w:val="none"/>
          <w:u w:val="none"/>
          <w:lang w:eastAsia="zh-CN"/>
        </w:rPr>
        <w:t>，</w:t>
      </w:r>
      <w:r>
        <w:rPr>
          <w:rFonts w:hint="eastAsia" w:ascii="Times New Roman" w:hAnsi="Times New Roman" w:eastAsia="宋体" w:cs="仿宋"/>
          <w:b w:val="0"/>
          <w:bCs/>
          <w:color w:val="auto"/>
          <w:sz w:val="24"/>
          <w:highlight w:val="none"/>
          <w:u w:val="none"/>
        </w:rPr>
        <w:t>每间面积应不小于8平方米。</w:t>
      </w:r>
    </w:p>
    <w:p w14:paraId="0F218F8A">
      <w:pPr>
        <w:keepNext w:val="0"/>
        <w:keepLines w:val="0"/>
        <w:pageBreakBefore w:val="0"/>
        <w:widowControl w:val="0"/>
        <w:spacing w:line="340" w:lineRule="exact"/>
        <w:ind w:firstLine="482"/>
        <w:rPr>
          <w:rFonts w:hint="eastAsia" w:ascii="Times New Roman" w:hAnsi="Times New Roman" w:eastAsia="宋体" w:cs="仿宋"/>
          <w:b w:val="0"/>
          <w:bCs/>
          <w:color w:val="auto"/>
          <w:sz w:val="24"/>
          <w:highlight w:val="none"/>
          <w:u w:val="none"/>
        </w:rPr>
      </w:pPr>
      <w:r>
        <w:rPr>
          <w:rFonts w:hint="eastAsia" w:ascii="Times New Roman" w:hAnsi="Times New Roman" w:cs="仿宋"/>
          <w:b w:val="0"/>
          <w:bCs/>
          <w:color w:val="auto"/>
          <w:sz w:val="24"/>
          <w:highlight w:val="none"/>
          <w:u w:val="none"/>
          <w:lang w:val="en-US" w:eastAsia="zh-CN"/>
        </w:rPr>
        <w:t>3.1.7</w:t>
      </w:r>
      <w:r>
        <w:rPr>
          <w:rFonts w:hint="eastAsia" w:ascii="Times New Roman" w:hAnsi="Times New Roman" w:eastAsia="宋体" w:cs="仿宋"/>
          <w:b w:val="0"/>
          <w:bCs/>
          <w:color w:val="auto"/>
          <w:sz w:val="24"/>
          <w:highlight w:val="none"/>
          <w:u w:val="none"/>
        </w:rPr>
        <w:t>室外活动场地面积按人均2平方米标准设置，建有与孤独症儿童相适应的运动器材和游戏娱乐设施，室外场地应独立，设有安全提示标志和安全设施</w:t>
      </w:r>
      <w:r>
        <w:rPr>
          <w:rFonts w:hint="eastAsia" w:ascii="Times New Roman" w:hAnsi="Times New Roman" w:eastAsia="宋体" w:cs="仿宋"/>
          <w:b w:val="0"/>
          <w:bCs/>
          <w:color w:val="auto"/>
          <w:sz w:val="24"/>
          <w:highlight w:val="none"/>
          <w:u w:val="none"/>
          <w:lang w:eastAsia="zh-CN"/>
        </w:rPr>
        <w:t>，</w:t>
      </w:r>
      <w:r>
        <w:rPr>
          <w:rFonts w:hint="eastAsia" w:ascii="Times New Roman" w:hAnsi="Times New Roman" w:eastAsia="宋体" w:cs="仿宋"/>
          <w:b w:val="0"/>
          <w:bCs/>
          <w:color w:val="auto"/>
          <w:sz w:val="24"/>
          <w:highlight w:val="none"/>
          <w:u w:val="none"/>
        </w:rPr>
        <w:t>确保无安全隐患。</w:t>
      </w:r>
    </w:p>
    <w:p w14:paraId="08D7475F">
      <w:pPr>
        <w:keepNext w:val="0"/>
        <w:keepLines w:val="0"/>
        <w:pageBreakBefore w:val="0"/>
        <w:widowControl w:val="0"/>
        <w:spacing w:line="340" w:lineRule="exact"/>
        <w:ind w:firstLine="482"/>
        <w:rPr>
          <w:rFonts w:ascii="Times New Roman" w:hAnsi="Times New Roman" w:eastAsia="宋体" w:cs="仿宋"/>
          <w:color w:val="auto"/>
          <w:sz w:val="24"/>
          <w:highlight w:val="none"/>
          <w:u w:val="none"/>
        </w:rPr>
      </w:pPr>
      <w:r>
        <w:rPr>
          <w:rFonts w:hint="eastAsia" w:ascii="Times New Roman" w:hAnsi="Times New Roman" w:eastAsia="宋体" w:cs="仿宋"/>
          <w:b/>
          <w:color w:val="auto"/>
          <w:sz w:val="24"/>
          <w:highlight w:val="none"/>
          <w:u w:val="none"/>
          <w:lang w:val="en-US" w:eastAsia="zh-CN"/>
        </w:rPr>
        <w:t>3.2训练设备</w:t>
      </w:r>
    </w:p>
    <w:p w14:paraId="7074DF67">
      <w:pPr>
        <w:keepNext w:val="0"/>
        <w:keepLines w:val="0"/>
        <w:pageBreakBefore w:val="0"/>
        <w:widowControl w:val="0"/>
        <w:spacing w:line="340" w:lineRule="exact"/>
        <w:ind w:firstLine="482"/>
        <w:rPr>
          <w:rFonts w:hint="eastAsia" w:ascii="Times New Roman" w:hAnsi="Times New Roman" w:eastAsia="宋体" w:cs="仿宋"/>
          <w:b w:val="0"/>
          <w:bCs/>
          <w:color w:val="auto"/>
          <w:sz w:val="24"/>
          <w:highlight w:val="none"/>
          <w:lang w:eastAsia="zh-CN"/>
        </w:rPr>
      </w:pPr>
      <w:r>
        <w:rPr>
          <w:rFonts w:hint="eastAsia" w:ascii="Times New Roman" w:hAnsi="Times New Roman" w:cs="仿宋"/>
          <w:b w:val="0"/>
          <w:bCs/>
          <w:color w:val="auto"/>
          <w:sz w:val="24"/>
          <w:highlight w:val="none"/>
          <w:lang w:val="en-US" w:eastAsia="zh-CN"/>
        </w:rPr>
        <w:t>3.2.1</w:t>
      </w:r>
      <w:r>
        <w:rPr>
          <w:rFonts w:hint="eastAsia" w:ascii="Times New Roman" w:hAnsi="Times New Roman" w:eastAsia="宋体" w:cs="仿宋"/>
          <w:b w:val="0"/>
          <w:bCs/>
          <w:color w:val="auto"/>
          <w:sz w:val="24"/>
          <w:highlight w:val="none"/>
        </w:rPr>
        <w:t>具备基本康复评估工具，包括心理教育评估表(PEP-3)/C-PEP-3/孤独症儿童发展评</w:t>
      </w:r>
      <w:r>
        <w:rPr>
          <w:rFonts w:hint="eastAsia" w:ascii="Times New Roman" w:hAnsi="Times New Roman" w:eastAsia="宋体" w:cs="仿宋"/>
          <w:b w:val="0"/>
          <w:bCs/>
          <w:color w:val="auto"/>
          <w:sz w:val="24"/>
          <w:highlight w:val="none"/>
          <w:lang w:val="en-US" w:eastAsia="zh-CN"/>
        </w:rPr>
        <w:t>估</w:t>
      </w:r>
      <w:r>
        <w:rPr>
          <w:rFonts w:hint="eastAsia" w:ascii="Times New Roman" w:hAnsi="Times New Roman" w:eastAsia="宋体" w:cs="仿宋"/>
          <w:b w:val="0"/>
          <w:bCs/>
          <w:color w:val="auto"/>
          <w:sz w:val="24"/>
          <w:highlight w:val="none"/>
        </w:rPr>
        <w:t>表(C-PEP)、语言行为里程碑评估及安置程序(VB-MAPP)、婴儿-初中生社会生活量表/儿童适应行为评定量表/Gesell 发育量表</w:t>
      </w:r>
      <w:r>
        <w:rPr>
          <w:rFonts w:hint="eastAsia" w:ascii="Times New Roman" w:hAnsi="Times New Roman" w:eastAsia="宋体" w:cs="仿宋"/>
          <w:b w:val="0"/>
          <w:bCs/>
          <w:color w:val="auto"/>
          <w:sz w:val="24"/>
          <w:highlight w:val="none"/>
          <w:lang w:eastAsia="zh-CN"/>
        </w:rPr>
        <w:t>；</w:t>
      </w:r>
    </w:p>
    <w:p w14:paraId="786088C3">
      <w:pPr>
        <w:keepNext w:val="0"/>
        <w:keepLines w:val="0"/>
        <w:pageBreakBefore w:val="0"/>
        <w:widowControl w:val="0"/>
        <w:spacing w:line="340" w:lineRule="exact"/>
        <w:ind w:firstLine="482"/>
        <w:rPr>
          <w:rFonts w:hint="eastAsia" w:ascii="Times New Roman" w:hAnsi="Times New Roman" w:eastAsia="宋体" w:cs="仿宋"/>
          <w:b w:val="0"/>
          <w:bCs/>
          <w:color w:val="auto"/>
          <w:sz w:val="24"/>
          <w:highlight w:val="none"/>
          <w:lang w:eastAsia="zh-CN"/>
        </w:rPr>
      </w:pPr>
      <w:r>
        <w:rPr>
          <w:rFonts w:hint="eastAsia" w:ascii="Times New Roman" w:hAnsi="Times New Roman" w:cs="仿宋"/>
          <w:b w:val="0"/>
          <w:bCs/>
          <w:color w:val="auto"/>
          <w:sz w:val="24"/>
          <w:highlight w:val="none"/>
          <w:lang w:val="en-US" w:eastAsia="zh-CN"/>
        </w:rPr>
        <w:t>3.2.2</w:t>
      </w:r>
      <w:r>
        <w:rPr>
          <w:rFonts w:hint="eastAsia" w:ascii="Times New Roman" w:hAnsi="Times New Roman" w:eastAsia="宋体" w:cs="仿宋"/>
          <w:b w:val="0"/>
          <w:bCs/>
          <w:color w:val="auto"/>
          <w:sz w:val="24"/>
          <w:highlight w:val="none"/>
        </w:rPr>
        <w:t>基本训练设备</w:t>
      </w:r>
      <w:r>
        <w:rPr>
          <w:rFonts w:hint="eastAsia" w:ascii="Times New Roman" w:hAnsi="Times New Roman" w:eastAsia="宋体" w:cs="仿宋"/>
          <w:b w:val="0"/>
          <w:bCs/>
          <w:color w:val="auto"/>
          <w:sz w:val="24"/>
          <w:highlight w:val="none"/>
          <w:lang w:eastAsia="zh-CN"/>
        </w:rPr>
        <w:t>：</w:t>
      </w:r>
      <w:r>
        <w:rPr>
          <w:rFonts w:hint="eastAsia" w:ascii="Times New Roman" w:hAnsi="Times New Roman" w:eastAsia="宋体" w:cs="仿宋"/>
          <w:b w:val="0"/>
          <w:bCs/>
          <w:color w:val="auto"/>
          <w:sz w:val="24"/>
          <w:highlight w:val="none"/>
        </w:rPr>
        <w:t>滑板车、大滑板、吊筒、钻滚筒、羊角球、大龙球、布袋跳触觉球、按摩地垫、平衡木、平衡踩踏车、万象组合包、精细运动训练玩具</w:t>
      </w:r>
      <w:r>
        <w:rPr>
          <w:rFonts w:hint="eastAsia" w:ascii="Times New Roman" w:hAnsi="Times New Roman" w:eastAsia="宋体" w:cs="仿宋"/>
          <w:b w:val="0"/>
          <w:bCs/>
          <w:color w:val="auto"/>
          <w:sz w:val="24"/>
          <w:highlight w:val="none"/>
          <w:lang w:eastAsia="zh-CN"/>
        </w:rPr>
        <w:t>等；</w:t>
      </w:r>
    </w:p>
    <w:p w14:paraId="5C2F5BB0">
      <w:pPr>
        <w:keepNext w:val="0"/>
        <w:keepLines w:val="0"/>
        <w:pageBreakBefore w:val="0"/>
        <w:widowControl w:val="0"/>
        <w:spacing w:line="340" w:lineRule="exact"/>
        <w:ind w:firstLine="482"/>
        <w:rPr>
          <w:rFonts w:hint="eastAsia" w:ascii="Times New Roman" w:hAnsi="Times New Roman" w:eastAsia="宋体" w:cs="仿宋"/>
          <w:b w:val="0"/>
          <w:bCs/>
          <w:color w:val="auto"/>
          <w:sz w:val="24"/>
          <w:highlight w:val="none"/>
        </w:rPr>
      </w:pPr>
      <w:r>
        <w:rPr>
          <w:rFonts w:hint="eastAsia" w:ascii="Times New Roman" w:hAnsi="Times New Roman" w:cs="仿宋"/>
          <w:b w:val="0"/>
          <w:bCs/>
          <w:color w:val="auto"/>
          <w:sz w:val="24"/>
          <w:highlight w:val="none"/>
          <w:lang w:val="en-US" w:eastAsia="zh-CN"/>
        </w:rPr>
        <w:t>3.2.3</w:t>
      </w:r>
      <w:r>
        <w:rPr>
          <w:rFonts w:hint="eastAsia" w:ascii="Times New Roman" w:hAnsi="Times New Roman" w:eastAsia="宋体" w:cs="仿宋"/>
          <w:b w:val="0"/>
          <w:bCs/>
          <w:color w:val="auto"/>
          <w:sz w:val="24"/>
          <w:highlight w:val="none"/>
        </w:rPr>
        <w:t>教学设备</w:t>
      </w:r>
      <w:r>
        <w:rPr>
          <w:rFonts w:hint="eastAsia" w:ascii="Times New Roman" w:hAnsi="Times New Roman" w:eastAsia="宋体" w:cs="仿宋"/>
          <w:b w:val="0"/>
          <w:bCs/>
          <w:color w:val="auto"/>
          <w:sz w:val="24"/>
          <w:highlight w:val="none"/>
          <w:lang w:eastAsia="zh-CN"/>
        </w:rPr>
        <w:t>：</w:t>
      </w:r>
      <w:r>
        <w:rPr>
          <w:rFonts w:hint="eastAsia" w:ascii="Times New Roman" w:hAnsi="Times New Roman" w:eastAsia="宋体" w:cs="仿宋"/>
          <w:b w:val="0"/>
          <w:bCs/>
          <w:color w:val="auto"/>
          <w:sz w:val="24"/>
          <w:highlight w:val="none"/>
        </w:rPr>
        <w:t>配备儿童的课桌椅、大小黑(白)板、多媒体教学器材</w:t>
      </w:r>
      <w:r>
        <w:rPr>
          <w:rFonts w:hint="eastAsia" w:ascii="Times New Roman" w:hAnsi="Times New Roman" w:eastAsia="宋体" w:cs="仿宋"/>
          <w:b w:val="0"/>
          <w:bCs/>
          <w:color w:val="auto"/>
          <w:sz w:val="24"/>
          <w:highlight w:val="none"/>
          <w:lang w:eastAsia="zh-CN"/>
        </w:rPr>
        <w:t>；</w:t>
      </w:r>
      <w:r>
        <w:rPr>
          <w:rFonts w:hint="eastAsia" w:ascii="Times New Roman" w:hAnsi="Times New Roman" w:eastAsia="宋体" w:cs="仿宋"/>
          <w:b w:val="0"/>
          <w:bCs/>
          <w:color w:val="auto"/>
          <w:sz w:val="24"/>
          <w:highlight w:val="none"/>
        </w:rPr>
        <w:t>适合儿童特点的挂图、卡片、音乐、游戏等教玩具。</w:t>
      </w:r>
    </w:p>
    <w:p w14:paraId="41C1E70D">
      <w:pPr>
        <w:keepNext w:val="0"/>
        <w:keepLines w:val="0"/>
        <w:pageBreakBefore w:val="0"/>
        <w:widowControl w:val="0"/>
        <w:spacing w:line="340" w:lineRule="exact"/>
        <w:ind w:firstLine="482"/>
        <w:rPr>
          <w:rFonts w:ascii="Times New Roman" w:hAnsi="Times New Roman" w:eastAsia="宋体" w:cs="仿宋"/>
          <w:b w:val="0"/>
          <w:bCs/>
          <w:color w:val="auto"/>
          <w:sz w:val="24"/>
          <w:highlight w:val="none"/>
        </w:rPr>
      </w:pPr>
      <w:r>
        <w:rPr>
          <w:rFonts w:hint="eastAsia" w:ascii="Times New Roman" w:hAnsi="Times New Roman" w:cs="仿宋"/>
          <w:b w:val="0"/>
          <w:bCs/>
          <w:color w:val="auto"/>
          <w:sz w:val="24"/>
          <w:highlight w:val="none"/>
          <w:lang w:val="en-US" w:eastAsia="zh-CN"/>
        </w:rPr>
        <w:t>3.2.4</w:t>
      </w:r>
      <w:r>
        <w:rPr>
          <w:rFonts w:hint="eastAsia" w:ascii="Times New Roman" w:hAnsi="Times New Roman" w:eastAsia="宋体" w:cs="仿宋"/>
          <w:b w:val="0"/>
          <w:bCs/>
          <w:color w:val="auto"/>
          <w:sz w:val="24"/>
          <w:highlight w:val="none"/>
        </w:rPr>
        <w:t>其它设备</w:t>
      </w:r>
      <w:r>
        <w:rPr>
          <w:rFonts w:hint="eastAsia" w:ascii="Times New Roman" w:hAnsi="Times New Roman" w:eastAsia="宋体" w:cs="仿宋"/>
          <w:b w:val="0"/>
          <w:bCs/>
          <w:color w:val="auto"/>
          <w:sz w:val="24"/>
          <w:highlight w:val="none"/>
          <w:lang w:eastAsia="zh-CN"/>
        </w:rPr>
        <w:t>：</w:t>
      </w:r>
      <w:r>
        <w:rPr>
          <w:rFonts w:hint="eastAsia" w:ascii="Times New Roman" w:hAnsi="Times New Roman" w:eastAsia="宋体" w:cs="仿宋"/>
          <w:b w:val="0"/>
          <w:bCs/>
          <w:color w:val="auto"/>
          <w:sz w:val="24"/>
          <w:highlight w:val="none"/>
        </w:rPr>
        <w:t>按人均4件的标准配备符合儿童训练特点的各类玩具和图书。配备家长培训所需的教学设备。</w:t>
      </w:r>
    </w:p>
    <w:p w14:paraId="5F27C972">
      <w:pPr>
        <w:keepNext w:val="0"/>
        <w:keepLines w:val="0"/>
        <w:pageBreakBefore w:val="0"/>
        <w:widowControl w:val="0"/>
        <w:spacing w:line="340" w:lineRule="exact"/>
        <w:ind w:firstLine="482"/>
        <w:rPr>
          <w:rFonts w:hint="default" w:ascii="Times New Roman" w:hAnsi="Times New Roman" w:eastAsia="宋体" w:cs="仿宋"/>
          <w:b w:val="0"/>
          <w:bCs/>
          <w:color w:val="auto"/>
          <w:sz w:val="24"/>
          <w:highlight w:val="none"/>
          <w:lang w:val="en-US" w:eastAsia="zh-CN"/>
        </w:rPr>
      </w:pPr>
      <w:r>
        <w:rPr>
          <w:rFonts w:hint="eastAsia" w:ascii="Times New Roman" w:hAnsi="Times New Roman" w:cs="仿宋"/>
          <w:b w:val="0"/>
          <w:bCs/>
          <w:color w:val="auto"/>
          <w:sz w:val="24"/>
          <w:highlight w:val="none"/>
          <w:lang w:val="en-US" w:eastAsia="zh-CN"/>
        </w:rPr>
        <w:t>3.2.5</w:t>
      </w:r>
      <w:r>
        <w:rPr>
          <w:rFonts w:hint="eastAsia" w:ascii="Times New Roman" w:hAnsi="Times New Roman" w:eastAsia="宋体" w:cs="仿宋"/>
          <w:b w:val="0"/>
          <w:bCs/>
          <w:color w:val="auto"/>
          <w:sz w:val="24"/>
          <w:highlight w:val="none"/>
          <w:lang w:val="en-US" w:eastAsia="zh-CN"/>
        </w:rPr>
        <w:t>配备监控设施。康复训练全程监控，监控录像资料应保留2个月以上</w:t>
      </w:r>
      <w:r>
        <w:rPr>
          <w:rFonts w:hint="eastAsia" w:ascii="Times New Roman" w:hAnsi="Times New Roman" w:cs="仿宋"/>
          <w:b w:val="0"/>
          <w:bCs/>
          <w:color w:val="auto"/>
          <w:sz w:val="24"/>
          <w:highlight w:val="none"/>
          <w:lang w:val="en-US" w:eastAsia="zh-CN"/>
        </w:rPr>
        <w:t>，所产生的一切费用由乙方自行承担</w:t>
      </w:r>
      <w:r>
        <w:rPr>
          <w:rFonts w:hint="eastAsia" w:ascii="Times New Roman" w:hAnsi="Times New Roman" w:eastAsia="宋体" w:cs="仿宋"/>
          <w:b w:val="0"/>
          <w:bCs/>
          <w:color w:val="auto"/>
          <w:sz w:val="24"/>
          <w:highlight w:val="none"/>
          <w:lang w:val="en-US" w:eastAsia="zh-CN"/>
        </w:rPr>
        <w:t>。</w:t>
      </w:r>
    </w:p>
    <w:p w14:paraId="63FAA407">
      <w:pPr>
        <w:keepNext w:val="0"/>
        <w:keepLines w:val="0"/>
        <w:pageBreakBefore w:val="0"/>
        <w:widowControl w:val="0"/>
        <w:spacing w:line="340" w:lineRule="exact"/>
        <w:ind w:firstLine="482"/>
        <w:rPr>
          <w:rFonts w:hint="eastAsia" w:ascii="Times New Roman" w:hAnsi="Times New Roman" w:eastAsia="宋体" w:cs="仿宋"/>
          <w:b/>
          <w:color w:val="auto"/>
          <w:sz w:val="24"/>
          <w:highlight w:val="none"/>
        </w:rPr>
      </w:pPr>
      <w:r>
        <w:rPr>
          <w:rFonts w:hint="eastAsia" w:ascii="Times New Roman" w:hAnsi="Times New Roman" w:eastAsia="宋体" w:cs="仿宋"/>
          <w:b/>
          <w:color w:val="auto"/>
          <w:sz w:val="24"/>
          <w:highlight w:val="none"/>
          <w:lang w:val="en-US" w:eastAsia="zh-CN"/>
        </w:rPr>
        <w:t>4、机构管理</w:t>
      </w:r>
    </w:p>
    <w:p w14:paraId="437D83C5">
      <w:pPr>
        <w:keepNext w:val="0"/>
        <w:keepLines w:val="0"/>
        <w:pageBreakBefore w:val="0"/>
        <w:widowControl w:val="0"/>
        <w:spacing w:line="340" w:lineRule="exact"/>
        <w:ind w:firstLine="482"/>
        <w:rPr>
          <w:rFonts w:hint="eastAsia" w:ascii="Times New Roman" w:hAnsi="Times New Roman" w:eastAsia="宋体" w:cs="仿宋"/>
          <w:b w:val="0"/>
          <w:bCs/>
          <w:color w:val="auto"/>
          <w:sz w:val="24"/>
          <w:highlight w:val="none"/>
          <w:lang w:val="en-US" w:eastAsia="zh-CN"/>
        </w:rPr>
      </w:pPr>
      <w:r>
        <w:rPr>
          <w:rFonts w:hint="eastAsia" w:ascii="Times New Roman" w:hAnsi="Times New Roman" w:eastAsia="宋体" w:cs="仿宋"/>
          <w:b w:val="0"/>
          <w:bCs/>
          <w:color w:val="auto"/>
          <w:sz w:val="24"/>
          <w:highlight w:val="none"/>
          <w:lang w:val="en-US" w:eastAsia="zh-CN"/>
        </w:rPr>
        <w:t>4.1人员配备：配备康复业务主管、教师、康复治疗师(行为分析师、言语治疗师、作业治疗师)、保育员、保健医生等工作人员。</w:t>
      </w:r>
    </w:p>
    <w:p w14:paraId="2E9705A8">
      <w:pPr>
        <w:keepNext w:val="0"/>
        <w:keepLines w:val="0"/>
        <w:pageBreakBefore w:val="0"/>
        <w:widowControl w:val="0"/>
        <w:spacing w:line="340" w:lineRule="exact"/>
        <w:ind w:firstLine="482"/>
        <w:rPr>
          <w:rFonts w:hint="eastAsia" w:ascii="Times New Roman" w:hAnsi="Times New Roman" w:eastAsia="宋体" w:cs="仿宋"/>
          <w:b w:val="0"/>
          <w:bCs/>
          <w:color w:val="auto"/>
          <w:sz w:val="24"/>
          <w:highlight w:val="none"/>
          <w:lang w:val="en-US" w:eastAsia="zh-CN"/>
        </w:rPr>
      </w:pPr>
      <w:r>
        <w:rPr>
          <w:rFonts w:hint="eastAsia" w:ascii="Times New Roman" w:hAnsi="Times New Roman" w:eastAsia="宋体" w:cs="仿宋"/>
          <w:b w:val="0"/>
          <w:bCs/>
          <w:color w:val="auto"/>
          <w:sz w:val="24"/>
          <w:highlight w:val="none"/>
          <w:lang w:val="en-US" w:eastAsia="zh-CN"/>
        </w:rPr>
        <w:t>4.2人员组成：</w:t>
      </w:r>
    </w:p>
    <w:p w14:paraId="5E07E765">
      <w:pPr>
        <w:keepNext w:val="0"/>
        <w:keepLines w:val="0"/>
        <w:pageBreakBefore w:val="0"/>
        <w:widowControl w:val="0"/>
        <w:spacing w:line="340" w:lineRule="exact"/>
        <w:ind w:firstLine="482"/>
        <w:rPr>
          <w:rFonts w:hint="eastAsia" w:ascii="Times New Roman" w:hAnsi="Times New Roman" w:eastAsia="宋体" w:cs="仿宋"/>
          <w:color w:val="auto"/>
          <w:sz w:val="24"/>
          <w:highlight w:val="none"/>
          <w:lang w:val="en-US" w:eastAsia="zh-CN"/>
        </w:rPr>
      </w:pPr>
      <w:r>
        <w:rPr>
          <w:rFonts w:hint="eastAsia" w:ascii="Times New Roman" w:hAnsi="Times New Roman" w:cs="仿宋"/>
          <w:color w:val="auto"/>
          <w:sz w:val="24"/>
          <w:highlight w:val="none"/>
          <w:lang w:val="en-US" w:eastAsia="zh-CN"/>
        </w:rPr>
        <w:t>4.2.1</w:t>
      </w:r>
      <w:r>
        <w:rPr>
          <w:rFonts w:hint="eastAsia" w:ascii="Times New Roman" w:hAnsi="Times New Roman" w:eastAsia="宋体" w:cs="仿宋"/>
          <w:color w:val="auto"/>
          <w:sz w:val="24"/>
          <w:highlight w:val="none"/>
          <w:lang w:val="en-US" w:eastAsia="zh-CN"/>
        </w:rPr>
        <w:t>个训教师与残疾儿童比例应不低于1:8。</w:t>
      </w:r>
    </w:p>
    <w:p w14:paraId="62F557C1">
      <w:pPr>
        <w:keepNext w:val="0"/>
        <w:keepLines w:val="0"/>
        <w:pageBreakBefore w:val="0"/>
        <w:widowControl w:val="0"/>
        <w:spacing w:line="340" w:lineRule="exact"/>
        <w:ind w:firstLine="482"/>
        <w:rPr>
          <w:rFonts w:hint="eastAsia" w:ascii="Times New Roman" w:hAnsi="Times New Roman" w:eastAsia="宋体" w:cs="仿宋"/>
          <w:color w:val="auto"/>
          <w:sz w:val="24"/>
          <w:highlight w:val="none"/>
          <w:lang w:val="en-US" w:eastAsia="zh-CN"/>
        </w:rPr>
      </w:pPr>
      <w:r>
        <w:rPr>
          <w:rFonts w:hint="eastAsia" w:ascii="Times New Roman" w:hAnsi="Times New Roman" w:cs="仿宋"/>
          <w:color w:val="auto"/>
          <w:sz w:val="24"/>
          <w:highlight w:val="none"/>
          <w:lang w:val="en-US" w:eastAsia="zh-CN"/>
        </w:rPr>
        <w:t>4.2.2</w:t>
      </w:r>
      <w:r>
        <w:rPr>
          <w:rFonts w:hint="eastAsia" w:ascii="Times New Roman" w:hAnsi="Times New Roman" w:eastAsia="宋体" w:cs="仿宋"/>
          <w:color w:val="auto"/>
          <w:sz w:val="24"/>
          <w:highlight w:val="none"/>
          <w:lang w:val="en-US" w:eastAsia="zh-CN"/>
        </w:rPr>
        <w:t>康复治疗师与残疾儿童的比例应不低于1:15。</w:t>
      </w:r>
    </w:p>
    <w:p w14:paraId="73DC19AE">
      <w:pPr>
        <w:keepNext w:val="0"/>
        <w:keepLines w:val="0"/>
        <w:pageBreakBefore w:val="0"/>
        <w:widowControl w:val="0"/>
        <w:spacing w:line="340" w:lineRule="exact"/>
        <w:ind w:firstLine="482"/>
        <w:rPr>
          <w:rFonts w:hint="eastAsia" w:ascii="Times New Roman" w:hAnsi="Times New Roman" w:eastAsia="宋体" w:cs="仿宋"/>
          <w:color w:val="auto"/>
          <w:sz w:val="24"/>
          <w:highlight w:val="none"/>
          <w:lang w:val="en-US" w:eastAsia="zh-CN"/>
        </w:rPr>
      </w:pPr>
      <w:r>
        <w:rPr>
          <w:rFonts w:hint="eastAsia" w:ascii="Times New Roman" w:hAnsi="Times New Roman" w:cs="仿宋"/>
          <w:color w:val="auto"/>
          <w:sz w:val="24"/>
          <w:highlight w:val="none"/>
          <w:lang w:val="en-US" w:eastAsia="zh-CN"/>
        </w:rPr>
        <w:t>4.2.3</w:t>
      </w:r>
      <w:r>
        <w:rPr>
          <w:rFonts w:hint="eastAsia" w:ascii="Times New Roman" w:hAnsi="Times New Roman" w:eastAsia="宋体" w:cs="仿宋"/>
          <w:color w:val="auto"/>
          <w:sz w:val="24"/>
          <w:highlight w:val="none"/>
          <w:lang w:val="en-US" w:eastAsia="zh-CN"/>
        </w:rPr>
        <w:t>业务主管、教师、康复治疗师不低于机构内职工总数的70%。</w:t>
      </w:r>
    </w:p>
    <w:p w14:paraId="54336405">
      <w:pPr>
        <w:keepNext w:val="0"/>
        <w:keepLines w:val="0"/>
        <w:pageBreakBefore w:val="0"/>
        <w:widowControl w:val="0"/>
        <w:spacing w:line="340" w:lineRule="exact"/>
        <w:ind w:firstLine="482"/>
        <w:rPr>
          <w:rFonts w:ascii="Times New Roman" w:hAnsi="Times New Roman" w:eastAsia="宋体" w:cs="仿宋"/>
          <w:b w:val="0"/>
          <w:bCs/>
          <w:color w:val="auto"/>
          <w:sz w:val="24"/>
          <w:highlight w:val="none"/>
        </w:rPr>
      </w:pPr>
      <w:r>
        <w:rPr>
          <w:rFonts w:hint="eastAsia" w:ascii="Times New Roman" w:hAnsi="Times New Roman" w:eastAsia="宋体" w:cs="仿宋"/>
          <w:b w:val="0"/>
          <w:bCs/>
          <w:color w:val="auto"/>
          <w:sz w:val="24"/>
          <w:highlight w:val="none"/>
          <w:lang w:val="en-US" w:eastAsia="zh-CN"/>
        </w:rPr>
        <w:t>4.3资历</w:t>
      </w:r>
      <w:r>
        <w:rPr>
          <w:rFonts w:hint="eastAsia" w:ascii="Times New Roman" w:hAnsi="Times New Roman" w:eastAsia="宋体" w:cs="仿宋"/>
          <w:b w:val="0"/>
          <w:bCs/>
          <w:color w:val="auto"/>
          <w:sz w:val="24"/>
          <w:highlight w:val="none"/>
        </w:rPr>
        <w:t>要求：</w:t>
      </w:r>
    </w:p>
    <w:p w14:paraId="6B6FC727">
      <w:pPr>
        <w:keepNext w:val="0"/>
        <w:keepLines w:val="0"/>
        <w:pageBreakBefore w:val="0"/>
        <w:widowControl w:val="0"/>
        <w:spacing w:line="340" w:lineRule="exact"/>
        <w:ind w:firstLine="482"/>
        <w:rPr>
          <w:rFonts w:ascii="Times New Roman" w:hAnsi="Times New Roman" w:eastAsia="宋体" w:cs="仿宋"/>
          <w:color w:val="auto"/>
          <w:sz w:val="24"/>
          <w:highlight w:val="none"/>
          <w:lang w:val="en-US" w:eastAsia="zh-CN"/>
        </w:rPr>
      </w:pPr>
      <w:r>
        <w:rPr>
          <w:rFonts w:hint="eastAsia" w:ascii="Times New Roman" w:hAnsi="Times New Roman" w:cs="仿宋"/>
          <w:color w:val="auto"/>
          <w:sz w:val="24"/>
          <w:highlight w:val="none"/>
          <w:lang w:val="en-US" w:eastAsia="zh-CN"/>
        </w:rPr>
        <w:t>4.3.1</w:t>
      </w:r>
      <w:r>
        <w:rPr>
          <w:rFonts w:ascii="Times New Roman" w:hAnsi="Times New Roman" w:eastAsia="宋体" w:cs="仿宋"/>
          <w:color w:val="auto"/>
          <w:sz w:val="24"/>
          <w:highlight w:val="none"/>
          <w:lang w:val="en-US" w:eastAsia="zh-CN"/>
        </w:rPr>
        <w:t>业务主管具有教育、医疗、康复、心理等相关专业大专以上学历。有3年</w:t>
      </w:r>
      <w:r>
        <w:rPr>
          <w:rFonts w:hint="eastAsia" w:ascii="Times New Roman" w:hAnsi="Times New Roman" w:eastAsia="宋体" w:cs="仿宋"/>
          <w:color w:val="auto"/>
          <w:sz w:val="24"/>
          <w:highlight w:val="none"/>
          <w:lang w:val="en-US" w:eastAsia="zh-CN"/>
        </w:rPr>
        <w:t>以上</w:t>
      </w:r>
      <w:r>
        <w:rPr>
          <w:rFonts w:ascii="Times New Roman" w:hAnsi="Times New Roman" w:eastAsia="宋体" w:cs="仿宋"/>
          <w:color w:val="auto"/>
          <w:sz w:val="24"/>
          <w:highlight w:val="none"/>
          <w:lang w:val="en-US" w:eastAsia="zh-CN"/>
        </w:rPr>
        <w:t>儿童康复训练的服务经验。</w:t>
      </w:r>
    </w:p>
    <w:p w14:paraId="09332F14">
      <w:pPr>
        <w:keepNext w:val="0"/>
        <w:keepLines w:val="0"/>
        <w:pageBreakBefore w:val="0"/>
        <w:widowControl w:val="0"/>
        <w:spacing w:line="340" w:lineRule="exact"/>
        <w:ind w:firstLine="482"/>
        <w:rPr>
          <w:rFonts w:ascii="Times New Roman" w:hAnsi="Times New Roman" w:eastAsia="宋体" w:cs="仿宋"/>
          <w:color w:val="auto"/>
          <w:sz w:val="24"/>
          <w:highlight w:val="none"/>
          <w:lang w:val="en-US" w:eastAsia="zh-CN"/>
        </w:rPr>
      </w:pPr>
      <w:r>
        <w:rPr>
          <w:rFonts w:hint="eastAsia" w:ascii="Times New Roman" w:hAnsi="Times New Roman" w:cs="仿宋"/>
          <w:color w:val="auto"/>
          <w:sz w:val="24"/>
          <w:highlight w:val="none"/>
          <w:lang w:val="en-US" w:eastAsia="zh-CN"/>
        </w:rPr>
        <w:t>4.3.2</w:t>
      </w:r>
      <w:r>
        <w:rPr>
          <w:rFonts w:ascii="Times New Roman" w:hAnsi="Times New Roman" w:eastAsia="宋体" w:cs="仿宋"/>
          <w:color w:val="auto"/>
          <w:sz w:val="24"/>
          <w:highlight w:val="none"/>
          <w:lang w:val="en-US" w:eastAsia="zh-CN"/>
        </w:rPr>
        <w:t>教师取得资格证、具有学前教育、特殊教育等相关专业大专以上学历。应全部接受过孤独症康复教育的岗前培训。</w:t>
      </w:r>
    </w:p>
    <w:p w14:paraId="7A6B4A33">
      <w:pPr>
        <w:keepNext w:val="0"/>
        <w:keepLines w:val="0"/>
        <w:pageBreakBefore w:val="0"/>
        <w:widowControl w:val="0"/>
        <w:spacing w:line="340" w:lineRule="exact"/>
        <w:ind w:firstLine="482"/>
        <w:rPr>
          <w:rFonts w:ascii="Times New Roman" w:hAnsi="Times New Roman" w:eastAsia="宋体" w:cs="仿宋"/>
          <w:color w:val="auto"/>
          <w:sz w:val="24"/>
          <w:highlight w:val="none"/>
          <w:lang w:val="en-US" w:eastAsia="zh-CN"/>
        </w:rPr>
      </w:pPr>
      <w:r>
        <w:rPr>
          <w:rFonts w:hint="eastAsia" w:ascii="Times New Roman" w:hAnsi="Times New Roman" w:cs="仿宋"/>
          <w:color w:val="auto"/>
          <w:sz w:val="24"/>
          <w:highlight w:val="none"/>
          <w:lang w:val="en-US" w:eastAsia="zh-CN"/>
        </w:rPr>
        <w:t>4.3.3</w:t>
      </w:r>
      <w:r>
        <w:rPr>
          <w:rFonts w:ascii="Times New Roman" w:hAnsi="Times New Roman" w:eastAsia="宋体" w:cs="仿宋"/>
          <w:color w:val="auto"/>
          <w:sz w:val="24"/>
          <w:highlight w:val="none"/>
          <w:lang w:val="en-US" w:eastAsia="zh-CN"/>
        </w:rPr>
        <w:t>康复治疗师具有康复治疗专业大专以上学历。取得资格证或经过相关业务培训</w:t>
      </w:r>
      <w:r>
        <w:rPr>
          <w:rFonts w:hint="eastAsia" w:ascii="Times New Roman" w:hAnsi="Times New Roman" w:eastAsia="宋体" w:cs="仿宋"/>
          <w:color w:val="auto"/>
          <w:sz w:val="24"/>
          <w:highlight w:val="none"/>
          <w:lang w:val="en-US" w:eastAsia="zh-CN"/>
        </w:rPr>
        <w:t>。</w:t>
      </w:r>
    </w:p>
    <w:p w14:paraId="4C2757EF">
      <w:pPr>
        <w:keepNext w:val="0"/>
        <w:keepLines w:val="0"/>
        <w:pageBreakBefore w:val="0"/>
        <w:widowControl w:val="0"/>
        <w:spacing w:line="340" w:lineRule="exact"/>
        <w:ind w:firstLine="482"/>
        <w:rPr>
          <w:rFonts w:ascii="Times New Roman" w:hAnsi="Times New Roman" w:eastAsia="宋体" w:cs="仿宋"/>
          <w:color w:val="auto"/>
          <w:sz w:val="24"/>
          <w:highlight w:val="none"/>
          <w:lang w:val="en-US" w:eastAsia="zh-CN"/>
        </w:rPr>
      </w:pPr>
      <w:r>
        <w:rPr>
          <w:rFonts w:hint="eastAsia" w:ascii="Times New Roman" w:hAnsi="Times New Roman" w:cs="仿宋"/>
          <w:color w:val="auto"/>
          <w:sz w:val="24"/>
          <w:highlight w:val="none"/>
          <w:lang w:val="en-US" w:eastAsia="zh-CN"/>
        </w:rPr>
        <w:t>4.3.4</w:t>
      </w:r>
      <w:r>
        <w:rPr>
          <w:rFonts w:ascii="Times New Roman" w:hAnsi="Times New Roman" w:eastAsia="宋体" w:cs="仿宋"/>
          <w:color w:val="auto"/>
          <w:sz w:val="24"/>
          <w:highlight w:val="none"/>
          <w:lang w:val="en-US" w:eastAsia="zh-CN"/>
        </w:rPr>
        <w:t>每年不少于30%康复专业技术人员参加市级以上组织的规范化培训不少于21个学时。</w:t>
      </w:r>
    </w:p>
    <w:p w14:paraId="17C7F485">
      <w:pPr>
        <w:keepNext w:val="0"/>
        <w:keepLines w:val="0"/>
        <w:pageBreakBefore w:val="0"/>
        <w:widowControl w:val="0"/>
        <w:spacing w:line="340" w:lineRule="exact"/>
        <w:ind w:firstLine="482"/>
        <w:rPr>
          <w:rFonts w:ascii="Times New Roman" w:hAnsi="Times New Roman" w:eastAsia="宋体" w:cs="仿宋"/>
          <w:color w:val="auto"/>
          <w:sz w:val="24"/>
          <w:highlight w:val="none"/>
          <w:lang w:val="en-US" w:eastAsia="zh-CN"/>
        </w:rPr>
      </w:pPr>
      <w:r>
        <w:rPr>
          <w:rFonts w:hint="eastAsia" w:ascii="Times New Roman" w:hAnsi="Times New Roman" w:cs="仿宋"/>
          <w:color w:val="auto"/>
          <w:sz w:val="24"/>
          <w:highlight w:val="none"/>
          <w:lang w:val="en-US" w:eastAsia="zh-CN"/>
        </w:rPr>
        <w:t>4.3.5</w:t>
      </w:r>
      <w:r>
        <w:rPr>
          <w:rFonts w:ascii="Times New Roman" w:hAnsi="Times New Roman" w:eastAsia="宋体" w:cs="仿宋"/>
          <w:color w:val="auto"/>
          <w:sz w:val="24"/>
          <w:highlight w:val="none"/>
          <w:lang w:val="en-US" w:eastAsia="zh-CN"/>
        </w:rPr>
        <w:t>保育员、保健医生配置参照《幼儿园教职工配备标准(暂行)》和《托儿所幼儿园卫生保健工作规范》执行。</w:t>
      </w:r>
    </w:p>
    <w:p w14:paraId="60BE2669">
      <w:pPr>
        <w:keepNext w:val="0"/>
        <w:keepLines w:val="0"/>
        <w:pageBreakBefore w:val="0"/>
        <w:widowControl w:val="0"/>
        <w:spacing w:line="340" w:lineRule="exact"/>
        <w:ind w:firstLine="482"/>
        <w:rPr>
          <w:rFonts w:ascii="Times New Roman" w:hAnsi="Times New Roman" w:eastAsia="宋体" w:cs="仿宋"/>
          <w:color w:val="auto"/>
          <w:sz w:val="24"/>
          <w:highlight w:val="none"/>
          <w:lang w:val="en-US" w:eastAsia="zh-CN"/>
        </w:rPr>
      </w:pPr>
      <w:r>
        <w:rPr>
          <w:rFonts w:hint="eastAsia" w:ascii="Times New Roman" w:hAnsi="Times New Roman" w:cs="仿宋"/>
          <w:color w:val="auto"/>
          <w:sz w:val="24"/>
          <w:highlight w:val="none"/>
          <w:lang w:val="en-US" w:eastAsia="zh-CN"/>
        </w:rPr>
        <w:t>4.3.6</w:t>
      </w:r>
      <w:r>
        <w:rPr>
          <w:rFonts w:ascii="Times New Roman" w:hAnsi="Times New Roman" w:eastAsia="宋体" w:cs="仿宋"/>
          <w:color w:val="auto"/>
          <w:sz w:val="24"/>
          <w:highlight w:val="none"/>
          <w:lang w:val="en-US" w:eastAsia="zh-CN"/>
        </w:rPr>
        <w:t>机构所有工作人员根据岗位要求取得健康证明。</w:t>
      </w:r>
    </w:p>
    <w:p w14:paraId="6DACBF53">
      <w:pPr>
        <w:keepNext w:val="0"/>
        <w:keepLines w:val="0"/>
        <w:pageBreakBefore w:val="0"/>
        <w:widowControl w:val="0"/>
        <w:spacing w:line="340" w:lineRule="exact"/>
        <w:ind w:firstLine="482"/>
        <w:rPr>
          <w:rFonts w:ascii="Times New Roman" w:hAnsi="Times New Roman" w:eastAsia="宋体" w:cs="仿宋"/>
          <w:b/>
          <w:color w:val="auto"/>
          <w:sz w:val="24"/>
          <w:highlight w:val="none"/>
          <w:lang w:val="en-US" w:eastAsia="zh-CN"/>
        </w:rPr>
      </w:pPr>
      <w:r>
        <w:rPr>
          <w:rFonts w:hint="eastAsia" w:ascii="Times New Roman" w:hAnsi="Times New Roman" w:eastAsia="宋体" w:cs="仿宋"/>
          <w:b/>
          <w:color w:val="auto"/>
          <w:sz w:val="24"/>
          <w:highlight w:val="none"/>
          <w:lang w:val="en-US" w:eastAsia="zh-CN"/>
        </w:rPr>
        <w:t>5、业务功能</w:t>
      </w:r>
    </w:p>
    <w:p w14:paraId="430E52B6">
      <w:pPr>
        <w:keepNext w:val="0"/>
        <w:keepLines w:val="0"/>
        <w:pageBreakBefore w:val="0"/>
        <w:widowControl w:val="0"/>
        <w:spacing w:line="340" w:lineRule="exact"/>
        <w:ind w:firstLine="482"/>
        <w:rPr>
          <w:rFonts w:hint="eastAsia" w:ascii="Times New Roman" w:hAnsi="Times New Roman" w:eastAsia="宋体" w:cs="仿宋"/>
          <w:color w:val="auto"/>
          <w:sz w:val="24"/>
          <w:highlight w:val="none"/>
        </w:rPr>
      </w:pPr>
      <w:r>
        <w:rPr>
          <w:rFonts w:hint="eastAsia" w:ascii="Times New Roman" w:hAnsi="Times New Roman" w:eastAsia="宋体" w:cs="仿宋"/>
          <w:b/>
          <w:bCs/>
          <w:color w:val="auto"/>
          <w:sz w:val="24"/>
          <w:highlight w:val="none"/>
          <w:lang w:val="en-US" w:eastAsia="zh-CN"/>
        </w:rPr>
        <w:t>5.1部门设置：</w:t>
      </w:r>
      <w:r>
        <w:rPr>
          <w:rFonts w:hint="eastAsia" w:ascii="Times New Roman" w:hAnsi="Times New Roman" w:eastAsia="宋体" w:cs="仿宋"/>
          <w:color w:val="auto"/>
          <w:sz w:val="24"/>
          <w:highlight w:val="none"/>
        </w:rPr>
        <w:t>设置教学评估/医疗评估，康复训练、教育培训、后勤保障、行政办公等部门。</w:t>
      </w:r>
    </w:p>
    <w:p w14:paraId="601729D0">
      <w:pPr>
        <w:keepNext w:val="0"/>
        <w:keepLines w:val="0"/>
        <w:pageBreakBefore w:val="0"/>
        <w:widowControl w:val="0"/>
        <w:spacing w:line="340" w:lineRule="exact"/>
        <w:ind w:firstLine="482"/>
        <w:rPr>
          <w:rFonts w:hint="eastAsia" w:ascii="Times New Roman" w:hAnsi="Times New Roman" w:eastAsia="宋体" w:cs="仿宋"/>
          <w:color w:val="auto"/>
          <w:sz w:val="24"/>
          <w:highlight w:val="none"/>
          <w:lang w:val="en-US" w:eastAsia="zh-CN"/>
        </w:rPr>
      </w:pPr>
      <w:r>
        <w:rPr>
          <w:rFonts w:hint="eastAsia" w:ascii="Times New Roman" w:hAnsi="Times New Roman" w:eastAsia="宋体" w:cs="仿宋"/>
          <w:b/>
          <w:color w:val="auto"/>
          <w:sz w:val="24"/>
          <w:highlight w:val="none"/>
          <w:lang w:val="en-US" w:eastAsia="zh-CN"/>
        </w:rPr>
        <w:t>5.2</w:t>
      </w:r>
      <w:r>
        <w:rPr>
          <w:rFonts w:hint="eastAsia" w:ascii="Times New Roman" w:hAnsi="Times New Roman" w:eastAsia="宋体" w:cs="仿宋"/>
          <w:b/>
          <w:color w:val="auto"/>
          <w:sz w:val="24"/>
          <w:highlight w:val="none"/>
        </w:rPr>
        <w:t>服务能力</w:t>
      </w:r>
      <w:r>
        <w:rPr>
          <w:rFonts w:hint="eastAsia" w:ascii="Times New Roman" w:hAnsi="Times New Roman" w:cs="仿宋"/>
          <w:b/>
          <w:color w:val="auto"/>
          <w:sz w:val="24"/>
          <w:highlight w:val="none"/>
          <w:lang w:eastAsia="zh-CN"/>
        </w:rPr>
        <w:t>：</w:t>
      </w:r>
      <w:r>
        <w:rPr>
          <w:rFonts w:hint="eastAsia" w:ascii="Times New Roman" w:hAnsi="Times New Roman" w:eastAsia="宋体" w:cs="仿宋"/>
          <w:color w:val="auto"/>
          <w:sz w:val="24"/>
          <w:highlight w:val="none"/>
          <w:lang w:val="en-US" w:eastAsia="zh-CN"/>
        </w:rPr>
        <w:t>具有同时收训150名以上孤独症儿童的能力。</w:t>
      </w:r>
    </w:p>
    <w:p w14:paraId="75E44D2A">
      <w:pPr>
        <w:keepNext w:val="0"/>
        <w:keepLines w:val="0"/>
        <w:pageBreakBefore w:val="0"/>
        <w:widowControl w:val="0"/>
        <w:spacing w:line="340" w:lineRule="exact"/>
        <w:ind w:firstLine="482"/>
        <w:rPr>
          <w:rFonts w:hint="default" w:ascii="Times New Roman" w:hAnsi="Times New Roman" w:eastAsia="宋体" w:cs="仿宋"/>
          <w:color w:val="auto"/>
          <w:sz w:val="24"/>
          <w:highlight w:val="none"/>
          <w:lang w:val="en-US" w:eastAsia="zh-CN"/>
        </w:rPr>
      </w:pPr>
      <w:r>
        <w:rPr>
          <w:rFonts w:hint="eastAsia" w:ascii="Times New Roman" w:hAnsi="Times New Roman" w:cs="仿宋"/>
          <w:color w:val="auto"/>
          <w:sz w:val="24"/>
          <w:highlight w:val="none"/>
          <w:lang w:val="en-US" w:eastAsia="zh-CN"/>
        </w:rPr>
        <w:t>应提供下述业务服务：</w:t>
      </w:r>
    </w:p>
    <w:p w14:paraId="72B33ECA">
      <w:pPr>
        <w:keepNext w:val="0"/>
        <w:keepLines w:val="0"/>
        <w:pageBreakBefore w:val="0"/>
        <w:widowControl w:val="0"/>
        <w:spacing w:line="340" w:lineRule="exact"/>
        <w:ind w:firstLine="482"/>
        <w:rPr>
          <w:rFonts w:hint="eastAsia" w:ascii="Times New Roman" w:hAnsi="Times New Roman" w:eastAsia="宋体" w:cs="仿宋"/>
          <w:color w:val="auto"/>
          <w:sz w:val="24"/>
          <w:highlight w:val="none"/>
          <w:lang w:val="en-US" w:eastAsia="zh-CN"/>
        </w:rPr>
      </w:pPr>
      <w:r>
        <w:rPr>
          <w:rFonts w:hint="eastAsia" w:ascii="Times New Roman" w:hAnsi="Times New Roman" w:cs="仿宋"/>
          <w:color w:val="auto"/>
          <w:sz w:val="24"/>
          <w:highlight w:val="none"/>
          <w:lang w:val="en-US" w:eastAsia="zh-CN"/>
        </w:rPr>
        <w:t>5.2.1</w:t>
      </w:r>
      <w:r>
        <w:rPr>
          <w:rFonts w:hint="eastAsia" w:ascii="Times New Roman" w:hAnsi="Times New Roman" w:eastAsia="宋体" w:cs="仿宋"/>
          <w:color w:val="auto"/>
          <w:sz w:val="24"/>
          <w:highlight w:val="none"/>
          <w:lang w:val="en-US" w:eastAsia="zh-CN"/>
        </w:rPr>
        <w:t>康复训练：年度机构内基本康复服务时间不少于9个月。服务内容包括社会交往与沟通、认知与感知、运动、生活自理、兴趣与行为、情绪管理和社会融合活动。</w:t>
      </w:r>
    </w:p>
    <w:p w14:paraId="67609AB6">
      <w:pPr>
        <w:keepNext w:val="0"/>
        <w:keepLines w:val="0"/>
        <w:pageBreakBefore w:val="0"/>
        <w:widowControl w:val="0"/>
        <w:spacing w:line="340" w:lineRule="exact"/>
        <w:ind w:firstLine="482"/>
        <w:rPr>
          <w:rFonts w:hint="eastAsia" w:ascii="Times New Roman" w:hAnsi="Times New Roman" w:eastAsia="宋体" w:cs="仿宋"/>
          <w:color w:val="auto"/>
          <w:sz w:val="24"/>
          <w:highlight w:val="none"/>
          <w:lang w:val="en-US" w:eastAsia="zh-CN"/>
        </w:rPr>
      </w:pPr>
      <w:r>
        <w:rPr>
          <w:rFonts w:hint="eastAsia" w:ascii="Times New Roman" w:hAnsi="Times New Roman" w:cs="仿宋"/>
          <w:color w:val="auto"/>
          <w:sz w:val="24"/>
          <w:highlight w:val="none"/>
          <w:lang w:val="en-US" w:eastAsia="zh-CN"/>
        </w:rPr>
        <w:t>5.2.2</w:t>
      </w:r>
      <w:r>
        <w:rPr>
          <w:rFonts w:hint="eastAsia" w:ascii="Times New Roman" w:hAnsi="Times New Roman" w:eastAsia="宋体" w:cs="仿宋"/>
          <w:color w:val="auto"/>
          <w:sz w:val="24"/>
          <w:highlight w:val="none"/>
          <w:lang w:val="en-US" w:eastAsia="zh-CN"/>
        </w:rPr>
        <w:t>全日制康复服务</w:t>
      </w:r>
      <w:r>
        <w:rPr>
          <w:rFonts w:hint="eastAsia" w:ascii="Times New Roman" w:hAnsi="Times New Roman" w:cs="仿宋"/>
          <w:color w:val="auto"/>
          <w:sz w:val="24"/>
          <w:highlight w:val="none"/>
          <w:lang w:val="en-US" w:eastAsia="zh-CN"/>
        </w:rPr>
        <w:t>每月不少于20天</w:t>
      </w:r>
      <w:r>
        <w:rPr>
          <w:rFonts w:hint="eastAsia" w:ascii="Times New Roman" w:hAnsi="Times New Roman" w:eastAsia="宋体" w:cs="仿宋"/>
          <w:color w:val="auto"/>
          <w:sz w:val="24"/>
          <w:highlight w:val="none"/>
        </w:rPr>
        <w:t>，</w:t>
      </w:r>
      <w:r>
        <w:rPr>
          <w:rFonts w:hint="eastAsia" w:ascii="Times New Roman" w:hAnsi="Times New Roman" w:eastAsia="宋体" w:cs="仿宋"/>
          <w:color w:val="auto"/>
          <w:sz w:val="24"/>
          <w:highlight w:val="none"/>
        </w:rPr>
        <w:t>每天</w:t>
      </w:r>
      <w:r>
        <w:rPr>
          <w:rFonts w:hint="eastAsia" w:ascii="Times New Roman" w:hAnsi="Times New Roman" w:cs="仿宋"/>
          <w:color w:val="auto"/>
          <w:sz w:val="24"/>
          <w:highlight w:val="none"/>
          <w:lang w:val="en-US" w:eastAsia="zh-CN"/>
        </w:rPr>
        <w:t>不少于</w:t>
      </w:r>
      <w:r>
        <w:rPr>
          <w:rFonts w:hint="eastAsia" w:ascii="Times New Roman" w:hAnsi="Times New Roman" w:eastAsia="宋体" w:cs="仿宋"/>
          <w:color w:val="auto"/>
          <w:sz w:val="24"/>
          <w:highlight w:val="none"/>
        </w:rPr>
        <w:t>4小时的基本康复服务，</w:t>
      </w:r>
      <w:r>
        <w:rPr>
          <w:rFonts w:hint="eastAsia" w:ascii="Times New Roman" w:hAnsi="Times New Roman" w:eastAsia="宋体" w:cs="仿宋"/>
          <w:color w:val="auto"/>
          <w:sz w:val="24"/>
          <w:highlight w:val="none"/>
          <w:lang w:val="en-US" w:eastAsia="zh-CN"/>
        </w:rPr>
        <w:t>课程</w:t>
      </w:r>
      <w:r>
        <w:rPr>
          <w:rFonts w:hint="eastAsia" w:ascii="Times New Roman" w:hAnsi="Times New Roman" w:eastAsia="宋体" w:cs="仿宋"/>
          <w:color w:val="auto"/>
          <w:sz w:val="24"/>
          <w:highlight w:val="none"/>
          <w:lang w:val="en-US" w:eastAsia="zh-CN"/>
        </w:rPr>
        <w:t>设置应符合残疾儿童个性特征，每天个性化服务支持不少于1节课40分钟。</w:t>
      </w:r>
    </w:p>
    <w:p w14:paraId="42A2938A">
      <w:pPr>
        <w:keepNext w:val="0"/>
        <w:keepLines w:val="0"/>
        <w:pageBreakBefore w:val="0"/>
        <w:widowControl w:val="0"/>
        <w:spacing w:line="340" w:lineRule="exact"/>
        <w:ind w:firstLine="482"/>
        <w:rPr>
          <w:rFonts w:hint="eastAsia" w:ascii="Times New Roman" w:hAnsi="Times New Roman" w:eastAsia="宋体" w:cs="仿宋"/>
          <w:color w:val="auto"/>
          <w:sz w:val="24"/>
          <w:highlight w:val="none"/>
          <w:lang w:val="en-US" w:eastAsia="zh-CN"/>
        </w:rPr>
      </w:pPr>
      <w:r>
        <w:rPr>
          <w:rFonts w:hint="eastAsia" w:ascii="Times New Roman" w:hAnsi="Times New Roman" w:cs="仿宋"/>
          <w:color w:val="auto"/>
          <w:sz w:val="24"/>
          <w:highlight w:val="none"/>
          <w:lang w:val="en-US" w:eastAsia="zh-CN"/>
        </w:rPr>
        <w:t>5.2.3</w:t>
      </w:r>
      <w:r>
        <w:rPr>
          <w:rFonts w:hint="eastAsia" w:ascii="Times New Roman" w:hAnsi="Times New Roman" w:eastAsia="宋体" w:cs="仿宋"/>
          <w:color w:val="auto"/>
          <w:sz w:val="24"/>
          <w:highlight w:val="none"/>
          <w:lang w:val="en-US" w:eastAsia="zh-CN"/>
        </w:rPr>
        <w:t>非全日制康复服务每月不少于20天，每天不少于1.5小时，其中个性化服务支持不少于1小时。</w:t>
      </w:r>
    </w:p>
    <w:p w14:paraId="30F36A8C">
      <w:pPr>
        <w:keepNext w:val="0"/>
        <w:keepLines w:val="0"/>
        <w:pageBreakBefore w:val="0"/>
        <w:widowControl w:val="0"/>
        <w:spacing w:line="340" w:lineRule="exact"/>
        <w:ind w:firstLine="482"/>
        <w:rPr>
          <w:rFonts w:hint="eastAsia" w:ascii="Times New Roman" w:hAnsi="Times New Roman" w:eastAsia="宋体" w:cs="仿宋"/>
          <w:color w:val="auto"/>
          <w:sz w:val="24"/>
          <w:highlight w:val="none"/>
          <w:lang w:val="en-US" w:eastAsia="zh-CN"/>
        </w:rPr>
      </w:pPr>
      <w:r>
        <w:rPr>
          <w:rFonts w:hint="eastAsia" w:ascii="Times New Roman" w:hAnsi="Times New Roman" w:cs="仿宋"/>
          <w:color w:val="auto"/>
          <w:sz w:val="24"/>
          <w:highlight w:val="none"/>
          <w:lang w:val="en-US" w:eastAsia="zh-CN"/>
        </w:rPr>
        <w:t>5.2.4</w:t>
      </w:r>
      <w:r>
        <w:rPr>
          <w:rFonts w:hint="eastAsia" w:ascii="Times New Roman" w:hAnsi="Times New Roman" w:eastAsia="宋体" w:cs="仿宋"/>
          <w:color w:val="auto"/>
          <w:sz w:val="24"/>
          <w:highlight w:val="none"/>
          <w:lang w:val="en-US" w:eastAsia="zh-CN"/>
        </w:rPr>
        <w:t>支持性服务：为受训儿童及家长提供家庭康复指导、心理辅导、政策咨询和知识普及等支持性服务。康复知识个别化讲解和康复训练指导根据实际需要为家长提供，集中培训活动每两月不少于1次，每次不少于1小时。</w:t>
      </w:r>
    </w:p>
    <w:p w14:paraId="119F9ECF">
      <w:pPr>
        <w:keepNext w:val="0"/>
        <w:keepLines w:val="0"/>
        <w:pageBreakBefore w:val="0"/>
        <w:widowControl w:val="0"/>
        <w:spacing w:line="340" w:lineRule="exact"/>
        <w:ind w:firstLine="482"/>
        <w:rPr>
          <w:rFonts w:hint="eastAsia" w:ascii="Times New Roman" w:hAnsi="Times New Roman" w:eastAsia="宋体" w:cs="仿宋"/>
          <w:color w:val="auto"/>
          <w:sz w:val="24"/>
          <w:highlight w:val="none"/>
        </w:rPr>
      </w:pPr>
      <w:r>
        <w:rPr>
          <w:rFonts w:hint="eastAsia" w:ascii="Times New Roman" w:hAnsi="Times New Roman" w:cs="仿宋"/>
          <w:color w:val="auto"/>
          <w:sz w:val="24"/>
          <w:highlight w:val="none"/>
          <w:lang w:val="en-US" w:eastAsia="zh-CN"/>
        </w:rPr>
        <w:t>5.2.5</w:t>
      </w:r>
      <w:r>
        <w:rPr>
          <w:rFonts w:hint="eastAsia" w:ascii="Times New Roman" w:hAnsi="Times New Roman" w:eastAsia="宋体" w:cs="仿宋"/>
          <w:color w:val="auto"/>
          <w:sz w:val="24"/>
          <w:highlight w:val="none"/>
          <w:lang w:val="en-US" w:eastAsia="zh-CN"/>
        </w:rPr>
        <w:t>残疾儿童年度康复训练前、训练中、训练后应进行康复效能评估，每年不少于3次。</w:t>
      </w:r>
    </w:p>
    <w:p w14:paraId="4C424B48">
      <w:pPr>
        <w:keepNext w:val="0"/>
        <w:keepLines w:val="0"/>
        <w:pageBreakBefore w:val="0"/>
        <w:widowControl w:val="0"/>
        <w:spacing w:line="340" w:lineRule="exact"/>
        <w:ind w:firstLine="482"/>
        <w:rPr>
          <w:rFonts w:hint="eastAsia" w:ascii="Times New Roman" w:hAnsi="Times New Roman" w:eastAsia="宋体" w:cs="仿宋"/>
          <w:b/>
          <w:color w:val="auto"/>
          <w:sz w:val="24"/>
          <w:highlight w:val="none"/>
          <w:lang w:val="en-US" w:eastAsia="zh-CN"/>
        </w:rPr>
      </w:pPr>
      <w:r>
        <w:rPr>
          <w:rFonts w:hint="eastAsia" w:ascii="Times New Roman" w:hAnsi="Times New Roman" w:eastAsia="宋体" w:cs="仿宋"/>
          <w:b/>
          <w:color w:val="auto"/>
          <w:sz w:val="24"/>
          <w:highlight w:val="none"/>
          <w:lang w:val="en-US" w:eastAsia="zh-CN"/>
        </w:rPr>
        <w:t>5.3工作台账</w:t>
      </w:r>
    </w:p>
    <w:p w14:paraId="7E9C5992">
      <w:pPr>
        <w:keepNext w:val="0"/>
        <w:keepLines w:val="0"/>
        <w:pageBreakBefore w:val="0"/>
        <w:widowControl w:val="0"/>
        <w:spacing w:line="340" w:lineRule="exact"/>
        <w:ind w:firstLine="482"/>
        <w:rPr>
          <w:rFonts w:hint="eastAsia" w:ascii="Times New Roman" w:hAnsi="Times New Roman" w:eastAsia="宋体" w:cs="仿宋"/>
          <w:color w:val="auto"/>
          <w:sz w:val="24"/>
          <w:highlight w:val="none"/>
          <w:lang w:eastAsia="zh-CN"/>
        </w:rPr>
      </w:pPr>
      <w:r>
        <w:rPr>
          <w:rFonts w:hint="eastAsia" w:ascii="Times New Roman" w:hAnsi="Times New Roman" w:cs="仿宋"/>
          <w:color w:val="auto"/>
          <w:sz w:val="24"/>
          <w:highlight w:val="none"/>
          <w:lang w:val="en-US" w:eastAsia="zh-CN"/>
        </w:rPr>
        <w:t>5.3.1</w:t>
      </w:r>
      <w:r>
        <w:rPr>
          <w:rFonts w:hint="eastAsia" w:ascii="Times New Roman" w:hAnsi="Times New Roman" w:eastAsia="宋体" w:cs="仿宋"/>
          <w:color w:val="auto"/>
          <w:sz w:val="24"/>
          <w:highlight w:val="none"/>
        </w:rPr>
        <w:t>康复训练档案齐全，包括残疾儿童康复服务登记表、初始状态评估表、康复训练计划、康复训练日志、阶段性评估表、训练出勤表</w:t>
      </w:r>
      <w:r>
        <w:rPr>
          <w:rFonts w:hint="eastAsia" w:ascii="Times New Roman" w:hAnsi="Times New Roman" w:eastAsia="宋体" w:cs="仿宋"/>
          <w:color w:val="auto"/>
          <w:sz w:val="24"/>
          <w:highlight w:val="none"/>
          <w:lang w:eastAsia="zh-CN"/>
        </w:rPr>
        <w:t>；</w:t>
      </w:r>
    </w:p>
    <w:p w14:paraId="14BF7E58">
      <w:pPr>
        <w:keepNext w:val="0"/>
        <w:keepLines w:val="0"/>
        <w:pageBreakBefore w:val="0"/>
        <w:widowControl w:val="0"/>
        <w:spacing w:line="340" w:lineRule="exact"/>
        <w:ind w:firstLine="482"/>
        <w:rPr>
          <w:rFonts w:hint="eastAsia" w:ascii="Times New Roman" w:hAnsi="Times New Roman" w:eastAsia="宋体" w:cs="仿宋"/>
          <w:b/>
          <w:color w:val="auto"/>
          <w:sz w:val="24"/>
          <w:highlight w:val="none"/>
          <w:lang w:val="en-US" w:eastAsia="zh-CN"/>
        </w:rPr>
      </w:pPr>
      <w:r>
        <w:rPr>
          <w:rFonts w:hint="eastAsia" w:ascii="Times New Roman" w:hAnsi="Times New Roman" w:cs="仿宋"/>
          <w:color w:val="auto"/>
          <w:sz w:val="24"/>
          <w:highlight w:val="none"/>
          <w:lang w:val="en-US" w:eastAsia="zh-CN"/>
        </w:rPr>
        <w:t>5.3.2</w:t>
      </w:r>
      <w:r>
        <w:rPr>
          <w:rFonts w:hint="eastAsia" w:ascii="Times New Roman" w:hAnsi="Times New Roman" w:eastAsia="宋体" w:cs="仿宋"/>
          <w:color w:val="auto"/>
          <w:sz w:val="24"/>
          <w:highlight w:val="none"/>
        </w:rPr>
        <w:t>《残疾儿童康复救助平台》</w:t>
      </w:r>
      <w:r>
        <w:rPr>
          <w:rFonts w:hint="eastAsia" w:ascii="Times New Roman" w:hAnsi="Times New Roman" w:eastAsia="宋体" w:cs="仿宋"/>
          <w:color w:val="auto"/>
          <w:sz w:val="24"/>
          <w:highlight w:val="none"/>
          <w:lang w:eastAsia="zh-CN"/>
        </w:rPr>
        <w:t>数据录入</w:t>
      </w:r>
      <w:r>
        <w:rPr>
          <w:rFonts w:hint="eastAsia" w:ascii="Times New Roman" w:hAnsi="Times New Roman" w:eastAsia="宋体" w:cs="仿宋"/>
          <w:color w:val="auto"/>
          <w:sz w:val="24"/>
          <w:highlight w:val="none"/>
        </w:rPr>
        <w:t>及时、准确、完备。</w:t>
      </w:r>
    </w:p>
    <w:p w14:paraId="413A80EA">
      <w:pPr>
        <w:keepNext w:val="0"/>
        <w:keepLines w:val="0"/>
        <w:pageBreakBefore w:val="0"/>
        <w:widowControl w:val="0"/>
        <w:spacing w:line="340" w:lineRule="exact"/>
        <w:ind w:firstLine="482"/>
        <w:rPr>
          <w:rFonts w:ascii="Times New Roman" w:hAnsi="Times New Roman" w:eastAsia="宋体" w:cs="仿宋"/>
          <w:b/>
          <w:color w:val="auto"/>
          <w:sz w:val="24"/>
          <w:highlight w:val="none"/>
          <w:lang w:val="en-US" w:eastAsia="zh-CN"/>
        </w:rPr>
      </w:pPr>
      <w:r>
        <w:rPr>
          <w:rFonts w:hint="eastAsia" w:ascii="Times New Roman" w:hAnsi="Times New Roman" w:eastAsia="宋体" w:cs="仿宋"/>
          <w:b/>
          <w:color w:val="auto"/>
          <w:sz w:val="24"/>
          <w:highlight w:val="none"/>
          <w:lang w:val="en-US" w:eastAsia="zh-CN"/>
        </w:rPr>
        <w:t>5.4家长培训</w:t>
      </w:r>
    </w:p>
    <w:p w14:paraId="7672F195">
      <w:pPr>
        <w:keepNext w:val="0"/>
        <w:keepLines w:val="0"/>
        <w:pageBreakBefore w:val="0"/>
        <w:widowControl w:val="0"/>
        <w:spacing w:line="340" w:lineRule="exact"/>
        <w:ind w:firstLine="482"/>
        <w:rPr>
          <w:rFonts w:ascii="Times New Roman" w:hAnsi="Times New Roman" w:eastAsia="宋体" w:cs="仿宋"/>
          <w:color w:val="auto"/>
          <w:sz w:val="24"/>
          <w:highlight w:val="none"/>
        </w:rPr>
      </w:pPr>
      <w:r>
        <w:rPr>
          <w:rFonts w:hint="eastAsia" w:ascii="Times New Roman" w:hAnsi="Times New Roman" w:eastAsia="宋体" w:cs="仿宋"/>
          <w:b w:val="0"/>
          <w:bCs/>
          <w:color w:val="auto"/>
          <w:sz w:val="24"/>
          <w:highlight w:val="none"/>
          <w:lang w:val="en-US" w:eastAsia="zh-CN"/>
        </w:rPr>
        <w:t>5.4</w:t>
      </w:r>
      <w:r>
        <w:rPr>
          <w:rFonts w:hint="eastAsia" w:ascii="Times New Roman" w:hAnsi="Times New Roman" w:cs="仿宋"/>
          <w:b w:val="0"/>
          <w:bCs/>
          <w:color w:val="auto"/>
          <w:sz w:val="24"/>
          <w:highlight w:val="none"/>
          <w:lang w:val="en-US" w:eastAsia="zh-CN"/>
        </w:rPr>
        <w:t>.1</w:t>
      </w:r>
      <w:r>
        <w:rPr>
          <w:rFonts w:ascii="Times New Roman" w:hAnsi="Times New Roman" w:eastAsia="宋体" w:cs="仿宋"/>
          <w:color w:val="auto"/>
          <w:sz w:val="24"/>
          <w:highlight w:val="none"/>
        </w:rPr>
        <w:t>定期向家长提供每年不少于4次的相关培训，并有相关书面和视频记录；</w:t>
      </w:r>
    </w:p>
    <w:p w14:paraId="423B0CF5">
      <w:pPr>
        <w:keepNext w:val="0"/>
        <w:keepLines w:val="0"/>
        <w:pageBreakBefore w:val="0"/>
        <w:widowControl w:val="0"/>
        <w:spacing w:line="340" w:lineRule="exact"/>
        <w:ind w:firstLine="482"/>
        <w:rPr>
          <w:rFonts w:ascii="Times New Roman" w:hAnsi="Times New Roman" w:eastAsia="宋体" w:cs="仿宋"/>
          <w:color w:val="auto"/>
          <w:sz w:val="24"/>
          <w:highlight w:val="none"/>
        </w:rPr>
      </w:pPr>
      <w:r>
        <w:rPr>
          <w:rFonts w:hint="eastAsia" w:ascii="Times New Roman" w:hAnsi="Times New Roman" w:eastAsia="宋体" w:cs="仿宋"/>
          <w:b w:val="0"/>
          <w:bCs/>
          <w:color w:val="auto"/>
          <w:sz w:val="24"/>
          <w:highlight w:val="none"/>
          <w:lang w:val="en-US" w:eastAsia="zh-CN"/>
        </w:rPr>
        <w:t>5.4</w:t>
      </w:r>
      <w:r>
        <w:rPr>
          <w:rFonts w:hint="eastAsia" w:ascii="Times New Roman" w:hAnsi="Times New Roman" w:cs="仿宋"/>
          <w:b w:val="0"/>
          <w:bCs/>
          <w:color w:val="auto"/>
          <w:sz w:val="24"/>
          <w:highlight w:val="none"/>
          <w:lang w:val="en-US" w:eastAsia="zh-CN"/>
        </w:rPr>
        <w:t>.2</w:t>
      </w:r>
      <w:r>
        <w:rPr>
          <w:rFonts w:ascii="Times New Roman" w:hAnsi="Times New Roman" w:eastAsia="宋体" w:cs="仿宋"/>
          <w:color w:val="auto"/>
          <w:sz w:val="24"/>
          <w:highlight w:val="none"/>
        </w:rPr>
        <w:t>家长了解在社区和家庭环境中进行康复训练的目标；</w:t>
      </w:r>
    </w:p>
    <w:p w14:paraId="62905223">
      <w:pPr>
        <w:keepNext w:val="0"/>
        <w:keepLines w:val="0"/>
        <w:pageBreakBefore w:val="0"/>
        <w:widowControl w:val="0"/>
        <w:spacing w:line="340" w:lineRule="exact"/>
        <w:ind w:firstLine="482"/>
        <w:rPr>
          <w:rFonts w:ascii="Times New Roman" w:hAnsi="Times New Roman" w:eastAsia="宋体" w:cs="仿宋"/>
          <w:color w:val="auto"/>
          <w:sz w:val="24"/>
          <w:highlight w:val="none"/>
        </w:rPr>
      </w:pPr>
      <w:r>
        <w:rPr>
          <w:rFonts w:hint="eastAsia" w:ascii="Times New Roman" w:hAnsi="Times New Roman" w:eastAsia="宋体" w:cs="仿宋"/>
          <w:b w:val="0"/>
          <w:bCs/>
          <w:color w:val="auto"/>
          <w:sz w:val="24"/>
          <w:highlight w:val="none"/>
          <w:lang w:val="en-US" w:eastAsia="zh-CN"/>
        </w:rPr>
        <w:t>5.4</w:t>
      </w:r>
      <w:r>
        <w:rPr>
          <w:rFonts w:hint="eastAsia" w:ascii="Times New Roman" w:hAnsi="Times New Roman" w:cs="仿宋"/>
          <w:b w:val="0"/>
          <w:bCs/>
          <w:color w:val="auto"/>
          <w:sz w:val="24"/>
          <w:highlight w:val="none"/>
          <w:lang w:val="en-US" w:eastAsia="zh-CN"/>
        </w:rPr>
        <w:t>.3</w:t>
      </w:r>
      <w:r>
        <w:rPr>
          <w:rFonts w:ascii="Times New Roman" w:hAnsi="Times New Roman" w:eastAsia="宋体" w:cs="仿宋"/>
          <w:color w:val="auto"/>
          <w:sz w:val="24"/>
          <w:highlight w:val="none"/>
        </w:rPr>
        <w:t>家长掌握基本康复训练的流程和组织实施方法。</w:t>
      </w:r>
    </w:p>
    <w:p w14:paraId="20E93545">
      <w:pPr>
        <w:keepNext w:val="0"/>
        <w:keepLines w:val="0"/>
        <w:pageBreakBefore w:val="0"/>
        <w:widowControl w:val="0"/>
        <w:spacing w:line="340" w:lineRule="exact"/>
        <w:ind w:firstLine="482"/>
        <w:rPr>
          <w:rFonts w:hint="eastAsia" w:ascii="Times New Roman" w:hAnsi="Times New Roman" w:eastAsia="宋体" w:cs="仿宋"/>
          <w:b/>
          <w:color w:val="auto"/>
          <w:sz w:val="24"/>
          <w:highlight w:val="none"/>
        </w:rPr>
      </w:pPr>
      <w:r>
        <w:rPr>
          <w:rFonts w:hint="eastAsia" w:ascii="Times New Roman" w:hAnsi="Times New Roman" w:eastAsia="宋体" w:cs="仿宋"/>
          <w:b/>
          <w:color w:val="auto"/>
          <w:sz w:val="24"/>
          <w:highlight w:val="none"/>
          <w:lang w:val="en-US" w:eastAsia="zh-CN"/>
        </w:rPr>
        <w:t>5.5</w:t>
      </w:r>
      <w:r>
        <w:rPr>
          <w:rFonts w:hint="eastAsia" w:ascii="Times New Roman" w:hAnsi="Times New Roman" w:eastAsia="宋体" w:cs="仿宋"/>
          <w:b/>
          <w:color w:val="auto"/>
          <w:sz w:val="24"/>
          <w:highlight w:val="none"/>
        </w:rPr>
        <w:t>业务指导</w:t>
      </w:r>
    </w:p>
    <w:p w14:paraId="156C7A71">
      <w:pPr>
        <w:keepNext w:val="0"/>
        <w:keepLines w:val="0"/>
        <w:pageBreakBefore w:val="0"/>
        <w:widowControl w:val="0"/>
        <w:spacing w:line="340" w:lineRule="exact"/>
        <w:ind w:firstLine="482"/>
        <w:rPr>
          <w:rFonts w:hint="eastAsia" w:ascii="Times New Roman" w:hAnsi="Times New Roman" w:eastAsia="宋体" w:cs="仿宋"/>
          <w:color w:val="auto"/>
          <w:sz w:val="24"/>
          <w:highlight w:val="none"/>
        </w:rPr>
      </w:pPr>
      <w:r>
        <w:rPr>
          <w:rFonts w:hint="eastAsia" w:ascii="Times New Roman" w:hAnsi="Times New Roman" w:eastAsia="宋体" w:cs="仿宋"/>
          <w:b w:val="0"/>
          <w:bCs/>
          <w:color w:val="auto"/>
          <w:sz w:val="24"/>
          <w:highlight w:val="none"/>
          <w:lang w:val="en-US" w:eastAsia="zh-CN"/>
        </w:rPr>
        <w:t>5.</w:t>
      </w:r>
      <w:r>
        <w:rPr>
          <w:rFonts w:hint="eastAsia" w:ascii="Times New Roman" w:hAnsi="Times New Roman" w:cs="仿宋"/>
          <w:b w:val="0"/>
          <w:bCs/>
          <w:color w:val="auto"/>
          <w:sz w:val="24"/>
          <w:highlight w:val="none"/>
          <w:lang w:val="en-US" w:eastAsia="zh-CN"/>
        </w:rPr>
        <w:t>5.1</w:t>
      </w:r>
      <w:r>
        <w:rPr>
          <w:rFonts w:hint="eastAsia" w:ascii="Times New Roman" w:hAnsi="Times New Roman" w:eastAsia="宋体" w:cs="仿宋"/>
          <w:color w:val="auto"/>
          <w:sz w:val="24"/>
          <w:highlight w:val="none"/>
        </w:rPr>
        <w:t>开展儿童转介或跟踪服务；</w:t>
      </w:r>
    </w:p>
    <w:p w14:paraId="2F4386C4">
      <w:pPr>
        <w:keepNext w:val="0"/>
        <w:keepLines w:val="0"/>
        <w:pageBreakBefore w:val="0"/>
        <w:widowControl w:val="0"/>
        <w:spacing w:line="340" w:lineRule="exact"/>
        <w:ind w:firstLine="482"/>
        <w:rPr>
          <w:rFonts w:hint="eastAsia" w:ascii="Times New Roman" w:hAnsi="Times New Roman" w:eastAsia="宋体" w:cs="仿宋"/>
          <w:color w:val="auto"/>
          <w:sz w:val="24"/>
          <w:highlight w:val="none"/>
        </w:rPr>
      </w:pPr>
      <w:r>
        <w:rPr>
          <w:rFonts w:hint="eastAsia" w:ascii="Times New Roman" w:hAnsi="Times New Roman" w:eastAsia="宋体" w:cs="仿宋"/>
          <w:b w:val="0"/>
          <w:bCs/>
          <w:color w:val="auto"/>
          <w:sz w:val="24"/>
          <w:highlight w:val="none"/>
          <w:lang w:val="en-US" w:eastAsia="zh-CN"/>
        </w:rPr>
        <w:t>5.</w:t>
      </w:r>
      <w:r>
        <w:rPr>
          <w:rFonts w:hint="eastAsia" w:ascii="Times New Roman" w:hAnsi="Times New Roman" w:cs="仿宋"/>
          <w:b w:val="0"/>
          <w:bCs/>
          <w:color w:val="auto"/>
          <w:sz w:val="24"/>
          <w:highlight w:val="none"/>
          <w:lang w:val="en-US" w:eastAsia="zh-CN"/>
        </w:rPr>
        <w:t>5.2</w:t>
      </w:r>
      <w:r>
        <w:rPr>
          <w:rFonts w:hint="eastAsia" w:ascii="Times New Roman" w:hAnsi="Times New Roman" w:eastAsia="宋体" w:cs="仿宋"/>
          <w:color w:val="auto"/>
          <w:sz w:val="24"/>
          <w:highlight w:val="none"/>
        </w:rPr>
        <w:t>面向社区提供家庭康复延伸的培训；</w:t>
      </w:r>
    </w:p>
    <w:p w14:paraId="63758EE3">
      <w:pPr>
        <w:keepNext w:val="0"/>
        <w:keepLines w:val="0"/>
        <w:pageBreakBefore w:val="0"/>
        <w:widowControl w:val="0"/>
        <w:spacing w:line="340" w:lineRule="exact"/>
        <w:ind w:firstLine="482"/>
        <w:rPr>
          <w:rFonts w:hint="eastAsia" w:ascii="Times New Roman" w:hAnsi="Times New Roman" w:eastAsia="宋体" w:cs="仿宋"/>
          <w:color w:val="auto"/>
          <w:sz w:val="24"/>
          <w:highlight w:val="none"/>
        </w:rPr>
      </w:pPr>
      <w:r>
        <w:rPr>
          <w:rFonts w:hint="eastAsia" w:ascii="Times New Roman" w:hAnsi="Times New Roman" w:eastAsia="宋体" w:cs="仿宋"/>
          <w:b w:val="0"/>
          <w:bCs/>
          <w:color w:val="auto"/>
          <w:sz w:val="24"/>
          <w:highlight w:val="none"/>
          <w:lang w:val="en-US" w:eastAsia="zh-CN"/>
        </w:rPr>
        <w:t>5.</w:t>
      </w:r>
      <w:r>
        <w:rPr>
          <w:rFonts w:hint="eastAsia" w:ascii="Times New Roman" w:hAnsi="Times New Roman" w:cs="仿宋"/>
          <w:b w:val="0"/>
          <w:bCs/>
          <w:color w:val="auto"/>
          <w:sz w:val="24"/>
          <w:highlight w:val="none"/>
          <w:lang w:val="en-US" w:eastAsia="zh-CN"/>
        </w:rPr>
        <w:t>5.3</w:t>
      </w:r>
      <w:r>
        <w:rPr>
          <w:rFonts w:hint="eastAsia" w:ascii="Times New Roman" w:hAnsi="Times New Roman" w:eastAsia="宋体" w:cs="仿宋"/>
          <w:color w:val="auto"/>
          <w:sz w:val="24"/>
          <w:highlight w:val="none"/>
        </w:rPr>
        <w:t>根据服务对象特点提供指导服务、派发相关宣传资料；</w:t>
      </w:r>
    </w:p>
    <w:p w14:paraId="6DA360B4">
      <w:pPr>
        <w:keepNext w:val="0"/>
        <w:keepLines w:val="0"/>
        <w:pageBreakBefore w:val="0"/>
        <w:widowControl w:val="0"/>
        <w:spacing w:line="340" w:lineRule="exact"/>
        <w:ind w:firstLine="482"/>
        <w:rPr>
          <w:rFonts w:hint="eastAsia" w:ascii="Times New Roman" w:hAnsi="Times New Roman" w:eastAsia="宋体" w:cs="仿宋"/>
          <w:color w:val="auto"/>
          <w:sz w:val="24"/>
          <w:highlight w:val="none"/>
        </w:rPr>
      </w:pPr>
      <w:r>
        <w:rPr>
          <w:rFonts w:hint="eastAsia" w:ascii="Times New Roman" w:hAnsi="Times New Roman" w:eastAsia="宋体" w:cs="仿宋"/>
          <w:b w:val="0"/>
          <w:bCs/>
          <w:color w:val="auto"/>
          <w:sz w:val="24"/>
          <w:highlight w:val="none"/>
          <w:lang w:val="en-US" w:eastAsia="zh-CN"/>
        </w:rPr>
        <w:t>5.</w:t>
      </w:r>
      <w:r>
        <w:rPr>
          <w:rFonts w:hint="eastAsia" w:ascii="Times New Roman" w:hAnsi="Times New Roman" w:cs="仿宋"/>
          <w:b w:val="0"/>
          <w:bCs/>
          <w:color w:val="auto"/>
          <w:sz w:val="24"/>
          <w:highlight w:val="none"/>
          <w:lang w:val="en-US" w:eastAsia="zh-CN"/>
        </w:rPr>
        <w:t>5.4</w:t>
      </w:r>
      <w:r>
        <w:rPr>
          <w:rFonts w:hint="eastAsia" w:ascii="Times New Roman" w:hAnsi="Times New Roman" w:eastAsia="宋体" w:cs="仿宋"/>
          <w:color w:val="auto"/>
          <w:sz w:val="24"/>
          <w:highlight w:val="none"/>
        </w:rPr>
        <w:t>结合</w:t>
      </w:r>
      <w:r>
        <w:rPr>
          <w:rFonts w:hint="eastAsia" w:ascii="Times New Roman" w:hAnsi="Times New Roman" w:eastAsia="宋体" w:cs="仿宋"/>
          <w:color w:val="auto"/>
          <w:sz w:val="24"/>
          <w:highlight w:val="none"/>
          <w:lang w:eastAsia="zh-CN"/>
        </w:rPr>
        <w:t>“</w:t>
      </w:r>
      <w:r>
        <w:rPr>
          <w:rFonts w:hint="eastAsia" w:ascii="Times New Roman" w:hAnsi="Times New Roman" w:eastAsia="宋体" w:cs="仿宋"/>
          <w:color w:val="auto"/>
          <w:sz w:val="24"/>
          <w:highlight w:val="none"/>
          <w:lang w:val="en-US" w:eastAsia="zh-CN"/>
        </w:rPr>
        <w:t>孤独症日</w:t>
      </w:r>
      <w:r>
        <w:rPr>
          <w:rFonts w:hint="eastAsia" w:ascii="Times New Roman" w:hAnsi="Times New Roman" w:eastAsia="宋体" w:cs="仿宋"/>
          <w:color w:val="auto"/>
          <w:sz w:val="24"/>
          <w:highlight w:val="none"/>
          <w:lang w:eastAsia="zh-CN"/>
        </w:rPr>
        <w:t>”</w:t>
      </w:r>
      <w:r>
        <w:rPr>
          <w:rFonts w:hint="eastAsia" w:ascii="Times New Roman" w:hAnsi="Times New Roman" w:eastAsia="宋体" w:cs="仿宋"/>
          <w:color w:val="auto"/>
          <w:sz w:val="24"/>
          <w:highlight w:val="none"/>
        </w:rPr>
        <w:t>“全国助残日”等专题日，参与公益活动，每年不少于2次；</w:t>
      </w:r>
    </w:p>
    <w:p w14:paraId="13124EDA">
      <w:pPr>
        <w:keepNext w:val="0"/>
        <w:keepLines w:val="0"/>
        <w:pageBreakBefore w:val="0"/>
        <w:widowControl w:val="0"/>
        <w:spacing w:line="340" w:lineRule="exact"/>
        <w:ind w:firstLine="482"/>
        <w:rPr>
          <w:rFonts w:hint="eastAsia" w:ascii="Times New Roman" w:hAnsi="Times New Roman" w:eastAsia="宋体" w:cs="仿宋"/>
          <w:color w:val="auto"/>
          <w:sz w:val="24"/>
          <w:highlight w:val="none"/>
        </w:rPr>
      </w:pPr>
      <w:r>
        <w:rPr>
          <w:rFonts w:hint="eastAsia" w:ascii="Times New Roman" w:hAnsi="Times New Roman" w:eastAsia="宋体" w:cs="仿宋"/>
          <w:b w:val="0"/>
          <w:bCs/>
          <w:color w:val="auto"/>
          <w:sz w:val="24"/>
          <w:highlight w:val="none"/>
          <w:lang w:val="en-US" w:eastAsia="zh-CN"/>
        </w:rPr>
        <w:t>5.</w:t>
      </w:r>
      <w:r>
        <w:rPr>
          <w:rFonts w:hint="eastAsia" w:ascii="Times New Roman" w:hAnsi="Times New Roman" w:cs="仿宋"/>
          <w:b w:val="0"/>
          <w:bCs/>
          <w:color w:val="auto"/>
          <w:sz w:val="24"/>
          <w:highlight w:val="none"/>
          <w:lang w:val="en-US" w:eastAsia="zh-CN"/>
        </w:rPr>
        <w:t>5.5</w:t>
      </w:r>
      <w:r>
        <w:rPr>
          <w:rFonts w:hint="eastAsia" w:ascii="Times New Roman" w:hAnsi="Times New Roman" w:eastAsia="宋体" w:cs="仿宋"/>
          <w:color w:val="auto"/>
          <w:sz w:val="24"/>
          <w:highlight w:val="none"/>
        </w:rPr>
        <w:t>对于康复效果明显，符合入园、入学条件的儿童，及时动员家长办理入园、入学</w:t>
      </w:r>
      <w:r>
        <w:rPr>
          <w:rFonts w:hint="eastAsia" w:ascii="Times New Roman" w:hAnsi="Times New Roman" w:eastAsia="宋体" w:cs="仿宋"/>
          <w:color w:val="auto"/>
          <w:sz w:val="24"/>
          <w:highlight w:val="none"/>
          <w:lang w:val="en-US" w:eastAsia="zh-CN"/>
        </w:rPr>
        <w:t>手续</w:t>
      </w:r>
      <w:r>
        <w:rPr>
          <w:rFonts w:hint="eastAsia" w:ascii="Times New Roman" w:hAnsi="Times New Roman" w:eastAsia="宋体" w:cs="仿宋"/>
          <w:color w:val="auto"/>
          <w:sz w:val="24"/>
          <w:highlight w:val="none"/>
        </w:rPr>
        <w:t>，并跟踪进行康复服务指导。</w:t>
      </w:r>
    </w:p>
    <w:p w14:paraId="290447E6">
      <w:pPr>
        <w:keepNext w:val="0"/>
        <w:keepLines w:val="0"/>
        <w:pageBreakBefore w:val="0"/>
        <w:widowControl w:val="0"/>
        <w:spacing w:line="340" w:lineRule="exact"/>
        <w:ind w:firstLine="482"/>
        <w:rPr>
          <w:rFonts w:hint="eastAsia" w:ascii="Times New Roman" w:hAnsi="Times New Roman" w:eastAsia="宋体" w:cs="仿宋"/>
          <w:b/>
          <w:color w:val="auto"/>
          <w:sz w:val="24"/>
          <w:highlight w:val="none"/>
        </w:rPr>
      </w:pPr>
      <w:r>
        <w:rPr>
          <w:rFonts w:hint="eastAsia" w:ascii="Times New Roman" w:hAnsi="Times New Roman" w:eastAsia="宋体" w:cs="仿宋"/>
          <w:b/>
          <w:color w:val="auto"/>
          <w:sz w:val="24"/>
          <w:highlight w:val="none"/>
          <w:lang w:val="en-US" w:eastAsia="zh-CN"/>
        </w:rPr>
        <w:t>5.6</w:t>
      </w:r>
      <w:r>
        <w:rPr>
          <w:rFonts w:hint="eastAsia" w:ascii="Times New Roman" w:hAnsi="Times New Roman" w:eastAsia="宋体" w:cs="仿宋"/>
          <w:b/>
          <w:color w:val="auto"/>
          <w:sz w:val="24"/>
          <w:highlight w:val="none"/>
        </w:rPr>
        <w:t>质量控制</w:t>
      </w:r>
    </w:p>
    <w:p w14:paraId="7D204E0B">
      <w:pPr>
        <w:keepNext w:val="0"/>
        <w:keepLines w:val="0"/>
        <w:pageBreakBefore w:val="0"/>
        <w:widowControl w:val="0"/>
        <w:spacing w:line="340" w:lineRule="exact"/>
        <w:ind w:firstLine="482"/>
        <w:rPr>
          <w:rFonts w:hint="eastAsia" w:ascii="Times New Roman" w:hAnsi="Times New Roman" w:eastAsia="宋体" w:cs="仿宋"/>
          <w:b w:val="0"/>
          <w:bCs/>
          <w:color w:val="auto"/>
          <w:sz w:val="24"/>
          <w:highlight w:val="none"/>
          <w:lang w:eastAsia="zh-CN"/>
        </w:rPr>
      </w:pPr>
      <w:r>
        <w:rPr>
          <w:rFonts w:hint="eastAsia" w:ascii="Times New Roman" w:hAnsi="Times New Roman" w:cs="仿宋"/>
          <w:b w:val="0"/>
          <w:bCs/>
          <w:color w:val="auto"/>
          <w:sz w:val="24"/>
          <w:highlight w:val="none"/>
          <w:lang w:val="en-US" w:eastAsia="zh-CN"/>
        </w:rPr>
        <w:t>5.6.1</w:t>
      </w:r>
      <w:r>
        <w:rPr>
          <w:rFonts w:hint="eastAsia" w:ascii="Times New Roman" w:hAnsi="Times New Roman" w:eastAsia="宋体" w:cs="仿宋"/>
          <w:b w:val="0"/>
          <w:bCs/>
          <w:color w:val="auto"/>
          <w:sz w:val="24"/>
          <w:highlight w:val="none"/>
        </w:rPr>
        <w:t>有需求残疾儿童康复评估、训练建档率100%</w:t>
      </w:r>
      <w:r>
        <w:rPr>
          <w:rFonts w:hint="eastAsia" w:ascii="Times New Roman" w:hAnsi="Times New Roman" w:eastAsia="宋体" w:cs="仿宋"/>
          <w:b w:val="0"/>
          <w:bCs/>
          <w:color w:val="auto"/>
          <w:sz w:val="24"/>
          <w:highlight w:val="none"/>
          <w:lang w:eastAsia="zh-CN"/>
        </w:rPr>
        <w:t>；</w:t>
      </w:r>
    </w:p>
    <w:p w14:paraId="0A6F3FD5">
      <w:pPr>
        <w:keepNext w:val="0"/>
        <w:keepLines w:val="0"/>
        <w:pageBreakBefore w:val="0"/>
        <w:widowControl w:val="0"/>
        <w:spacing w:line="340" w:lineRule="exact"/>
        <w:ind w:firstLine="482"/>
        <w:rPr>
          <w:rFonts w:hint="eastAsia" w:ascii="Times New Roman" w:hAnsi="Times New Roman" w:eastAsia="宋体" w:cs="仿宋"/>
          <w:b w:val="0"/>
          <w:bCs/>
          <w:color w:val="auto"/>
          <w:sz w:val="24"/>
          <w:highlight w:val="none"/>
          <w:lang w:eastAsia="zh-CN"/>
        </w:rPr>
      </w:pPr>
      <w:r>
        <w:rPr>
          <w:rFonts w:hint="eastAsia" w:ascii="Times New Roman" w:hAnsi="Times New Roman" w:cs="仿宋"/>
          <w:b w:val="0"/>
          <w:bCs/>
          <w:color w:val="auto"/>
          <w:sz w:val="24"/>
          <w:highlight w:val="none"/>
          <w:lang w:val="en-US" w:eastAsia="zh-CN"/>
        </w:rPr>
        <w:t>5.6.2</w:t>
      </w:r>
      <w:r>
        <w:rPr>
          <w:rFonts w:hint="eastAsia" w:ascii="Times New Roman" w:hAnsi="Times New Roman" w:eastAsia="宋体" w:cs="仿宋"/>
          <w:b w:val="0"/>
          <w:bCs/>
          <w:color w:val="auto"/>
          <w:sz w:val="24"/>
          <w:highlight w:val="none"/>
        </w:rPr>
        <w:t>家长满意度调查达90%以上</w:t>
      </w:r>
      <w:r>
        <w:rPr>
          <w:rFonts w:hint="eastAsia" w:ascii="Times New Roman" w:hAnsi="Times New Roman" w:eastAsia="宋体" w:cs="仿宋"/>
          <w:b w:val="0"/>
          <w:bCs/>
          <w:color w:val="auto"/>
          <w:sz w:val="24"/>
          <w:highlight w:val="none"/>
          <w:lang w:eastAsia="zh-CN"/>
        </w:rPr>
        <w:t>；</w:t>
      </w:r>
    </w:p>
    <w:p w14:paraId="174E1D3D">
      <w:pPr>
        <w:keepNext w:val="0"/>
        <w:keepLines w:val="0"/>
        <w:pageBreakBefore w:val="0"/>
        <w:widowControl w:val="0"/>
        <w:spacing w:line="340" w:lineRule="exact"/>
        <w:ind w:firstLine="482"/>
        <w:rPr>
          <w:rFonts w:hint="eastAsia" w:ascii="Times New Roman" w:hAnsi="Times New Roman" w:eastAsia="宋体" w:cs="仿宋"/>
          <w:b w:val="0"/>
          <w:bCs/>
          <w:color w:val="auto"/>
          <w:sz w:val="24"/>
          <w:highlight w:val="none"/>
        </w:rPr>
      </w:pPr>
      <w:r>
        <w:rPr>
          <w:rFonts w:hint="eastAsia" w:ascii="Times New Roman" w:hAnsi="Times New Roman" w:cs="仿宋"/>
          <w:b w:val="0"/>
          <w:bCs/>
          <w:color w:val="auto"/>
          <w:sz w:val="24"/>
          <w:highlight w:val="none"/>
          <w:lang w:val="en-US" w:eastAsia="zh-CN"/>
        </w:rPr>
        <w:t>5.6.3</w:t>
      </w:r>
      <w:r>
        <w:rPr>
          <w:rFonts w:hint="eastAsia" w:ascii="Times New Roman" w:hAnsi="Times New Roman" w:eastAsia="宋体" w:cs="仿宋"/>
          <w:b w:val="0"/>
          <w:bCs/>
          <w:color w:val="auto"/>
          <w:sz w:val="24"/>
          <w:highlight w:val="none"/>
        </w:rPr>
        <w:t>组织残疾儿童参加社会融合活动每年不少于4次。</w:t>
      </w:r>
    </w:p>
    <w:p w14:paraId="1D4BADDA">
      <w:pPr>
        <w:keepNext w:val="0"/>
        <w:keepLines w:val="0"/>
        <w:pageBreakBefore w:val="0"/>
        <w:widowControl w:val="0"/>
        <w:spacing w:line="340" w:lineRule="exact"/>
        <w:ind w:firstLine="482"/>
        <w:rPr>
          <w:rFonts w:ascii="Times New Roman" w:hAnsi="Times New Roman" w:eastAsia="宋体" w:cs="仿宋"/>
          <w:b/>
          <w:color w:val="auto"/>
          <w:sz w:val="24"/>
          <w:highlight w:val="none"/>
        </w:rPr>
      </w:pPr>
      <w:r>
        <w:rPr>
          <w:rFonts w:hint="eastAsia" w:ascii="Times New Roman" w:hAnsi="Times New Roman" w:eastAsia="宋体" w:cs="仿宋"/>
          <w:b/>
          <w:color w:val="auto"/>
          <w:sz w:val="24"/>
          <w:highlight w:val="none"/>
          <w:lang w:eastAsia="zh-CN"/>
        </w:rPr>
        <w:t>（</w:t>
      </w:r>
      <w:r>
        <w:rPr>
          <w:rFonts w:hint="eastAsia" w:ascii="Times New Roman" w:hAnsi="Times New Roman" w:eastAsia="宋体" w:cs="仿宋"/>
          <w:b/>
          <w:color w:val="auto"/>
          <w:sz w:val="24"/>
          <w:highlight w:val="none"/>
          <w:lang w:val="en-US" w:eastAsia="zh-CN"/>
        </w:rPr>
        <w:t>二</w:t>
      </w:r>
      <w:r>
        <w:rPr>
          <w:rFonts w:hint="eastAsia" w:ascii="Times New Roman" w:hAnsi="Times New Roman" w:eastAsia="宋体" w:cs="仿宋"/>
          <w:b/>
          <w:color w:val="auto"/>
          <w:sz w:val="24"/>
          <w:highlight w:val="none"/>
          <w:lang w:eastAsia="zh-CN"/>
        </w:rPr>
        <w:t>）</w:t>
      </w:r>
      <w:r>
        <w:rPr>
          <w:rFonts w:hint="eastAsia" w:ascii="Times New Roman" w:hAnsi="Times New Roman" w:eastAsia="宋体" w:cs="仿宋"/>
          <w:b/>
          <w:color w:val="auto"/>
          <w:sz w:val="24"/>
          <w:highlight w:val="none"/>
        </w:rPr>
        <w:t>定点机构考核评价，每季度组织考核1次。</w:t>
      </w:r>
    </w:p>
    <w:p w14:paraId="7C6EBB95">
      <w:pPr>
        <w:keepNext w:val="0"/>
        <w:keepLines w:val="0"/>
        <w:pageBreakBefore w:val="0"/>
        <w:widowControl w:val="0"/>
        <w:spacing w:line="340" w:lineRule="exact"/>
        <w:ind w:firstLine="482"/>
        <w:rPr>
          <w:rFonts w:ascii="Times New Roman" w:hAnsi="Times New Roman" w:eastAsia="宋体" w:cs="仿宋"/>
          <w:color w:val="auto"/>
          <w:sz w:val="24"/>
          <w:highlight w:val="none"/>
        </w:rPr>
      </w:pPr>
      <w:r>
        <w:rPr>
          <w:rFonts w:hint="eastAsia" w:ascii="Times New Roman" w:hAnsi="Times New Roman" w:eastAsia="宋体" w:cs="仿宋"/>
          <w:color w:val="auto"/>
          <w:sz w:val="24"/>
          <w:highlight w:val="none"/>
          <w:lang w:val="en-US" w:eastAsia="zh-CN"/>
        </w:rPr>
        <w:t>1、</w:t>
      </w:r>
      <w:r>
        <w:rPr>
          <w:rFonts w:hint="eastAsia" w:ascii="Times New Roman" w:hAnsi="Times New Roman" w:eastAsia="宋体" w:cs="仿宋"/>
          <w:color w:val="auto"/>
          <w:sz w:val="24"/>
          <w:highlight w:val="none"/>
        </w:rPr>
        <w:t>定点机构评估核查、信息备案、规范流程、档案管理、安全管理、动态调整等年度评价工作，由</w:t>
      </w:r>
      <w:r>
        <w:rPr>
          <w:rFonts w:hint="eastAsia" w:ascii="Times New Roman" w:hAnsi="Times New Roman" w:eastAsia="宋体" w:cs="仿宋"/>
          <w:color w:val="auto"/>
          <w:sz w:val="24"/>
          <w:highlight w:val="none"/>
          <w:lang w:eastAsia="zh-CN"/>
        </w:rPr>
        <w:t>沭阳</w:t>
      </w:r>
      <w:r>
        <w:rPr>
          <w:rFonts w:hint="eastAsia" w:ascii="Times New Roman" w:hAnsi="Times New Roman" w:eastAsia="宋体" w:cs="仿宋"/>
          <w:color w:val="auto"/>
          <w:sz w:val="24"/>
          <w:highlight w:val="none"/>
        </w:rPr>
        <w:t>县残疾人联合会会同县级教育、民政、财政、人社、医保、卫生健康等部门按照评估细则组织开展。</w:t>
      </w:r>
    </w:p>
    <w:p w14:paraId="6D9B712A">
      <w:pPr>
        <w:keepNext w:val="0"/>
        <w:keepLines w:val="0"/>
        <w:pageBreakBefore w:val="0"/>
        <w:widowControl w:val="0"/>
        <w:spacing w:line="340" w:lineRule="exact"/>
        <w:ind w:firstLine="482"/>
        <w:rPr>
          <w:rFonts w:ascii="Times New Roman" w:hAnsi="Times New Roman" w:eastAsia="宋体" w:cs="仿宋"/>
          <w:color w:val="auto"/>
          <w:sz w:val="24"/>
          <w:highlight w:val="none"/>
        </w:rPr>
      </w:pPr>
      <w:r>
        <w:rPr>
          <w:rFonts w:hint="eastAsia" w:ascii="Times New Roman" w:hAnsi="Times New Roman" w:eastAsia="宋体" w:cs="仿宋"/>
          <w:color w:val="auto"/>
          <w:sz w:val="24"/>
          <w:highlight w:val="none"/>
          <w:lang w:val="en-US" w:eastAsia="zh-CN"/>
        </w:rPr>
        <w:t>2、</w:t>
      </w:r>
      <w:r>
        <w:rPr>
          <w:rFonts w:hint="eastAsia" w:ascii="Times New Roman" w:hAnsi="Times New Roman" w:eastAsia="宋体" w:cs="仿宋"/>
          <w:color w:val="auto"/>
          <w:sz w:val="24"/>
          <w:highlight w:val="none"/>
        </w:rPr>
        <w:t>定点机构性质、法人代表、执业地点、执业范围、业务项目发生变动，应向</w:t>
      </w:r>
      <w:r>
        <w:rPr>
          <w:rFonts w:hint="eastAsia" w:ascii="Times New Roman" w:hAnsi="Times New Roman" w:eastAsia="宋体" w:cs="仿宋"/>
          <w:color w:val="auto"/>
          <w:sz w:val="24"/>
          <w:highlight w:val="none"/>
          <w:lang w:val="en-US" w:eastAsia="zh-CN"/>
        </w:rPr>
        <w:t>沭阳</w:t>
      </w:r>
      <w:r>
        <w:rPr>
          <w:rFonts w:hint="eastAsia" w:ascii="Times New Roman" w:hAnsi="Times New Roman" w:eastAsia="宋体" w:cs="仿宋"/>
          <w:color w:val="auto"/>
          <w:sz w:val="24"/>
          <w:highlight w:val="none"/>
        </w:rPr>
        <w:t>县残疾人联合会报备，并在变动之日起1个月内接受重新评估。</w:t>
      </w:r>
    </w:p>
    <w:p w14:paraId="5047E450">
      <w:pPr>
        <w:keepNext w:val="0"/>
        <w:keepLines w:val="0"/>
        <w:pageBreakBefore w:val="0"/>
        <w:widowControl w:val="0"/>
        <w:spacing w:line="340" w:lineRule="exact"/>
        <w:ind w:firstLine="482"/>
        <w:rPr>
          <w:rFonts w:ascii="Times New Roman" w:hAnsi="Times New Roman" w:eastAsia="宋体" w:cs="仿宋"/>
          <w:color w:val="auto"/>
          <w:sz w:val="24"/>
          <w:highlight w:val="none"/>
        </w:rPr>
      </w:pPr>
      <w:r>
        <w:rPr>
          <w:rFonts w:hint="eastAsia" w:ascii="Times New Roman" w:hAnsi="Times New Roman" w:eastAsia="宋体" w:cs="仿宋"/>
          <w:color w:val="auto"/>
          <w:sz w:val="24"/>
          <w:highlight w:val="none"/>
          <w:lang w:val="en-US" w:eastAsia="zh-CN"/>
        </w:rPr>
        <w:t>3、</w:t>
      </w:r>
      <w:r>
        <w:rPr>
          <w:rFonts w:hint="eastAsia" w:ascii="Times New Roman" w:hAnsi="Times New Roman" w:eastAsia="宋体" w:cs="仿宋"/>
          <w:color w:val="auto"/>
          <w:sz w:val="24"/>
          <w:highlight w:val="none"/>
        </w:rPr>
        <w:t>定点机构年度评估不合格或存在违规（法）行为的，依据《江苏省残疾儿童基本康复服务管理暂行办法》</w:t>
      </w:r>
      <w:r>
        <w:rPr>
          <w:rFonts w:hint="eastAsia" w:ascii="Times New Roman" w:hAnsi="Times New Roman" w:eastAsia="宋体" w:cs="仿宋"/>
          <w:color w:val="auto"/>
          <w:sz w:val="24"/>
          <w:highlight w:val="none"/>
          <w:lang w:eastAsia="zh-CN"/>
        </w:rPr>
        <w:t>（</w:t>
      </w:r>
      <w:r>
        <w:rPr>
          <w:rFonts w:hint="eastAsia" w:ascii="Times New Roman" w:hAnsi="Times New Roman" w:eastAsia="宋体" w:cs="仿宋"/>
          <w:color w:val="auto"/>
          <w:sz w:val="24"/>
          <w:highlight w:val="none"/>
          <w:lang w:val="en-US" w:eastAsia="zh-CN"/>
        </w:rPr>
        <w:t>苏残发〔2020〕23号</w:t>
      </w:r>
      <w:r>
        <w:rPr>
          <w:rFonts w:hint="eastAsia" w:ascii="Times New Roman" w:hAnsi="Times New Roman" w:eastAsia="宋体" w:cs="仿宋"/>
          <w:color w:val="auto"/>
          <w:sz w:val="24"/>
          <w:highlight w:val="none"/>
          <w:lang w:eastAsia="zh-CN"/>
        </w:rPr>
        <w:t>）、</w:t>
      </w:r>
      <w:r>
        <w:rPr>
          <w:rFonts w:hint="eastAsia" w:ascii="Times New Roman" w:hAnsi="Times New Roman" w:eastAsia="宋体" w:cs="仿宋"/>
          <w:color w:val="auto"/>
          <w:sz w:val="24"/>
          <w:highlight w:val="none"/>
        </w:rPr>
        <w:t>《宿迁市残疾儿童定点康复机构绩效考核办法和细则》，给予相应处罚。</w:t>
      </w:r>
    </w:p>
    <w:p w14:paraId="2A39000F">
      <w:pPr>
        <w:keepNext w:val="0"/>
        <w:keepLines w:val="0"/>
        <w:pageBreakBefore w:val="0"/>
        <w:widowControl w:val="0"/>
        <w:spacing w:line="340" w:lineRule="exact"/>
        <w:ind w:firstLine="482"/>
        <w:rPr>
          <w:rFonts w:ascii="Times New Roman" w:hAnsi="Times New Roman" w:eastAsia="宋体" w:cs="仿宋"/>
          <w:color w:val="auto"/>
          <w:sz w:val="24"/>
          <w:highlight w:val="none"/>
        </w:rPr>
      </w:pPr>
      <w:r>
        <w:rPr>
          <w:rFonts w:hint="eastAsia" w:ascii="Times New Roman" w:hAnsi="Times New Roman" w:eastAsia="宋体" w:cs="仿宋"/>
          <w:color w:val="auto"/>
          <w:sz w:val="24"/>
          <w:highlight w:val="none"/>
          <w:lang w:val="en-US" w:eastAsia="zh-CN"/>
        </w:rPr>
        <w:t>4</w:t>
      </w:r>
      <w:r>
        <w:rPr>
          <w:rFonts w:hint="eastAsia" w:ascii="Times New Roman" w:hAnsi="Times New Roman" w:cs="仿宋"/>
          <w:color w:val="auto"/>
          <w:sz w:val="24"/>
          <w:highlight w:val="none"/>
          <w:lang w:val="en-US" w:eastAsia="zh-CN"/>
        </w:rPr>
        <w:t>、</w:t>
      </w:r>
      <w:r>
        <w:rPr>
          <w:rFonts w:hint="eastAsia" w:ascii="Times New Roman" w:hAnsi="Times New Roman" w:eastAsia="宋体" w:cs="仿宋"/>
          <w:color w:val="auto"/>
          <w:sz w:val="24"/>
          <w:highlight w:val="none"/>
        </w:rPr>
        <w:t>对存在以下问题的定点机构，一律解除服务合同，取消定点机构资格：</w:t>
      </w:r>
    </w:p>
    <w:p w14:paraId="6ACC27D8">
      <w:pPr>
        <w:keepNext w:val="0"/>
        <w:keepLines w:val="0"/>
        <w:pageBreakBefore w:val="0"/>
        <w:widowControl w:val="0"/>
        <w:spacing w:line="340" w:lineRule="exact"/>
        <w:ind w:firstLine="482"/>
        <w:rPr>
          <w:rFonts w:ascii="Times New Roman" w:hAnsi="Times New Roman" w:eastAsia="宋体" w:cs="仿宋"/>
          <w:color w:val="auto"/>
          <w:sz w:val="24"/>
          <w:highlight w:val="none"/>
        </w:rPr>
      </w:pPr>
      <w:r>
        <w:rPr>
          <w:rFonts w:hint="eastAsia" w:ascii="Times New Roman" w:hAnsi="Times New Roman" w:cs="仿宋"/>
          <w:color w:val="auto"/>
          <w:sz w:val="24"/>
          <w:highlight w:val="none"/>
          <w:lang w:val="en-US" w:eastAsia="zh-CN"/>
        </w:rPr>
        <w:t>4.1</w:t>
      </w:r>
      <w:r>
        <w:rPr>
          <w:rFonts w:hint="eastAsia" w:ascii="Times New Roman" w:hAnsi="Times New Roman" w:eastAsia="宋体" w:cs="仿宋"/>
          <w:color w:val="auto"/>
          <w:sz w:val="24"/>
          <w:highlight w:val="none"/>
        </w:rPr>
        <w:t>不按合同要求、自行降低服务标准的，不执行《江苏省残疾儿童基本康复服务实施规范（2023版）》和宿迁市、</w:t>
      </w:r>
      <w:r>
        <w:rPr>
          <w:rFonts w:hint="eastAsia" w:ascii="Times New Roman" w:hAnsi="Times New Roman" w:eastAsia="宋体" w:cs="仿宋"/>
          <w:color w:val="auto"/>
          <w:sz w:val="24"/>
          <w:highlight w:val="none"/>
          <w:lang w:eastAsia="zh-CN"/>
        </w:rPr>
        <w:t>沭阳</w:t>
      </w:r>
      <w:r>
        <w:rPr>
          <w:rFonts w:hint="eastAsia" w:ascii="Times New Roman" w:hAnsi="Times New Roman" w:eastAsia="宋体" w:cs="仿宋"/>
          <w:color w:val="auto"/>
          <w:sz w:val="24"/>
          <w:highlight w:val="none"/>
        </w:rPr>
        <w:t>县地方技术标准的，两次告诫或通报批评后仍不改正的；或发生严重安全及重大责任事故的机构，解除服务合同，取消定点康复机构资格。</w:t>
      </w:r>
    </w:p>
    <w:p w14:paraId="00B1CEB0">
      <w:pPr>
        <w:keepNext w:val="0"/>
        <w:keepLines w:val="0"/>
        <w:pageBreakBefore w:val="0"/>
        <w:widowControl w:val="0"/>
        <w:spacing w:line="340" w:lineRule="exact"/>
        <w:ind w:firstLine="482"/>
        <w:rPr>
          <w:rFonts w:ascii="Times New Roman" w:hAnsi="Times New Roman" w:eastAsia="宋体" w:cs="仿宋"/>
          <w:color w:val="auto"/>
          <w:sz w:val="24"/>
          <w:highlight w:val="none"/>
        </w:rPr>
      </w:pPr>
      <w:r>
        <w:rPr>
          <w:rFonts w:hint="eastAsia" w:ascii="Times New Roman" w:hAnsi="Times New Roman" w:cs="仿宋"/>
          <w:color w:val="auto"/>
          <w:sz w:val="24"/>
          <w:highlight w:val="none"/>
          <w:lang w:val="en-US" w:eastAsia="zh-CN"/>
        </w:rPr>
        <w:t>4.2</w:t>
      </w:r>
      <w:r>
        <w:rPr>
          <w:rFonts w:hint="eastAsia" w:ascii="Times New Roman" w:hAnsi="Times New Roman" w:eastAsia="宋体" w:cs="仿宋"/>
          <w:color w:val="auto"/>
          <w:sz w:val="24"/>
          <w:highlight w:val="none"/>
        </w:rPr>
        <w:t>按照绩效考核，年度考核不合格的，且不完成限期整改的；</w:t>
      </w:r>
    </w:p>
    <w:p w14:paraId="20B33286">
      <w:pPr>
        <w:keepNext w:val="0"/>
        <w:keepLines w:val="0"/>
        <w:pageBreakBefore w:val="0"/>
        <w:widowControl w:val="0"/>
        <w:spacing w:line="340" w:lineRule="exact"/>
        <w:ind w:firstLine="482"/>
        <w:rPr>
          <w:rFonts w:hint="eastAsia" w:ascii="Times New Roman" w:hAnsi="Times New Roman" w:eastAsia="宋体" w:cs="仿宋"/>
          <w:color w:val="auto"/>
          <w:sz w:val="24"/>
          <w:highlight w:val="none"/>
          <w:lang w:eastAsia="zh-CN"/>
        </w:rPr>
      </w:pPr>
      <w:r>
        <w:rPr>
          <w:rFonts w:hint="eastAsia" w:ascii="Times New Roman" w:hAnsi="Times New Roman" w:cs="仿宋"/>
          <w:color w:val="auto"/>
          <w:sz w:val="24"/>
          <w:highlight w:val="none"/>
          <w:lang w:val="en-US" w:eastAsia="zh-CN"/>
        </w:rPr>
        <w:t>4.3</w:t>
      </w:r>
      <w:r>
        <w:rPr>
          <w:rFonts w:hint="eastAsia" w:ascii="Times New Roman" w:hAnsi="Times New Roman" w:eastAsia="宋体" w:cs="仿宋"/>
          <w:color w:val="auto"/>
          <w:sz w:val="24"/>
          <w:highlight w:val="none"/>
        </w:rPr>
        <w:t>发生严重安全及重大责任事故的机构</w:t>
      </w:r>
      <w:r>
        <w:rPr>
          <w:rFonts w:hint="eastAsia" w:ascii="Times New Roman" w:hAnsi="Times New Roman" w:cs="仿宋"/>
          <w:color w:val="auto"/>
          <w:sz w:val="24"/>
          <w:highlight w:val="none"/>
          <w:lang w:eastAsia="zh-CN"/>
        </w:rPr>
        <w:t>；</w:t>
      </w:r>
    </w:p>
    <w:p w14:paraId="6AF4DC89">
      <w:pPr>
        <w:keepNext w:val="0"/>
        <w:keepLines w:val="0"/>
        <w:pageBreakBefore w:val="0"/>
        <w:widowControl w:val="0"/>
        <w:spacing w:line="340" w:lineRule="exact"/>
        <w:ind w:firstLine="482"/>
        <w:rPr>
          <w:rFonts w:ascii="Times New Roman" w:hAnsi="Times New Roman" w:eastAsia="宋体" w:cs="仿宋"/>
          <w:color w:val="auto"/>
          <w:sz w:val="24"/>
          <w:highlight w:val="none"/>
        </w:rPr>
      </w:pPr>
      <w:r>
        <w:rPr>
          <w:rFonts w:hint="eastAsia" w:ascii="Times New Roman" w:hAnsi="Times New Roman" w:cs="仿宋"/>
          <w:color w:val="auto"/>
          <w:sz w:val="24"/>
          <w:highlight w:val="none"/>
          <w:lang w:val="en-US" w:eastAsia="zh-CN"/>
        </w:rPr>
        <w:t>4.4</w:t>
      </w:r>
      <w:r>
        <w:rPr>
          <w:rFonts w:hint="eastAsia" w:ascii="Times New Roman" w:hAnsi="Times New Roman" w:eastAsia="宋体" w:cs="仿宋"/>
          <w:color w:val="auto"/>
          <w:sz w:val="24"/>
          <w:highlight w:val="none"/>
        </w:rPr>
        <w:t>弄虚作假，开具假证明、假服务记录、假票据等行为套取政府购买服务资金的，限期整改并退回套取资金，情节严重涉嫌犯罪的，移送司法机关依法处理。</w:t>
      </w:r>
    </w:p>
    <w:p w14:paraId="3B01031E">
      <w:pPr>
        <w:keepNext w:val="0"/>
        <w:keepLines w:val="0"/>
        <w:pageBreakBefore w:val="0"/>
        <w:widowControl w:val="0"/>
        <w:spacing w:line="340" w:lineRule="exact"/>
        <w:ind w:firstLine="482"/>
        <w:rPr>
          <w:rFonts w:ascii="Times New Roman" w:hAnsi="Times New Roman" w:eastAsia="宋体" w:cs="仿宋"/>
          <w:b/>
          <w:color w:val="auto"/>
          <w:sz w:val="24"/>
          <w:highlight w:val="none"/>
        </w:rPr>
      </w:pPr>
      <w:r>
        <w:rPr>
          <w:rFonts w:hint="eastAsia" w:ascii="Times New Roman" w:hAnsi="Times New Roman" w:eastAsia="宋体" w:cs="仿宋"/>
          <w:b/>
          <w:color w:val="auto"/>
          <w:sz w:val="24"/>
          <w:highlight w:val="none"/>
          <w:lang w:eastAsia="zh-CN"/>
        </w:rPr>
        <w:t>（</w:t>
      </w:r>
      <w:r>
        <w:rPr>
          <w:rFonts w:hint="eastAsia" w:ascii="Times New Roman" w:hAnsi="Times New Roman" w:eastAsia="宋体" w:cs="仿宋"/>
          <w:b/>
          <w:color w:val="auto"/>
          <w:sz w:val="24"/>
          <w:highlight w:val="none"/>
          <w:lang w:val="en-US" w:eastAsia="zh-CN"/>
        </w:rPr>
        <w:t>三</w:t>
      </w:r>
      <w:r>
        <w:rPr>
          <w:rFonts w:hint="eastAsia" w:ascii="Times New Roman" w:hAnsi="Times New Roman" w:eastAsia="宋体" w:cs="仿宋"/>
          <w:b/>
          <w:color w:val="auto"/>
          <w:sz w:val="24"/>
          <w:highlight w:val="none"/>
          <w:lang w:eastAsia="zh-CN"/>
        </w:rPr>
        <w:t>）</w:t>
      </w:r>
      <w:r>
        <w:rPr>
          <w:rFonts w:hint="eastAsia" w:ascii="Times New Roman" w:hAnsi="Times New Roman" w:eastAsia="宋体" w:cs="仿宋"/>
          <w:b/>
          <w:color w:val="auto"/>
          <w:sz w:val="24"/>
          <w:highlight w:val="none"/>
        </w:rPr>
        <w:t>绩效评价与考核结果运用：</w:t>
      </w:r>
    </w:p>
    <w:p w14:paraId="7B79C57F">
      <w:pPr>
        <w:keepNext w:val="0"/>
        <w:keepLines w:val="0"/>
        <w:pageBreakBefore w:val="0"/>
        <w:widowControl w:val="0"/>
        <w:spacing w:line="340" w:lineRule="exact"/>
        <w:ind w:firstLine="482"/>
        <w:rPr>
          <w:rFonts w:ascii="Times New Roman" w:hAnsi="Times New Roman" w:eastAsia="宋体" w:cs="仿宋"/>
          <w:color w:val="auto"/>
          <w:sz w:val="24"/>
          <w:highlight w:val="none"/>
        </w:rPr>
      </w:pPr>
      <w:r>
        <w:rPr>
          <w:rFonts w:hint="eastAsia" w:ascii="Times New Roman" w:hAnsi="Times New Roman" w:eastAsia="宋体" w:cs="仿宋"/>
          <w:color w:val="auto"/>
          <w:sz w:val="24"/>
          <w:highlight w:val="none"/>
          <w:lang w:val="en-US" w:eastAsia="zh-CN"/>
        </w:rPr>
        <w:t>1、</w:t>
      </w:r>
      <w:r>
        <w:rPr>
          <w:rFonts w:hint="eastAsia" w:ascii="Times New Roman" w:hAnsi="Times New Roman" w:eastAsia="宋体" w:cs="仿宋"/>
          <w:color w:val="auto"/>
          <w:sz w:val="24"/>
          <w:highlight w:val="none"/>
        </w:rPr>
        <w:t>按照财政资金绩效评价相关规定开展，由</w:t>
      </w:r>
      <w:r>
        <w:rPr>
          <w:rFonts w:hint="eastAsia" w:ascii="Times New Roman" w:hAnsi="Times New Roman" w:eastAsia="宋体" w:cs="仿宋"/>
          <w:color w:val="auto"/>
          <w:sz w:val="24"/>
          <w:highlight w:val="none"/>
          <w:lang w:eastAsia="zh-CN"/>
        </w:rPr>
        <w:t>沭阳</w:t>
      </w:r>
      <w:r>
        <w:rPr>
          <w:rFonts w:hint="eastAsia" w:ascii="Times New Roman" w:hAnsi="Times New Roman" w:eastAsia="宋体" w:cs="仿宋"/>
          <w:color w:val="auto"/>
          <w:sz w:val="24"/>
          <w:highlight w:val="none"/>
        </w:rPr>
        <w:t>县残疾人联合会自主或委托第三方实施，评价结果作为今后承接主体选择、预算安排及政策调整的重要依据。定点机构年度考核不合格的</w:t>
      </w:r>
      <w:r>
        <w:rPr>
          <w:rFonts w:hint="eastAsia" w:ascii="Times New Roman" w:hAnsi="Times New Roman" w:eastAsia="宋体" w:cs="仿宋"/>
          <w:color w:val="auto"/>
          <w:sz w:val="24"/>
          <w:highlight w:val="none"/>
          <w:lang w:eastAsia="zh-CN"/>
        </w:rPr>
        <w:t>，沭阳</w:t>
      </w:r>
      <w:r>
        <w:rPr>
          <w:rFonts w:hint="eastAsia" w:ascii="Times New Roman" w:hAnsi="Times New Roman" w:eastAsia="宋体" w:cs="仿宋"/>
          <w:color w:val="auto"/>
          <w:sz w:val="24"/>
          <w:highlight w:val="none"/>
        </w:rPr>
        <w:t>县残疾人联合会应给予康复机构黄牌警告，责成整改，下一年度考核再次不合格的，将被县残联列入履约失信供应商名录，拒绝其在3年内参与本单位组织的任何招标、采购活动，并妥善处理好该机构内受助儿童后续康复服务。</w:t>
      </w:r>
    </w:p>
    <w:p w14:paraId="12B9C4B9">
      <w:pPr>
        <w:keepNext w:val="0"/>
        <w:keepLines w:val="0"/>
        <w:pageBreakBefore w:val="0"/>
        <w:widowControl w:val="0"/>
        <w:spacing w:line="340" w:lineRule="exact"/>
        <w:ind w:firstLine="482"/>
        <w:rPr>
          <w:rFonts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附件1、省残联等六部门关于印发《江苏省残疾儿童基本康复服务管理暂行办法》的通知（苏残发〔2020〕23 号）</w:t>
      </w:r>
    </w:p>
    <w:p w14:paraId="7974554C">
      <w:pPr>
        <w:keepNext w:val="0"/>
        <w:keepLines w:val="0"/>
        <w:pageBreakBefore w:val="0"/>
        <w:widowControl w:val="0"/>
        <w:spacing w:line="340" w:lineRule="exact"/>
        <w:ind w:firstLine="482"/>
        <w:rPr>
          <w:rFonts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附件2、省残联等四部门关于印发《江苏省残疾儿童基本康复服务实施规范（2023版）》的通知（苏残规〔2023〕1 号）</w:t>
      </w:r>
    </w:p>
    <w:p w14:paraId="14D6A4AA">
      <w:pPr>
        <w:keepNext w:val="0"/>
        <w:keepLines w:val="0"/>
        <w:pageBreakBefore w:val="0"/>
        <w:widowControl w:val="0"/>
        <w:spacing w:line="340" w:lineRule="exact"/>
        <w:ind w:firstLine="482"/>
        <w:rPr>
          <w:rFonts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附件3、市残联等四部门关于印发《宿迁市残疾儿童基本康复服务实施规范(2024年版)》的通知（宿残联发〔2024〕11号）</w:t>
      </w:r>
    </w:p>
    <w:p w14:paraId="44B673FF">
      <w:pPr>
        <w:keepNext w:val="0"/>
        <w:keepLines w:val="0"/>
        <w:pageBreakBefore w:val="0"/>
        <w:widowControl w:val="0"/>
        <w:spacing w:line="340" w:lineRule="exact"/>
        <w:ind w:firstLine="482"/>
        <w:rPr>
          <w:rFonts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注：以上附件，供应商须遵照和执行（如果有新文件，按照最新文件执行）。</w:t>
      </w:r>
    </w:p>
    <w:p w14:paraId="00E70D2A">
      <w:pPr>
        <w:keepNext w:val="0"/>
        <w:keepLines w:val="0"/>
        <w:pageBreakBefore w:val="0"/>
        <w:widowControl w:val="0"/>
        <w:spacing w:line="380" w:lineRule="exact"/>
        <w:ind w:firstLine="482"/>
        <w:jc w:val="both"/>
        <w:rPr>
          <w:rFonts w:ascii="宋体" w:hAnsi="宋体" w:eastAsia="宋体" w:cs="宋体"/>
          <w:b/>
          <w:color w:val="auto"/>
          <w:sz w:val="24"/>
          <w:szCs w:val="24"/>
          <w:highlight w:val="none"/>
          <w:lang w:val="en-US" w:eastAsia="zh-CN" w:bidi="ar-SA"/>
        </w:rPr>
      </w:pPr>
      <w:r>
        <w:rPr>
          <w:rFonts w:hint="eastAsia" w:ascii="宋体" w:hAnsi="宋体" w:cs="宋体"/>
          <w:b/>
          <w:color w:val="auto"/>
          <w:sz w:val="24"/>
          <w:szCs w:val="24"/>
          <w:highlight w:val="none"/>
          <w:lang w:val="en-US" w:eastAsia="zh-CN" w:bidi="ar-SA"/>
        </w:rPr>
        <w:t>七</w:t>
      </w:r>
      <w:r>
        <w:rPr>
          <w:rFonts w:hint="eastAsia" w:ascii="宋体" w:hAnsi="宋体" w:eastAsia="宋体" w:cs="宋体"/>
          <w:b/>
          <w:color w:val="auto"/>
          <w:sz w:val="24"/>
          <w:szCs w:val="24"/>
          <w:highlight w:val="none"/>
          <w:lang w:val="en-US" w:eastAsia="zh-CN" w:bidi="ar-SA"/>
        </w:rPr>
        <w:t>、甲方权利与责任</w:t>
      </w:r>
    </w:p>
    <w:p w14:paraId="23B5BA4F">
      <w:pPr>
        <w:keepNext w:val="0"/>
        <w:keepLines w:val="0"/>
        <w:pageBreakBefore w:val="0"/>
        <w:widowControl w:val="0"/>
        <w:spacing w:line="380" w:lineRule="exact"/>
        <w:ind w:firstLine="480"/>
        <w:jc w:val="both"/>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有权依据合同约定的条款全程参与乙方管理，对乙方管理进行日常监督，视情况可以针对性地采取满意度调查等评价，有权对乙方未完全履行或部分履行合同规定的各种行为从服务费中扣除一定金额的费用。对处理后仍不能履行的，甲方有权解除合同。</w:t>
      </w:r>
    </w:p>
    <w:p w14:paraId="6D1E203B">
      <w:pPr>
        <w:keepNext w:val="0"/>
        <w:keepLines w:val="0"/>
        <w:pageBreakBefore w:val="0"/>
        <w:widowControl w:val="0"/>
        <w:spacing w:line="380" w:lineRule="exact"/>
        <w:ind w:firstLine="480"/>
        <w:jc w:val="both"/>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有权要求乙方在7天内调换员工（是指在家长满意率调查中，低于90%或同一人员被投诉三次及以上的）；为保持康复服务人员的稳定性，乙方辞退员工须提前征求甲方意见。甲方拥有对乙方的考核权（依据考核条例），乙方须根据甲方要求全面配合并以书面形式提交。</w:t>
      </w:r>
    </w:p>
    <w:p w14:paraId="2A3EA032">
      <w:pPr>
        <w:keepNext w:val="0"/>
        <w:keepLines w:val="0"/>
        <w:pageBreakBefore w:val="0"/>
        <w:widowControl w:val="0"/>
        <w:spacing w:line="380" w:lineRule="exact"/>
        <w:ind w:firstLine="480"/>
        <w:jc w:val="both"/>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3、甲方负责监督乙方关于本项目服务全过程相关工作，包含康复训练、康复医疗、辅助器具适配和其他支持性服务，以及乙方向残疾儿童及其家庭提供康复评估、康复咨询、康复指导和康复宣传服务。</w:t>
      </w:r>
    </w:p>
    <w:p w14:paraId="2AC1A8AA">
      <w:pPr>
        <w:keepNext w:val="0"/>
        <w:keepLines w:val="0"/>
        <w:pageBreakBefore w:val="0"/>
        <w:widowControl w:val="0"/>
        <w:spacing w:line="380" w:lineRule="exact"/>
        <w:ind w:firstLine="480"/>
        <w:jc w:val="both"/>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4、积极协调支持帮助乙方解决在管理期间遇到的困难和问题，协助乙方维护正常康复程序。</w:t>
      </w:r>
    </w:p>
    <w:p w14:paraId="574368CB">
      <w:pPr>
        <w:keepNext w:val="0"/>
        <w:keepLines w:val="0"/>
        <w:pageBreakBefore w:val="0"/>
        <w:widowControl w:val="0"/>
        <w:spacing w:line="380" w:lineRule="exact"/>
        <w:ind w:firstLine="482"/>
        <w:jc w:val="both"/>
        <w:rPr>
          <w:rFonts w:ascii="宋体" w:hAnsi="宋体" w:eastAsia="宋体" w:cs="宋体"/>
          <w:b/>
          <w:color w:val="auto"/>
          <w:sz w:val="24"/>
          <w:szCs w:val="24"/>
          <w:highlight w:val="none"/>
          <w:lang w:val="en-US" w:eastAsia="zh-CN" w:bidi="ar-SA"/>
        </w:rPr>
      </w:pPr>
      <w:r>
        <w:rPr>
          <w:rFonts w:hint="eastAsia" w:ascii="宋体" w:hAnsi="宋体" w:cs="宋体"/>
          <w:b/>
          <w:color w:val="auto"/>
          <w:sz w:val="24"/>
          <w:szCs w:val="24"/>
          <w:highlight w:val="none"/>
          <w:lang w:val="en-US" w:eastAsia="zh-CN" w:bidi="ar-SA"/>
        </w:rPr>
        <w:t>八</w:t>
      </w:r>
      <w:r>
        <w:rPr>
          <w:rFonts w:hint="eastAsia" w:ascii="宋体" w:hAnsi="宋体" w:eastAsia="宋体" w:cs="宋体"/>
          <w:b/>
          <w:color w:val="auto"/>
          <w:sz w:val="24"/>
          <w:szCs w:val="24"/>
          <w:highlight w:val="none"/>
          <w:lang w:val="en-US" w:eastAsia="zh-CN" w:bidi="ar-SA"/>
        </w:rPr>
        <w:t>、乙方权利与责任</w:t>
      </w:r>
    </w:p>
    <w:p w14:paraId="5F0B0C1C">
      <w:pPr>
        <w:keepNext w:val="0"/>
        <w:keepLines w:val="0"/>
        <w:pageBreakBefore w:val="0"/>
        <w:widowControl w:val="0"/>
        <w:spacing w:line="380" w:lineRule="exact"/>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乙方负责本项目服务整体日常运营管理等事务，原则上服从甲方事务安排；严格按照《江苏省残疾人基本康复服务目录》提供与年龄和残疾类别相适应的康复训练、康复医疗、辅助器具适配和支持性服务，并向残疾儿童及其家庭提供康复评估、康复咨询、康复指导和康复宣传服务。</w:t>
      </w:r>
    </w:p>
    <w:p w14:paraId="50E8738F">
      <w:pPr>
        <w:keepNext w:val="0"/>
        <w:keepLines w:val="0"/>
        <w:pageBreakBefore w:val="0"/>
        <w:widowControl w:val="0"/>
        <w:spacing w:line="380" w:lineRule="exact"/>
        <w:ind w:firstLine="480"/>
        <w:jc w:val="both"/>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保障残疾儿童在乙方场所接受康复服务期间的安全。</w:t>
      </w:r>
    </w:p>
    <w:p w14:paraId="104A3370">
      <w:pPr>
        <w:keepNext w:val="0"/>
        <w:keepLines w:val="0"/>
        <w:pageBreakBefore w:val="0"/>
        <w:widowControl w:val="0"/>
        <w:spacing w:line="380" w:lineRule="exact"/>
        <w:ind w:firstLine="480"/>
        <w:jc w:val="both"/>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2、建立服务质量管理体系，完善管理制度，健全操作流程及项目档案管理等事务。</w:t>
      </w:r>
    </w:p>
    <w:p w14:paraId="473CD9D2">
      <w:pPr>
        <w:keepNext w:val="0"/>
        <w:keepLines w:val="0"/>
        <w:pageBreakBefore w:val="0"/>
        <w:widowControl w:val="0"/>
        <w:spacing w:line="380" w:lineRule="exact"/>
        <w:ind w:firstLine="480"/>
        <w:jc w:val="both"/>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3、乙方服务所有人员应取得国家、行业规定的健康许可证明，健康体检费用由乙方支付，乙方负责派出工作人员职业素质、技能的培训，达到本项目定点机构人员配备上岗标准要求。</w:t>
      </w:r>
    </w:p>
    <w:p w14:paraId="0D420001">
      <w:pPr>
        <w:keepNext w:val="0"/>
        <w:keepLines w:val="0"/>
        <w:pageBreakBefore w:val="0"/>
        <w:widowControl w:val="0"/>
        <w:spacing w:line="380" w:lineRule="exact"/>
        <w:ind w:firstLine="480"/>
        <w:jc w:val="both"/>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4、严格执行安全生产责任制和康复服务操作程序，如发生安全生产事故 ，一切责任由乙方承担。如因人为失职、管理不善发生安全事故或信访（含各类上访、集访、群访等）社会稳定事件等，由此产生的经济、法律责任由乙方全面承担。</w:t>
      </w:r>
    </w:p>
    <w:p w14:paraId="4E693677">
      <w:pPr>
        <w:keepNext w:val="0"/>
        <w:keepLines w:val="0"/>
        <w:pageBreakBefore w:val="0"/>
        <w:widowControl w:val="0"/>
        <w:spacing w:line="380" w:lineRule="exact"/>
        <w:ind w:firstLine="480"/>
        <w:jc w:val="both"/>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5、合同期内，甲方若有项目关联的接待服务需要，乙方须全面响应并全力做好保障服务，确保满足甲方服务需求。</w:t>
      </w:r>
    </w:p>
    <w:p w14:paraId="102EF797">
      <w:pPr>
        <w:keepNext w:val="0"/>
        <w:keepLines w:val="0"/>
        <w:pageBreakBefore w:val="0"/>
        <w:widowControl w:val="0"/>
        <w:spacing w:line="380" w:lineRule="exact"/>
        <w:ind w:firstLine="480"/>
        <w:jc w:val="both"/>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6、乙方负责拟派管理团队所有人员食宿、工资福利、相关社保（含第三方责任险、意外伤害险等）、服装费、管理费、培训费、税费等与本项目运营团队人员管理（不限于下述（1）-（3）项，全面服从甲方本项目运营管理需求）相关的费用。</w:t>
      </w:r>
    </w:p>
    <w:p w14:paraId="2C30D99C">
      <w:pPr>
        <w:keepNext w:val="0"/>
        <w:keepLines w:val="0"/>
        <w:pageBreakBefore w:val="0"/>
        <w:widowControl w:val="0"/>
        <w:spacing w:line="380" w:lineRule="exact"/>
        <w:ind w:firstLine="480"/>
        <w:jc w:val="both"/>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（1）乙方须承诺按月发放人员工资，工资总额不得低于现行本地执行最低基础保障工资总额；</w:t>
      </w:r>
    </w:p>
    <w:p w14:paraId="3688698E">
      <w:pPr>
        <w:keepNext w:val="0"/>
        <w:keepLines w:val="0"/>
        <w:pageBreakBefore w:val="0"/>
        <w:widowControl w:val="0"/>
        <w:spacing w:line="380" w:lineRule="exact"/>
        <w:ind w:firstLine="480"/>
        <w:jc w:val="both"/>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（2）乙方须执行国家社保相关规定，且乙方自行全面承担本项目服务期限内可能产生的安全责任和劳动、经济纠纷等风险责任。</w:t>
      </w:r>
    </w:p>
    <w:p w14:paraId="5EC6E6FC">
      <w:pPr>
        <w:keepNext w:val="0"/>
        <w:keepLines w:val="0"/>
        <w:pageBreakBefore w:val="0"/>
        <w:widowControl w:val="0"/>
        <w:spacing w:line="380" w:lineRule="exact"/>
        <w:ind w:firstLine="480"/>
        <w:jc w:val="both"/>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（3）乙方根据季节实际，发放员工服装。</w:t>
      </w:r>
    </w:p>
    <w:p w14:paraId="4786FEE0">
      <w:pPr>
        <w:keepNext w:val="0"/>
        <w:keepLines w:val="0"/>
        <w:pageBreakBefore w:val="0"/>
        <w:widowControl w:val="0"/>
        <w:spacing w:line="380" w:lineRule="exact"/>
        <w:ind w:firstLine="480"/>
        <w:jc w:val="both"/>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7、在合同期满后，乙方全面配合做好项目衔接移交事务。合同到期，如乙方未能签约次年的项目服务合同，乙方应做好项目服务对象延续服务关联的信息档案交接工作，并妥善处理好未尽事项，保证项目服务管理工作的正常运转和顺利交接。</w:t>
      </w:r>
    </w:p>
    <w:p w14:paraId="56B9EFE8">
      <w:pPr>
        <w:keepNext w:val="0"/>
        <w:keepLines w:val="0"/>
        <w:pageBreakBefore w:val="0"/>
        <w:widowControl w:val="0"/>
        <w:spacing w:line="380" w:lineRule="exact"/>
        <w:ind w:firstLine="482"/>
        <w:jc w:val="both"/>
        <w:rPr>
          <w:rFonts w:ascii="宋体" w:hAnsi="宋体" w:eastAsia="宋体" w:cs="宋体"/>
          <w:b/>
          <w:color w:val="auto"/>
          <w:sz w:val="24"/>
          <w:szCs w:val="24"/>
          <w:highlight w:val="none"/>
          <w:lang w:val="en-US" w:eastAsia="zh-CN" w:bidi="ar-SA"/>
        </w:rPr>
      </w:pPr>
      <w:r>
        <w:rPr>
          <w:rFonts w:hint="eastAsia" w:ascii="宋体" w:hAnsi="宋体" w:cs="宋体"/>
          <w:b/>
          <w:color w:val="auto"/>
          <w:sz w:val="24"/>
          <w:szCs w:val="24"/>
          <w:highlight w:val="none"/>
          <w:lang w:val="en-US" w:eastAsia="zh-CN" w:bidi="ar-SA"/>
        </w:rPr>
        <w:t>九</w:t>
      </w:r>
      <w:r>
        <w:rPr>
          <w:rFonts w:hint="eastAsia" w:ascii="宋体" w:hAnsi="宋体" w:eastAsia="宋体" w:cs="宋体"/>
          <w:b/>
          <w:color w:val="auto"/>
          <w:sz w:val="24"/>
          <w:szCs w:val="24"/>
          <w:highlight w:val="none"/>
          <w:lang w:val="en-US" w:eastAsia="zh-CN" w:bidi="ar-SA"/>
        </w:rPr>
        <w:t>、考核</w:t>
      </w:r>
    </w:p>
    <w:p w14:paraId="321521D9">
      <w:pPr>
        <w:keepNext w:val="0"/>
        <w:keepLines w:val="0"/>
        <w:pageBreakBefore w:val="0"/>
        <w:widowControl w:val="0"/>
        <w:spacing w:line="380" w:lineRule="exact"/>
        <w:ind w:firstLine="480"/>
        <w:jc w:val="both"/>
        <w:rPr>
          <w:rFonts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按照相关文件及本合同规定，</w:t>
      </w:r>
      <w:r>
        <w:rPr>
          <w:rFonts w:hint="eastAsia" w:ascii="宋体" w:hAnsi="宋体" w:eastAsia="宋体" w:cs="宋体"/>
          <w:color w:val="auto"/>
          <w:sz w:val="24"/>
          <w:szCs w:val="24"/>
          <w:highlight w:val="none"/>
          <w:lang w:val="en-US" w:eastAsia="zh-CN" w:bidi="ar-SA"/>
        </w:rPr>
        <w:t>乙方须全面服从并积极配合考核工作。</w:t>
      </w:r>
    </w:p>
    <w:p w14:paraId="4C4C1F7E">
      <w:pPr>
        <w:keepNext w:val="0"/>
        <w:keepLines w:val="0"/>
        <w:pageBreakBefore w:val="0"/>
        <w:widowControl w:val="0"/>
        <w:spacing w:line="380" w:lineRule="exact"/>
        <w:ind w:firstLine="482"/>
        <w:jc w:val="both"/>
        <w:rPr>
          <w:rFonts w:ascii="宋体" w:hAnsi="宋体" w:eastAsia="宋体" w:cs="宋体"/>
          <w:b/>
          <w:color w:val="auto"/>
          <w:sz w:val="24"/>
          <w:szCs w:val="24"/>
          <w:highlight w:val="none"/>
          <w:lang w:val="en-US" w:eastAsia="zh-CN" w:bidi="ar-SA"/>
        </w:rPr>
      </w:pPr>
      <w:r>
        <w:rPr>
          <w:rFonts w:hint="eastAsia" w:ascii="宋体" w:hAnsi="宋体" w:cs="宋体"/>
          <w:b/>
          <w:color w:val="auto"/>
          <w:sz w:val="24"/>
          <w:szCs w:val="24"/>
          <w:highlight w:val="none"/>
          <w:lang w:val="en-US" w:eastAsia="zh-CN" w:bidi="ar-SA"/>
        </w:rPr>
        <w:t>十</w:t>
      </w:r>
      <w:r>
        <w:rPr>
          <w:rFonts w:hint="eastAsia" w:ascii="宋体" w:hAnsi="宋体" w:eastAsia="宋体" w:cs="宋体"/>
          <w:b/>
          <w:color w:val="auto"/>
          <w:sz w:val="24"/>
          <w:szCs w:val="24"/>
          <w:highlight w:val="none"/>
          <w:lang w:val="en-US" w:eastAsia="zh-CN" w:bidi="ar-SA"/>
        </w:rPr>
        <w:t>、</w:t>
      </w:r>
      <w:r>
        <w:rPr>
          <w:rFonts w:hint="eastAsia" w:ascii="宋体" w:hAnsi="宋体" w:cs="宋体"/>
          <w:b/>
          <w:color w:val="auto"/>
          <w:sz w:val="24"/>
          <w:szCs w:val="24"/>
          <w:highlight w:val="none"/>
          <w:lang w:val="en-US" w:eastAsia="zh-CN" w:bidi="ar-SA"/>
        </w:rPr>
        <w:t>费用支付方式</w:t>
      </w:r>
      <w:r>
        <w:rPr>
          <w:rFonts w:hint="eastAsia" w:ascii="宋体" w:hAnsi="宋体" w:eastAsia="宋体" w:cs="宋体"/>
          <w:b/>
          <w:color w:val="auto"/>
          <w:sz w:val="24"/>
          <w:szCs w:val="24"/>
          <w:highlight w:val="none"/>
          <w:lang w:val="en-US" w:eastAsia="zh-CN" w:bidi="ar-SA"/>
        </w:rPr>
        <w:t>：</w:t>
      </w:r>
    </w:p>
    <w:p w14:paraId="606D76EA">
      <w:pPr>
        <w:spacing w:line="360" w:lineRule="exact"/>
        <w:ind w:firstLine="482"/>
        <w:rPr>
          <w:rFonts w:hint="eastAsia" w:ascii="Times New Roman" w:hAnsi="Times New Roman" w:eastAsia="宋体" w:cs="仿宋"/>
          <w:color w:val="auto"/>
          <w:sz w:val="24"/>
          <w:highlight w:val="none"/>
        </w:rPr>
      </w:pPr>
      <w:r>
        <w:rPr>
          <w:rFonts w:hint="eastAsia" w:ascii="Times New Roman" w:hAnsi="Times New Roman" w:cs="仿宋"/>
          <w:color w:val="auto"/>
          <w:sz w:val="24"/>
          <w:highlight w:val="none"/>
          <w:lang w:val="en-US" w:eastAsia="zh-CN"/>
        </w:rPr>
        <w:t>1、</w:t>
      </w:r>
      <w:r>
        <w:rPr>
          <w:rFonts w:hint="eastAsia" w:ascii="Times New Roman" w:hAnsi="Times New Roman" w:eastAsia="宋体" w:cs="仿宋"/>
          <w:color w:val="auto"/>
          <w:sz w:val="24"/>
          <w:highlight w:val="none"/>
        </w:rPr>
        <w:t>结算：</w:t>
      </w:r>
    </w:p>
    <w:p w14:paraId="030F1C86">
      <w:pPr>
        <w:spacing w:line="360" w:lineRule="exact"/>
        <w:ind w:firstLine="482"/>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孤独症康复服务结算价=1.8万元/人/年*实际提供康复服务时间（实际提供康复服务月（日））；注：前述月（日）须折算成对应的固定单价中的</w:t>
      </w:r>
      <w:r>
        <w:rPr>
          <w:rFonts w:hint="eastAsia" w:ascii="Times New Roman" w:hAnsi="Times New Roman" w:cs="仿宋"/>
          <w:color w:val="auto"/>
          <w:sz w:val="24"/>
          <w:highlight w:val="none"/>
          <w:lang w:val="en-US" w:eastAsia="zh-CN"/>
        </w:rPr>
        <w:t>月</w:t>
      </w:r>
      <w:r>
        <w:rPr>
          <w:rFonts w:hint="eastAsia" w:ascii="Times New Roman" w:hAnsi="Times New Roman" w:eastAsia="宋体" w:cs="仿宋"/>
          <w:color w:val="auto"/>
          <w:sz w:val="24"/>
          <w:highlight w:val="none"/>
        </w:rPr>
        <w:t>，此处1年按满额服务9个月计。</w:t>
      </w:r>
    </w:p>
    <w:p w14:paraId="0F6A4994">
      <w:pPr>
        <w:spacing w:line="360" w:lineRule="exact"/>
        <w:ind w:firstLine="482"/>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注：非全日制残疾儿童康复救助经费标准按照康复类别全日制救助标准的90%，结算年度康复救助经费。本项目以实际发生的服务进行结算。</w:t>
      </w:r>
    </w:p>
    <w:p w14:paraId="3D02C3D0">
      <w:pPr>
        <w:spacing w:line="360" w:lineRule="exact"/>
        <w:ind w:firstLine="482"/>
        <w:rPr>
          <w:rFonts w:hint="default" w:ascii="Times New Roman" w:hAnsi="Times New Roman" w:eastAsia="宋体" w:cs="仿宋"/>
          <w:color w:val="auto"/>
          <w:sz w:val="24"/>
          <w:highlight w:val="none"/>
          <w:lang w:val="en-US" w:eastAsia="zh-CN"/>
        </w:rPr>
      </w:pPr>
      <w:r>
        <w:rPr>
          <w:rFonts w:hint="eastAsia" w:ascii="Times New Roman" w:hAnsi="Times New Roman" w:cs="仿宋"/>
          <w:color w:val="auto"/>
          <w:sz w:val="24"/>
          <w:highlight w:val="none"/>
          <w:lang w:val="en-US" w:eastAsia="zh-CN"/>
        </w:rPr>
        <w:t>2、付款方式：</w:t>
      </w:r>
    </w:p>
    <w:p w14:paraId="028B6CA6">
      <w:pPr>
        <w:spacing w:line="360" w:lineRule="exact"/>
        <w:ind w:firstLine="482"/>
        <w:rPr>
          <w:rFonts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预付款：</w:t>
      </w:r>
      <w:r>
        <w:rPr>
          <w:rFonts w:hint="eastAsia" w:ascii="Times New Roman" w:hAnsi="Times New Roman" w:eastAsia="宋体" w:cs="仿宋"/>
          <w:color w:val="auto"/>
          <w:sz w:val="24"/>
          <w:highlight w:val="none"/>
          <w:lang w:val="en-US" w:eastAsia="zh-CN"/>
        </w:rPr>
        <w:t>合同签订且收到供应商发票后15个工作日内预付合同总价款的10%</w:t>
      </w:r>
      <w:r>
        <w:rPr>
          <w:rFonts w:hint="eastAsia" w:ascii="Times New Roman" w:hAnsi="Times New Roman" w:eastAsia="宋体" w:cs="仿宋"/>
          <w:color w:val="auto"/>
          <w:sz w:val="24"/>
          <w:highlight w:val="none"/>
        </w:rPr>
        <w:t xml:space="preserve">； </w:t>
      </w:r>
    </w:p>
    <w:p w14:paraId="52197449">
      <w:pPr>
        <w:spacing w:line="360" w:lineRule="exact"/>
        <w:ind w:firstLine="482"/>
        <w:rPr>
          <w:rFonts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进度款：根据季度考核结果进行预拨付，每季度一次。前三个季度按照季度考核结果且自收到供应商发票后1</w:t>
      </w:r>
      <w:r>
        <w:rPr>
          <w:rFonts w:hint="eastAsia" w:ascii="Times New Roman" w:hAnsi="Times New Roman" w:eastAsia="宋体" w:cs="仿宋"/>
          <w:color w:val="auto"/>
          <w:sz w:val="24"/>
          <w:highlight w:val="none"/>
          <w:lang w:val="en-US" w:eastAsia="zh-CN"/>
        </w:rPr>
        <w:t>5</w:t>
      </w:r>
      <w:r>
        <w:rPr>
          <w:rFonts w:hint="eastAsia" w:ascii="Times New Roman" w:hAnsi="Times New Roman" w:eastAsia="宋体" w:cs="仿宋"/>
          <w:color w:val="auto"/>
          <w:sz w:val="24"/>
          <w:highlight w:val="none"/>
        </w:rPr>
        <w:t>个工作日内进行预拨付服务费用。年度考核由县残联会同第三方审计机构对中标机构儿童康复服务情况进行真实性审查和绩效评估，并根据各中标机构实际发生的费用及考核结果结算剩余资金。对考核不达标的，扣减救助资金，并限期整改。</w:t>
      </w:r>
    </w:p>
    <w:p w14:paraId="717EF221">
      <w:pPr>
        <w:spacing w:line="360" w:lineRule="exact"/>
        <w:ind w:firstLine="482"/>
        <w:rPr>
          <w:rFonts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（注：在签订合同时，中标人明确表示无需预付款或者主动要求降低预付款比例的金额，采购人可不适用预付款规定。）</w:t>
      </w:r>
    </w:p>
    <w:p w14:paraId="4E899C33">
      <w:pPr>
        <w:keepNext w:val="0"/>
        <w:keepLines w:val="0"/>
        <w:pageBreakBefore w:val="0"/>
        <w:widowControl w:val="0"/>
        <w:spacing w:line="380" w:lineRule="exact"/>
        <w:ind w:firstLine="470"/>
        <w:jc w:val="both"/>
        <w:rPr>
          <w:rFonts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十</w:t>
      </w:r>
      <w:r>
        <w:rPr>
          <w:rFonts w:hint="eastAsia" w:ascii="宋体" w:hAnsi="宋体" w:cs="宋体"/>
          <w:b/>
          <w:color w:val="auto"/>
          <w:sz w:val="24"/>
          <w:szCs w:val="24"/>
          <w:highlight w:val="none"/>
          <w:lang w:val="en-US" w:eastAsia="zh-CN" w:bidi="ar-SA"/>
        </w:rPr>
        <w:t>一</w:t>
      </w:r>
      <w:r>
        <w:rPr>
          <w:rFonts w:hint="eastAsia" w:ascii="宋体" w:hAnsi="宋体" w:eastAsia="宋体" w:cs="宋体"/>
          <w:b/>
          <w:color w:val="auto"/>
          <w:sz w:val="24"/>
          <w:szCs w:val="24"/>
          <w:highlight w:val="none"/>
          <w:lang w:val="en-US" w:eastAsia="zh-CN" w:bidi="ar-SA"/>
        </w:rPr>
        <w:t>、履约保证金</w:t>
      </w:r>
    </w:p>
    <w:p w14:paraId="2844A205">
      <w:pPr>
        <w:keepNext w:val="0"/>
        <w:keepLines w:val="0"/>
        <w:pageBreakBefore w:val="0"/>
        <w:widowControl w:val="0"/>
        <w:spacing w:line="380" w:lineRule="exact"/>
        <w:ind w:firstLine="480"/>
        <w:rPr>
          <w:rFonts w:eastAsia="宋体" w:cs="Times New Roman"/>
          <w:bCs/>
          <w:color w:val="auto"/>
          <w:sz w:val="24"/>
          <w:highlight w:val="none"/>
        </w:rPr>
      </w:pPr>
      <w:r>
        <w:rPr>
          <w:rFonts w:hint="eastAsia" w:eastAsia="宋体" w:cs="Times New Roman"/>
          <w:bCs/>
          <w:color w:val="auto"/>
          <w:sz w:val="24"/>
          <w:highlight w:val="none"/>
          <w:lang w:val="zh-CN"/>
        </w:rPr>
        <w:t>本项目不</w:t>
      </w:r>
      <w:r>
        <w:rPr>
          <w:rFonts w:hint="eastAsia" w:eastAsia="宋体" w:cs="Times New Roman"/>
          <w:bCs/>
          <w:color w:val="auto"/>
          <w:sz w:val="24"/>
          <w:highlight w:val="none"/>
          <w:lang w:val="en-US" w:eastAsia="zh-CN"/>
        </w:rPr>
        <w:t>收取</w:t>
      </w:r>
      <w:r>
        <w:rPr>
          <w:rFonts w:hint="eastAsia" w:eastAsia="宋体" w:cs="Times New Roman"/>
          <w:bCs/>
          <w:color w:val="auto"/>
          <w:sz w:val="24"/>
          <w:highlight w:val="none"/>
          <w:lang w:val="zh-CN"/>
        </w:rPr>
        <w:t>履约保证金。</w:t>
      </w:r>
    </w:p>
    <w:p w14:paraId="16469BC2">
      <w:pPr>
        <w:keepNext w:val="0"/>
        <w:keepLines w:val="0"/>
        <w:pageBreakBefore w:val="0"/>
        <w:widowControl w:val="0"/>
        <w:spacing w:line="380" w:lineRule="exact"/>
        <w:ind w:firstLine="482"/>
        <w:jc w:val="both"/>
        <w:rPr>
          <w:rFonts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十</w:t>
      </w:r>
      <w:r>
        <w:rPr>
          <w:rFonts w:hint="eastAsia" w:ascii="宋体" w:hAnsi="宋体" w:cs="宋体"/>
          <w:b/>
          <w:color w:val="auto"/>
          <w:sz w:val="24"/>
          <w:szCs w:val="24"/>
          <w:highlight w:val="none"/>
          <w:lang w:val="en-US" w:eastAsia="zh-CN" w:bidi="ar-SA"/>
        </w:rPr>
        <w:t>二</w:t>
      </w:r>
      <w:r>
        <w:rPr>
          <w:rFonts w:hint="eastAsia" w:ascii="宋体" w:hAnsi="宋体" w:eastAsia="宋体" w:cs="宋体"/>
          <w:b/>
          <w:color w:val="auto"/>
          <w:sz w:val="24"/>
          <w:szCs w:val="24"/>
          <w:highlight w:val="none"/>
          <w:lang w:val="en-US" w:eastAsia="zh-CN" w:bidi="ar-SA"/>
        </w:rPr>
        <w:t>、违约责任</w:t>
      </w:r>
    </w:p>
    <w:p w14:paraId="55D4865E">
      <w:pPr>
        <w:keepNext w:val="0"/>
        <w:keepLines w:val="0"/>
        <w:pageBreakBefore w:val="0"/>
        <w:widowControl w:val="0"/>
        <w:spacing w:line="380" w:lineRule="exact"/>
        <w:ind w:firstLine="480"/>
        <w:jc w:val="both"/>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1、合同履行过程中，如乙方擅自终止合同，乙方须向甲方支付违约金5万元整。</w:t>
      </w:r>
    </w:p>
    <w:p w14:paraId="04A06D8A">
      <w:pPr>
        <w:keepNext w:val="0"/>
        <w:keepLines w:val="0"/>
        <w:pageBreakBefore w:val="0"/>
        <w:widowControl w:val="0"/>
        <w:spacing w:line="380" w:lineRule="exact"/>
        <w:ind w:firstLine="480"/>
        <w:jc w:val="both"/>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2、乙方不按期完成合同约定的内容，应向甲方支付违约金，除甲方或不可抗力造成原因外，每延迟交付一天，按合同总价款的1%支付违约金；延期超过3日，甲方有权强制解除合同。</w:t>
      </w:r>
    </w:p>
    <w:p w14:paraId="54114830">
      <w:pPr>
        <w:keepNext w:val="0"/>
        <w:keepLines w:val="0"/>
        <w:pageBreakBefore w:val="0"/>
        <w:widowControl w:val="0"/>
        <w:spacing w:line="380" w:lineRule="exact"/>
        <w:ind w:firstLine="480"/>
        <w:jc w:val="both"/>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3、非因甲方原因，乙方不履行本合同规定的义务，导致产生较大社会负面影响，甲方有权要求其强制履行或解除合同，并要求乙方等额赔偿由此造成的一切损失。</w:t>
      </w:r>
    </w:p>
    <w:p w14:paraId="1E204AA7">
      <w:pPr>
        <w:keepNext w:val="0"/>
        <w:keepLines w:val="0"/>
        <w:pageBreakBefore w:val="0"/>
        <w:widowControl w:val="0"/>
        <w:spacing w:line="380" w:lineRule="exact"/>
        <w:ind w:firstLine="480"/>
        <w:jc w:val="both"/>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4、本项目不得转让分包，如有发生，无条件取消定点机构资格，已产生的康复服务费用不予支付，所造成的一切损失由乙方负责。</w:t>
      </w:r>
    </w:p>
    <w:p w14:paraId="4B35F3AB">
      <w:pPr>
        <w:keepNext w:val="0"/>
        <w:keepLines w:val="0"/>
        <w:pageBreakBefore w:val="0"/>
        <w:widowControl w:val="0"/>
        <w:spacing w:line="380" w:lineRule="exact"/>
        <w:ind w:firstLine="482"/>
        <w:jc w:val="both"/>
        <w:rPr>
          <w:rFonts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十</w:t>
      </w:r>
      <w:r>
        <w:rPr>
          <w:rFonts w:hint="eastAsia" w:ascii="宋体" w:hAnsi="宋体" w:cs="宋体"/>
          <w:b/>
          <w:color w:val="auto"/>
          <w:sz w:val="24"/>
          <w:szCs w:val="24"/>
          <w:highlight w:val="none"/>
          <w:lang w:val="en-US" w:eastAsia="zh-CN" w:bidi="ar-SA"/>
        </w:rPr>
        <w:t>三</w:t>
      </w:r>
      <w:r>
        <w:rPr>
          <w:rFonts w:hint="eastAsia" w:ascii="宋体" w:hAnsi="宋体" w:eastAsia="宋体" w:cs="宋体"/>
          <w:b/>
          <w:color w:val="auto"/>
          <w:sz w:val="24"/>
          <w:szCs w:val="24"/>
          <w:highlight w:val="none"/>
          <w:lang w:val="en-US" w:eastAsia="zh-CN" w:bidi="ar-SA"/>
        </w:rPr>
        <w:t>、合同生效及审核</w:t>
      </w:r>
    </w:p>
    <w:p w14:paraId="69454D29">
      <w:pPr>
        <w:keepNext w:val="0"/>
        <w:keepLines w:val="0"/>
        <w:pageBreakBefore w:val="0"/>
        <w:widowControl w:val="0"/>
        <w:spacing w:line="380" w:lineRule="exact"/>
        <w:ind w:firstLine="480"/>
        <w:jc w:val="both"/>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本合同经甲方、乙方签字盖章后生效，合同签订的内容不能超出招标文件和投标文件的实质性内容。</w:t>
      </w:r>
    </w:p>
    <w:p w14:paraId="1190D5A6">
      <w:pPr>
        <w:keepNext w:val="0"/>
        <w:keepLines w:val="0"/>
        <w:pageBreakBefore w:val="0"/>
        <w:widowControl w:val="0"/>
        <w:spacing w:line="380" w:lineRule="exact"/>
        <w:ind w:firstLine="482"/>
        <w:jc w:val="both"/>
        <w:rPr>
          <w:rFonts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十</w:t>
      </w:r>
      <w:r>
        <w:rPr>
          <w:rFonts w:hint="eastAsia" w:ascii="宋体" w:hAnsi="宋体" w:cs="宋体"/>
          <w:b/>
          <w:color w:val="auto"/>
          <w:sz w:val="24"/>
          <w:szCs w:val="24"/>
          <w:highlight w:val="none"/>
          <w:lang w:val="en-US" w:eastAsia="zh-CN" w:bidi="ar-SA"/>
        </w:rPr>
        <w:t>四</w:t>
      </w:r>
      <w:r>
        <w:rPr>
          <w:rFonts w:hint="eastAsia" w:ascii="宋体" w:hAnsi="宋体" w:eastAsia="宋体" w:cs="宋体"/>
          <w:b/>
          <w:color w:val="auto"/>
          <w:sz w:val="24"/>
          <w:szCs w:val="24"/>
          <w:highlight w:val="none"/>
          <w:lang w:val="en-US" w:eastAsia="zh-CN" w:bidi="ar-SA"/>
        </w:rPr>
        <w:t>、合同的组成部分</w:t>
      </w:r>
    </w:p>
    <w:p w14:paraId="39422D30">
      <w:pPr>
        <w:keepNext w:val="0"/>
        <w:keepLines w:val="0"/>
        <w:pageBreakBefore w:val="0"/>
        <w:widowControl w:val="0"/>
        <w:spacing w:line="380" w:lineRule="exact"/>
        <w:ind w:firstLine="480"/>
        <w:jc w:val="both"/>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本合同条款、中标通知书、招标文件、投标文件及</w:t>
      </w:r>
      <w:r>
        <w:rPr>
          <w:rFonts w:hint="eastAsia" w:ascii="宋体" w:hAnsi="宋体" w:cs="宋体"/>
          <w:color w:val="auto"/>
          <w:sz w:val="24"/>
          <w:szCs w:val="24"/>
          <w:highlight w:val="none"/>
          <w:lang w:val="en-US" w:eastAsia="zh-CN" w:bidi="ar-SA"/>
        </w:rPr>
        <w:t>乙方</w:t>
      </w:r>
      <w:r>
        <w:rPr>
          <w:rFonts w:hint="eastAsia" w:ascii="宋体" w:hAnsi="宋体" w:eastAsia="宋体" w:cs="宋体"/>
          <w:color w:val="auto"/>
          <w:sz w:val="24"/>
          <w:szCs w:val="24"/>
          <w:highlight w:val="none"/>
          <w:lang w:val="en-US" w:eastAsia="zh-CN" w:bidi="ar-SA"/>
        </w:rPr>
        <w:t>在招标时的书面承诺等构成合同的组成部分。</w:t>
      </w:r>
    </w:p>
    <w:p w14:paraId="766F815D">
      <w:pPr>
        <w:keepNext w:val="0"/>
        <w:keepLines w:val="0"/>
        <w:pageBreakBefore w:val="0"/>
        <w:widowControl w:val="0"/>
        <w:spacing w:line="380" w:lineRule="exact"/>
        <w:ind w:firstLine="482"/>
        <w:jc w:val="both"/>
        <w:rPr>
          <w:rFonts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十</w:t>
      </w:r>
      <w:r>
        <w:rPr>
          <w:rFonts w:hint="eastAsia" w:ascii="宋体" w:hAnsi="宋体" w:cs="宋体"/>
          <w:b/>
          <w:color w:val="auto"/>
          <w:sz w:val="24"/>
          <w:szCs w:val="24"/>
          <w:highlight w:val="none"/>
          <w:lang w:val="en-US" w:eastAsia="zh-CN" w:bidi="ar-SA"/>
        </w:rPr>
        <w:t>五</w:t>
      </w:r>
      <w:r>
        <w:rPr>
          <w:rFonts w:hint="eastAsia" w:ascii="宋体" w:hAnsi="宋体" w:eastAsia="宋体" w:cs="宋体"/>
          <w:b/>
          <w:color w:val="auto"/>
          <w:sz w:val="24"/>
          <w:szCs w:val="24"/>
          <w:highlight w:val="none"/>
          <w:lang w:val="en-US" w:eastAsia="zh-CN" w:bidi="ar-SA"/>
        </w:rPr>
        <w:t>、合同份数</w:t>
      </w:r>
    </w:p>
    <w:p w14:paraId="12F9E7E7">
      <w:pPr>
        <w:keepNext w:val="0"/>
        <w:keepLines w:val="0"/>
        <w:pageBreakBefore w:val="0"/>
        <w:widowControl w:val="0"/>
        <w:spacing w:line="380" w:lineRule="exact"/>
        <w:ind w:firstLine="480"/>
        <w:jc w:val="both"/>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本合同一式陆份，以中文书写，甲方、乙方各执叁份。</w:t>
      </w:r>
    </w:p>
    <w:p w14:paraId="4AA1E632">
      <w:pPr>
        <w:keepNext w:val="0"/>
        <w:keepLines w:val="0"/>
        <w:pageBreakBefore w:val="0"/>
        <w:widowControl w:val="0"/>
        <w:spacing w:line="380" w:lineRule="exact"/>
        <w:ind w:firstLine="482"/>
        <w:jc w:val="both"/>
        <w:rPr>
          <w:rFonts w:hint="default"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十</w:t>
      </w:r>
      <w:r>
        <w:rPr>
          <w:rFonts w:hint="eastAsia" w:ascii="宋体" w:hAnsi="宋体" w:cs="宋体"/>
          <w:b/>
          <w:color w:val="auto"/>
          <w:sz w:val="24"/>
          <w:szCs w:val="24"/>
          <w:highlight w:val="none"/>
          <w:lang w:val="en-US" w:eastAsia="zh-CN" w:bidi="ar-SA"/>
        </w:rPr>
        <w:t>六</w:t>
      </w:r>
      <w:r>
        <w:rPr>
          <w:rFonts w:hint="eastAsia" w:ascii="宋体" w:hAnsi="宋体" w:eastAsia="宋体" w:cs="宋体"/>
          <w:b/>
          <w:color w:val="auto"/>
          <w:sz w:val="24"/>
          <w:szCs w:val="24"/>
          <w:highlight w:val="none"/>
          <w:lang w:val="en-US" w:eastAsia="zh-CN" w:bidi="ar-SA"/>
        </w:rPr>
        <w:t>、</w:t>
      </w:r>
      <w:r>
        <w:rPr>
          <w:rFonts w:hint="eastAsia" w:ascii="宋体" w:hAnsi="宋体" w:cs="宋体"/>
          <w:b/>
          <w:color w:val="auto"/>
          <w:sz w:val="24"/>
          <w:szCs w:val="24"/>
          <w:highlight w:val="none"/>
          <w:lang w:val="en-US" w:eastAsia="zh-CN" w:bidi="ar-SA"/>
        </w:rPr>
        <w:t>如遇政策调整，按新文件执行，相关事宜协商解决。</w:t>
      </w:r>
    </w:p>
    <w:p w14:paraId="3B1407FD">
      <w:pPr>
        <w:keepNext w:val="0"/>
        <w:keepLines w:val="0"/>
        <w:pageBreakBefore w:val="0"/>
        <w:widowControl w:val="0"/>
        <w:spacing w:line="380" w:lineRule="exact"/>
        <w:ind w:firstLine="482"/>
        <w:jc w:val="both"/>
        <w:rPr>
          <w:rFonts w:ascii="宋体" w:hAnsi="宋体" w:eastAsia="宋体" w:cs="宋体"/>
          <w:b/>
          <w:color w:val="auto"/>
          <w:sz w:val="24"/>
          <w:szCs w:val="24"/>
          <w:highlight w:val="none"/>
          <w:lang w:val="en-US" w:eastAsia="zh-CN" w:bidi="ar-SA"/>
        </w:rPr>
      </w:pPr>
      <w:r>
        <w:rPr>
          <w:rFonts w:hint="eastAsia" w:ascii="宋体" w:hAnsi="宋体" w:cs="宋体"/>
          <w:b/>
          <w:color w:val="auto"/>
          <w:sz w:val="24"/>
          <w:szCs w:val="24"/>
          <w:highlight w:val="none"/>
          <w:lang w:val="en-US" w:eastAsia="zh-CN" w:bidi="ar-SA"/>
        </w:rPr>
        <w:t>十七、</w:t>
      </w:r>
      <w:r>
        <w:rPr>
          <w:rFonts w:hint="eastAsia" w:ascii="宋体" w:hAnsi="宋体" w:eastAsia="宋体" w:cs="宋体"/>
          <w:b/>
          <w:color w:val="auto"/>
          <w:sz w:val="24"/>
          <w:szCs w:val="24"/>
          <w:highlight w:val="none"/>
          <w:lang w:val="en-US" w:eastAsia="zh-CN" w:bidi="ar-SA"/>
        </w:rPr>
        <w:t>本合同一切未尽事宜，按《中华人民共和国民法典（合同编）》有关规定执行，无相关规定的，由甲乙双方协商解决。</w:t>
      </w:r>
    </w:p>
    <w:p w14:paraId="65E82168">
      <w:pPr>
        <w:keepNext w:val="0"/>
        <w:keepLines w:val="0"/>
        <w:pageBreakBefore w:val="0"/>
        <w:widowControl w:val="0"/>
        <w:spacing w:line="380" w:lineRule="exact"/>
        <w:ind w:firstLine="482"/>
        <w:jc w:val="both"/>
        <w:rPr>
          <w:rFonts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十</w:t>
      </w:r>
      <w:r>
        <w:rPr>
          <w:rFonts w:hint="eastAsia" w:ascii="宋体" w:hAnsi="宋体" w:cs="宋体"/>
          <w:b/>
          <w:color w:val="auto"/>
          <w:sz w:val="24"/>
          <w:szCs w:val="24"/>
          <w:highlight w:val="none"/>
          <w:lang w:val="en-US" w:eastAsia="zh-CN" w:bidi="ar-SA"/>
        </w:rPr>
        <w:t>八</w:t>
      </w:r>
      <w:r>
        <w:rPr>
          <w:rFonts w:hint="eastAsia" w:ascii="宋体" w:hAnsi="宋体" w:eastAsia="宋体" w:cs="宋体"/>
          <w:b/>
          <w:color w:val="auto"/>
          <w:sz w:val="24"/>
          <w:szCs w:val="24"/>
          <w:highlight w:val="none"/>
          <w:lang w:val="en-US" w:eastAsia="zh-CN" w:bidi="ar-SA"/>
        </w:rPr>
        <w:t>、误期赔偿</w:t>
      </w:r>
    </w:p>
    <w:p w14:paraId="12B76515">
      <w:pPr>
        <w:keepNext w:val="0"/>
        <w:keepLines w:val="0"/>
        <w:pageBreakBefore w:val="0"/>
        <w:widowControl w:val="0"/>
        <w:spacing w:line="380" w:lineRule="exact"/>
        <w:ind w:firstLine="480"/>
        <w:jc w:val="both"/>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除合同规定外，如果乙方没有按照合同规定的时间提供服务，甲方将按比例选择合同款中扣除误期赔偿费，一旦乙方应承担的误期赔偿费用达到合同价的5%以上时，甲方有权终止合同。</w:t>
      </w:r>
    </w:p>
    <w:p w14:paraId="7AD6B6EE">
      <w:pPr>
        <w:keepNext w:val="0"/>
        <w:keepLines w:val="0"/>
        <w:pageBreakBefore w:val="0"/>
        <w:widowControl w:val="0"/>
        <w:spacing w:line="380" w:lineRule="exact"/>
        <w:ind w:firstLine="482"/>
        <w:jc w:val="both"/>
        <w:rPr>
          <w:rFonts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十</w:t>
      </w:r>
      <w:r>
        <w:rPr>
          <w:rFonts w:hint="eastAsia" w:ascii="宋体" w:hAnsi="宋体" w:cs="宋体"/>
          <w:b/>
          <w:color w:val="auto"/>
          <w:sz w:val="24"/>
          <w:szCs w:val="24"/>
          <w:highlight w:val="none"/>
          <w:lang w:val="en-US" w:eastAsia="zh-CN" w:bidi="ar-SA"/>
        </w:rPr>
        <w:t>九</w:t>
      </w:r>
      <w:r>
        <w:rPr>
          <w:rFonts w:hint="eastAsia" w:ascii="宋体" w:hAnsi="宋体" w:eastAsia="宋体" w:cs="宋体"/>
          <w:b/>
          <w:color w:val="auto"/>
          <w:sz w:val="24"/>
          <w:szCs w:val="24"/>
          <w:highlight w:val="none"/>
          <w:lang w:val="en-US" w:eastAsia="zh-CN" w:bidi="ar-SA"/>
        </w:rPr>
        <w:t>、不可抗力</w:t>
      </w:r>
    </w:p>
    <w:p w14:paraId="1B32D069">
      <w:pPr>
        <w:keepNext w:val="0"/>
        <w:keepLines w:val="0"/>
        <w:pageBreakBefore w:val="0"/>
        <w:widowControl w:val="0"/>
        <w:spacing w:line="380" w:lineRule="exact"/>
        <w:ind w:firstLine="480"/>
        <w:jc w:val="both"/>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在不可抗力事件发生后，乙方应尽快以书面形式将不可抗力的情况和原因通知甲方，同时应尽实际可能继续履行合同义务，以及寻求采取合理的方案履行不受不可抗力影响的其他事项。如果不可抗力事件影响时间持续 60天以上时，双方应通过友好协商在合理的时间内达成进一步履行合同的协议。</w:t>
      </w:r>
    </w:p>
    <w:p w14:paraId="7D7BE98B">
      <w:pPr>
        <w:keepNext w:val="0"/>
        <w:keepLines w:val="0"/>
        <w:pageBreakBefore w:val="0"/>
        <w:widowControl w:val="0"/>
        <w:spacing w:line="380" w:lineRule="exact"/>
        <w:ind w:firstLine="482"/>
        <w:jc w:val="both"/>
        <w:rPr>
          <w:rFonts w:ascii="宋体" w:hAnsi="宋体" w:eastAsia="宋体" w:cs="宋体"/>
          <w:color w:val="auto"/>
          <w:sz w:val="24"/>
          <w:szCs w:val="24"/>
          <w:highlight w:val="none"/>
          <w:lang w:val="en-US" w:eastAsia="zh-CN" w:bidi="ar-SA"/>
        </w:rPr>
      </w:pPr>
      <w:r>
        <w:rPr>
          <w:rFonts w:hint="eastAsia" w:ascii="宋体" w:hAnsi="宋体" w:cs="宋体"/>
          <w:b/>
          <w:color w:val="auto"/>
          <w:sz w:val="24"/>
          <w:szCs w:val="24"/>
          <w:highlight w:val="none"/>
          <w:lang w:val="en-US" w:eastAsia="zh-CN" w:bidi="ar-SA"/>
        </w:rPr>
        <w:t>二</w:t>
      </w:r>
      <w:r>
        <w:rPr>
          <w:rFonts w:hint="eastAsia" w:ascii="宋体" w:hAnsi="宋体" w:eastAsia="宋体" w:cs="宋体"/>
          <w:b/>
          <w:color w:val="auto"/>
          <w:sz w:val="24"/>
          <w:szCs w:val="24"/>
          <w:highlight w:val="none"/>
          <w:lang w:val="en-US" w:eastAsia="zh-CN" w:bidi="ar-SA"/>
        </w:rPr>
        <w:t>十、税费</w:t>
      </w:r>
    </w:p>
    <w:p w14:paraId="1DB0D548">
      <w:pPr>
        <w:keepNext w:val="0"/>
        <w:keepLines w:val="0"/>
        <w:pageBreakBefore w:val="0"/>
        <w:widowControl w:val="0"/>
        <w:spacing w:line="380" w:lineRule="exact"/>
        <w:ind w:firstLine="480"/>
        <w:jc w:val="both"/>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中国政府根据现行税法规定对甲方征收的与本合同有关的一切税费由甲方负担；规定对乙方征收的与本合同有关的一切税费由乙方负担。</w:t>
      </w:r>
    </w:p>
    <w:p w14:paraId="25148062">
      <w:pPr>
        <w:keepNext w:val="0"/>
        <w:keepLines w:val="0"/>
        <w:pageBreakBefore w:val="0"/>
        <w:widowControl w:val="0"/>
        <w:spacing w:line="380" w:lineRule="exact"/>
        <w:ind w:firstLine="482"/>
        <w:jc w:val="both"/>
        <w:rPr>
          <w:rFonts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二十</w:t>
      </w:r>
      <w:r>
        <w:rPr>
          <w:rFonts w:hint="eastAsia" w:ascii="宋体" w:hAnsi="宋体" w:cs="宋体"/>
          <w:b/>
          <w:color w:val="auto"/>
          <w:sz w:val="24"/>
          <w:szCs w:val="24"/>
          <w:highlight w:val="none"/>
          <w:lang w:val="en-US" w:eastAsia="zh-CN" w:bidi="ar-SA"/>
        </w:rPr>
        <w:t>一</w:t>
      </w:r>
      <w:r>
        <w:rPr>
          <w:rFonts w:hint="eastAsia" w:ascii="宋体" w:hAnsi="宋体" w:eastAsia="宋体" w:cs="宋体"/>
          <w:b/>
          <w:color w:val="auto"/>
          <w:sz w:val="24"/>
          <w:szCs w:val="24"/>
          <w:highlight w:val="none"/>
          <w:lang w:val="en-US" w:eastAsia="zh-CN" w:bidi="ar-SA"/>
        </w:rPr>
        <w:t>、合同争议</w:t>
      </w:r>
    </w:p>
    <w:p w14:paraId="22E90FAE">
      <w:pPr>
        <w:keepNext w:val="0"/>
        <w:keepLines w:val="0"/>
        <w:pageBreakBefore w:val="0"/>
        <w:widowControl w:val="0"/>
        <w:spacing w:line="380" w:lineRule="exact"/>
        <w:ind w:firstLine="480"/>
        <w:jc w:val="both"/>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甲乙双方应通过友好协商，解决在执行本合同中所发生的或与本合同有关的一切争议。如果协商仍得不到解决，任何一方均可依法向宿迁市沭阳县人民法院起诉。</w:t>
      </w:r>
    </w:p>
    <w:p w14:paraId="343E0695">
      <w:pPr>
        <w:keepNext w:val="0"/>
        <w:keepLines w:val="0"/>
        <w:pageBreakBefore w:val="0"/>
        <w:widowControl w:val="0"/>
        <w:spacing w:line="380" w:lineRule="exact"/>
        <w:ind w:firstLine="482"/>
        <w:jc w:val="both"/>
        <w:rPr>
          <w:rFonts w:ascii="宋体" w:hAnsi="宋体" w:eastAsia="宋体" w:cs="宋体"/>
          <w:b/>
          <w:color w:val="auto"/>
          <w:sz w:val="24"/>
          <w:szCs w:val="24"/>
          <w:highlight w:val="none"/>
          <w:lang w:val="en-US" w:eastAsia="zh-CN" w:bidi="ar-SA"/>
        </w:rPr>
      </w:pPr>
      <w:r>
        <w:rPr>
          <w:rFonts w:hint="eastAsia" w:ascii="宋体" w:hAnsi="宋体" w:cs="宋体"/>
          <w:b/>
          <w:color w:val="auto"/>
          <w:sz w:val="24"/>
          <w:szCs w:val="24"/>
          <w:highlight w:val="none"/>
          <w:lang w:val="en-US" w:eastAsia="zh-CN" w:bidi="ar-SA"/>
        </w:rPr>
        <w:t>二</w:t>
      </w:r>
      <w:r>
        <w:rPr>
          <w:rFonts w:hint="eastAsia" w:ascii="宋体" w:hAnsi="宋体" w:eastAsia="宋体" w:cs="宋体"/>
          <w:b/>
          <w:color w:val="auto"/>
          <w:sz w:val="24"/>
          <w:szCs w:val="24"/>
          <w:highlight w:val="none"/>
          <w:lang w:val="en-US" w:eastAsia="zh-CN" w:bidi="ar-SA"/>
        </w:rPr>
        <w:t>十</w:t>
      </w:r>
      <w:r>
        <w:rPr>
          <w:rFonts w:hint="eastAsia" w:ascii="宋体" w:hAnsi="宋体" w:cs="宋体"/>
          <w:b/>
          <w:color w:val="auto"/>
          <w:sz w:val="24"/>
          <w:szCs w:val="24"/>
          <w:highlight w:val="none"/>
          <w:lang w:val="en-US" w:eastAsia="zh-CN" w:bidi="ar-SA"/>
        </w:rPr>
        <w:t>二</w:t>
      </w:r>
      <w:r>
        <w:rPr>
          <w:rFonts w:hint="eastAsia" w:ascii="宋体" w:hAnsi="宋体" w:eastAsia="宋体" w:cs="宋体"/>
          <w:b/>
          <w:color w:val="auto"/>
          <w:sz w:val="24"/>
          <w:szCs w:val="24"/>
          <w:highlight w:val="none"/>
          <w:lang w:val="en-US" w:eastAsia="zh-CN" w:bidi="ar-SA"/>
        </w:rPr>
        <w:t>、适用法律</w:t>
      </w:r>
    </w:p>
    <w:p w14:paraId="355B0777">
      <w:pPr>
        <w:keepNext w:val="0"/>
        <w:keepLines w:val="0"/>
        <w:pageBreakBefore w:val="0"/>
        <w:widowControl w:val="0"/>
        <w:spacing w:line="380" w:lineRule="exact"/>
        <w:ind w:firstLine="480"/>
        <w:jc w:val="both"/>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本合同应按照中华人民共和国的现行法律进行解释。</w:t>
      </w:r>
    </w:p>
    <w:p w14:paraId="17EAF588">
      <w:pPr>
        <w:widowControl w:val="0"/>
        <w:spacing w:line="480" w:lineRule="exact"/>
        <w:ind w:firstLine="480"/>
        <w:jc w:val="both"/>
        <w:rPr>
          <w:rFonts w:hint="eastAsia" w:ascii="宋体" w:hAnsi="宋体" w:eastAsia="宋体" w:cs="宋体"/>
          <w:color w:val="auto"/>
          <w:sz w:val="24"/>
          <w:szCs w:val="24"/>
          <w:highlight w:val="none"/>
          <w:lang w:val="en-US" w:eastAsia="zh-CN" w:bidi="ar-SA"/>
        </w:rPr>
      </w:pPr>
    </w:p>
    <w:p w14:paraId="49230C98">
      <w:pPr>
        <w:widowControl w:val="0"/>
        <w:spacing w:line="480" w:lineRule="exact"/>
        <w:ind w:firstLine="240"/>
        <w:jc w:val="both"/>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甲方：（盖章）                         乙方：（盖章）</w:t>
      </w:r>
    </w:p>
    <w:p w14:paraId="27CA1E2C">
      <w:pPr>
        <w:widowControl/>
        <w:spacing w:line="480" w:lineRule="exact"/>
        <w:ind w:firstLine="240"/>
        <w:jc w:val="both"/>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法定（授权）代表人：                   法定（授权）代表人：</w:t>
      </w:r>
    </w:p>
    <w:p w14:paraId="0E7AC476">
      <w:pPr>
        <w:widowControl/>
        <w:spacing w:line="480" w:lineRule="exact"/>
        <w:ind w:firstLine="240"/>
        <w:jc w:val="both"/>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联系人：                               联系人：</w:t>
      </w:r>
    </w:p>
    <w:p w14:paraId="1FA3F103">
      <w:pPr>
        <w:widowControl/>
        <w:spacing w:line="480" w:lineRule="exact"/>
        <w:ind w:firstLine="240"/>
        <w:jc w:val="both"/>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联系电话：                             联系电话：</w:t>
      </w:r>
    </w:p>
    <w:p w14:paraId="056A81ED">
      <w:pPr>
        <w:widowControl/>
        <w:spacing w:line="480" w:lineRule="exact"/>
        <w:ind w:firstLine="240"/>
        <w:jc w:val="both"/>
        <w:rPr>
          <w:color w:val="auto"/>
          <w:highlight w:val="none"/>
        </w:rPr>
      </w:pPr>
      <w:r>
        <w:rPr>
          <w:rFonts w:hint="eastAsia" w:ascii="宋体" w:hAnsi="宋体" w:eastAsia="宋体" w:cs="宋体"/>
          <w:color w:val="auto"/>
          <w:sz w:val="24"/>
          <w:szCs w:val="24"/>
          <w:highlight w:val="none"/>
          <w:lang w:val="en-US" w:eastAsia="zh-CN" w:bidi="ar-SA"/>
        </w:rPr>
        <w:t>日期：</w:t>
      </w:r>
      <w:r>
        <w:rPr>
          <w:rFonts w:hint="eastAsia" w:ascii="宋体" w:hAnsi="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zh-CN" w:bidi="ar-SA"/>
        </w:rPr>
        <w:t>年  月  日                    日期：</w:t>
      </w:r>
      <w:r>
        <w:rPr>
          <w:rFonts w:hint="eastAsia" w:ascii="宋体" w:hAnsi="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年  月  日    </w:t>
      </w:r>
    </w:p>
    <w:p w14:paraId="65284281">
      <w:pPr>
        <w:widowControl/>
        <w:spacing w:line="480" w:lineRule="exact"/>
        <w:ind w:firstLine="4284"/>
        <w:jc w:val="right"/>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p>
    <w:bookmarkEnd w:id="126"/>
    <w:bookmarkEnd w:id="127"/>
    <w:bookmarkEnd w:id="128"/>
    <w:p w14:paraId="14FA5270">
      <w:pPr>
        <w:rPr>
          <w:rFonts w:eastAsia="宋体" w:cs="Times New Roman"/>
          <w:color w:val="auto"/>
          <w:highlight w:val="none"/>
        </w:rPr>
      </w:pPr>
    </w:p>
    <w:p w14:paraId="3303EE0C">
      <w:pPr>
        <w:numPr>
          <w:ilvl w:val="0"/>
          <w:numId w:val="0"/>
        </w:numPr>
        <w:spacing w:line="400" w:lineRule="exact"/>
        <w:ind w:firstLine="482"/>
        <w:rPr>
          <w:rFonts w:ascii="宋体" w:hAnsi="宋体"/>
          <w:b/>
          <w:color w:val="auto"/>
          <w:sz w:val="24"/>
          <w:szCs w:val="24"/>
          <w:highlight w:val="none"/>
          <w:lang w:val="en-US" w:eastAsia="zh-CN"/>
        </w:rPr>
      </w:pPr>
    </w:p>
    <w:p w14:paraId="7F43D39E">
      <w:pPr>
        <w:keepNext/>
        <w:keepLines/>
        <w:pageBreakBefore/>
        <w:jc w:val="center"/>
        <w:outlineLvl w:val="0"/>
        <w:rPr>
          <w:b/>
          <w:color w:val="auto"/>
          <w:sz w:val="44"/>
          <w:szCs w:val="44"/>
          <w:highlight w:val="none"/>
        </w:rPr>
      </w:pPr>
      <w:bookmarkStart w:id="132" w:name="_Toc81575170"/>
      <w:bookmarkStart w:id="133" w:name="_Toc19649"/>
      <w:bookmarkStart w:id="134" w:name="_Toc12937"/>
      <w:bookmarkStart w:id="135" w:name="_Toc9003"/>
      <w:bookmarkStart w:id="136" w:name="_Toc22853"/>
      <w:bookmarkStart w:id="137" w:name="_Toc81575207"/>
      <w:r>
        <w:rPr>
          <w:rFonts w:hint="eastAsia"/>
          <w:b/>
          <w:color w:val="auto"/>
          <w:sz w:val="44"/>
          <w:szCs w:val="44"/>
          <w:highlight w:val="none"/>
        </w:rPr>
        <w:t>第六章  投标文件格式</w:t>
      </w:r>
      <w:bookmarkEnd w:id="132"/>
      <w:bookmarkEnd w:id="133"/>
      <w:bookmarkEnd w:id="134"/>
      <w:bookmarkEnd w:id="135"/>
      <w:bookmarkEnd w:id="136"/>
      <w:bookmarkEnd w:id="137"/>
    </w:p>
    <w:p w14:paraId="3D5A7A39">
      <w:pPr>
        <w:rPr>
          <w:color w:val="auto"/>
          <w:highlight w:val="none"/>
        </w:rPr>
      </w:pPr>
      <w:bookmarkStart w:id="138" w:name="EB819316f773b24a75aef829f9b72900c0"/>
    </w:p>
    <w:p w14:paraId="3F95822B">
      <w:pPr>
        <w:rPr>
          <w:rFonts w:ascii="Times New Roman" w:hAnsi="Times New Roman"/>
          <w:b/>
          <w:color w:val="auto"/>
          <w:sz w:val="72"/>
          <w:highlight w:val="none"/>
        </w:rPr>
      </w:pPr>
      <w:bookmarkStart w:id="139" w:name="_Toc15716"/>
    </w:p>
    <w:p w14:paraId="0CF621C4">
      <w:pPr>
        <w:rPr>
          <w:rFonts w:ascii="Times New Roman" w:hAnsi="Times New Roman"/>
          <w:b/>
          <w:color w:val="auto"/>
          <w:sz w:val="72"/>
          <w:highlight w:val="none"/>
        </w:rPr>
      </w:pPr>
    </w:p>
    <w:p w14:paraId="64F431BD">
      <w:pPr>
        <w:rPr>
          <w:rFonts w:ascii="Times New Roman" w:hAnsi="Times New Roman"/>
          <w:b/>
          <w:color w:val="auto"/>
          <w:sz w:val="72"/>
          <w:highlight w:val="none"/>
        </w:rPr>
      </w:pPr>
    </w:p>
    <w:p w14:paraId="5328B74D">
      <w:pPr>
        <w:jc w:val="center"/>
        <w:rPr>
          <w:rFonts w:ascii="Times New Roman" w:hAnsi="Times New Roman"/>
          <w:b/>
          <w:color w:val="auto"/>
          <w:sz w:val="72"/>
          <w:highlight w:val="none"/>
        </w:rPr>
      </w:pPr>
      <w:r>
        <w:rPr>
          <w:rFonts w:hint="eastAsia" w:ascii="Times New Roman" w:hAnsi="Times New Roman"/>
          <w:b/>
          <w:color w:val="auto"/>
          <w:sz w:val="72"/>
          <w:highlight w:val="none"/>
        </w:rPr>
        <w:t>投  标  文  件</w:t>
      </w:r>
    </w:p>
    <w:p w14:paraId="4F75A5BD">
      <w:pPr>
        <w:jc w:val="center"/>
        <w:rPr>
          <w:rFonts w:ascii="Times New Roman" w:hAnsi="Times New Roman"/>
          <w:b/>
          <w:color w:val="auto"/>
          <w:sz w:val="72"/>
          <w:highlight w:val="none"/>
        </w:rPr>
      </w:pPr>
    </w:p>
    <w:p w14:paraId="60722039">
      <w:pPr>
        <w:jc w:val="center"/>
        <w:rPr>
          <w:rFonts w:ascii="Times New Roman" w:hAnsi="Times New Roman"/>
          <w:b/>
          <w:color w:val="auto"/>
          <w:sz w:val="72"/>
          <w:highlight w:val="none"/>
        </w:rPr>
      </w:pPr>
    </w:p>
    <w:p w14:paraId="02A84B88">
      <w:pPr>
        <w:jc w:val="center"/>
        <w:rPr>
          <w:rFonts w:ascii="Times New Roman" w:hAnsi="Times New Roman"/>
          <w:b/>
          <w:color w:val="auto"/>
          <w:sz w:val="72"/>
          <w:highlight w:val="none"/>
        </w:rPr>
      </w:pPr>
    </w:p>
    <w:p w14:paraId="2C76954C">
      <w:pPr>
        <w:jc w:val="center"/>
        <w:rPr>
          <w:rFonts w:ascii="Times New Roman" w:hAnsi="Times New Roman"/>
          <w:b/>
          <w:color w:val="auto"/>
          <w:sz w:val="72"/>
          <w:highlight w:val="none"/>
        </w:rPr>
      </w:pPr>
    </w:p>
    <w:p w14:paraId="2375C843">
      <w:pPr>
        <w:jc w:val="center"/>
        <w:rPr>
          <w:rFonts w:ascii="Times New Roman" w:hAnsi="Times New Roman"/>
          <w:b/>
          <w:color w:val="auto"/>
          <w:sz w:val="72"/>
          <w:highlight w:val="none"/>
        </w:rPr>
      </w:pPr>
    </w:p>
    <w:p w14:paraId="37EF8785">
      <w:pPr>
        <w:jc w:val="center"/>
        <w:rPr>
          <w:rFonts w:ascii="Times New Roman" w:hAnsi="Times New Roman"/>
          <w:b/>
          <w:color w:val="auto"/>
          <w:sz w:val="36"/>
          <w:highlight w:val="none"/>
        </w:rPr>
      </w:pPr>
    </w:p>
    <w:p w14:paraId="4EFF1ED0">
      <w:pPr>
        <w:jc w:val="center"/>
        <w:rPr>
          <w:rFonts w:ascii="Times New Roman" w:hAnsi="Times New Roman"/>
          <w:b/>
          <w:color w:val="auto"/>
          <w:sz w:val="36"/>
          <w:highlight w:val="none"/>
        </w:rPr>
      </w:pPr>
    </w:p>
    <w:p w14:paraId="1C3D6DBE">
      <w:pPr>
        <w:jc w:val="center"/>
        <w:rPr>
          <w:rFonts w:ascii="Times New Roman" w:hAnsi="Times New Roman"/>
          <w:b/>
          <w:color w:val="auto"/>
          <w:sz w:val="36"/>
          <w:highlight w:val="none"/>
        </w:rPr>
      </w:pPr>
    </w:p>
    <w:p w14:paraId="2C8A2B34">
      <w:pPr>
        <w:ind w:firstLine="1084"/>
        <w:rPr>
          <w:rFonts w:ascii="Times New Roman" w:hAnsi="Times New Roman"/>
          <w:b/>
          <w:color w:val="auto"/>
          <w:sz w:val="36"/>
          <w:highlight w:val="none"/>
        </w:rPr>
      </w:pPr>
      <w:r>
        <w:rPr>
          <w:rFonts w:hint="eastAsia" w:ascii="Times New Roman" w:hAnsi="Times New Roman"/>
          <w:b/>
          <w:color w:val="auto"/>
          <w:sz w:val="36"/>
          <w:highlight w:val="none"/>
        </w:rPr>
        <w:t>项 目 名 称：</w:t>
      </w:r>
      <w:r>
        <w:rPr>
          <w:rFonts w:hint="eastAsia" w:ascii="Times New Roman" w:hAnsi="Times New Roman"/>
          <w:b/>
          <w:color w:val="auto"/>
          <w:sz w:val="36"/>
          <w:highlight w:val="none"/>
          <w:u w:val="single"/>
        </w:rPr>
        <w:t xml:space="preserve">               </w:t>
      </w:r>
    </w:p>
    <w:p w14:paraId="0D0D3AEC">
      <w:pPr>
        <w:ind w:firstLine="1084"/>
        <w:rPr>
          <w:rFonts w:ascii="Times New Roman" w:hAnsi="Times New Roman"/>
          <w:b/>
          <w:color w:val="auto"/>
          <w:sz w:val="36"/>
          <w:highlight w:val="none"/>
          <w:u w:val="single"/>
        </w:rPr>
      </w:pPr>
      <w:r>
        <w:rPr>
          <w:rFonts w:hint="eastAsia" w:ascii="Times New Roman" w:hAnsi="Times New Roman"/>
          <w:b/>
          <w:color w:val="auto"/>
          <w:sz w:val="36"/>
          <w:highlight w:val="none"/>
        </w:rPr>
        <w:t>项 目 编 号：</w:t>
      </w:r>
      <w:r>
        <w:rPr>
          <w:rFonts w:hint="eastAsia" w:ascii="Times New Roman" w:hAnsi="Times New Roman"/>
          <w:b/>
          <w:color w:val="auto"/>
          <w:sz w:val="36"/>
          <w:highlight w:val="none"/>
          <w:u w:val="single"/>
        </w:rPr>
        <w:t xml:space="preserve">               </w:t>
      </w:r>
    </w:p>
    <w:p w14:paraId="63E10535">
      <w:pPr>
        <w:rPr>
          <w:rFonts w:ascii="Times New Roman" w:hAnsi="Times New Roman"/>
          <w:b/>
          <w:color w:val="auto"/>
          <w:sz w:val="36"/>
          <w:highlight w:val="none"/>
          <w:u w:val="single"/>
        </w:rPr>
      </w:pPr>
      <w:r>
        <w:rPr>
          <w:rFonts w:hint="eastAsia" w:ascii="Times New Roman" w:hAnsi="Times New Roman"/>
          <w:b/>
          <w:color w:val="auto"/>
          <w:sz w:val="36"/>
          <w:highlight w:val="none"/>
        </w:rPr>
        <w:t xml:space="preserve">      投标人名称 ：</w:t>
      </w:r>
      <w:r>
        <w:rPr>
          <w:rFonts w:hint="eastAsia" w:ascii="Times New Roman" w:hAnsi="Times New Roman"/>
          <w:b/>
          <w:color w:val="auto"/>
          <w:sz w:val="36"/>
          <w:highlight w:val="none"/>
          <w:u w:val="single"/>
        </w:rPr>
        <w:t>（盖CA电子公章）</w:t>
      </w:r>
    </w:p>
    <w:p w14:paraId="3D493680">
      <w:pPr>
        <w:rPr>
          <w:rFonts w:ascii="Times New Roman" w:hAnsi="Times New Roman"/>
          <w:b/>
          <w:color w:val="auto"/>
          <w:sz w:val="36"/>
          <w:highlight w:val="none"/>
          <w:u w:val="single"/>
        </w:rPr>
      </w:pPr>
      <w:r>
        <w:rPr>
          <w:rFonts w:hint="eastAsia" w:ascii="Times New Roman" w:hAnsi="Times New Roman"/>
          <w:b/>
          <w:color w:val="auto"/>
          <w:sz w:val="36"/>
          <w:highlight w:val="none"/>
        </w:rPr>
        <w:t xml:space="preserve">      日      期 ：</w:t>
      </w:r>
      <w:r>
        <w:rPr>
          <w:rFonts w:hint="eastAsia" w:ascii="Times New Roman" w:hAnsi="Times New Roman"/>
          <w:b/>
          <w:color w:val="auto"/>
          <w:sz w:val="36"/>
          <w:highlight w:val="none"/>
          <w:u w:val="single"/>
        </w:rPr>
        <w:t xml:space="preserve">               </w:t>
      </w:r>
      <w:bookmarkEnd w:id="139"/>
    </w:p>
    <w:p w14:paraId="7C3908CE">
      <w:pPr>
        <w:pStyle w:val="328"/>
        <w:rPr>
          <w:rFonts w:ascii="宋体" w:hAnsi="宋体" w:eastAsia="宋体" w:cs="宋体"/>
          <w:color w:val="auto"/>
          <w:highlight w:val="none"/>
        </w:rPr>
      </w:pPr>
    </w:p>
    <w:p w14:paraId="75D62143">
      <w:pPr>
        <w:pStyle w:val="328"/>
        <w:rPr>
          <w:rFonts w:ascii="宋体" w:hAnsi="宋体" w:eastAsia="宋体" w:cs="宋体"/>
          <w:color w:val="auto"/>
          <w:highlight w:val="none"/>
        </w:rPr>
      </w:pPr>
    </w:p>
    <w:p w14:paraId="31328D72">
      <w:pPr>
        <w:pStyle w:val="328"/>
        <w:rPr>
          <w:rFonts w:ascii="宋体" w:hAnsi="宋体" w:eastAsia="宋体" w:cs="宋体"/>
          <w:color w:val="auto"/>
          <w:highlight w:val="none"/>
        </w:rPr>
      </w:pPr>
    </w:p>
    <w:p w14:paraId="214D78ED">
      <w:pPr>
        <w:pStyle w:val="328"/>
        <w:rPr>
          <w:rFonts w:ascii="宋体" w:hAnsi="宋体" w:eastAsia="宋体" w:cs="宋体"/>
          <w:color w:val="auto"/>
          <w:highlight w:val="none"/>
        </w:rPr>
      </w:pPr>
    </w:p>
    <w:bookmarkEnd w:id="138"/>
    <w:p w14:paraId="7DCE674D">
      <w:pPr>
        <w:pStyle w:val="328"/>
        <w:rPr>
          <w:rFonts w:ascii="宋体" w:hAnsi="宋体" w:eastAsia="宋体" w:cs="宋体"/>
          <w:color w:val="auto"/>
          <w:highlight w:val="none"/>
        </w:rPr>
      </w:pPr>
    </w:p>
    <w:p w14:paraId="62B78523">
      <w:pPr>
        <w:pStyle w:val="328"/>
        <w:rPr>
          <w:rFonts w:ascii="宋体" w:hAnsi="宋体" w:eastAsia="宋体" w:cs="宋体"/>
          <w:color w:val="auto"/>
          <w:highlight w:val="none"/>
        </w:rPr>
      </w:pPr>
    </w:p>
    <w:p w14:paraId="6344B71F">
      <w:pPr>
        <w:pStyle w:val="328"/>
        <w:rPr>
          <w:rFonts w:ascii="宋体" w:hAnsi="宋体" w:eastAsia="宋体" w:cs="宋体"/>
          <w:color w:val="auto"/>
          <w:highlight w:val="none"/>
        </w:rPr>
      </w:pPr>
    </w:p>
    <w:p w14:paraId="675F4E71">
      <w:pPr>
        <w:pStyle w:val="328"/>
        <w:spacing w:line="360" w:lineRule="auto"/>
        <w:jc w:val="center"/>
        <w:rPr>
          <w:rFonts w:ascii="宋体" w:hAnsi="宋体" w:eastAsia="宋体" w:cs="宋体"/>
          <w:b/>
          <w:bCs/>
          <w:color w:val="auto"/>
          <w:sz w:val="32"/>
          <w:szCs w:val="32"/>
          <w:highlight w:val="none"/>
        </w:rPr>
      </w:pPr>
    </w:p>
    <w:p w14:paraId="33A828BC">
      <w:pPr>
        <w:pStyle w:val="328"/>
        <w:spacing w:line="360" w:lineRule="auto"/>
        <w:jc w:val="center"/>
        <w:rPr>
          <w:rFonts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投标文件目录</w:t>
      </w:r>
    </w:p>
    <w:p w14:paraId="345C096D">
      <w:pPr>
        <w:pStyle w:val="328"/>
        <w:spacing w:line="360" w:lineRule="auto"/>
        <w:rPr>
          <w:rFonts w:ascii="宋体" w:hAnsi="宋体" w:eastAsia="宋体" w:cs="宋体"/>
          <w:color w:val="auto"/>
          <w:sz w:val="28"/>
          <w:szCs w:val="28"/>
          <w:highlight w:val="none"/>
        </w:rPr>
      </w:pPr>
    </w:p>
    <w:p w14:paraId="085771D5">
      <w:pPr>
        <w:spacing w:line="360" w:lineRule="auto"/>
        <w:rPr>
          <w:rFonts w:hint="eastAsia" w:ascii="Times New Roman" w:hAnsi="Times New Roman"/>
          <w:color w:val="auto"/>
          <w:sz w:val="28"/>
          <w:szCs w:val="28"/>
          <w:highlight w:val="none"/>
        </w:rPr>
      </w:pPr>
      <w:r>
        <w:rPr>
          <w:rFonts w:hint="eastAsia" w:ascii="Times New Roman" w:hAnsi="Times New Roman"/>
          <w:color w:val="auto"/>
          <w:sz w:val="28"/>
          <w:szCs w:val="28"/>
          <w:highlight w:val="none"/>
        </w:rPr>
        <w:t>一、投标函</w:t>
      </w:r>
    </w:p>
    <w:p w14:paraId="511EDA8C">
      <w:pPr>
        <w:spacing w:line="360" w:lineRule="auto"/>
        <w:rPr>
          <w:rFonts w:hint="eastAsia" w:ascii="Times New Roman" w:hAnsi="Times New Roman"/>
          <w:color w:val="auto"/>
          <w:sz w:val="28"/>
          <w:szCs w:val="28"/>
          <w:highlight w:val="none"/>
        </w:rPr>
      </w:pPr>
      <w:r>
        <w:rPr>
          <w:rFonts w:hint="eastAsia" w:ascii="Times New Roman" w:hAnsi="Times New Roman"/>
          <w:color w:val="auto"/>
          <w:sz w:val="28"/>
          <w:szCs w:val="28"/>
          <w:highlight w:val="none"/>
        </w:rPr>
        <w:t>二、</w:t>
      </w:r>
      <w:r>
        <w:rPr>
          <w:rFonts w:hint="eastAsia" w:ascii="Times New Roman" w:hAnsi="Times New Roman" w:eastAsia="宋体" w:cs="Times New Roman"/>
          <w:color w:val="auto"/>
          <w:sz w:val="28"/>
          <w:szCs w:val="28"/>
          <w:highlight w:val="none"/>
        </w:rPr>
        <w:t>投标人资质</w:t>
      </w:r>
    </w:p>
    <w:p w14:paraId="70EBC6AE">
      <w:pPr>
        <w:spacing w:line="360" w:lineRule="auto"/>
        <w:rPr>
          <w:rFonts w:hint="eastAsia" w:ascii="Times New Roman" w:hAnsi="Times New Roman"/>
          <w:color w:val="auto"/>
          <w:sz w:val="28"/>
          <w:szCs w:val="28"/>
          <w:highlight w:val="none"/>
        </w:rPr>
      </w:pPr>
      <w:r>
        <w:rPr>
          <w:rFonts w:hint="eastAsia" w:ascii="Times New Roman" w:hAnsi="Times New Roman"/>
          <w:color w:val="auto"/>
          <w:sz w:val="28"/>
          <w:szCs w:val="28"/>
          <w:highlight w:val="none"/>
          <w:lang w:val="en-US" w:eastAsia="zh-CN"/>
        </w:rPr>
        <w:t>三、</w:t>
      </w:r>
      <w:r>
        <w:rPr>
          <w:rFonts w:hint="eastAsia" w:ascii="Times New Roman" w:hAnsi="Times New Roman"/>
          <w:color w:val="auto"/>
          <w:sz w:val="28"/>
          <w:szCs w:val="28"/>
          <w:highlight w:val="none"/>
        </w:rPr>
        <w:t>法人授权书</w:t>
      </w:r>
    </w:p>
    <w:p w14:paraId="1BA9C731">
      <w:pPr>
        <w:spacing w:line="360" w:lineRule="auto"/>
        <w:rPr>
          <w:rFonts w:hint="eastAsia" w:ascii="Times New Roman" w:hAnsi="Times New Roman"/>
          <w:color w:val="auto"/>
          <w:sz w:val="28"/>
          <w:szCs w:val="28"/>
          <w:highlight w:val="none"/>
        </w:rPr>
      </w:pPr>
      <w:r>
        <w:rPr>
          <w:rFonts w:hint="eastAsia" w:ascii="Times New Roman" w:hAnsi="Times New Roman"/>
          <w:color w:val="auto"/>
          <w:sz w:val="28"/>
          <w:szCs w:val="28"/>
          <w:highlight w:val="none"/>
        </w:rPr>
        <w:t>四、开标一览表</w:t>
      </w:r>
    </w:p>
    <w:p w14:paraId="0AF0C2D3">
      <w:pPr>
        <w:spacing w:line="360" w:lineRule="auto"/>
        <w:rPr>
          <w:rFonts w:hint="eastAsia" w:ascii="Times New Roman" w:hAnsi="Times New Roman"/>
          <w:color w:val="auto"/>
          <w:sz w:val="28"/>
          <w:szCs w:val="28"/>
          <w:highlight w:val="none"/>
        </w:rPr>
      </w:pPr>
      <w:r>
        <w:rPr>
          <w:rFonts w:hint="eastAsia" w:ascii="Times New Roman" w:hAnsi="Times New Roman"/>
          <w:color w:val="auto"/>
          <w:sz w:val="28"/>
          <w:szCs w:val="28"/>
          <w:highlight w:val="none"/>
        </w:rPr>
        <w:t>五、技术响应偏离表（技术参数响应）</w:t>
      </w:r>
    </w:p>
    <w:p w14:paraId="27574550">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六、项目组人员</w:t>
      </w:r>
    </w:p>
    <w:p w14:paraId="7B589BB9">
      <w:pPr>
        <w:spacing w:line="360" w:lineRule="auto"/>
        <w:rPr>
          <w:rFonts w:hint="eastAsia" w:ascii="Times New Roman" w:hAnsi="Times New Roman"/>
          <w:color w:val="auto"/>
          <w:sz w:val="28"/>
          <w:szCs w:val="28"/>
          <w:highlight w:val="none"/>
        </w:rPr>
      </w:pPr>
      <w:r>
        <w:rPr>
          <w:rFonts w:hint="eastAsia" w:ascii="Times New Roman" w:hAnsi="Times New Roman"/>
          <w:color w:val="auto"/>
          <w:sz w:val="28"/>
          <w:szCs w:val="28"/>
          <w:highlight w:val="none"/>
        </w:rPr>
        <w:t>七、企业业绩</w:t>
      </w:r>
    </w:p>
    <w:p w14:paraId="1E3496BF">
      <w:pPr>
        <w:spacing w:line="360" w:lineRule="auto"/>
        <w:rPr>
          <w:rFonts w:ascii="宋体" w:hAnsi="宋体" w:cs="宋体"/>
          <w:color w:val="auto"/>
          <w:sz w:val="28"/>
          <w:szCs w:val="28"/>
          <w:highlight w:val="none"/>
        </w:rPr>
      </w:pPr>
      <w:r>
        <w:rPr>
          <w:rFonts w:hint="eastAsia" w:ascii="Times New Roman" w:hAnsi="Times New Roman"/>
          <w:color w:val="auto"/>
          <w:sz w:val="28"/>
          <w:szCs w:val="28"/>
          <w:highlight w:val="none"/>
        </w:rPr>
        <w:t>八、投标所需其他材料</w:t>
      </w:r>
    </w:p>
    <w:p w14:paraId="038A6621">
      <w:pPr>
        <w:rPr>
          <w:color w:val="auto"/>
          <w:highlight w:val="none"/>
        </w:rPr>
      </w:pPr>
      <w:bookmarkStart w:id="140" w:name="_Toc26005"/>
      <w:bookmarkStart w:id="141" w:name="_Toc20577"/>
    </w:p>
    <w:p w14:paraId="0C0C2570">
      <w:pPr>
        <w:rPr>
          <w:color w:val="auto"/>
          <w:highlight w:val="none"/>
        </w:rPr>
      </w:pPr>
    </w:p>
    <w:p w14:paraId="59F3D51C">
      <w:pPr>
        <w:rPr>
          <w:color w:val="auto"/>
          <w:highlight w:val="none"/>
        </w:rPr>
      </w:pPr>
    </w:p>
    <w:p w14:paraId="5FB08333">
      <w:pPr>
        <w:rPr>
          <w:color w:val="auto"/>
          <w:highlight w:val="none"/>
        </w:rPr>
      </w:pPr>
    </w:p>
    <w:p w14:paraId="40EB7E2A">
      <w:pPr>
        <w:rPr>
          <w:color w:val="auto"/>
          <w:highlight w:val="none"/>
        </w:rPr>
      </w:pPr>
    </w:p>
    <w:p w14:paraId="358A2AD6">
      <w:pPr>
        <w:rPr>
          <w:color w:val="auto"/>
          <w:highlight w:val="none"/>
        </w:rPr>
      </w:pPr>
    </w:p>
    <w:p w14:paraId="29DD266B">
      <w:pPr>
        <w:rPr>
          <w:color w:val="auto"/>
          <w:highlight w:val="none"/>
        </w:rPr>
      </w:pPr>
    </w:p>
    <w:p w14:paraId="6AD0DAAC">
      <w:pPr>
        <w:rPr>
          <w:color w:val="auto"/>
          <w:highlight w:val="none"/>
        </w:rPr>
      </w:pPr>
    </w:p>
    <w:p w14:paraId="4FDC2209">
      <w:pPr>
        <w:rPr>
          <w:color w:val="auto"/>
          <w:highlight w:val="none"/>
        </w:rPr>
      </w:pPr>
    </w:p>
    <w:p w14:paraId="07B5D0EA">
      <w:pPr>
        <w:rPr>
          <w:color w:val="auto"/>
          <w:highlight w:val="none"/>
        </w:rPr>
      </w:pPr>
    </w:p>
    <w:p w14:paraId="3F6EF45F">
      <w:pPr>
        <w:rPr>
          <w:color w:val="auto"/>
          <w:highlight w:val="none"/>
        </w:rPr>
      </w:pPr>
    </w:p>
    <w:p w14:paraId="4CC86511">
      <w:pPr>
        <w:rPr>
          <w:color w:val="auto"/>
          <w:highlight w:val="none"/>
        </w:rPr>
      </w:pPr>
    </w:p>
    <w:p w14:paraId="65DD2E8B">
      <w:pPr>
        <w:rPr>
          <w:color w:val="auto"/>
          <w:highlight w:val="none"/>
        </w:rPr>
      </w:pPr>
    </w:p>
    <w:p w14:paraId="4B74760D">
      <w:pPr>
        <w:rPr>
          <w:color w:val="auto"/>
          <w:highlight w:val="none"/>
        </w:rPr>
      </w:pPr>
    </w:p>
    <w:p w14:paraId="7D6B71A8">
      <w:pPr>
        <w:rPr>
          <w:color w:val="auto"/>
          <w:highlight w:val="none"/>
        </w:rPr>
      </w:pPr>
    </w:p>
    <w:p w14:paraId="46FC580E">
      <w:pPr>
        <w:rPr>
          <w:color w:val="auto"/>
          <w:highlight w:val="none"/>
        </w:rPr>
      </w:pPr>
    </w:p>
    <w:p w14:paraId="123F85E5">
      <w:pPr>
        <w:rPr>
          <w:color w:val="auto"/>
          <w:highlight w:val="none"/>
        </w:rPr>
      </w:pPr>
    </w:p>
    <w:p w14:paraId="6A258260">
      <w:pPr>
        <w:rPr>
          <w:color w:val="auto"/>
          <w:highlight w:val="none"/>
        </w:rPr>
      </w:pPr>
    </w:p>
    <w:p w14:paraId="22C21AD5">
      <w:pPr>
        <w:rPr>
          <w:color w:val="auto"/>
          <w:highlight w:val="none"/>
        </w:rPr>
      </w:pPr>
    </w:p>
    <w:p w14:paraId="066F2145">
      <w:pPr>
        <w:rPr>
          <w:color w:val="auto"/>
          <w:highlight w:val="none"/>
        </w:rPr>
      </w:pPr>
    </w:p>
    <w:p w14:paraId="4C1C521D">
      <w:pPr>
        <w:rPr>
          <w:color w:val="auto"/>
          <w:highlight w:val="none"/>
        </w:rPr>
      </w:pPr>
    </w:p>
    <w:p w14:paraId="0C00BFDF">
      <w:pPr>
        <w:rPr>
          <w:color w:val="auto"/>
          <w:highlight w:val="none"/>
        </w:rPr>
      </w:pPr>
    </w:p>
    <w:p w14:paraId="33154D87">
      <w:pPr>
        <w:rPr>
          <w:color w:val="auto"/>
          <w:highlight w:val="none"/>
        </w:rPr>
      </w:pPr>
    </w:p>
    <w:p w14:paraId="6B5A70D0">
      <w:pPr>
        <w:rPr>
          <w:color w:val="auto"/>
          <w:highlight w:val="none"/>
        </w:rPr>
      </w:pPr>
    </w:p>
    <w:p w14:paraId="37BFEB5F">
      <w:pPr>
        <w:rPr>
          <w:color w:val="auto"/>
          <w:highlight w:val="none"/>
        </w:rPr>
      </w:pPr>
    </w:p>
    <w:p w14:paraId="73E8092D">
      <w:pPr>
        <w:rPr>
          <w:color w:val="auto"/>
          <w:highlight w:val="none"/>
        </w:rPr>
      </w:pPr>
    </w:p>
    <w:p w14:paraId="2CD37643">
      <w:pPr>
        <w:rPr>
          <w:color w:val="auto"/>
          <w:highlight w:val="none"/>
        </w:rPr>
      </w:pPr>
    </w:p>
    <w:p w14:paraId="11DFB421">
      <w:pPr>
        <w:rPr>
          <w:color w:val="auto"/>
          <w:highlight w:val="none"/>
        </w:rPr>
      </w:pPr>
    </w:p>
    <w:p w14:paraId="68ED7858">
      <w:pPr>
        <w:rPr>
          <w:rFonts w:hint="eastAsia"/>
          <w:color w:val="auto"/>
          <w:highlight w:val="none"/>
        </w:rPr>
      </w:pPr>
    </w:p>
    <w:p w14:paraId="282BEE57">
      <w:pPr>
        <w:pStyle w:val="338"/>
        <w:outlineLvl w:val="1"/>
        <w:rPr>
          <w:b w:val="0"/>
          <w:bCs/>
          <w:color w:val="auto"/>
          <w:highlight w:val="none"/>
        </w:rPr>
      </w:pPr>
      <w:bookmarkStart w:id="142" w:name="_Toc8978"/>
      <w:r>
        <w:rPr>
          <w:rFonts w:hint="eastAsia"/>
          <w:b w:val="0"/>
          <w:bCs/>
          <w:color w:val="auto"/>
          <w:highlight w:val="none"/>
        </w:rPr>
        <w:br w:type="page" w:clear="all"/>
      </w:r>
      <w:r>
        <w:rPr>
          <w:rFonts w:hint="eastAsia"/>
          <w:b w:val="0"/>
          <w:bCs/>
          <w:color w:val="auto"/>
          <w:highlight w:val="none"/>
        </w:rPr>
        <w:t>一</w:t>
      </w:r>
      <w:r>
        <w:rPr>
          <w:b w:val="0"/>
          <w:bCs/>
          <w:color w:val="auto"/>
          <w:highlight w:val="none"/>
        </w:rPr>
        <w:t>、投标函</w:t>
      </w:r>
      <w:bookmarkEnd w:id="140"/>
      <w:bookmarkEnd w:id="141"/>
      <w:bookmarkEnd w:id="142"/>
    </w:p>
    <w:p w14:paraId="3E6DDAD1">
      <w:pPr>
        <w:pStyle w:val="339"/>
        <w:jc w:val="center"/>
        <w:rPr>
          <w:rFonts w:ascii="方正小标宋_GBK" w:eastAsia="方正小标宋_GBK"/>
          <w:bCs/>
          <w:color w:val="auto"/>
          <w:sz w:val="32"/>
          <w:szCs w:val="32"/>
          <w:highlight w:val="none"/>
        </w:rPr>
      </w:pPr>
    </w:p>
    <w:p w14:paraId="5AEEEC33">
      <w:pPr>
        <w:pStyle w:val="339"/>
        <w:jc w:val="center"/>
        <w:rPr>
          <w:rFonts w:hint="eastAsia" w:ascii="方正小标宋_GBK" w:eastAsia="方正小标宋_GBK"/>
          <w:bCs/>
          <w:color w:val="auto"/>
          <w:sz w:val="32"/>
          <w:szCs w:val="32"/>
          <w:highlight w:val="none"/>
        </w:rPr>
      </w:pPr>
      <w:r>
        <w:rPr>
          <w:rFonts w:hint="eastAsia" w:ascii="方正小标宋_GBK" w:eastAsia="方正小标宋_GBK"/>
          <w:bCs/>
          <w:color w:val="auto"/>
          <w:sz w:val="32"/>
          <w:szCs w:val="32"/>
          <w:highlight w:val="none"/>
        </w:rPr>
        <w:t>投标函</w:t>
      </w:r>
    </w:p>
    <w:p w14:paraId="45B5E24A">
      <w:pPr>
        <w:pStyle w:val="339"/>
        <w:spacing w:line="500" w:lineRule="exact"/>
        <w:jc w:val="left"/>
        <w:rPr>
          <w:rFonts w:ascii="宋体" w:hAnsi="宋体"/>
          <w:color w:val="auto"/>
          <w:sz w:val="24"/>
          <w:szCs w:val="24"/>
          <w:highlight w:val="none"/>
          <w:u w:val="single"/>
        </w:rPr>
      </w:pPr>
      <w:r>
        <w:rPr>
          <w:rFonts w:hint="eastAsia" w:ascii="宋体" w:hAnsi="宋体"/>
          <w:color w:val="auto"/>
          <w:sz w:val="24"/>
          <w:szCs w:val="24"/>
          <w:highlight w:val="none"/>
          <w:u w:val="single"/>
        </w:rPr>
        <w:t>（采购单位名称）：</w:t>
      </w:r>
    </w:p>
    <w:p w14:paraId="132AC1A0">
      <w:pPr>
        <w:pStyle w:val="339"/>
        <w:spacing w:line="500" w:lineRule="exact"/>
        <w:ind w:firstLine="480"/>
        <w:jc w:val="left"/>
        <w:rPr>
          <w:rFonts w:ascii="宋体" w:hAnsi="宋体"/>
          <w:color w:val="auto"/>
          <w:sz w:val="24"/>
          <w:szCs w:val="24"/>
          <w:highlight w:val="none"/>
        </w:rPr>
      </w:pPr>
      <w:r>
        <w:rPr>
          <w:rFonts w:hint="eastAsia" w:ascii="宋体" w:hAnsi="宋体"/>
          <w:color w:val="auto"/>
          <w:sz w:val="24"/>
          <w:szCs w:val="24"/>
          <w:highlight w:val="none"/>
        </w:rPr>
        <w:t>根据已收到的项目编号为</w:t>
      </w:r>
      <w:r>
        <w:rPr>
          <w:rFonts w:hint="eastAsia" w:ascii="宋体" w:hAnsi="宋体"/>
          <w:color w:val="auto"/>
          <w:sz w:val="24"/>
          <w:szCs w:val="24"/>
          <w:highlight w:val="none"/>
          <w:u w:val="single"/>
        </w:rPr>
        <w:t>（项目编号）</w:t>
      </w:r>
      <w:r>
        <w:rPr>
          <w:rFonts w:hint="eastAsia" w:ascii="宋体" w:hAnsi="宋体"/>
          <w:color w:val="auto"/>
          <w:sz w:val="24"/>
          <w:szCs w:val="24"/>
          <w:highlight w:val="none"/>
        </w:rPr>
        <w:t>的</w:t>
      </w:r>
      <w:r>
        <w:rPr>
          <w:rFonts w:hint="eastAsia" w:ascii="宋体" w:hAnsi="宋体"/>
          <w:color w:val="auto"/>
          <w:sz w:val="24"/>
          <w:szCs w:val="24"/>
          <w:highlight w:val="none"/>
          <w:u w:val="single"/>
        </w:rPr>
        <w:t>（项目名称）</w:t>
      </w:r>
      <w:r>
        <w:rPr>
          <w:rFonts w:hint="eastAsia" w:ascii="宋体" w:hAnsi="宋体"/>
          <w:color w:val="auto"/>
          <w:sz w:val="24"/>
          <w:szCs w:val="24"/>
          <w:highlight w:val="none"/>
        </w:rPr>
        <w:t>的招标文件，我方在参加本项目招投标活动中，特作出如下承诺：</w:t>
      </w:r>
    </w:p>
    <w:p w14:paraId="0569A5B3">
      <w:pPr>
        <w:pStyle w:val="339"/>
        <w:spacing w:line="500" w:lineRule="exact"/>
        <w:ind w:firstLine="480"/>
        <w:jc w:val="left"/>
        <w:rPr>
          <w:rFonts w:ascii="宋体" w:hAnsi="宋体"/>
          <w:color w:val="auto"/>
          <w:sz w:val="24"/>
          <w:highlight w:val="none"/>
        </w:rPr>
      </w:pPr>
      <w:r>
        <w:rPr>
          <w:rFonts w:hint="eastAsia" w:ascii="宋体" w:hAnsi="宋体"/>
          <w:color w:val="auto"/>
          <w:sz w:val="24"/>
          <w:szCs w:val="24"/>
          <w:highlight w:val="none"/>
        </w:rPr>
        <w:t>一、我方</w:t>
      </w:r>
      <w:r>
        <w:rPr>
          <w:rFonts w:ascii="宋体" w:hAnsi="宋体"/>
          <w:color w:val="auto"/>
          <w:sz w:val="24"/>
          <w:highlight w:val="none"/>
        </w:rPr>
        <w:t>具备《中华人民共和国政府采购法》第二十二条第一款规定的6项条件；</w:t>
      </w:r>
    </w:p>
    <w:p w14:paraId="48C1B12D">
      <w:pPr>
        <w:pStyle w:val="339"/>
        <w:spacing w:line="500" w:lineRule="exact"/>
        <w:ind w:firstLine="480"/>
        <w:jc w:val="left"/>
        <w:rPr>
          <w:rFonts w:ascii="宋体" w:hAnsi="宋体"/>
          <w:color w:val="auto"/>
          <w:sz w:val="24"/>
          <w:szCs w:val="24"/>
          <w:highlight w:val="none"/>
        </w:rPr>
      </w:pPr>
      <w:r>
        <w:rPr>
          <w:rFonts w:hint="eastAsia" w:ascii="宋体" w:hAnsi="宋体"/>
          <w:color w:val="auto"/>
          <w:sz w:val="24"/>
          <w:szCs w:val="24"/>
          <w:highlight w:val="none"/>
        </w:rPr>
        <w:t>二、我方在参加政府采购活动前三年内（自本项目开标时间之日起计算），在经营活动中没有重大违法记录（指因违法经营受到刑事处罚或者责令停产停业、吊销许可证或者执照、较大数额罚款等行政处罚）。</w:t>
      </w:r>
    </w:p>
    <w:p w14:paraId="22BD71BC">
      <w:pPr>
        <w:pStyle w:val="339"/>
        <w:spacing w:line="500" w:lineRule="exact"/>
        <w:ind w:firstLine="480"/>
        <w:jc w:val="left"/>
        <w:rPr>
          <w:rFonts w:ascii="宋体" w:hAnsi="宋体"/>
          <w:color w:val="auto"/>
          <w:sz w:val="24"/>
          <w:szCs w:val="24"/>
          <w:highlight w:val="none"/>
        </w:rPr>
      </w:pPr>
      <w:r>
        <w:rPr>
          <w:rFonts w:hint="eastAsia" w:ascii="宋体" w:hAnsi="宋体"/>
          <w:color w:val="auto"/>
          <w:sz w:val="24"/>
          <w:szCs w:val="24"/>
          <w:highlight w:val="none"/>
        </w:rPr>
        <w:t>三、我方按招标文件要求提交投标文件，响应招标文件规定的投标有效期；</w:t>
      </w:r>
    </w:p>
    <w:p w14:paraId="6C188665">
      <w:pPr>
        <w:pStyle w:val="339"/>
        <w:spacing w:line="500" w:lineRule="exact"/>
        <w:ind w:firstLine="480"/>
        <w:jc w:val="left"/>
        <w:rPr>
          <w:rFonts w:ascii="宋体" w:hAnsi="宋体"/>
          <w:color w:val="auto"/>
          <w:sz w:val="24"/>
          <w:szCs w:val="24"/>
          <w:highlight w:val="none"/>
        </w:rPr>
      </w:pPr>
      <w:r>
        <w:rPr>
          <w:rFonts w:hint="eastAsia" w:ascii="宋体" w:hAnsi="宋体"/>
          <w:color w:val="auto"/>
          <w:sz w:val="24"/>
          <w:szCs w:val="24"/>
          <w:highlight w:val="none"/>
        </w:rPr>
        <w:t>四、如果我方的投标文件被接受，我方将按《中华人民共和国民法典（第三编合同）》及其他有关法律、法规的规定，按期、按质、按量交付采购单位，全面做到履约守信；</w:t>
      </w:r>
    </w:p>
    <w:p w14:paraId="32C51503">
      <w:pPr>
        <w:pStyle w:val="339"/>
        <w:spacing w:line="500" w:lineRule="exact"/>
        <w:ind w:firstLine="480"/>
        <w:jc w:val="left"/>
        <w:rPr>
          <w:rFonts w:ascii="宋体" w:hAnsi="宋体"/>
          <w:color w:val="auto"/>
          <w:sz w:val="24"/>
          <w:szCs w:val="24"/>
          <w:highlight w:val="none"/>
        </w:rPr>
      </w:pPr>
      <w:r>
        <w:rPr>
          <w:rFonts w:hint="eastAsia" w:ascii="宋体" w:hAnsi="宋体"/>
          <w:color w:val="auto"/>
          <w:sz w:val="24"/>
          <w:szCs w:val="24"/>
          <w:highlight w:val="none"/>
        </w:rPr>
        <w:t>五、我方若违背本声明及承诺约定，经查实，自愿接受采购人及相关主管部门相应的规定处理，并依法承担相应的法律责任。</w:t>
      </w:r>
    </w:p>
    <w:p w14:paraId="1198487F">
      <w:pPr>
        <w:pStyle w:val="339"/>
        <w:spacing w:line="500" w:lineRule="exact"/>
        <w:ind w:firstLine="480"/>
        <w:jc w:val="left"/>
        <w:rPr>
          <w:rFonts w:ascii="宋体" w:hAnsi="宋体"/>
          <w:color w:val="auto"/>
          <w:sz w:val="24"/>
          <w:szCs w:val="24"/>
          <w:highlight w:val="none"/>
        </w:rPr>
      </w:pPr>
      <w:r>
        <w:rPr>
          <w:rFonts w:hint="eastAsia" w:ascii="宋体" w:hAnsi="宋体"/>
          <w:color w:val="auto"/>
          <w:sz w:val="24"/>
          <w:szCs w:val="24"/>
          <w:highlight w:val="none"/>
        </w:rPr>
        <w:t>六、我方同意采购人、采购代理机构将本</w:t>
      </w:r>
      <w:r>
        <w:rPr>
          <w:rFonts w:hint="eastAsia" w:ascii="宋体" w:hAnsi="宋体"/>
          <w:color w:val="auto"/>
          <w:sz w:val="24"/>
          <w:szCs w:val="24"/>
          <w:highlight w:val="none"/>
          <w:lang w:val="en-US" w:eastAsia="zh-CN"/>
        </w:rPr>
        <w:t>函</w:t>
      </w:r>
      <w:r>
        <w:rPr>
          <w:rFonts w:hint="eastAsia" w:ascii="宋体" w:hAnsi="宋体"/>
          <w:color w:val="auto"/>
          <w:sz w:val="24"/>
          <w:szCs w:val="24"/>
          <w:highlight w:val="none"/>
        </w:rPr>
        <w:t>上网公开。</w:t>
      </w:r>
    </w:p>
    <w:p w14:paraId="41BB555D">
      <w:pPr>
        <w:pStyle w:val="339"/>
        <w:spacing w:line="500" w:lineRule="exact"/>
        <w:ind w:firstLine="480"/>
        <w:jc w:val="left"/>
        <w:rPr>
          <w:rFonts w:ascii="方正仿宋_GBK" w:eastAsia="方正仿宋_GBK"/>
          <w:color w:val="auto"/>
          <w:sz w:val="24"/>
          <w:szCs w:val="24"/>
          <w:highlight w:val="none"/>
        </w:rPr>
      </w:pPr>
    </w:p>
    <w:p w14:paraId="2D059C28">
      <w:pPr>
        <w:pStyle w:val="339"/>
        <w:spacing w:line="500" w:lineRule="exact"/>
        <w:jc w:val="left"/>
        <w:rPr>
          <w:rFonts w:ascii="宋体" w:hAnsi="宋体"/>
          <w:color w:val="auto"/>
          <w:sz w:val="24"/>
          <w:szCs w:val="24"/>
          <w:highlight w:val="none"/>
        </w:rPr>
      </w:pPr>
    </w:p>
    <w:p w14:paraId="19FA23A8">
      <w:pPr>
        <w:pStyle w:val="339"/>
        <w:spacing w:line="500" w:lineRule="exact"/>
        <w:ind w:firstLine="480"/>
        <w:jc w:val="left"/>
        <w:rPr>
          <w:rFonts w:ascii="宋体" w:hAnsi="宋体"/>
          <w:color w:val="auto"/>
          <w:sz w:val="24"/>
          <w:szCs w:val="24"/>
          <w:highlight w:val="none"/>
        </w:rPr>
      </w:pPr>
      <w:r>
        <w:rPr>
          <w:rFonts w:hint="eastAsia" w:ascii="宋体" w:hAnsi="宋体"/>
          <w:color w:val="auto"/>
          <w:sz w:val="24"/>
          <w:szCs w:val="24"/>
          <w:highlight w:val="none"/>
        </w:rPr>
        <w:t xml:space="preserve">投标人名称：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（盖CA电子公章）</w:t>
      </w:r>
    </w:p>
    <w:p w14:paraId="74F9B9D0">
      <w:pPr>
        <w:pStyle w:val="339"/>
        <w:ind w:firstLine="480"/>
        <w:rPr>
          <w:rFonts w:ascii="宋体" w:hAnsi="宋体"/>
          <w:color w:val="auto"/>
          <w:sz w:val="24"/>
          <w:szCs w:val="24"/>
          <w:highlight w:val="none"/>
        </w:rPr>
      </w:pPr>
    </w:p>
    <w:p w14:paraId="61518085">
      <w:pPr>
        <w:pStyle w:val="339"/>
        <w:ind w:firstLine="480"/>
        <w:rPr>
          <w:rFonts w:ascii="宋体" w:hAnsi="宋体"/>
          <w:color w:val="auto"/>
          <w:highlight w:val="none"/>
        </w:rPr>
      </w:pPr>
      <w:r>
        <w:rPr>
          <w:rFonts w:hint="eastAsia" w:ascii="宋体" w:hAnsi="宋体"/>
          <w:color w:val="auto"/>
          <w:sz w:val="24"/>
          <w:szCs w:val="24"/>
          <w:highlight w:val="none"/>
        </w:rPr>
        <w:t>日期：    年    月   日</w:t>
      </w:r>
    </w:p>
    <w:p w14:paraId="024A2E76">
      <w:pPr>
        <w:rPr>
          <w:color w:val="auto"/>
          <w:highlight w:val="none"/>
        </w:rPr>
      </w:pPr>
    </w:p>
    <w:p w14:paraId="2E138778">
      <w:pPr>
        <w:rPr>
          <w:color w:val="auto"/>
          <w:highlight w:val="none"/>
        </w:rPr>
      </w:pPr>
    </w:p>
    <w:p w14:paraId="6B276094">
      <w:pPr>
        <w:rPr>
          <w:color w:val="auto"/>
          <w:highlight w:val="none"/>
        </w:rPr>
      </w:pPr>
    </w:p>
    <w:p w14:paraId="2F259A2A">
      <w:pPr>
        <w:rPr>
          <w:color w:val="auto"/>
          <w:highlight w:val="none"/>
        </w:rPr>
      </w:pPr>
    </w:p>
    <w:p w14:paraId="570DAFB5">
      <w:pPr>
        <w:rPr>
          <w:color w:val="auto"/>
          <w:highlight w:val="none"/>
        </w:rPr>
      </w:pPr>
    </w:p>
    <w:p w14:paraId="576499C1">
      <w:pPr>
        <w:rPr>
          <w:color w:val="auto"/>
          <w:highlight w:val="none"/>
        </w:rPr>
      </w:pPr>
    </w:p>
    <w:p w14:paraId="610E5671">
      <w:pPr>
        <w:rPr>
          <w:color w:val="auto"/>
          <w:highlight w:val="none"/>
        </w:rPr>
      </w:pPr>
    </w:p>
    <w:p w14:paraId="7192244E">
      <w:pPr>
        <w:rPr>
          <w:color w:val="auto"/>
          <w:highlight w:val="none"/>
        </w:rPr>
      </w:pPr>
    </w:p>
    <w:p w14:paraId="480E9730">
      <w:pPr>
        <w:rPr>
          <w:color w:val="auto"/>
          <w:highlight w:val="none"/>
        </w:rPr>
      </w:pPr>
    </w:p>
    <w:p w14:paraId="0C7CE55D">
      <w:pPr>
        <w:rPr>
          <w:color w:val="auto"/>
          <w:highlight w:val="none"/>
        </w:rPr>
      </w:pPr>
    </w:p>
    <w:p w14:paraId="670D78B1">
      <w:pPr>
        <w:rPr>
          <w:color w:val="auto"/>
          <w:highlight w:val="none"/>
        </w:rPr>
      </w:pPr>
    </w:p>
    <w:p w14:paraId="6640FDE7">
      <w:pPr>
        <w:rPr>
          <w:color w:val="auto"/>
          <w:highlight w:val="none"/>
        </w:rPr>
      </w:pPr>
    </w:p>
    <w:p w14:paraId="22E35386">
      <w:pPr>
        <w:rPr>
          <w:color w:val="auto"/>
          <w:highlight w:val="none"/>
        </w:rPr>
      </w:pPr>
    </w:p>
    <w:p w14:paraId="3A8C932B">
      <w:pPr>
        <w:rPr>
          <w:rFonts w:hint="eastAsia"/>
          <w:color w:val="auto"/>
          <w:highlight w:val="none"/>
        </w:rPr>
      </w:pPr>
    </w:p>
    <w:p w14:paraId="261C6DBC">
      <w:pPr>
        <w:rPr>
          <w:rFonts w:hint="eastAsia"/>
          <w:color w:val="auto"/>
          <w:highlight w:val="none"/>
        </w:rPr>
      </w:pPr>
    </w:p>
    <w:p w14:paraId="513B3F79">
      <w:pPr>
        <w:pStyle w:val="338"/>
        <w:outlineLvl w:val="1"/>
        <w:rPr>
          <w:rFonts w:hint="eastAsia"/>
          <w:b w:val="0"/>
          <w:bCs/>
          <w:color w:val="auto"/>
          <w:highlight w:val="none"/>
        </w:rPr>
      </w:pPr>
      <w:bookmarkStart w:id="143" w:name="_Toc15099"/>
      <w:r>
        <w:rPr>
          <w:rFonts w:hint="eastAsia"/>
          <w:b w:val="0"/>
          <w:bCs/>
          <w:color w:val="auto"/>
          <w:highlight w:val="none"/>
        </w:rPr>
        <w:t>二、投标人资质</w:t>
      </w:r>
      <w:bookmarkEnd w:id="143"/>
    </w:p>
    <w:p w14:paraId="1D48E479">
      <w:pPr>
        <w:rPr>
          <w:rFonts w:hint="eastAsia"/>
          <w:color w:val="auto"/>
          <w:highlight w:val="none"/>
        </w:rPr>
      </w:pPr>
      <w:r>
        <w:rPr>
          <w:rFonts w:hint="eastAsia"/>
          <w:color w:val="auto"/>
          <w:highlight w:val="none"/>
        </w:rPr>
        <w:t>按招标文件要求提供相应资质证书</w:t>
      </w:r>
    </w:p>
    <w:p w14:paraId="16D431DF">
      <w:pPr>
        <w:outlineLvl w:val="1"/>
        <w:rPr>
          <w:color w:val="auto"/>
          <w:highlight w:val="none"/>
        </w:rPr>
      </w:pPr>
      <w:r>
        <w:rPr>
          <w:rFonts w:hint="eastAsia"/>
          <w:color w:val="auto"/>
          <w:highlight w:val="none"/>
        </w:rPr>
        <w:br w:type="page" w:clear="all"/>
      </w:r>
      <w:bookmarkStart w:id="144" w:name="_Toc29506"/>
      <w:bookmarkStart w:id="145" w:name="_Toc3680"/>
      <w:bookmarkStart w:id="146" w:name="_Toc27409"/>
      <w:r>
        <w:rPr>
          <w:rFonts w:hint="eastAsia" w:ascii="黑体" w:hAnsi="黑体" w:eastAsia="黑体" w:cs="黑体"/>
          <w:bCs/>
          <w:color w:val="auto"/>
          <w:sz w:val="32"/>
          <w:szCs w:val="24"/>
          <w:highlight w:val="none"/>
        </w:rPr>
        <w:t>三、</w:t>
      </w:r>
      <w:bookmarkEnd w:id="144"/>
      <w:bookmarkEnd w:id="145"/>
      <w:r>
        <w:rPr>
          <w:rFonts w:hint="eastAsia" w:ascii="黑体" w:hAnsi="黑体" w:eastAsia="黑体" w:cs="黑体"/>
          <w:bCs/>
          <w:color w:val="auto"/>
          <w:sz w:val="32"/>
          <w:szCs w:val="24"/>
          <w:highlight w:val="none"/>
        </w:rPr>
        <w:t>法人授权书</w:t>
      </w:r>
      <w:bookmarkEnd w:id="146"/>
    </w:p>
    <w:p w14:paraId="25F76C09">
      <w:pPr>
        <w:pStyle w:val="339"/>
        <w:jc w:val="center"/>
        <w:rPr>
          <w:rFonts w:ascii="方正小标宋_GBK" w:eastAsia="方正小标宋_GBK"/>
          <w:bCs/>
          <w:color w:val="auto"/>
          <w:sz w:val="32"/>
          <w:szCs w:val="32"/>
          <w:highlight w:val="none"/>
        </w:rPr>
      </w:pPr>
      <w:bookmarkStart w:id="147" w:name="OLE_LINK6"/>
      <w:r>
        <w:rPr>
          <w:rFonts w:hint="eastAsia" w:ascii="方正小标宋_GBK" w:eastAsia="方正小标宋_GBK"/>
          <w:bCs/>
          <w:color w:val="auto"/>
          <w:sz w:val="32"/>
          <w:szCs w:val="32"/>
          <w:highlight w:val="none"/>
        </w:rPr>
        <w:t>法人授权书</w:t>
      </w:r>
      <w:bookmarkEnd w:id="147"/>
    </w:p>
    <w:p w14:paraId="020C6ADB">
      <w:pPr>
        <w:pStyle w:val="459"/>
        <w:spacing w:line="480" w:lineRule="exact"/>
        <w:ind w:firstLine="482"/>
        <w:rPr>
          <w:rFonts w:hint="eastAsia" w:ascii="宋体" w:hAnsi="宋体"/>
          <w:color w:val="auto"/>
          <w:sz w:val="24"/>
          <w:szCs w:val="24"/>
          <w:highlight w:val="none"/>
        </w:rPr>
      </w:pPr>
      <w:r>
        <w:rPr>
          <w:rFonts w:hint="eastAsia" w:ascii="宋体" w:hAnsi="宋体"/>
          <w:color w:val="auto"/>
          <w:sz w:val="24"/>
          <w:szCs w:val="24"/>
          <w:highlight w:val="none"/>
        </w:rPr>
        <w:t>本授权书声明：____________（投标人名称）授权________________（被授权人的姓名）为我方就</w:t>
      </w:r>
      <w:r>
        <w:rPr>
          <w:rFonts w:hint="eastAsia" w:ascii="宋体" w:hAnsi="宋体"/>
          <w:color w:val="auto"/>
          <w:sz w:val="24"/>
          <w:szCs w:val="24"/>
          <w:highlight w:val="none"/>
          <w:u w:val="single"/>
        </w:rPr>
        <w:t>（项目编号）</w:t>
      </w:r>
      <w:r>
        <w:rPr>
          <w:rFonts w:hint="eastAsia" w:ascii="宋体" w:hAnsi="宋体"/>
          <w:color w:val="auto"/>
          <w:sz w:val="24"/>
          <w:szCs w:val="24"/>
          <w:highlight w:val="none"/>
        </w:rPr>
        <w:t>号</w:t>
      </w:r>
      <w:r>
        <w:rPr>
          <w:rFonts w:hint="eastAsia" w:ascii="宋体" w:hAnsi="宋体"/>
          <w:color w:val="auto"/>
          <w:sz w:val="24"/>
          <w:szCs w:val="24"/>
          <w:highlight w:val="none"/>
          <w:u w:val="single"/>
        </w:rPr>
        <w:t xml:space="preserve">          （项目名称）           项目</w:t>
      </w:r>
      <w:r>
        <w:rPr>
          <w:rFonts w:hint="eastAsia" w:ascii="宋体" w:hAnsi="宋体"/>
          <w:color w:val="auto"/>
          <w:sz w:val="24"/>
          <w:szCs w:val="24"/>
          <w:highlight w:val="none"/>
        </w:rPr>
        <w:t>采购活动的合法代理人，以本单位名义全权处理一切与该项目采购有关的事务。</w:t>
      </w:r>
    </w:p>
    <w:p w14:paraId="44542BE3">
      <w:pPr>
        <w:pStyle w:val="459"/>
        <w:spacing w:line="480" w:lineRule="exact"/>
        <w:ind w:firstLine="482"/>
        <w:rPr>
          <w:rFonts w:ascii="宋体" w:hAnsi="宋体"/>
          <w:color w:val="auto"/>
          <w:sz w:val="24"/>
          <w:szCs w:val="24"/>
          <w:highlight w:val="none"/>
        </w:rPr>
      </w:pPr>
      <w:r>
        <w:rPr>
          <w:rFonts w:hint="eastAsia" w:ascii="宋体" w:hAnsi="宋体"/>
          <w:color w:val="auto"/>
          <w:sz w:val="24"/>
          <w:szCs w:val="24"/>
          <w:highlight w:val="none"/>
        </w:rPr>
        <w:t>本授权书于______年____月____日起生效，特此声明。</w:t>
      </w:r>
    </w:p>
    <w:p w14:paraId="52D421AC">
      <w:pPr>
        <w:pStyle w:val="459"/>
        <w:spacing w:line="480" w:lineRule="exact"/>
        <w:ind w:firstLine="482"/>
        <w:rPr>
          <w:color w:val="auto"/>
          <w:sz w:val="24"/>
          <w:szCs w:val="24"/>
          <w:highlight w:val="none"/>
          <w:u w:val="single"/>
        </w:rPr>
      </w:pPr>
      <w:r>
        <w:rPr>
          <w:rFonts w:hint="eastAsia"/>
          <w:color w:val="auto"/>
          <w:sz w:val="24"/>
          <w:szCs w:val="24"/>
          <w:highlight w:val="none"/>
        </w:rPr>
        <w:t>被授权人身份证号码：</w:t>
      </w:r>
      <w:r>
        <w:rPr>
          <w:rFonts w:hint="eastAsia"/>
          <w:color w:val="auto"/>
          <w:sz w:val="24"/>
          <w:szCs w:val="24"/>
          <w:highlight w:val="none"/>
          <w:u w:val="single"/>
        </w:rPr>
        <w:t xml:space="preserve">                             </w:t>
      </w:r>
    </w:p>
    <w:p w14:paraId="4AC9785D">
      <w:pPr>
        <w:pStyle w:val="459"/>
        <w:spacing w:line="480" w:lineRule="exact"/>
        <w:ind w:firstLine="482"/>
        <w:rPr>
          <w:rFonts w:ascii="宋体" w:hAnsi="宋体"/>
          <w:color w:val="auto"/>
          <w:sz w:val="24"/>
          <w:szCs w:val="24"/>
          <w:highlight w:val="none"/>
        </w:rPr>
      </w:pPr>
      <w:r>
        <w:rPr>
          <w:rFonts w:hint="eastAsia"/>
          <w:color w:val="auto"/>
          <w:sz w:val="24"/>
          <w:szCs w:val="24"/>
          <w:highlight w:val="none"/>
        </w:rPr>
        <w:t>被授权人联系电话：（手机）</w:t>
      </w:r>
      <w:r>
        <w:rPr>
          <w:rFonts w:hint="eastAsia"/>
          <w:color w:val="auto"/>
          <w:sz w:val="24"/>
          <w:szCs w:val="24"/>
          <w:highlight w:val="none"/>
          <w:u w:val="single"/>
        </w:rPr>
        <w:t xml:space="preserve">                          </w:t>
      </w:r>
    </w:p>
    <w:p w14:paraId="77081001">
      <w:pPr>
        <w:pStyle w:val="459"/>
        <w:spacing w:line="480" w:lineRule="exact"/>
        <w:ind w:firstLine="482"/>
        <w:rPr>
          <w:rFonts w:ascii="宋体" w:hAnsi="宋体"/>
          <w:color w:val="auto"/>
          <w:sz w:val="24"/>
          <w:szCs w:val="24"/>
          <w:highlight w:val="none"/>
        </w:rPr>
      </w:pPr>
      <w:r>
        <w:rPr>
          <w:rFonts w:hint="eastAsia"/>
          <w:color w:val="auto"/>
          <w:sz w:val="24"/>
          <w:szCs w:val="24"/>
          <w:highlight w:val="none"/>
        </w:rPr>
        <w:t>授权单位名称：</w:t>
      </w:r>
      <w:r>
        <w:rPr>
          <w:rFonts w:hint="eastAsia"/>
          <w:color w:val="auto"/>
          <w:sz w:val="24"/>
          <w:szCs w:val="24"/>
          <w:highlight w:val="none"/>
          <w:u w:val="single"/>
        </w:rPr>
        <w:t>（盖CA电子公章）</w:t>
      </w:r>
    </w:p>
    <w:p w14:paraId="4F3134CC">
      <w:pPr>
        <w:pStyle w:val="459"/>
        <w:spacing w:line="480" w:lineRule="exact"/>
        <w:ind w:firstLine="482"/>
        <w:rPr>
          <w:rFonts w:ascii="宋体" w:hAnsi="宋体"/>
          <w:color w:val="auto"/>
          <w:sz w:val="24"/>
          <w:szCs w:val="24"/>
          <w:highlight w:val="none"/>
        </w:rPr>
      </w:pPr>
      <w:r>
        <w:rPr>
          <w:rFonts w:hint="eastAsia"/>
          <w:color w:val="auto"/>
          <w:sz w:val="24"/>
          <w:szCs w:val="24"/>
          <w:highlight w:val="none"/>
        </w:rPr>
        <w:t>单位地址：</w:t>
      </w:r>
      <w:r>
        <w:rPr>
          <w:rFonts w:hint="eastAsia"/>
          <w:color w:val="auto"/>
          <w:sz w:val="24"/>
          <w:szCs w:val="24"/>
          <w:highlight w:val="none"/>
          <w:u w:val="single"/>
        </w:rPr>
        <w:t xml:space="preserve">                                         </w:t>
      </w:r>
    </w:p>
    <w:p w14:paraId="14F3ADAE">
      <w:pPr>
        <w:pStyle w:val="459"/>
        <w:spacing w:line="480" w:lineRule="exact"/>
        <w:ind w:firstLine="482"/>
        <w:rPr>
          <w:rFonts w:hint="eastAsia" w:ascii="宋体" w:hAnsi="宋体"/>
          <w:color w:val="auto"/>
          <w:sz w:val="24"/>
          <w:szCs w:val="24"/>
          <w:highlight w:val="none"/>
        </w:rPr>
      </w:pPr>
      <w:r>
        <w:rPr>
          <w:rFonts w:hint="eastAsia"/>
          <w:color w:val="auto"/>
          <w:sz w:val="24"/>
          <w:szCs w:val="24"/>
          <w:highlight w:val="none"/>
        </w:rPr>
        <w:t>日期：</w:t>
      </w:r>
      <w:bookmarkStart w:id="148" w:name="_Hlt26955070"/>
      <w:bookmarkEnd w:id="148"/>
      <w:bookmarkStart w:id="149" w:name="_格式3__银行出具的资信证明"/>
      <w:bookmarkEnd w:id="149"/>
      <w:bookmarkStart w:id="150" w:name="_Hlt26671380"/>
      <w:bookmarkEnd w:id="150"/>
      <w:r>
        <w:rPr>
          <w:rFonts w:hint="eastAsia"/>
          <w:color w:val="auto"/>
          <w:sz w:val="24"/>
          <w:szCs w:val="24"/>
          <w:highlight w:val="none"/>
          <w:u w:val="single"/>
        </w:rPr>
        <w:t xml:space="preserve">                                         </w:t>
      </w:r>
    </w:p>
    <w:p w14:paraId="67208A39">
      <w:pPr>
        <w:pStyle w:val="341"/>
        <w:spacing w:line="700" w:lineRule="exact"/>
        <w:ind w:firstLine="629"/>
        <w:rPr>
          <w:rFonts w:ascii="方正仿宋_GBK" w:eastAsia="方正仿宋_GBK"/>
          <w:color w:val="auto"/>
          <w:sz w:val="24"/>
          <w:highlight w:val="none"/>
        </w:rPr>
      </w:pPr>
    </w:p>
    <w:p w14:paraId="56E2E7CD">
      <w:pPr>
        <w:pStyle w:val="344"/>
        <w:outlineLvl w:val="1"/>
        <w:rPr>
          <w:color w:val="auto"/>
          <w:highlight w:val="none"/>
        </w:rPr>
      </w:pPr>
      <w:r>
        <w:rPr>
          <w:color w:val="auto"/>
          <w:highlight w:val="none"/>
        </w:rPr>
        <w:br w:type="page" w:clear="all"/>
      </w:r>
      <w:bookmarkStart w:id="151" w:name="_Toc30543"/>
      <w:bookmarkStart w:id="152" w:name="_Toc27199"/>
      <w:bookmarkStart w:id="153" w:name="_Toc13550"/>
      <w:r>
        <w:rPr>
          <w:rFonts w:hint="eastAsia"/>
          <w:b w:val="0"/>
          <w:bCs/>
          <w:color w:val="auto"/>
          <w:highlight w:val="none"/>
        </w:rPr>
        <w:t>四</w:t>
      </w:r>
      <w:r>
        <w:rPr>
          <w:b w:val="0"/>
          <w:bCs/>
          <w:color w:val="auto"/>
          <w:highlight w:val="none"/>
        </w:rPr>
        <w:t>、开标一览表</w:t>
      </w:r>
      <w:bookmarkEnd w:id="151"/>
      <w:bookmarkEnd w:id="152"/>
      <w:bookmarkEnd w:id="153"/>
    </w:p>
    <w:p w14:paraId="53B94AFC">
      <w:pPr>
        <w:pStyle w:val="345"/>
        <w:rPr>
          <w:rFonts w:hint="eastAsia" w:ascii="宋体" w:hAnsi="宋体" w:eastAsia="宋体" w:cs="宋体"/>
          <w:color w:val="auto"/>
          <w:highlight w:val="none"/>
        </w:rPr>
      </w:pPr>
    </w:p>
    <w:p w14:paraId="6CF6C154">
      <w:pPr>
        <w:pStyle w:val="345"/>
        <w:rPr>
          <w:color w:val="auto"/>
          <w:highlight w:val="none"/>
        </w:rPr>
      </w:pPr>
      <w:r>
        <w:rPr>
          <w:rFonts w:hint="eastAsia" w:ascii="宋体" w:hAnsi="宋体" w:eastAsia="宋体" w:cs="宋体"/>
          <w:color w:val="auto"/>
          <w:highlight w:val="none"/>
        </w:rPr>
        <w:t>投标人全称</w:t>
      </w:r>
      <w:r>
        <w:rPr>
          <w:rFonts w:hint="eastAsia"/>
          <w:color w:val="auto"/>
          <w:highlight w:val="none"/>
        </w:rPr>
        <w:t>(CA</w:t>
      </w:r>
      <w:r>
        <w:rPr>
          <w:rFonts w:hint="eastAsia" w:ascii="宋体" w:hAnsi="宋体" w:eastAsia="宋体" w:cs="宋体"/>
          <w:color w:val="auto"/>
          <w:highlight w:val="none"/>
        </w:rPr>
        <w:t>公章</w:t>
      </w:r>
      <w:r>
        <w:rPr>
          <w:rFonts w:hint="eastAsia"/>
          <w:color w:val="auto"/>
          <w:highlight w:val="none"/>
        </w:rPr>
        <w:t xml:space="preserve">) </w:t>
      </w:r>
      <w:r>
        <w:rPr>
          <w:rFonts w:hint="eastAsia" w:eastAsia="宋体"/>
          <w:color w:val="auto"/>
          <w:highlight w:val="none"/>
        </w:rPr>
        <w:t>：</w:t>
      </w:r>
      <w:r>
        <w:rPr>
          <w:rFonts w:hint="eastAsia" w:ascii="宋体" w:hAnsi="宋体" w:eastAsia="宋体" w:cs="宋体"/>
          <w:color w:val="auto"/>
          <w:highlight w:val="none"/>
        </w:rPr>
        <w:t>供应商名称</w:t>
      </w:r>
    </w:p>
    <w:p w14:paraId="2AE056DF">
      <w:pPr>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采购项目名称：</w:t>
      </w:r>
    </w:p>
    <w:p w14:paraId="3B219AA3">
      <w:pPr>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采购项目编号： </w:t>
      </w:r>
    </w:p>
    <w:p w14:paraId="606EF05D">
      <w:pPr>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采购包</w:t>
      </w:r>
      <w:r>
        <w:rPr>
          <w:rFonts w:hint="eastAsia" w:ascii="宋体" w:hAnsi="宋体" w:cs="宋体"/>
          <w:color w:val="auto"/>
          <w:sz w:val="24"/>
          <w:szCs w:val="24"/>
          <w:highlight w:val="none"/>
          <w:lang w:eastAsia="zh-CN"/>
        </w:rPr>
        <w:t>号</w:t>
      </w:r>
      <w:r>
        <w:rPr>
          <w:rFonts w:hint="eastAsia" w:ascii="宋体" w:hAnsi="宋体" w:cs="宋体"/>
          <w:color w:val="auto"/>
          <w:sz w:val="24"/>
          <w:szCs w:val="24"/>
          <w:highlight w:val="none"/>
        </w:rPr>
        <w:t>：</w:t>
      </w:r>
      <w:r>
        <w:rPr>
          <w:rStyle w:val="409"/>
          <w:rFonts w:ascii="宋体" w:hAnsi="宋体" w:eastAsia="宋体" w:cs="宋体"/>
          <w:color w:val="auto"/>
          <w:sz w:val="24"/>
          <w:szCs w:val="24"/>
          <w:highlight w:val="none"/>
        </w:rPr>
        <w:t>分包号</w:t>
      </w:r>
      <w:r>
        <w:rPr>
          <w:rFonts w:ascii="宋体" w:hAnsi="宋体" w:eastAsia="宋体" w:cs="宋体"/>
          <w:color w:val="auto"/>
          <w:sz w:val="24"/>
          <w:szCs w:val="24"/>
          <w:highlight w:val="none"/>
        </w:rPr>
        <w:t> </w:t>
      </w:r>
    </w:p>
    <w:tbl>
      <w:tblPr>
        <w:tblStyle w:val="12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400"/>
      </w:tblGrid>
      <w:tr w14:paraId="5D52C5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9400" w:type="dxa"/>
            <w:noWrap w:val="0"/>
            <w:vAlign w:val="top"/>
          </w:tcPr>
          <w:p w14:paraId="536C73A8">
            <w:pPr>
              <w:spacing w:line="500" w:lineRule="exact"/>
              <w:jc w:val="center"/>
              <w:rPr>
                <w:rFonts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投标报价（单价）</w:t>
            </w:r>
          </w:p>
        </w:tc>
      </w:tr>
      <w:tr w14:paraId="4259DB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400" w:type="dxa"/>
            <w:noWrap w:val="0"/>
            <w:vAlign w:val="top"/>
          </w:tcPr>
          <w:p w14:paraId="562E8574">
            <w:pPr>
              <w:spacing w:line="500" w:lineRule="exact"/>
              <w:rPr>
                <w:rFonts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总价（小写）：          </w:t>
            </w:r>
            <w:r>
              <w:rPr>
                <w:rFonts w:ascii="宋体" w:hAnsi="宋体" w:eastAsia="宋体" w:cs="宋体"/>
                <w:color w:val="auto"/>
                <w:sz w:val="24"/>
                <w:szCs w:val="24"/>
                <w:highlight w:val="none"/>
              </w:rPr>
              <w:t>（人民币：元）</w:t>
            </w:r>
          </w:p>
        </w:tc>
      </w:tr>
      <w:tr w14:paraId="55D9E3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400" w:type="dxa"/>
            <w:noWrap w:val="0"/>
            <w:vAlign w:val="top"/>
          </w:tcPr>
          <w:p w14:paraId="190C48F3">
            <w:pPr>
              <w:spacing w:line="500" w:lineRule="exact"/>
              <w:rPr>
                <w:rFonts w:hint="eastAsia" w:ascii="宋体" w:hAnsi="宋体" w:cs="宋体"/>
                <w:color w:val="auto"/>
                <w:sz w:val="24"/>
                <w:szCs w:val="24"/>
                <w:highlight w:val="none"/>
                <w:vertAlign w:val="baseline"/>
              </w:rPr>
            </w:pPr>
            <w:r>
              <w:rPr>
                <w:rFonts w:ascii="宋体" w:hAnsi="宋体" w:eastAsia="宋体" w:cs="宋体"/>
                <w:color w:val="auto"/>
                <w:sz w:val="24"/>
                <w:szCs w:val="24"/>
                <w:highlight w:val="none"/>
              </w:rPr>
              <w:t>总价（大写）：</w:t>
            </w:r>
            <w:r>
              <w:rPr>
                <w:rStyle w:val="409"/>
                <w:rFonts w:ascii="宋体" w:hAnsi="宋体" w:eastAsia="宋体" w:cs="宋体"/>
                <w:color w:val="auto"/>
                <w:sz w:val="24"/>
                <w:szCs w:val="24"/>
                <w:highlight w:val="none"/>
              </w:rPr>
              <w:t>金额大写</w:t>
            </w:r>
            <w:r>
              <w:rPr>
                <w:rFonts w:ascii="宋体" w:hAnsi="宋体" w:eastAsia="宋体" w:cs="宋体"/>
                <w:color w:val="auto"/>
                <w:sz w:val="24"/>
                <w:szCs w:val="24"/>
                <w:highlight w:val="none"/>
              </w:rPr>
              <w:t xml:space="preserve"> （人民币：元）</w:t>
            </w:r>
          </w:p>
        </w:tc>
      </w:tr>
    </w:tbl>
    <w:p w14:paraId="0A69CFB6">
      <w:pPr>
        <w:spacing w:line="500" w:lineRule="exact"/>
        <w:rPr>
          <w:rFonts w:hint="eastAsia" w:ascii="宋体" w:hAnsi="宋体" w:cs="宋体"/>
          <w:color w:val="auto"/>
          <w:sz w:val="24"/>
          <w:szCs w:val="24"/>
          <w:highlight w:val="none"/>
        </w:rPr>
      </w:pPr>
    </w:p>
    <w:p w14:paraId="1C6BDFF1">
      <w:pPr>
        <w:rPr>
          <w:rFonts w:hint="eastAsia"/>
          <w:color w:val="auto"/>
          <w:highlight w:val="none"/>
        </w:rPr>
      </w:pPr>
    </w:p>
    <w:p w14:paraId="00F67AB8">
      <w:pPr>
        <w:rPr>
          <w:rFonts w:hint="eastAsia"/>
          <w:color w:val="auto"/>
          <w:highlight w:val="none"/>
        </w:rPr>
      </w:pPr>
    </w:p>
    <w:p w14:paraId="7D09E760">
      <w:pPr>
        <w:rPr>
          <w:rFonts w:hint="eastAsia"/>
          <w:color w:val="auto"/>
          <w:highlight w:val="none"/>
        </w:rPr>
      </w:pPr>
    </w:p>
    <w:p w14:paraId="533378C9">
      <w:pPr>
        <w:rPr>
          <w:rFonts w:ascii="宋体" w:hAnsi="宋体" w:cs="宋体"/>
          <w:color w:val="auto"/>
          <w:sz w:val="24"/>
          <w:highlight w:val="none"/>
        </w:rPr>
      </w:pPr>
      <w:r>
        <w:rPr>
          <w:rFonts w:hint="eastAsia"/>
          <w:color w:val="auto"/>
          <w:highlight w:val="none"/>
        </w:rPr>
        <w:t xml:space="preserve"> </w:t>
      </w:r>
      <w:r>
        <w:rPr>
          <w:color w:val="auto"/>
          <w:highlight w:val="none"/>
        </w:rPr>
        <w:t xml:space="preserve">                   </w:t>
      </w:r>
      <w:r>
        <w:rPr>
          <w:rFonts w:hint="eastAsia"/>
          <w:color w:val="auto"/>
          <w:highlight w:val="none"/>
        </w:rPr>
        <w:t xml:space="preserve">                   </w:t>
      </w:r>
      <w:r>
        <w:rPr>
          <w:color w:val="auto"/>
          <w:highlight w:val="none"/>
        </w:rPr>
        <w:t xml:space="preserve">     </w:t>
      </w:r>
      <w:bookmarkStart w:id="154" w:name="_Toc12113"/>
      <w:r>
        <w:rPr>
          <w:rFonts w:hint="eastAsia" w:ascii="宋体" w:hAnsi="宋体" w:cs="宋体"/>
          <w:color w:val="auto"/>
          <w:sz w:val="24"/>
          <w:highlight w:val="none"/>
        </w:rPr>
        <w:t xml:space="preserve">日期： </w:t>
      </w:r>
      <w:r>
        <w:rPr>
          <w:rFonts w:ascii="宋体" w:hAnsi="宋体" w:cs="宋体"/>
          <w:color w:val="auto"/>
          <w:sz w:val="24"/>
          <w:highlight w:val="none"/>
        </w:rPr>
        <w:t xml:space="preserve">    </w:t>
      </w:r>
      <w:r>
        <w:rPr>
          <w:rFonts w:hint="eastAsia" w:ascii="宋体" w:hAnsi="宋体" w:cs="宋体"/>
          <w:color w:val="auto"/>
          <w:sz w:val="24"/>
          <w:highlight w:val="none"/>
        </w:rPr>
        <w:t xml:space="preserve">年 </w:t>
      </w:r>
      <w:r>
        <w:rPr>
          <w:rFonts w:ascii="宋体" w:hAnsi="宋体" w:cs="宋体"/>
          <w:color w:val="auto"/>
          <w:sz w:val="24"/>
          <w:highlight w:val="none"/>
        </w:rPr>
        <w:t xml:space="preserve">    </w:t>
      </w:r>
      <w:r>
        <w:rPr>
          <w:rFonts w:hint="eastAsia" w:ascii="宋体" w:hAnsi="宋体" w:cs="宋体"/>
          <w:color w:val="auto"/>
          <w:sz w:val="24"/>
          <w:highlight w:val="none"/>
        </w:rPr>
        <w:t xml:space="preserve">月 </w:t>
      </w:r>
      <w:r>
        <w:rPr>
          <w:rFonts w:ascii="宋体" w:hAnsi="宋体" w:cs="宋体"/>
          <w:color w:val="auto"/>
          <w:sz w:val="24"/>
          <w:highlight w:val="none"/>
        </w:rPr>
        <w:t xml:space="preserve">    </w:t>
      </w:r>
      <w:r>
        <w:rPr>
          <w:rFonts w:hint="eastAsia" w:ascii="宋体" w:hAnsi="宋体" w:cs="宋体"/>
          <w:color w:val="auto"/>
          <w:sz w:val="24"/>
          <w:highlight w:val="none"/>
        </w:rPr>
        <w:t>日</w:t>
      </w:r>
      <w:bookmarkEnd w:id="154"/>
    </w:p>
    <w:p w14:paraId="460D77EB">
      <w:pPr>
        <w:pStyle w:val="39"/>
        <w:spacing w:before="0" w:after="0" w:line="520" w:lineRule="exact"/>
        <w:rPr>
          <w:rFonts w:hint="eastAsia" w:ascii="宋体" w:hAnsi="宋体" w:eastAsia="宋体" w:cs="宋体"/>
          <w:bCs/>
          <w:color w:val="auto"/>
          <w:szCs w:val="32"/>
          <w:highlight w:val="none"/>
        </w:rPr>
      </w:pPr>
      <w:r>
        <w:rPr>
          <w:color w:val="auto"/>
          <w:highlight w:val="none"/>
        </w:rPr>
        <w:br w:type="page" w:clear="all"/>
      </w:r>
      <w:bookmarkStart w:id="155" w:name="_Toc26543"/>
      <w:bookmarkStart w:id="156" w:name="_Toc12614"/>
      <w:bookmarkStart w:id="157" w:name="_Toc956"/>
      <w:r>
        <w:rPr>
          <w:rFonts w:hint="eastAsia"/>
          <w:b w:val="0"/>
          <w:bCs/>
          <w:color w:val="auto"/>
          <w:highlight w:val="none"/>
        </w:rPr>
        <w:t>五</w:t>
      </w:r>
      <w:r>
        <w:rPr>
          <w:b w:val="0"/>
          <w:bCs/>
          <w:color w:val="auto"/>
          <w:highlight w:val="none"/>
        </w:rPr>
        <w:t>、</w:t>
      </w:r>
      <w:bookmarkEnd w:id="155"/>
      <w:bookmarkEnd w:id="156"/>
      <w:bookmarkEnd w:id="157"/>
      <w:r>
        <w:rPr>
          <w:rFonts w:hint="eastAsia" w:ascii="宋体" w:hAnsi="宋体" w:eastAsia="宋体" w:cs="宋体"/>
          <w:bCs/>
          <w:color w:val="auto"/>
          <w:szCs w:val="32"/>
          <w:highlight w:val="none"/>
        </w:rPr>
        <w:t>技术响应偏离表（技术参数响应）</w:t>
      </w:r>
    </w:p>
    <w:tbl>
      <w:tblPr>
        <w:tblStyle w:val="28"/>
        <w:tblW w:w="0" w:type="auto"/>
        <w:tblInd w:w="-225" w:type="dxa"/>
        <w:tblLayout w:type="autofit"/>
        <w:tblCellMar>
          <w:top w:w="0" w:type="dxa"/>
          <w:left w:w="108" w:type="dxa"/>
          <w:bottom w:w="0" w:type="dxa"/>
          <w:right w:w="108" w:type="dxa"/>
        </w:tblCellMar>
      </w:tblPr>
      <w:tblGrid>
        <w:gridCol w:w="2791"/>
        <w:gridCol w:w="2386"/>
        <w:gridCol w:w="1994"/>
        <w:gridCol w:w="2223"/>
      </w:tblGrid>
      <w:tr w14:paraId="7707B1FD">
        <w:tblPrEx>
          <w:tblCellMar>
            <w:top w:w="0" w:type="dxa"/>
            <w:left w:w="108" w:type="dxa"/>
            <w:bottom w:w="0" w:type="dxa"/>
            <w:right w:w="108" w:type="dxa"/>
          </w:tblCellMar>
        </w:tblPrEx>
        <w:trPr>
          <w:trHeight w:val="665" w:hRule="atLeast"/>
        </w:trPr>
        <w:tc>
          <w:tcPr>
            <w:tcW w:w="2791" w:type="dxa"/>
            <w:tcBorders>
              <w:top w:val="single" w:color="000000" w:sz="8" w:space="0"/>
              <w:left w:val="single" w:color="000000" w:sz="8" w:space="0"/>
              <w:bottom w:val="single" w:color="000000" w:sz="8" w:space="0"/>
              <w:right w:val="single" w:color="000000" w:sz="8" w:space="0"/>
            </w:tcBorders>
            <w:noWrap w:val="0"/>
            <w:vAlign w:val="center"/>
          </w:tcPr>
          <w:p w14:paraId="13236DA5">
            <w:pPr>
              <w:spacing w:before="100" w:line="559" w:lineRule="atLeast"/>
              <w:jc w:val="center"/>
              <w:rPr>
                <w:rFonts w:ascii="宋体" w:hAnsi="宋体" w:cs="仿宋"/>
                <w:color w:val="auto"/>
                <w:highlight w:val="none"/>
              </w:rPr>
            </w:pPr>
            <w:r>
              <w:rPr>
                <w:rFonts w:hint="eastAsia" w:ascii="宋体" w:hAnsi="宋体" w:cs="仿宋"/>
                <w:color w:val="auto"/>
                <w:sz w:val="28"/>
                <w:highlight w:val="none"/>
              </w:rPr>
              <w:t>招标文件内容</w:t>
            </w:r>
          </w:p>
        </w:tc>
        <w:tc>
          <w:tcPr>
            <w:tcW w:w="2386" w:type="dxa"/>
            <w:tcBorders>
              <w:top w:val="single" w:color="000000" w:sz="8" w:space="0"/>
              <w:left w:val="nil"/>
              <w:bottom w:val="single" w:color="000000" w:sz="8" w:space="0"/>
              <w:right w:val="single" w:color="000000" w:sz="8" w:space="0"/>
            </w:tcBorders>
            <w:noWrap w:val="0"/>
            <w:vAlign w:val="center"/>
          </w:tcPr>
          <w:p w14:paraId="77E5C1A6">
            <w:pPr>
              <w:spacing w:before="100" w:line="559" w:lineRule="atLeast"/>
              <w:jc w:val="center"/>
              <w:rPr>
                <w:rFonts w:ascii="宋体" w:hAnsi="宋体" w:cs="仿宋"/>
                <w:color w:val="auto"/>
                <w:highlight w:val="none"/>
              </w:rPr>
            </w:pPr>
            <w:r>
              <w:rPr>
                <w:rFonts w:hint="eastAsia" w:ascii="宋体" w:hAnsi="宋体" w:cs="仿宋"/>
                <w:color w:val="auto"/>
                <w:sz w:val="28"/>
                <w:highlight w:val="none"/>
              </w:rPr>
              <w:t>投标文件内容</w:t>
            </w:r>
          </w:p>
        </w:tc>
        <w:tc>
          <w:tcPr>
            <w:tcW w:w="1994" w:type="dxa"/>
            <w:tcBorders>
              <w:top w:val="single" w:color="000000" w:sz="8" w:space="0"/>
              <w:left w:val="nil"/>
              <w:bottom w:val="single" w:color="000000" w:sz="8" w:space="0"/>
              <w:right w:val="single" w:color="000000" w:sz="8" w:space="0"/>
            </w:tcBorders>
            <w:noWrap w:val="0"/>
            <w:vAlign w:val="center"/>
          </w:tcPr>
          <w:p w14:paraId="70302838">
            <w:pPr>
              <w:spacing w:before="100" w:line="400" w:lineRule="exact"/>
              <w:jc w:val="center"/>
              <w:rPr>
                <w:rFonts w:ascii="宋体" w:hAnsi="宋体" w:cs="仿宋"/>
                <w:color w:val="auto"/>
                <w:sz w:val="28"/>
                <w:highlight w:val="none"/>
              </w:rPr>
            </w:pPr>
            <w:r>
              <w:rPr>
                <w:rFonts w:hint="eastAsia" w:ascii="宋体" w:hAnsi="宋体" w:cs="仿宋"/>
                <w:color w:val="auto"/>
                <w:sz w:val="28"/>
                <w:highlight w:val="none"/>
              </w:rPr>
              <w:t>偏离情况</w:t>
            </w:r>
          </w:p>
          <w:p w14:paraId="05C739E8">
            <w:pPr>
              <w:spacing w:before="100" w:line="400" w:lineRule="exact"/>
              <w:jc w:val="center"/>
              <w:rPr>
                <w:rFonts w:hint="eastAsia" w:ascii="宋体" w:hAnsi="宋体" w:cs="仿宋"/>
                <w:color w:val="auto"/>
                <w:sz w:val="28"/>
                <w:highlight w:val="none"/>
              </w:rPr>
            </w:pPr>
            <w:r>
              <w:rPr>
                <w:rFonts w:hint="eastAsia" w:ascii="宋体" w:hAnsi="宋体" w:cs="仿宋"/>
                <w:color w:val="auto"/>
                <w:sz w:val="28"/>
                <w:highlight w:val="none"/>
              </w:rPr>
              <w:t>（</w:t>
            </w:r>
            <w:r>
              <w:rPr>
                <w:rFonts w:ascii="宋体" w:hAnsi="宋体" w:cs="仿宋"/>
                <w:b/>
                <w:color w:val="auto"/>
                <w:sz w:val="24"/>
                <w:highlight w:val="none"/>
              </w:rPr>
              <w:t>正偏离、负偏离、无偏离</w:t>
            </w:r>
            <w:r>
              <w:rPr>
                <w:rFonts w:hint="eastAsia" w:ascii="宋体" w:hAnsi="宋体" w:cs="仿宋"/>
                <w:color w:val="auto"/>
                <w:sz w:val="28"/>
                <w:highlight w:val="none"/>
              </w:rPr>
              <w:t>）</w:t>
            </w:r>
          </w:p>
        </w:tc>
        <w:tc>
          <w:tcPr>
            <w:tcW w:w="2223" w:type="dxa"/>
            <w:tcBorders>
              <w:top w:val="single" w:color="000000" w:sz="8" w:space="0"/>
              <w:left w:val="nil"/>
              <w:bottom w:val="single" w:color="000000" w:sz="8" w:space="0"/>
              <w:right w:val="single" w:color="000000" w:sz="8" w:space="0"/>
            </w:tcBorders>
            <w:noWrap w:val="0"/>
            <w:vAlign w:val="center"/>
          </w:tcPr>
          <w:p w14:paraId="350DA9AA">
            <w:pPr>
              <w:spacing w:before="100" w:line="559" w:lineRule="atLeast"/>
              <w:jc w:val="center"/>
              <w:rPr>
                <w:rFonts w:hint="eastAsia" w:ascii="宋体" w:hAnsi="宋体" w:cs="仿宋"/>
                <w:color w:val="auto"/>
                <w:sz w:val="28"/>
                <w:szCs w:val="28"/>
                <w:highlight w:val="none"/>
              </w:rPr>
            </w:pPr>
            <w:r>
              <w:rPr>
                <w:rFonts w:hint="eastAsia" w:ascii="宋体" w:hAnsi="宋体" w:cs="仿宋"/>
                <w:color w:val="auto"/>
                <w:sz w:val="28"/>
                <w:highlight w:val="none"/>
              </w:rPr>
              <w:t>偏离内容及说明</w:t>
            </w:r>
          </w:p>
        </w:tc>
      </w:tr>
      <w:tr w14:paraId="0BA15D20">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0D4235F4">
            <w:pPr>
              <w:spacing w:line="559" w:lineRule="atLeast"/>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2386" w:type="dxa"/>
            <w:tcBorders>
              <w:top w:val="nil"/>
              <w:left w:val="nil"/>
              <w:bottom w:val="single" w:color="000000" w:sz="8" w:space="0"/>
              <w:right w:val="single" w:color="000000" w:sz="8" w:space="0"/>
            </w:tcBorders>
            <w:noWrap w:val="0"/>
            <w:vAlign w:val="center"/>
          </w:tcPr>
          <w:p w14:paraId="02D85A3C">
            <w:pPr>
              <w:spacing w:line="559" w:lineRule="atLeast"/>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1994" w:type="dxa"/>
            <w:tcBorders>
              <w:top w:val="nil"/>
              <w:left w:val="nil"/>
              <w:bottom w:val="single" w:color="000000" w:sz="8" w:space="0"/>
              <w:right w:val="single" w:color="000000" w:sz="8" w:space="0"/>
            </w:tcBorders>
            <w:noWrap w:val="0"/>
            <w:vAlign w:val="center"/>
          </w:tcPr>
          <w:p w14:paraId="172B4DFC">
            <w:pPr>
              <w:spacing w:line="559" w:lineRule="atLeast"/>
              <w:jc w:val="center"/>
              <w:rPr>
                <w:rFonts w:hint="eastAsia" w:ascii="仿宋" w:hAnsi="仿宋" w:eastAsia="仿宋" w:cs="仿宋"/>
                <w:color w:val="auto"/>
                <w:sz w:val="24"/>
                <w:highlight w:val="none"/>
              </w:rPr>
            </w:pPr>
          </w:p>
        </w:tc>
        <w:tc>
          <w:tcPr>
            <w:tcW w:w="2223" w:type="dxa"/>
            <w:tcBorders>
              <w:top w:val="nil"/>
              <w:left w:val="nil"/>
              <w:bottom w:val="single" w:color="000000" w:sz="8" w:space="0"/>
              <w:right w:val="single" w:color="000000" w:sz="8" w:space="0"/>
            </w:tcBorders>
            <w:noWrap w:val="0"/>
            <w:vAlign w:val="center"/>
          </w:tcPr>
          <w:p w14:paraId="15FFC10E">
            <w:pPr>
              <w:spacing w:line="559" w:lineRule="atLeast"/>
              <w:jc w:val="center"/>
              <w:rPr>
                <w:rFonts w:ascii="仿宋" w:hAnsi="仿宋" w:eastAsia="仿宋" w:cs="仿宋"/>
                <w:color w:val="auto"/>
                <w:highlight w:val="none"/>
              </w:rPr>
            </w:pPr>
            <w:r>
              <w:rPr>
                <w:rFonts w:hint="eastAsia" w:ascii="仿宋" w:hAnsi="仿宋" w:eastAsia="仿宋" w:cs="仿宋"/>
                <w:color w:val="auto"/>
                <w:sz w:val="24"/>
                <w:highlight w:val="none"/>
              </w:rPr>
              <w:t> </w:t>
            </w:r>
          </w:p>
        </w:tc>
      </w:tr>
      <w:tr w14:paraId="2BE950CF">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021BA6FA">
            <w:pPr>
              <w:spacing w:line="559" w:lineRule="atLeast"/>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2386" w:type="dxa"/>
            <w:tcBorders>
              <w:top w:val="nil"/>
              <w:left w:val="nil"/>
              <w:bottom w:val="single" w:color="000000" w:sz="8" w:space="0"/>
              <w:right w:val="single" w:color="000000" w:sz="8" w:space="0"/>
            </w:tcBorders>
            <w:noWrap w:val="0"/>
            <w:vAlign w:val="center"/>
          </w:tcPr>
          <w:p w14:paraId="7AA7AED1">
            <w:pPr>
              <w:spacing w:line="559" w:lineRule="atLeast"/>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1994" w:type="dxa"/>
            <w:tcBorders>
              <w:top w:val="nil"/>
              <w:left w:val="nil"/>
              <w:bottom w:val="single" w:color="000000" w:sz="8" w:space="0"/>
              <w:right w:val="single" w:color="000000" w:sz="8" w:space="0"/>
            </w:tcBorders>
            <w:noWrap w:val="0"/>
            <w:vAlign w:val="center"/>
          </w:tcPr>
          <w:p w14:paraId="753F5F5F">
            <w:pPr>
              <w:spacing w:line="559" w:lineRule="atLeast"/>
              <w:jc w:val="center"/>
              <w:rPr>
                <w:rFonts w:hint="eastAsia" w:ascii="仿宋" w:hAnsi="仿宋" w:eastAsia="仿宋" w:cs="仿宋"/>
                <w:color w:val="auto"/>
                <w:sz w:val="24"/>
                <w:highlight w:val="none"/>
              </w:rPr>
            </w:pPr>
          </w:p>
        </w:tc>
        <w:tc>
          <w:tcPr>
            <w:tcW w:w="2223" w:type="dxa"/>
            <w:tcBorders>
              <w:top w:val="nil"/>
              <w:left w:val="nil"/>
              <w:bottom w:val="single" w:color="000000" w:sz="8" w:space="0"/>
              <w:right w:val="single" w:color="000000" w:sz="8" w:space="0"/>
            </w:tcBorders>
            <w:noWrap w:val="0"/>
            <w:vAlign w:val="center"/>
          </w:tcPr>
          <w:p w14:paraId="0EED8177">
            <w:pPr>
              <w:spacing w:line="559" w:lineRule="atLeast"/>
              <w:jc w:val="center"/>
              <w:rPr>
                <w:rFonts w:ascii="仿宋" w:hAnsi="仿宋" w:eastAsia="仿宋" w:cs="仿宋"/>
                <w:color w:val="auto"/>
                <w:highlight w:val="none"/>
              </w:rPr>
            </w:pPr>
            <w:r>
              <w:rPr>
                <w:rFonts w:hint="eastAsia" w:ascii="仿宋" w:hAnsi="仿宋" w:eastAsia="仿宋" w:cs="仿宋"/>
                <w:color w:val="auto"/>
                <w:sz w:val="24"/>
                <w:highlight w:val="none"/>
              </w:rPr>
              <w:t> </w:t>
            </w:r>
          </w:p>
        </w:tc>
      </w:tr>
      <w:tr w14:paraId="72ACC3E2">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392B8161">
            <w:pPr>
              <w:spacing w:line="559" w:lineRule="atLeast"/>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2386" w:type="dxa"/>
            <w:tcBorders>
              <w:top w:val="nil"/>
              <w:left w:val="nil"/>
              <w:bottom w:val="single" w:color="000000" w:sz="8" w:space="0"/>
              <w:right w:val="single" w:color="000000" w:sz="8" w:space="0"/>
            </w:tcBorders>
            <w:noWrap w:val="0"/>
            <w:vAlign w:val="center"/>
          </w:tcPr>
          <w:p w14:paraId="623C05EA">
            <w:pPr>
              <w:spacing w:line="559" w:lineRule="atLeast"/>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1994" w:type="dxa"/>
            <w:tcBorders>
              <w:top w:val="nil"/>
              <w:left w:val="nil"/>
              <w:bottom w:val="single" w:color="000000" w:sz="8" w:space="0"/>
              <w:right w:val="single" w:color="000000" w:sz="8" w:space="0"/>
            </w:tcBorders>
            <w:noWrap w:val="0"/>
            <w:vAlign w:val="center"/>
          </w:tcPr>
          <w:p w14:paraId="01D0AEDD">
            <w:pPr>
              <w:spacing w:line="559" w:lineRule="atLeast"/>
              <w:jc w:val="center"/>
              <w:rPr>
                <w:rFonts w:hint="eastAsia" w:ascii="仿宋" w:hAnsi="仿宋" w:eastAsia="仿宋" w:cs="仿宋"/>
                <w:color w:val="auto"/>
                <w:sz w:val="24"/>
                <w:highlight w:val="none"/>
              </w:rPr>
            </w:pPr>
          </w:p>
        </w:tc>
        <w:tc>
          <w:tcPr>
            <w:tcW w:w="2223" w:type="dxa"/>
            <w:tcBorders>
              <w:top w:val="nil"/>
              <w:left w:val="nil"/>
              <w:bottom w:val="single" w:color="000000" w:sz="8" w:space="0"/>
              <w:right w:val="single" w:color="000000" w:sz="8" w:space="0"/>
            </w:tcBorders>
            <w:noWrap w:val="0"/>
            <w:vAlign w:val="center"/>
          </w:tcPr>
          <w:p w14:paraId="0E41ED75">
            <w:pPr>
              <w:spacing w:line="559" w:lineRule="atLeast"/>
              <w:jc w:val="center"/>
              <w:rPr>
                <w:rFonts w:ascii="仿宋" w:hAnsi="仿宋" w:eastAsia="仿宋" w:cs="仿宋"/>
                <w:color w:val="auto"/>
                <w:highlight w:val="none"/>
              </w:rPr>
            </w:pPr>
            <w:r>
              <w:rPr>
                <w:rFonts w:hint="eastAsia" w:ascii="仿宋" w:hAnsi="仿宋" w:eastAsia="仿宋" w:cs="仿宋"/>
                <w:color w:val="auto"/>
                <w:sz w:val="24"/>
                <w:highlight w:val="none"/>
              </w:rPr>
              <w:t> </w:t>
            </w:r>
          </w:p>
        </w:tc>
      </w:tr>
      <w:tr w14:paraId="23E242E6">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56B86EB0">
            <w:pPr>
              <w:spacing w:line="559" w:lineRule="atLeast"/>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2386" w:type="dxa"/>
            <w:tcBorders>
              <w:top w:val="nil"/>
              <w:left w:val="nil"/>
              <w:bottom w:val="single" w:color="000000" w:sz="8" w:space="0"/>
              <w:right w:val="single" w:color="000000" w:sz="8" w:space="0"/>
            </w:tcBorders>
            <w:noWrap w:val="0"/>
            <w:vAlign w:val="center"/>
          </w:tcPr>
          <w:p w14:paraId="3848C034">
            <w:pPr>
              <w:spacing w:line="559" w:lineRule="atLeast"/>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1994" w:type="dxa"/>
            <w:tcBorders>
              <w:top w:val="nil"/>
              <w:left w:val="nil"/>
              <w:bottom w:val="single" w:color="000000" w:sz="8" w:space="0"/>
              <w:right w:val="single" w:color="000000" w:sz="8" w:space="0"/>
            </w:tcBorders>
            <w:noWrap w:val="0"/>
            <w:vAlign w:val="center"/>
          </w:tcPr>
          <w:p w14:paraId="5076C519">
            <w:pPr>
              <w:spacing w:line="559" w:lineRule="atLeast"/>
              <w:jc w:val="center"/>
              <w:rPr>
                <w:rFonts w:hint="eastAsia" w:ascii="仿宋" w:hAnsi="仿宋" w:eastAsia="仿宋" w:cs="仿宋"/>
                <w:color w:val="auto"/>
                <w:sz w:val="24"/>
                <w:highlight w:val="none"/>
              </w:rPr>
            </w:pPr>
          </w:p>
        </w:tc>
        <w:tc>
          <w:tcPr>
            <w:tcW w:w="2223" w:type="dxa"/>
            <w:tcBorders>
              <w:top w:val="nil"/>
              <w:left w:val="nil"/>
              <w:bottom w:val="single" w:color="000000" w:sz="8" w:space="0"/>
              <w:right w:val="single" w:color="000000" w:sz="8" w:space="0"/>
            </w:tcBorders>
            <w:noWrap w:val="0"/>
            <w:vAlign w:val="center"/>
          </w:tcPr>
          <w:p w14:paraId="78A0E0D4">
            <w:pPr>
              <w:spacing w:line="559" w:lineRule="atLeast"/>
              <w:jc w:val="center"/>
              <w:rPr>
                <w:rFonts w:ascii="仿宋" w:hAnsi="仿宋" w:eastAsia="仿宋" w:cs="仿宋"/>
                <w:color w:val="auto"/>
                <w:highlight w:val="none"/>
              </w:rPr>
            </w:pPr>
            <w:r>
              <w:rPr>
                <w:rFonts w:hint="eastAsia" w:ascii="仿宋" w:hAnsi="仿宋" w:eastAsia="仿宋" w:cs="仿宋"/>
                <w:color w:val="auto"/>
                <w:sz w:val="24"/>
                <w:highlight w:val="none"/>
              </w:rPr>
              <w:t> </w:t>
            </w:r>
          </w:p>
        </w:tc>
      </w:tr>
      <w:tr w14:paraId="47A73C7E">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48AF5480">
            <w:pPr>
              <w:spacing w:line="559" w:lineRule="atLeast"/>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2386" w:type="dxa"/>
            <w:tcBorders>
              <w:top w:val="nil"/>
              <w:left w:val="nil"/>
              <w:bottom w:val="single" w:color="000000" w:sz="8" w:space="0"/>
              <w:right w:val="single" w:color="000000" w:sz="8" w:space="0"/>
            </w:tcBorders>
            <w:noWrap w:val="0"/>
            <w:vAlign w:val="center"/>
          </w:tcPr>
          <w:p w14:paraId="2B2D120A">
            <w:pPr>
              <w:spacing w:line="559" w:lineRule="atLeast"/>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1994" w:type="dxa"/>
            <w:tcBorders>
              <w:top w:val="nil"/>
              <w:left w:val="nil"/>
              <w:bottom w:val="single" w:color="000000" w:sz="8" w:space="0"/>
              <w:right w:val="single" w:color="000000" w:sz="8" w:space="0"/>
            </w:tcBorders>
            <w:noWrap w:val="0"/>
            <w:vAlign w:val="center"/>
          </w:tcPr>
          <w:p w14:paraId="113BEC1B">
            <w:pPr>
              <w:spacing w:line="559" w:lineRule="atLeast"/>
              <w:jc w:val="center"/>
              <w:rPr>
                <w:rFonts w:hint="eastAsia" w:ascii="仿宋" w:hAnsi="仿宋" w:eastAsia="仿宋" w:cs="仿宋"/>
                <w:color w:val="auto"/>
                <w:sz w:val="24"/>
                <w:highlight w:val="none"/>
              </w:rPr>
            </w:pPr>
          </w:p>
        </w:tc>
        <w:tc>
          <w:tcPr>
            <w:tcW w:w="2223" w:type="dxa"/>
            <w:tcBorders>
              <w:top w:val="nil"/>
              <w:left w:val="nil"/>
              <w:bottom w:val="single" w:color="000000" w:sz="8" w:space="0"/>
              <w:right w:val="single" w:color="000000" w:sz="8" w:space="0"/>
            </w:tcBorders>
            <w:noWrap w:val="0"/>
            <w:vAlign w:val="center"/>
          </w:tcPr>
          <w:p w14:paraId="03F8F906">
            <w:pPr>
              <w:spacing w:line="559" w:lineRule="atLeast"/>
              <w:jc w:val="center"/>
              <w:rPr>
                <w:rFonts w:ascii="仿宋" w:hAnsi="仿宋" w:eastAsia="仿宋" w:cs="仿宋"/>
                <w:color w:val="auto"/>
                <w:highlight w:val="none"/>
              </w:rPr>
            </w:pPr>
            <w:r>
              <w:rPr>
                <w:rFonts w:hint="eastAsia" w:ascii="仿宋" w:hAnsi="仿宋" w:eastAsia="仿宋" w:cs="仿宋"/>
                <w:color w:val="auto"/>
                <w:sz w:val="24"/>
                <w:highlight w:val="none"/>
              </w:rPr>
              <w:t> </w:t>
            </w:r>
          </w:p>
        </w:tc>
      </w:tr>
      <w:tr w14:paraId="46C8539F">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5CB27B75">
            <w:pPr>
              <w:spacing w:line="559" w:lineRule="atLeast"/>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2386" w:type="dxa"/>
            <w:tcBorders>
              <w:top w:val="nil"/>
              <w:left w:val="nil"/>
              <w:bottom w:val="single" w:color="000000" w:sz="8" w:space="0"/>
              <w:right w:val="single" w:color="000000" w:sz="8" w:space="0"/>
            </w:tcBorders>
            <w:noWrap w:val="0"/>
            <w:vAlign w:val="center"/>
          </w:tcPr>
          <w:p w14:paraId="6C4C307C">
            <w:pPr>
              <w:spacing w:line="559" w:lineRule="atLeast"/>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1994" w:type="dxa"/>
            <w:tcBorders>
              <w:top w:val="nil"/>
              <w:left w:val="nil"/>
              <w:bottom w:val="single" w:color="000000" w:sz="8" w:space="0"/>
              <w:right w:val="single" w:color="000000" w:sz="8" w:space="0"/>
            </w:tcBorders>
            <w:noWrap w:val="0"/>
            <w:vAlign w:val="center"/>
          </w:tcPr>
          <w:p w14:paraId="7969A17D">
            <w:pPr>
              <w:spacing w:line="559" w:lineRule="atLeast"/>
              <w:jc w:val="center"/>
              <w:rPr>
                <w:rFonts w:hint="eastAsia" w:ascii="仿宋" w:hAnsi="仿宋" w:eastAsia="仿宋" w:cs="仿宋"/>
                <w:color w:val="auto"/>
                <w:sz w:val="24"/>
                <w:highlight w:val="none"/>
              </w:rPr>
            </w:pPr>
          </w:p>
        </w:tc>
        <w:tc>
          <w:tcPr>
            <w:tcW w:w="2223" w:type="dxa"/>
            <w:tcBorders>
              <w:top w:val="nil"/>
              <w:left w:val="nil"/>
              <w:bottom w:val="single" w:color="000000" w:sz="8" w:space="0"/>
              <w:right w:val="single" w:color="000000" w:sz="8" w:space="0"/>
            </w:tcBorders>
            <w:noWrap w:val="0"/>
            <w:vAlign w:val="center"/>
          </w:tcPr>
          <w:p w14:paraId="0F5CA854">
            <w:pPr>
              <w:spacing w:line="559" w:lineRule="atLeast"/>
              <w:jc w:val="center"/>
              <w:rPr>
                <w:rFonts w:ascii="仿宋" w:hAnsi="仿宋" w:eastAsia="仿宋" w:cs="仿宋"/>
                <w:color w:val="auto"/>
                <w:highlight w:val="none"/>
              </w:rPr>
            </w:pPr>
            <w:r>
              <w:rPr>
                <w:rFonts w:hint="eastAsia" w:ascii="仿宋" w:hAnsi="仿宋" w:eastAsia="仿宋" w:cs="仿宋"/>
                <w:color w:val="auto"/>
                <w:sz w:val="24"/>
                <w:highlight w:val="none"/>
              </w:rPr>
              <w:t> </w:t>
            </w:r>
          </w:p>
        </w:tc>
      </w:tr>
      <w:tr w14:paraId="44F67249">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4ED0AAC6">
            <w:pPr>
              <w:spacing w:line="559" w:lineRule="atLeast"/>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2386" w:type="dxa"/>
            <w:tcBorders>
              <w:top w:val="nil"/>
              <w:left w:val="nil"/>
              <w:bottom w:val="single" w:color="000000" w:sz="8" w:space="0"/>
              <w:right w:val="single" w:color="000000" w:sz="8" w:space="0"/>
            </w:tcBorders>
            <w:noWrap w:val="0"/>
            <w:vAlign w:val="center"/>
          </w:tcPr>
          <w:p w14:paraId="09FE91E5">
            <w:pPr>
              <w:spacing w:line="559" w:lineRule="atLeast"/>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1994" w:type="dxa"/>
            <w:tcBorders>
              <w:top w:val="nil"/>
              <w:left w:val="nil"/>
              <w:bottom w:val="single" w:color="000000" w:sz="8" w:space="0"/>
              <w:right w:val="single" w:color="000000" w:sz="8" w:space="0"/>
            </w:tcBorders>
            <w:noWrap w:val="0"/>
            <w:vAlign w:val="center"/>
          </w:tcPr>
          <w:p w14:paraId="5882C5A8">
            <w:pPr>
              <w:spacing w:line="559" w:lineRule="atLeast"/>
              <w:jc w:val="center"/>
              <w:rPr>
                <w:rFonts w:hint="eastAsia" w:ascii="仿宋" w:hAnsi="仿宋" w:eastAsia="仿宋" w:cs="仿宋"/>
                <w:color w:val="auto"/>
                <w:sz w:val="24"/>
                <w:highlight w:val="none"/>
              </w:rPr>
            </w:pPr>
          </w:p>
        </w:tc>
        <w:tc>
          <w:tcPr>
            <w:tcW w:w="2223" w:type="dxa"/>
            <w:tcBorders>
              <w:top w:val="nil"/>
              <w:left w:val="nil"/>
              <w:bottom w:val="single" w:color="000000" w:sz="8" w:space="0"/>
              <w:right w:val="single" w:color="000000" w:sz="8" w:space="0"/>
            </w:tcBorders>
            <w:noWrap w:val="0"/>
            <w:vAlign w:val="center"/>
          </w:tcPr>
          <w:p w14:paraId="0722F08D">
            <w:pPr>
              <w:spacing w:line="559" w:lineRule="atLeast"/>
              <w:jc w:val="center"/>
              <w:rPr>
                <w:rFonts w:ascii="仿宋" w:hAnsi="仿宋" w:eastAsia="仿宋" w:cs="仿宋"/>
                <w:color w:val="auto"/>
                <w:highlight w:val="none"/>
              </w:rPr>
            </w:pPr>
            <w:r>
              <w:rPr>
                <w:rFonts w:hint="eastAsia" w:ascii="仿宋" w:hAnsi="仿宋" w:eastAsia="仿宋" w:cs="仿宋"/>
                <w:color w:val="auto"/>
                <w:sz w:val="24"/>
                <w:highlight w:val="none"/>
              </w:rPr>
              <w:t> </w:t>
            </w:r>
          </w:p>
        </w:tc>
      </w:tr>
      <w:tr w14:paraId="1FC2EE26">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2E560726">
            <w:pPr>
              <w:spacing w:line="559" w:lineRule="atLeast"/>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2386" w:type="dxa"/>
            <w:tcBorders>
              <w:top w:val="nil"/>
              <w:left w:val="nil"/>
              <w:bottom w:val="single" w:color="000000" w:sz="8" w:space="0"/>
              <w:right w:val="single" w:color="000000" w:sz="8" w:space="0"/>
            </w:tcBorders>
            <w:noWrap w:val="0"/>
            <w:vAlign w:val="center"/>
          </w:tcPr>
          <w:p w14:paraId="44FDF7E3">
            <w:pPr>
              <w:spacing w:line="559" w:lineRule="atLeast"/>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1994" w:type="dxa"/>
            <w:tcBorders>
              <w:top w:val="nil"/>
              <w:left w:val="nil"/>
              <w:bottom w:val="single" w:color="000000" w:sz="8" w:space="0"/>
              <w:right w:val="single" w:color="000000" w:sz="8" w:space="0"/>
            </w:tcBorders>
            <w:noWrap w:val="0"/>
            <w:vAlign w:val="center"/>
          </w:tcPr>
          <w:p w14:paraId="095FA24D">
            <w:pPr>
              <w:spacing w:line="559" w:lineRule="atLeast"/>
              <w:jc w:val="center"/>
              <w:rPr>
                <w:rFonts w:hint="eastAsia" w:ascii="仿宋" w:hAnsi="仿宋" w:eastAsia="仿宋" w:cs="仿宋"/>
                <w:color w:val="auto"/>
                <w:sz w:val="24"/>
                <w:highlight w:val="none"/>
              </w:rPr>
            </w:pPr>
          </w:p>
        </w:tc>
        <w:tc>
          <w:tcPr>
            <w:tcW w:w="2223" w:type="dxa"/>
            <w:tcBorders>
              <w:top w:val="nil"/>
              <w:left w:val="nil"/>
              <w:bottom w:val="single" w:color="000000" w:sz="8" w:space="0"/>
              <w:right w:val="single" w:color="000000" w:sz="8" w:space="0"/>
            </w:tcBorders>
            <w:noWrap w:val="0"/>
            <w:vAlign w:val="center"/>
          </w:tcPr>
          <w:p w14:paraId="4649AC04">
            <w:pPr>
              <w:spacing w:line="559" w:lineRule="atLeast"/>
              <w:jc w:val="center"/>
              <w:rPr>
                <w:rFonts w:ascii="仿宋" w:hAnsi="仿宋" w:eastAsia="仿宋" w:cs="仿宋"/>
                <w:color w:val="auto"/>
                <w:highlight w:val="none"/>
              </w:rPr>
            </w:pPr>
            <w:r>
              <w:rPr>
                <w:rFonts w:hint="eastAsia" w:ascii="仿宋" w:hAnsi="仿宋" w:eastAsia="仿宋" w:cs="仿宋"/>
                <w:color w:val="auto"/>
                <w:sz w:val="24"/>
                <w:highlight w:val="none"/>
              </w:rPr>
              <w:t> </w:t>
            </w:r>
          </w:p>
        </w:tc>
      </w:tr>
      <w:tr w14:paraId="3ADB7243">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744B82E7">
            <w:pPr>
              <w:spacing w:line="559" w:lineRule="atLeast"/>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2386" w:type="dxa"/>
            <w:tcBorders>
              <w:top w:val="nil"/>
              <w:left w:val="nil"/>
              <w:bottom w:val="single" w:color="000000" w:sz="8" w:space="0"/>
              <w:right w:val="single" w:color="000000" w:sz="8" w:space="0"/>
            </w:tcBorders>
            <w:noWrap w:val="0"/>
            <w:vAlign w:val="center"/>
          </w:tcPr>
          <w:p w14:paraId="5029C56A">
            <w:pPr>
              <w:spacing w:line="559" w:lineRule="atLeast"/>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1994" w:type="dxa"/>
            <w:tcBorders>
              <w:top w:val="nil"/>
              <w:left w:val="nil"/>
              <w:bottom w:val="single" w:color="000000" w:sz="8" w:space="0"/>
              <w:right w:val="single" w:color="000000" w:sz="8" w:space="0"/>
            </w:tcBorders>
            <w:noWrap w:val="0"/>
            <w:vAlign w:val="center"/>
          </w:tcPr>
          <w:p w14:paraId="59F29A5C">
            <w:pPr>
              <w:spacing w:line="559" w:lineRule="atLeast"/>
              <w:jc w:val="center"/>
              <w:rPr>
                <w:rFonts w:hint="eastAsia" w:ascii="仿宋" w:hAnsi="仿宋" w:eastAsia="仿宋" w:cs="仿宋"/>
                <w:color w:val="auto"/>
                <w:sz w:val="24"/>
                <w:highlight w:val="none"/>
              </w:rPr>
            </w:pPr>
          </w:p>
        </w:tc>
        <w:tc>
          <w:tcPr>
            <w:tcW w:w="2223" w:type="dxa"/>
            <w:tcBorders>
              <w:top w:val="nil"/>
              <w:left w:val="nil"/>
              <w:bottom w:val="single" w:color="000000" w:sz="8" w:space="0"/>
              <w:right w:val="single" w:color="000000" w:sz="8" w:space="0"/>
            </w:tcBorders>
            <w:noWrap w:val="0"/>
            <w:vAlign w:val="center"/>
          </w:tcPr>
          <w:p w14:paraId="21539B22">
            <w:pPr>
              <w:spacing w:line="559" w:lineRule="atLeast"/>
              <w:jc w:val="center"/>
              <w:rPr>
                <w:rFonts w:ascii="仿宋" w:hAnsi="仿宋" w:eastAsia="仿宋" w:cs="仿宋"/>
                <w:color w:val="auto"/>
                <w:highlight w:val="none"/>
              </w:rPr>
            </w:pPr>
            <w:r>
              <w:rPr>
                <w:rFonts w:hint="eastAsia" w:ascii="仿宋" w:hAnsi="仿宋" w:eastAsia="仿宋" w:cs="仿宋"/>
                <w:color w:val="auto"/>
                <w:sz w:val="24"/>
                <w:highlight w:val="none"/>
              </w:rPr>
              <w:t> </w:t>
            </w:r>
          </w:p>
        </w:tc>
      </w:tr>
      <w:tr w14:paraId="18C159B5">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0D07FA52">
            <w:pPr>
              <w:spacing w:line="559" w:lineRule="atLeast"/>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2386" w:type="dxa"/>
            <w:tcBorders>
              <w:top w:val="nil"/>
              <w:left w:val="nil"/>
              <w:bottom w:val="single" w:color="000000" w:sz="8" w:space="0"/>
              <w:right w:val="single" w:color="000000" w:sz="8" w:space="0"/>
            </w:tcBorders>
            <w:noWrap w:val="0"/>
            <w:vAlign w:val="center"/>
          </w:tcPr>
          <w:p w14:paraId="32D4A5C7">
            <w:pPr>
              <w:spacing w:line="559" w:lineRule="atLeast"/>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1994" w:type="dxa"/>
            <w:tcBorders>
              <w:top w:val="nil"/>
              <w:left w:val="nil"/>
              <w:bottom w:val="single" w:color="000000" w:sz="8" w:space="0"/>
              <w:right w:val="single" w:color="000000" w:sz="8" w:space="0"/>
            </w:tcBorders>
            <w:noWrap w:val="0"/>
            <w:vAlign w:val="center"/>
          </w:tcPr>
          <w:p w14:paraId="7ECE3CE2">
            <w:pPr>
              <w:spacing w:line="559" w:lineRule="atLeast"/>
              <w:jc w:val="center"/>
              <w:rPr>
                <w:rFonts w:hint="eastAsia" w:ascii="仿宋" w:hAnsi="仿宋" w:eastAsia="仿宋" w:cs="仿宋"/>
                <w:color w:val="auto"/>
                <w:sz w:val="24"/>
                <w:highlight w:val="none"/>
              </w:rPr>
            </w:pPr>
          </w:p>
        </w:tc>
        <w:tc>
          <w:tcPr>
            <w:tcW w:w="2223" w:type="dxa"/>
            <w:tcBorders>
              <w:top w:val="nil"/>
              <w:left w:val="nil"/>
              <w:bottom w:val="single" w:color="000000" w:sz="8" w:space="0"/>
              <w:right w:val="single" w:color="000000" w:sz="8" w:space="0"/>
            </w:tcBorders>
            <w:noWrap w:val="0"/>
            <w:vAlign w:val="center"/>
          </w:tcPr>
          <w:p w14:paraId="34174662">
            <w:pPr>
              <w:spacing w:line="559" w:lineRule="atLeast"/>
              <w:jc w:val="center"/>
              <w:rPr>
                <w:rFonts w:ascii="仿宋" w:hAnsi="仿宋" w:eastAsia="仿宋" w:cs="仿宋"/>
                <w:color w:val="auto"/>
                <w:highlight w:val="none"/>
              </w:rPr>
            </w:pPr>
            <w:r>
              <w:rPr>
                <w:rFonts w:hint="eastAsia" w:ascii="仿宋" w:hAnsi="仿宋" w:eastAsia="仿宋" w:cs="仿宋"/>
                <w:color w:val="auto"/>
                <w:sz w:val="24"/>
                <w:highlight w:val="none"/>
              </w:rPr>
              <w:t> </w:t>
            </w:r>
          </w:p>
        </w:tc>
      </w:tr>
    </w:tbl>
    <w:p w14:paraId="2199E67B">
      <w:pPr>
        <w:spacing w:line="559" w:lineRule="atLeast"/>
        <w:jc w:val="right"/>
        <w:rPr>
          <w:rFonts w:ascii="宋体" w:hAnsi="宋体" w:cs="仿宋"/>
          <w:color w:val="auto"/>
          <w:highlight w:val="none"/>
        </w:rPr>
      </w:pPr>
      <w:r>
        <w:rPr>
          <w:rFonts w:hint="eastAsia" w:ascii="宋体" w:hAnsi="宋体" w:cs="仿宋"/>
          <w:color w:val="auto"/>
          <w:sz w:val="24"/>
          <w:highlight w:val="none"/>
        </w:rPr>
        <w:t>单位名称：</w:t>
      </w:r>
      <w:r>
        <w:rPr>
          <w:rFonts w:hint="eastAsia" w:ascii="宋体" w:hAnsi="宋体" w:cs="仿宋"/>
          <w:color w:val="auto"/>
          <w:sz w:val="24"/>
          <w:highlight w:val="none"/>
          <w:u w:val="single"/>
        </w:rPr>
        <w:t>             </w:t>
      </w:r>
      <w:r>
        <w:rPr>
          <w:rFonts w:hint="eastAsia" w:ascii="宋体" w:hAnsi="宋体" w:cs="仿宋"/>
          <w:color w:val="auto"/>
          <w:sz w:val="24"/>
          <w:highlight w:val="none"/>
        </w:rPr>
        <w:t>（</w:t>
      </w:r>
      <w:r>
        <w:rPr>
          <w:rFonts w:ascii="宋体" w:hAnsi="宋体" w:cs="仿宋"/>
          <w:color w:val="auto"/>
          <w:sz w:val="24"/>
          <w:highlight w:val="none"/>
        </w:rPr>
        <w:t>盖</w:t>
      </w:r>
      <w:r>
        <w:rPr>
          <w:rFonts w:hint="eastAsia" w:ascii="宋体" w:hAnsi="宋体" w:cs="仿宋"/>
          <w:color w:val="auto"/>
          <w:sz w:val="24"/>
          <w:highlight w:val="none"/>
        </w:rPr>
        <w:t>CA</w:t>
      </w:r>
      <w:r>
        <w:rPr>
          <w:rFonts w:ascii="宋体" w:hAnsi="宋体" w:cs="仿宋"/>
          <w:color w:val="auto"/>
          <w:sz w:val="24"/>
          <w:highlight w:val="none"/>
        </w:rPr>
        <w:t>电子公章）</w:t>
      </w:r>
    </w:p>
    <w:p w14:paraId="03BF11A7">
      <w:pPr>
        <w:pStyle w:val="113"/>
        <w:widowControl w:val="0"/>
        <w:spacing w:before="0" w:beforeAutospacing="0" w:after="0" w:afterAutospacing="0" w:line="400" w:lineRule="exact"/>
        <w:ind w:firstLine="482"/>
        <w:jc w:val="both"/>
        <w:rPr>
          <w:rFonts w:cs="仿宋"/>
          <w:b/>
          <w:bCs/>
          <w:color w:val="auto"/>
          <w:szCs w:val="28"/>
          <w:highlight w:val="none"/>
        </w:rPr>
      </w:pPr>
    </w:p>
    <w:p w14:paraId="6BAE6ABC">
      <w:pPr>
        <w:pStyle w:val="113"/>
        <w:widowControl w:val="0"/>
        <w:spacing w:before="0" w:beforeAutospacing="0" w:after="0" w:afterAutospacing="0" w:line="400" w:lineRule="exact"/>
        <w:ind w:firstLine="482"/>
        <w:jc w:val="both"/>
        <w:rPr>
          <w:rFonts w:ascii="Times New Roman" w:hAnsi="Times New Roman"/>
          <w:b/>
          <w:bCs/>
          <w:color w:val="auto"/>
          <w:szCs w:val="20"/>
          <w:highlight w:val="none"/>
        </w:rPr>
      </w:pPr>
      <w:r>
        <w:rPr>
          <w:rFonts w:hint="eastAsia" w:ascii="Times New Roman" w:hAnsi="Times New Roman" w:cs="仿宋"/>
          <w:b/>
          <w:bCs/>
          <w:color w:val="auto"/>
          <w:szCs w:val="28"/>
          <w:highlight w:val="none"/>
        </w:rPr>
        <w:t>备注：</w:t>
      </w:r>
      <w:r>
        <w:rPr>
          <w:rFonts w:hint="eastAsia" w:ascii="Times New Roman" w:hAnsi="Times New Roman" w:cs="仿宋"/>
          <w:color w:val="auto"/>
          <w:szCs w:val="28"/>
          <w:highlight w:val="none"/>
        </w:rPr>
        <w:t>1</w:t>
      </w:r>
      <w:bookmarkStart w:id="158" w:name="_Hlk187934629"/>
      <w:r>
        <w:rPr>
          <w:rFonts w:hint="eastAsia" w:ascii="Times New Roman" w:hAnsi="Times New Roman" w:cs="仿宋"/>
          <w:color w:val="auto"/>
          <w:szCs w:val="28"/>
          <w:highlight w:val="none"/>
        </w:rPr>
        <w:t>.</w:t>
      </w:r>
      <w:r>
        <w:rPr>
          <w:rFonts w:hint="eastAsia" w:ascii="Times New Roman" w:hAnsi="Times New Roman"/>
          <w:color w:val="auto"/>
          <w:szCs w:val="20"/>
          <w:highlight w:val="none"/>
        </w:rPr>
        <w:t>针对采购需求中的实质性要求（“★”内容），投标人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b/>
          <w:bCs/>
          <w:color w:val="auto"/>
          <w:szCs w:val="20"/>
          <w:highlight w:val="none"/>
        </w:rPr>
        <w:t>作无效响应处理。</w:t>
      </w:r>
    </w:p>
    <w:p w14:paraId="35C70F6C">
      <w:pPr>
        <w:pStyle w:val="113"/>
        <w:widowControl w:val="0"/>
        <w:spacing w:before="0" w:beforeAutospacing="0" w:after="0" w:afterAutospacing="0" w:line="400" w:lineRule="exact"/>
        <w:ind w:firstLine="480"/>
        <w:jc w:val="both"/>
        <w:rPr>
          <w:rFonts w:ascii="Times New Roman" w:hAnsi="Times New Roman"/>
          <w:color w:val="auto"/>
          <w:szCs w:val="20"/>
          <w:highlight w:val="none"/>
        </w:rPr>
      </w:pPr>
      <w:r>
        <w:rPr>
          <w:rFonts w:hint="eastAsia" w:ascii="Times New Roman" w:hAnsi="Times New Roman" w:cs="仿宋"/>
          <w:color w:val="auto"/>
          <w:szCs w:val="28"/>
          <w:highlight w:val="none"/>
        </w:rPr>
        <w:t>2.对采购需求的其它非实质性要求，投标人按所投产品情况</w:t>
      </w:r>
      <w:r>
        <w:rPr>
          <w:rFonts w:ascii="Times New Roman" w:hAnsi="Times New Roman" w:cs="仿宋"/>
          <w:color w:val="auto"/>
          <w:szCs w:val="28"/>
          <w:highlight w:val="none"/>
        </w:rPr>
        <w:t>在此表中详细列出偏离情况（包括正偏离、负偏离、无偏离）并说明理由</w:t>
      </w:r>
      <w:r>
        <w:rPr>
          <w:rFonts w:hint="eastAsia" w:ascii="Times New Roman" w:hAnsi="Times New Roman" w:cs="仿宋"/>
          <w:color w:val="auto"/>
          <w:szCs w:val="28"/>
          <w:highlight w:val="none"/>
        </w:rPr>
        <w:t>；未列明的均视为未响应招标文件要求</w:t>
      </w:r>
      <w:r>
        <w:rPr>
          <w:rFonts w:ascii="Times New Roman" w:hAnsi="Times New Roman" w:cs="仿宋"/>
          <w:color w:val="auto"/>
          <w:szCs w:val="28"/>
          <w:highlight w:val="none"/>
        </w:rPr>
        <w:t>。</w:t>
      </w:r>
      <w:bookmarkEnd w:id="158"/>
    </w:p>
    <w:p w14:paraId="03AF52E0">
      <w:pPr>
        <w:pBdr>
          <w:top w:val="none" w:color="000000" w:sz="0" w:space="0"/>
          <w:left w:val="none" w:color="000000" w:sz="0" w:space="0"/>
          <w:bottom w:val="none" w:color="000000" w:sz="0" w:space="0"/>
          <w:right w:val="none" w:color="000000" w:sz="0" w:space="0"/>
        </w:pBdr>
        <w:spacing w:line="400" w:lineRule="exact"/>
        <w:rPr>
          <w:rFonts w:hint="eastAsia" w:ascii="Times New Roman" w:hAnsi="Times New Roman"/>
          <w:color w:val="auto"/>
          <w:sz w:val="24"/>
          <w:szCs w:val="21"/>
          <w:highlight w:val="none"/>
        </w:rPr>
      </w:pPr>
    </w:p>
    <w:p w14:paraId="52FE63D6">
      <w:pPr>
        <w:pStyle w:val="39"/>
        <w:rPr>
          <w:rFonts w:hint="eastAsia" w:ascii="宋体" w:hAnsi="宋体" w:eastAsia="宋体" w:cs="宋体"/>
          <w:bCs/>
          <w:color w:val="auto"/>
          <w:highlight w:val="none"/>
        </w:rPr>
      </w:pPr>
      <w:bookmarkStart w:id="159" w:name="_Toc15871"/>
      <w:bookmarkStart w:id="160" w:name="_Toc25337"/>
      <w:r>
        <w:rPr>
          <w:rFonts w:hint="eastAsia" w:ascii="宋体" w:hAnsi="宋体" w:eastAsia="宋体" w:cs="宋体"/>
          <w:bCs/>
          <w:color w:val="auto"/>
          <w:highlight w:val="none"/>
          <w:lang w:val="en-US" w:eastAsia="zh-CN"/>
        </w:rPr>
        <w:t>六</w:t>
      </w:r>
      <w:r>
        <w:rPr>
          <w:rFonts w:hint="eastAsia" w:ascii="宋体" w:hAnsi="宋体" w:eastAsia="宋体" w:cs="宋体"/>
          <w:bCs/>
          <w:color w:val="auto"/>
          <w:highlight w:val="none"/>
        </w:rPr>
        <w:t>、项目组人员</w:t>
      </w:r>
    </w:p>
    <w:tbl>
      <w:tblPr>
        <w:tblStyle w:val="28"/>
        <w:tblpPr w:leftFromText="180" w:rightFromText="180" w:vertAnchor="text" w:horzAnchor="margin" w:tblpXSpec="center" w:tblpY="7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9"/>
        <w:gridCol w:w="1843"/>
        <w:gridCol w:w="992"/>
        <w:gridCol w:w="1984"/>
        <w:gridCol w:w="1702"/>
        <w:gridCol w:w="962"/>
      </w:tblGrid>
      <w:tr w14:paraId="2C6D25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6" w:hRule="atLeast"/>
        </w:trPr>
        <w:tc>
          <w:tcPr>
            <w:tcW w:w="959" w:type="dxa"/>
            <w:noWrap w:val="0"/>
            <w:vAlign w:val="center"/>
          </w:tcPr>
          <w:p w14:paraId="0503E075">
            <w:pPr>
              <w:pStyle w:val="445"/>
              <w:widowControl/>
              <w:spacing w:beforeAutospacing="1" w:line="560" w:lineRule="exact"/>
              <w:jc w:val="center"/>
              <w:rPr>
                <w:rFonts w:hint="eastAsia" w:ascii="宋体" w:hAnsi="宋体" w:cs="仿宋"/>
                <w:color w:val="auto"/>
                <w:sz w:val="28"/>
                <w:szCs w:val="28"/>
                <w:highlight w:val="none"/>
              </w:rPr>
            </w:pPr>
            <w:r>
              <w:rPr>
                <w:rFonts w:hint="eastAsia" w:ascii="宋体" w:hAnsi="宋体" w:cs="仿宋"/>
                <w:color w:val="auto"/>
                <w:sz w:val="28"/>
                <w:szCs w:val="28"/>
                <w:highlight w:val="none"/>
              </w:rPr>
              <w:t>姓名</w:t>
            </w:r>
          </w:p>
        </w:tc>
        <w:tc>
          <w:tcPr>
            <w:tcW w:w="1843" w:type="dxa"/>
            <w:noWrap w:val="0"/>
            <w:vAlign w:val="center"/>
          </w:tcPr>
          <w:p w14:paraId="0883E278">
            <w:pPr>
              <w:pStyle w:val="445"/>
              <w:widowControl/>
              <w:spacing w:beforeAutospacing="1" w:line="560" w:lineRule="exact"/>
              <w:jc w:val="center"/>
              <w:rPr>
                <w:rFonts w:hint="eastAsia" w:ascii="宋体" w:hAnsi="宋体" w:cs="仿宋"/>
                <w:color w:val="auto"/>
                <w:sz w:val="28"/>
                <w:szCs w:val="28"/>
                <w:highlight w:val="none"/>
              </w:rPr>
            </w:pPr>
            <w:r>
              <w:rPr>
                <w:rFonts w:hint="eastAsia" w:ascii="宋体" w:hAnsi="宋体" w:cs="仿宋"/>
                <w:color w:val="auto"/>
                <w:sz w:val="28"/>
                <w:szCs w:val="28"/>
                <w:highlight w:val="none"/>
              </w:rPr>
              <w:t>职务</w:t>
            </w:r>
          </w:p>
        </w:tc>
        <w:tc>
          <w:tcPr>
            <w:tcW w:w="992" w:type="dxa"/>
            <w:noWrap w:val="0"/>
            <w:vAlign w:val="center"/>
          </w:tcPr>
          <w:p w14:paraId="50622DBD">
            <w:pPr>
              <w:pStyle w:val="445"/>
              <w:widowControl/>
              <w:spacing w:beforeAutospacing="1" w:line="560" w:lineRule="exact"/>
              <w:jc w:val="center"/>
              <w:rPr>
                <w:rFonts w:hint="eastAsia" w:ascii="宋体" w:hAnsi="宋体" w:cs="仿宋"/>
                <w:color w:val="auto"/>
                <w:sz w:val="28"/>
                <w:szCs w:val="28"/>
                <w:highlight w:val="none"/>
              </w:rPr>
            </w:pPr>
            <w:r>
              <w:rPr>
                <w:rFonts w:hint="eastAsia" w:ascii="宋体" w:hAnsi="宋体" w:cs="仿宋"/>
                <w:color w:val="auto"/>
                <w:sz w:val="28"/>
                <w:szCs w:val="28"/>
                <w:highlight w:val="none"/>
              </w:rPr>
              <w:t>学历</w:t>
            </w:r>
          </w:p>
        </w:tc>
        <w:tc>
          <w:tcPr>
            <w:tcW w:w="1984" w:type="dxa"/>
            <w:noWrap w:val="0"/>
            <w:vAlign w:val="center"/>
          </w:tcPr>
          <w:p w14:paraId="14269475">
            <w:pPr>
              <w:pStyle w:val="445"/>
              <w:widowControl/>
              <w:spacing w:beforeAutospacing="1" w:line="560" w:lineRule="exact"/>
              <w:ind w:firstLine="280"/>
              <w:rPr>
                <w:rFonts w:hint="eastAsia" w:ascii="宋体" w:hAnsi="宋体" w:cs="仿宋"/>
                <w:color w:val="auto"/>
                <w:sz w:val="28"/>
                <w:szCs w:val="28"/>
                <w:highlight w:val="none"/>
              </w:rPr>
            </w:pPr>
            <w:r>
              <w:rPr>
                <w:rFonts w:hint="eastAsia" w:ascii="宋体" w:hAnsi="宋体" w:cs="仿宋"/>
                <w:color w:val="auto"/>
                <w:sz w:val="28"/>
                <w:szCs w:val="28"/>
                <w:highlight w:val="none"/>
              </w:rPr>
              <w:t>身份证号</w:t>
            </w:r>
          </w:p>
        </w:tc>
        <w:tc>
          <w:tcPr>
            <w:tcW w:w="1702" w:type="dxa"/>
            <w:noWrap w:val="0"/>
            <w:vAlign w:val="center"/>
          </w:tcPr>
          <w:p w14:paraId="590746AF">
            <w:pPr>
              <w:pStyle w:val="445"/>
              <w:widowControl/>
              <w:spacing w:beforeAutospacing="1" w:line="560" w:lineRule="exact"/>
              <w:jc w:val="center"/>
              <w:rPr>
                <w:rFonts w:hint="eastAsia" w:ascii="宋体" w:hAnsi="宋体" w:cs="仿宋"/>
                <w:color w:val="auto"/>
                <w:sz w:val="28"/>
                <w:szCs w:val="28"/>
                <w:highlight w:val="none"/>
              </w:rPr>
            </w:pPr>
            <w:r>
              <w:rPr>
                <w:rFonts w:hint="eastAsia" w:ascii="宋体" w:hAnsi="宋体" w:cs="仿宋"/>
                <w:color w:val="auto"/>
                <w:sz w:val="28"/>
                <w:szCs w:val="28"/>
                <w:highlight w:val="none"/>
              </w:rPr>
              <w:t>相关证书</w:t>
            </w:r>
          </w:p>
        </w:tc>
        <w:tc>
          <w:tcPr>
            <w:tcW w:w="962" w:type="dxa"/>
            <w:noWrap w:val="0"/>
            <w:vAlign w:val="center"/>
          </w:tcPr>
          <w:p w14:paraId="45CBED91">
            <w:pPr>
              <w:pStyle w:val="445"/>
              <w:widowControl/>
              <w:spacing w:beforeAutospacing="1" w:line="560" w:lineRule="exact"/>
              <w:rPr>
                <w:rFonts w:hint="eastAsia" w:ascii="宋体" w:hAnsi="宋体" w:cs="仿宋"/>
                <w:color w:val="auto"/>
                <w:sz w:val="28"/>
                <w:szCs w:val="28"/>
                <w:highlight w:val="none"/>
              </w:rPr>
            </w:pPr>
            <w:r>
              <w:rPr>
                <w:rFonts w:hint="eastAsia" w:ascii="宋体" w:hAnsi="宋体" w:cs="仿宋"/>
                <w:color w:val="auto"/>
                <w:sz w:val="28"/>
                <w:szCs w:val="28"/>
                <w:highlight w:val="none"/>
              </w:rPr>
              <w:t>备注</w:t>
            </w:r>
          </w:p>
        </w:tc>
      </w:tr>
      <w:tr w14:paraId="2ABCD6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4E096A5B">
            <w:pPr>
              <w:pStyle w:val="445"/>
              <w:widowControl/>
              <w:spacing w:line="560" w:lineRule="exact"/>
              <w:ind w:firstLine="560"/>
              <w:jc w:val="center"/>
              <w:rPr>
                <w:rFonts w:hint="eastAsia" w:ascii="仿宋" w:hAnsi="仿宋" w:eastAsia="仿宋" w:cs="仿宋"/>
                <w:color w:val="auto"/>
                <w:sz w:val="28"/>
                <w:szCs w:val="28"/>
                <w:highlight w:val="none"/>
              </w:rPr>
            </w:pPr>
          </w:p>
        </w:tc>
        <w:tc>
          <w:tcPr>
            <w:tcW w:w="1843" w:type="dxa"/>
            <w:noWrap w:val="0"/>
            <w:vAlign w:val="center"/>
          </w:tcPr>
          <w:p w14:paraId="65046496">
            <w:pPr>
              <w:pStyle w:val="505"/>
              <w:jc w:val="center"/>
              <w:rPr>
                <w:rFonts w:hint="eastAsia" w:ascii="仿宋" w:hAnsi="仿宋" w:eastAsia="仿宋" w:cs="仿宋"/>
                <w:color w:val="auto"/>
                <w:sz w:val="20"/>
                <w:szCs w:val="20"/>
                <w:highlight w:val="none"/>
              </w:rPr>
            </w:pPr>
          </w:p>
        </w:tc>
        <w:tc>
          <w:tcPr>
            <w:tcW w:w="992" w:type="dxa"/>
            <w:noWrap w:val="0"/>
            <w:vAlign w:val="center"/>
          </w:tcPr>
          <w:p w14:paraId="68D92860">
            <w:pPr>
              <w:pStyle w:val="445"/>
              <w:widowControl/>
              <w:spacing w:line="560" w:lineRule="exact"/>
              <w:ind w:firstLine="560"/>
              <w:jc w:val="center"/>
              <w:rPr>
                <w:rFonts w:hint="eastAsia" w:ascii="仿宋" w:hAnsi="仿宋" w:eastAsia="仿宋" w:cs="仿宋"/>
                <w:color w:val="auto"/>
                <w:sz w:val="28"/>
                <w:szCs w:val="28"/>
                <w:highlight w:val="none"/>
              </w:rPr>
            </w:pPr>
          </w:p>
        </w:tc>
        <w:tc>
          <w:tcPr>
            <w:tcW w:w="1984" w:type="dxa"/>
            <w:noWrap w:val="0"/>
            <w:vAlign w:val="center"/>
          </w:tcPr>
          <w:p w14:paraId="3D101A2F">
            <w:pPr>
              <w:pStyle w:val="445"/>
              <w:widowControl/>
              <w:spacing w:line="560" w:lineRule="exact"/>
              <w:ind w:firstLine="560"/>
              <w:jc w:val="center"/>
              <w:rPr>
                <w:rFonts w:hint="eastAsia" w:ascii="仿宋" w:hAnsi="仿宋" w:eastAsia="仿宋" w:cs="仿宋"/>
                <w:color w:val="auto"/>
                <w:sz w:val="28"/>
                <w:szCs w:val="28"/>
                <w:highlight w:val="none"/>
              </w:rPr>
            </w:pPr>
          </w:p>
        </w:tc>
        <w:tc>
          <w:tcPr>
            <w:tcW w:w="1702" w:type="dxa"/>
            <w:noWrap w:val="0"/>
            <w:vAlign w:val="center"/>
          </w:tcPr>
          <w:p w14:paraId="5AF4B277">
            <w:pPr>
              <w:pStyle w:val="445"/>
              <w:widowControl/>
              <w:spacing w:line="560" w:lineRule="exact"/>
              <w:ind w:firstLine="560"/>
              <w:jc w:val="center"/>
              <w:rPr>
                <w:rFonts w:hint="eastAsia" w:ascii="仿宋" w:hAnsi="仿宋" w:eastAsia="仿宋" w:cs="仿宋"/>
                <w:color w:val="auto"/>
                <w:sz w:val="28"/>
                <w:szCs w:val="28"/>
                <w:highlight w:val="none"/>
              </w:rPr>
            </w:pPr>
          </w:p>
        </w:tc>
        <w:tc>
          <w:tcPr>
            <w:tcW w:w="962" w:type="dxa"/>
            <w:noWrap w:val="0"/>
            <w:vAlign w:val="center"/>
          </w:tcPr>
          <w:p w14:paraId="2B66226F">
            <w:pPr>
              <w:pStyle w:val="445"/>
              <w:widowControl/>
              <w:spacing w:line="560" w:lineRule="exact"/>
              <w:ind w:firstLine="560"/>
              <w:jc w:val="center"/>
              <w:rPr>
                <w:rFonts w:hint="eastAsia" w:ascii="仿宋" w:hAnsi="仿宋" w:eastAsia="仿宋" w:cs="仿宋"/>
                <w:color w:val="auto"/>
                <w:sz w:val="28"/>
                <w:szCs w:val="28"/>
                <w:highlight w:val="none"/>
              </w:rPr>
            </w:pPr>
          </w:p>
        </w:tc>
      </w:tr>
      <w:tr w14:paraId="714F2C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2DC2F8D1">
            <w:pPr>
              <w:pStyle w:val="445"/>
              <w:widowControl/>
              <w:spacing w:line="560" w:lineRule="exact"/>
              <w:ind w:firstLine="560"/>
              <w:jc w:val="center"/>
              <w:rPr>
                <w:rFonts w:hint="eastAsia" w:ascii="仿宋" w:hAnsi="仿宋" w:eastAsia="仿宋" w:cs="仿宋"/>
                <w:color w:val="auto"/>
                <w:sz w:val="28"/>
                <w:szCs w:val="28"/>
                <w:highlight w:val="none"/>
              </w:rPr>
            </w:pPr>
          </w:p>
        </w:tc>
        <w:tc>
          <w:tcPr>
            <w:tcW w:w="1843" w:type="dxa"/>
            <w:noWrap w:val="0"/>
            <w:vAlign w:val="center"/>
          </w:tcPr>
          <w:p w14:paraId="3FE7F6A8">
            <w:pPr>
              <w:pStyle w:val="505"/>
              <w:jc w:val="center"/>
              <w:rPr>
                <w:rFonts w:hint="eastAsia" w:ascii="仿宋" w:hAnsi="仿宋" w:eastAsia="仿宋" w:cs="仿宋"/>
                <w:color w:val="auto"/>
                <w:sz w:val="20"/>
                <w:szCs w:val="20"/>
                <w:highlight w:val="none"/>
              </w:rPr>
            </w:pPr>
          </w:p>
        </w:tc>
        <w:tc>
          <w:tcPr>
            <w:tcW w:w="992" w:type="dxa"/>
            <w:noWrap w:val="0"/>
            <w:vAlign w:val="center"/>
          </w:tcPr>
          <w:p w14:paraId="452900E6">
            <w:pPr>
              <w:pStyle w:val="445"/>
              <w:widowControl/>
              <w:spacing w:line="560" w:lineRule="exact"/>
              <w:ind w:firstLine="560"/>
              <w:jc w:val="center"/>
              <w:rPr>
                <w:rFonts w:hint="eastAsia" w:ascii="仿宋" w:hAnsi="仿宋" w:eastAsia="仿宋" w:cs="仿宋"/>
                <w:color w:val="auto"/>
                <w:sz w:val="28"/>
                <w:szCs w:val="28"/>
                <w:highlight w:val="none"/>
              </w:rPr>
            </w:pPr>
          </w:p>
        </w:tc>
        <w:tc>
          <w:tcPr>
            <w:tcW w:w="1984" w:type="dxa"/>
            <w:noWrap w:val="0"/>
            <w:vAlign w:val="center"/>
          </w:tcPr>
          <w:p w14:paraId="71E48339">
            <w:pPr>
              <w:pStyle w:val="445"/>
              <w:widowControl/>
              <w:spacing w:line="560" w:lineRule="exact"/>
              <w:ind w:firstLine="560"/>
              <w:jc w:val="center"/>
              <w:rPr>
                <w:rFonts w:hint="eastAsia" w:ascii="仿宋" w:hAnsi="仿宋" w:eastAsia="仿宋" w:cs="仿宋"/>
                <w:color w:val="auto"/>
                <w:sz w:val="28"/>
                <w:szCs w:val="28"/>
                <w:highlight w:val="none"/>
              </w:rPr>
            </w:pPr>
          </w:p>
        </w:tc>
        <w:tc>
          <w:tcPr>
            <w:tcW w:w="1702" w:type="dxa"/>
            <w:noWrap w:val="0"/>
            <w:vAlign w:val="center"/>
          </w:tcPr>
          <w:p w14:paraId="755E38F3">
            <w:pPr>
              <w:pStyle w:val="445"/>
              <w:widowControl/>
              <w:spacing w:line="560" w:lineRule="exact"/>
              <w:ind w:firstLine="560"/>
              <w:jc w:val="center"/>
              <w:rPr>
                <w:rFonts w:hint="eastAsia" w:ascii="仿宋" w:hAnsi="仿宋" w:eastAsia="仿宋" w:cs="仿宋"/>
                <w:color w:val="auto"/>
                <w:sz w:val="28"/>
                <w:szCs w:val="28"/>
                <w:highlight w:val="none"/>
              </w:rPr>
            </w:pPr>
          </w:p>
        </w:tc>
        <w:tc>
          <w:tcPr>
            <w:tcW w:w="962" w:type="dxa"/>
            <w:noWrap w:val="0"/>
            <w:vAlign w:val="center"/>
          </w:tcPr>
          <w:p w14:paraId="642796DC">
            <w:pPr>
              <w:pStyle w:val="445"/>
              <w:widowControl/>
              <w:spacing w:line="560" w:lineRule="exact"/>
              <w:ind w:firstLine="560"/>
              <w:jc w:val="center"/>
              <w:rPr>
                <w:rFonts w:hint="eastAsia" w:ascii="仿宋" w:hAnsi="仿宋" w:eastAsia="仿宋" w:cs="仿宋"/>
                <w:color w:val="auto"/>
                <w:sz w:val="28"/>
                <w:szCs w:val="28"/>
                <w:highlight w:val="none"/>
              </w:rPr>
            </w:pPr>
          </w:p>
        </w:tc>
      </w:tr>
      <w:tr w14:paraId="647A84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4AC529FE">
            <w:pPr>
              <w:pStyle w:val="445"/>
              <w:widowControl/>
              <w:spacing w:line="560" w:lineRule="exact"/>
              <w:ind w:firstLine="560"/>
              <w:jc w:val="center"/>
              <w:rPr>
                <w:rFonts w:hint="eastAsia" w:ascii="仿宋" w:hAnsi="仿宋" w:eastAsia="仿宋" w:cs="仿宋"/>
                <w:color w:val="auto"/>
                <w:sz w:val="28"/>
                <w:szCs w:val="28"/>
                <w:highlight w:val="none"/>
              </w:rPr>
            </w:pPr>
          </w:p>
        </w:tc>
        <w:tc>
          <w:tcPr>
            <w:tcW w:w="1843" w:type="dxa"/>
            <w:noWrap w:val="0"/>
            <w:vAlign w:val="center"/>
          </w:tcPr>
          <w:p w14:paraId="412ABC73">
            <w:pPr>
              <w:pStyle w:val="505"/>
              <w:jc w:val="center"/>
              <w:rPr>
                <w:rFonts w:hint="eastAsia" w:ascii="仿宋" w:hAnsi="仿宋" w:eastAsia="仿宋" w:cs="仿宋"/>
                <w:color w:val="auto"/>
                <w:sz w:val="20"/>
                <w:szCs w:val="20"/>
                <w:highlight w:val="none"/>
              </w:rPr>
            </w:pPr>
          </w:p>
        </w:tc>
        <w:tc>
          <w:tcPr>
            <w:tcW w:w="992" w:type="dxa"/>
            <w:noWrap w:val="0"/>
            <w:vAlign w:val="center"/>
          </w:tcPr>
          <w:p w14:paraId="48A54FAD">
            <w:pPr>
              <w:pStyle w:val="445"/>
              <w:widowControl/>
              <w:spacing w:line="560" w:lineRule="exact"/>
              <w:ind w:firstLine="560"/>
              <w:jc w:val="center"/>
              <w:rPr>
                <w:rFonts w:hint="eastAsia" w:ascii="仿宋" w:hAnsi="仿宋" w:eastAsia="仿宋" w:cs="仿宋"/>
                <w:color w:val="auto"/>
                <w:sz w:val="28"/>
                <w:szCs w:val="28"/>
                <w:highlight w:val="none"/>
              </w:rPr>
            </w:pPr>
          </w:p>
        </w:tc>
        <w:tc>
          <w:tcPr>
            <w:tcW w:w="1984" w:type="dxa"/>
            <w:noWrap w:val="0"/>
            <w:vAlign w:val="center"/>
          </w:tcPr>
          <w:p w14:paraId="624A2955">
            <w:pPr>
              <w:pStyle w:val="445"/>
              <w:widowControl/>
              <w:spacing w:line="560" w:lineRule="exact"/>
              <w:ind w:firstLine="560"/>
              <w:jc w:val="center"/>
              <w:rPr>
                <w:rFonts w:hint="eastAsia" w:ascii="仿宋" w:hAnsi="仿宋" w:eastAsia="仿宋" w:cs="仿宋"/>
                <w:color w:val="auto"/>
                <w:sz w:val="28"/>
                <w:szCs w:val="28"/>
                <w:highlight w:val="none"/>
              </w:rPr>
            </w:pPr>
          </w:p>
        </w:tc>
        <w:tc>
          <w:tcPr>
            <w:tcW w:w="1702" w:type="dxa"/>
            <w:noWrap w:val="0"/>
            <w:vAlign w:val="center"/>
          </w:tcPr>
          <w:p w14:paraId="29D96060">
            <w:pPr>
              <w:pStyle w:val="445"/>
              <w:widowControl/>
              <w:spacing w:line="560" w:lineRule="exact"/>
              <w:ind w:firstLine="560"/>
              <w:jc w:val="center"/>
              <w:rPr>
                <w:rFonts w:hint="eastAsia" w:ascii="仿宋" w:hAnsi="仿宋" w:eastAsia="仿宋" w:cs="仿宋"/>
                <w:color w:val="auto"/>
                <w:sz w:val="28"/>
                <w:szCs w:val="28"/>
                <w:highlight w:val="none"/>
              </w:rPr>
            </w:pPr>
          </w:p>
        </w:tc>
        <w:tc>
          <w:tcPr>
            <w:tcW w:w="962" w:type="dxa"/>
            <w:noWrap w:val="0"/>
            <w:vAlign w:val="center"/>
          </w:tcPr>
          <w:p w14:paraId="6F029489">
            <w:pPr>
              <w:pStyle w:val="445"/>
              <w:widowControl/>
              <w:spacing w:line="560" w:lineRule="exact"/>
              <w:ind w:firstLine="560"/>
              <w:jc w:val="center"/>
              <w:rPr>
                <w:rFonts w:hint="eastAsia" w:ascii="仿宋" w:hAnsi="仿宋" w:eastAsia="仿宋" w:cs="仿宋"/>
                <w:color w:val="auto"/>
                <w:sz w:val="28"/>
                <w:szCs w:val="28"/>
                <w:highlight w:val="none"/>
              </w:rPr>
            </w:pPr>
          </w:p>
        </w:tc>
      </w:tr>
      <w:tr w14:paraId="367F3F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46ECE212">
            <w:pPr>
              <w:pStyle w:val="445"/>
              <w:widowControl/>
              <w:spacing w:line="560" w:lineRule="exact"/>
              <w:ind w:firstLine="560"/>
              <w:jc w:val="center"/>
              <w:rPr>
                <w:rFonts w:hint="eastAsia" w:ascii="仿宋" w:hAnsi="仿宋" w:eastAsia="仿宋" w:cs="仿宋"/>
                <w:color w:val="auto"/>
                <w:sz w:val="28"/>
                <w:szCs w:val="28"/>
                <w:highlight w:val="none"/>
              </w:rPr>
            </w:pPr>
          </w:p>
        </w:tc>
        <w:tc>
          <w:tcPr>
            <w:tcW w:w="1843" w:type="dxa"/>
            <w:noWrap w:val="0"/>
            <w:vAlign w:val="center"/>
          </w:tcPr>
          <w:p w14:paraId="7D27B508">
            <w:pPr>
              <w:pStyle w:val="505"/>
              <w:jc w:val="center"/>
              <w:rPr>
                <w:rFonts w:hint="eastAsia" w:ascii="仿宋" w:hAnsi="仿宋" w:eastAsia="仿宋" w:cs="仿宋"/>
                <w:color w:val="auto"/>
                <w:sz w:val="20"/>
                <w:szCs w:val="20"/>
                <w:highlight w:val="none"/>
              </w:rPr>
            </w:pPr>
          </w:p>
        </w:tc>
        <w:tc>
          <w:tcPr>
            <w:tcW w:w="992" w:type="dxa"/>
            <w:noWrap w:val="0"/>
            <w:vAlign w:val="center"/>
          </w:tcPr>
          <w:p w14:paraId="51648A18">
            <w:pPr>
              <w:pStyle w:val="445"/>
              <w:widowControl/>
              <w:spacing w:line="560" w:lineRule="exact"/>
              <w:ind w:firstLine="560"/>
              <w:jc w:val="center"/>
              <w:rPr>
                <w:rFonts w:hint="eastAsia" w:ascii="仿宋" w:hAnsi="仿宋" w:eastAsia="仿宋" w:cs="仿宋"/>
                <w:color w:val="auto"/>
                <w:sz w:val="28"/>
                <w:szCs w:val="28"/>
                <w:highlight w:val="none"/>
              </w:rPr>
            </w:pPr>
          </w:p>
        </w:tc>
        <w:tc>
          <w:tcPr>
            <w:tcW w:w="1984" w:type="dxa"/>
            <w:noWrap w:val="0"/>
            <w:vAlign w:val="center"/>
          </w:tcPr>
          <w:p w14:paraId="661F5A85">
            <w:pPr>
              <w:pStyle w:val="445"/>
              <w:widowControl/>
              <w:spacing w:line="560" w:lineRule="exact"/>
              <w:ind w:firstLine="560"/>
              <w:jc w:val="center"/>
              <w:rPr>
                <w:rFonts w:hint="eastAsia" w:ascii="仿宋" w:hAnsi="仿宋" w:eastAsia="仿宋" w:cs="仿宋"/>
                <w:color w:val="auto"/>
                <w:sz w:val="28"/>
                <w:szCs w:val="28"/>
                <w:highlight w:val="none"/>
              </w:rPr>
            </w:pPr>
          </w:p>
        </w:tc>
        <w:tc>
          <w:tcPr>
            <w:tcW w:w="1702" w:type="dxa"/>
            <w:noWrap w:val="0"/>
            <w:vAlign w:val="center"/>
          </w:tcPr>
          <w:p w14:paraId="33875DDE">
            <w:pPr>
              <w:pStyle w:val="445"/>
              <w:widowControl/>
              <w:spacing w:line="560" w:lineRule="exact"/>
              <w:ind w:firstLine="560"/>
              <w:jc w:val="center"/>
              <w:rPr>
                <w:rFonts w:hint="eastAsia" w:ascii="仿宋" w:hAnsi="仿宋" w:eastAsia="仿宋" w:cs="仿宋"/>
                <w:color w:val="auto"/>
                <w:sz w:val="28"/>
                <w:szCs w:val="28"/>
                <w:highlight w:val="none"/>
              </w:rPr>
            </w:pPr>
          </w:p>
        </w:tc>
        <w:tc>
          <w:tcPr>
            <w:tcW w:w="962" w:type="dxa"/>
            <w:noWrap w:val="0"/>
            <w:vAlign w:val="center"/>
          </w:tcPr>
          <w:p w14:paraId="15AEDD43">
            <w:pPr>
              <w:pStyle w:val="445"/>
              <w:widowControl/>
              <w:spacing w:line="560" w:lineRule="exact"/>
              <w:ind w:firstLine="560"/>
              <w:jc w:val="center"/>
              <w:rPr>
                <w:rFonts w:hint="eastAsia" w:ascii="仿宋" w:hAnsi="仿宋" w:eastAsia="仿宋" w:cs="仿宋"/>
                <w:color w:val="auto"/>
                <w:sz w:val="28"/>
                <w:szCs w:val="28"/>
                <w:highlight w:val="none"/>
              </w:rPr>
            </w:pPr>
          </w:p>
        </w:tc>
      </w:tr>
      <w:tr w14:paraId="776079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47D7346A">
            <w:pPr>
              <w:pStyle w:val="445"/>
              <w:widowControl/>
              <w:spacing w:line="560" w:lineRule="exact"/>
              <w:ind w:firstLine="560"/>
              <w:jc w:val="center"/>
              <w:rPr>
                <w:rFonts w:hint="eastAsia" w:ascii="仿宋" w:hAnsi="仿宋" w:eastAsia="仿宋" w:cs="仿宋"/>
                <w:color w:val="auto"/>
                <w:sz w:val="28"/>
                <w:szCs w:val="28"/>
                <w:highlight w:val="none"/>
              </w:rPr>
            </w:pPr>
          </w:p>
        </w:tc>
        <w:tc>
          <w:tcPr>
            <w:tcW w:w="1843" w:type="dxa"/>
            <w:noWrap w:val="0"/>
            <w:vAlign w:val="center"/>
          </w:tcPr>
          <w:p w14:paraId="77D45DC3">
            <w:pPr>
              <w:pStyle w:val="505"/>
              <w:jc w:val="center"/>
              <w:rPr>
                <w:rFonts w:hint="eastAsia" w:ascii="仿宋" w:hAnsi="仿宋" w:eastAsia="仿宋" w:cs="仿宋"/>
                <w:color w:val="auto"/>
                <w:sz w:val="20"/>
                <w:szCs w:val="20"/>
                <w:highlight w:val="none"/>
              </w:rPr>
            </w:pPr>
          </w:p>
        </w:tc>
        <w:tc>
          <w:tcPr>
            <w:tcW w:w="992" w:type="dxa"/>
            <w:noWrap w:val="0"/>
            <w:vAlign w:val="center"/>
          </w:tcPr>
          <w:p w14:paraId="7E94F3BF">
            <w:pPr>
              <w:pStyle w:val="445"/>
              <w:widowControl/>
              <w:spacing w:line="560" w:lineRule="exact"/>
              <w:ind w:firstLine="560"/>
              <w:jc w:val="center"/>
              <w:rPr>
                <w:rFonts w:hint="eastAsia" w:ascii="仿宋" w:hAnsi="仿宋" w:eastAsia="仿宋" w:cs="仿宋"/>
                <w:color w:val="auto"/>
                <w:sz w:val="28"/>
                <w:szCs w:val="28"/>
                <w:highlight w:val="none"/>
              </w:rPr>
            </w:pPr>
          </w:p>
        </w:tc>
        <w:tc>
          <w:tcPr>
            <w:tcW w:w="1984" w:type="dxa"/>
            <w:noWrap w:val="0"/>
            <w:vAlign w:val="center"/>
          </w:tcPr>
          <w:p w14:paraId="77C83058">
            <w:pPr>
              <w:pStyle w:val="445"/>
              <w:widowControl/>
              <w:spacing w:line="560" w:lineRule="exact"/>
              <w:ind w:firstLine="560"/>
              <w:jc w:val="center"/>
              <w:rPr>
                <w:rFonts w:hint="eastAsia" w:ascii="仿宋" w:hAnsi="仿宋" w:eastAsia="仿宋" w:cs="仿宋"/>
                <w:color w:val="auto"/>
                <w:sz w:val="28"/>
                <w:szCs w:val="28"/>
                <w:highlight w:val="none"/>
              </w:rPr>
            </w:pPr>
          </w:p>
        </w:tc>
        <w:tc>
          <w:tcPr>
            <w:tcW w:w="1702" w:type="dxa"/>
            <w:noWrap w:val="0"/>
            <w:vAlign w:val="center"/>
          </w:tcPr>
          <w:p w14:paraId="6786012B">
            <w:pPr>
              <w:pStyle w:val="445"/>
              <w:widowControl/>
              <w:spacing w:line="560" w:lineRule="exact"/>
              <w:ind w:firstLine="560"/>
              <w:jc w:val="center"/>
              <w:rPr>
                <w:rFonts w:hint="eastAsia" w:ascii="仿宋" w:hAnsi="仿宋" w:eastAsia="仿宋" w:cs="仿宋"/>
                <w:color w:val="auto"/>
                <w:sz w:val="28"/>
                <w:szCs w:val="28"/>
                <w:highlight w:val="none"/>
              </w:rPr>
            </w:pPr>
          </w:p>
        </w:tc>
        <w:tc>
          <w:tcPr>
            <w:tcW w:w="962" w:type="dxa"/>
            <w:noWrap w:val="0"/>
            <w:vAlign w:val="center"/>
          </w:tcPr>
          <w:p w14:paraId="1C082356">
            <w:pPr>
              <w:pStyle w:val="445"/>
              <w:widowControl/>
              <w:spacing w:line="560" w:lineRule="exact"/>
              <w:ind w:firstLine="560"/>
              <w:jc w:val="center"/>
              <w:rPr>
                <w:rFonts w:hint="eastAsia" w:ascii="仿宋" w:hAnsi="仿宋" w:eastAsia="仿宋" w:cs="仿宋"/>
                <w:color w:val="auto"/>
                <w:sz w:val="28"/>
                <w:szCs w:val="28"/>
                <w:highlight w:val="none"/>
              </w:rPr>
            </w:pPr>
          </w:p>
        </w:tc>
      </w:tr>
      <w:tr w14:paraId="2522AF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1D892217">
            <w:pPr>
              <w:pStyle w:val="445"/>
              <w:widowControl/>
              <w:spacing w:line="560" w:lineRule="exact"/>
              <w:ind w:firstLine="560"/>
              <w:jc w:val="center"/>
              <w:rPr>
                <w:rFonts w:hint="eastAsia" w:ascii="仿宋" w:hAnsi="仿宋" w:eastAsia="仿宋" w:cs="仿宋"/>
                <w:color w:val="auto"/>
                <w:sz w:val="28"/>
                <w:szCs w:val="28"/>
                <w:highlight w:val="none"/>
              </w:rPr>
            </w:pPr>
          </w:p>
        </w:tc>
        <w:tc>
          <w:tcPr>
            <w:tcW w:w="1843" w:type="dxa"/>
            <w:noWrap w:val="0"/>
            <w:vAlign w:val="center"/>
          </w:tcPr>
          <w:p w14:paraId="0D27C85A">
            <w:pPr>
              <w:pStyle w:val="505"/>
              <w:jc w:val="center"/>
              <w:rPr>
                <w:rFonts w:hint="eastAsia" w:ascii="仿宋" w:hAnsi="仿宋" w:eastAsia="仿宋" w:cs="仿宋"/>
                <w:color w:val="auto"/>
                <w:sz w:val="20"/>
                <w:szCs w:val="20"/>
                <w:highlight w:val="none"/>
              </w:rPr>
            </w:pPr>
          </w:p>
        </w:tc>
        <w:tc>
          <w:tcPr>
            <w:tcW w:w="992" w:type="dxa"/>
            <w:noWrap w:val="0"/>
            <w:vAlign w:val="center"/>
          </w:tcPr>
          <w:p w14:paraId="6DCC0EB5">
            <w:pPr>
              <w:pStyle w:val="445"/>
              <w:widowControl/>
              <w:spacing w:line="560" w:lineRule="exact"/>
              <w:ind w:firstLine="560"/>
              <w:jc w:val="center"/>
              <w:rPr>
                <w:rFonts w:hint="eastAsia" w:ascii="仿宋" w:hAnsi="仿宋" w:eastAsia="仿宋" w:cs="仿宋"/>
                <w:color w:val="auto"/>
                <w:sz w:val="28"/>
                <w:szCs w:val="28"/>
                <w:highlight w:val="none"/>
              </w:rPr>
            </w:pPr>
          </w:p>
        </w:tc>
        <w:tc>
          <w:tcPr>
            <w:tcW w:w="1984" w:type="dxa"/>
            <w:noWrap w:val="0"/>
            <w:vAlign w:val="center"/>
          </w:tcPr>
          <w:p w14:paraId="1697A5A8">
            <w:pPr>
              <w:pStyle w:val="445"/>
              <w:widowControl/>
              <w:spacing w:line="560" w:lineRule="exact"/>
              <w:ind w:firstLine="560"/>
              <w:jc w:val="center"/>
              <w:rPr>
                <w:rFonts w:hint="eastAsia" w:ascii="仿宋" w:hAnsi="仿宋" w:eastAsia="仿宋" w:cs="仿宋"/>
                <w:color w:val="auto"/>
                <w:sz w:val="28"/>
                <w:szCs w:val="28"/>
                <w:highlight w:val="none"/>
              </w:rPr>
            </w:pPr>
          </w:p>
        </w:tc>
        <w:tc>
          <w:tcPr>
            <w:tcW w:w="1702" w:type="dxa"/>
            <w:noWrap w:val="0"/>
            <w:vAlign w:val="center"/>
          </w:tcPr>
          <w:p w14:paraId="6080673C">
            <w:pPr>
              <w:pStyle w:val="445"/>
              <w:widowControl/>
              <w:spacing w:line="560" w:lineRule="exact"/>
              <w:ind w:firstLine="560"/>
              <w:jc w:val="center"/>
              <w:rPr>
                <w:rFonts w:hint="eastAsia" w:ascii="仿宋" w:hAnsi="仿宋" w:eastAsia="仿宋" w:cs="仿宋"/>
                <w:color w:val="auto"/>
                <w:sz w:val="28"/>
                <w:szCs w:val="28"/>
                <w:highlight w:val="none"/>
              </w:rPr>
            </w:pPr>
          </w:p>
        </w:tc>
        <w:tc>
          <w:tcPr>
            <w:tcW w:w="962" w:type="dxa"/>
            <w:noWrap w:val="0"/>
            <w:vAlign w:val="center"/>
          </w:tcPr>
          <w:p w14:paraId="3D371075">
            <w:pPr>
              <w:pStyle w:val="445"/>
              <w:widowControl/>
              <w:spacing w:line="560" w:lineRule="exact"/>
              <w:ind w:firstLine="560"/>
              <w:jc w:val="center"/>
              <w:rPr>
                <w:rFonts w:hint="eastAsia" w:ascii="仿宋" w:hAnsi="仿宋" w:eastAsia="仿宋" w:cs="仿宋"/>
                <w:color w:val="auto"/>
                <w:sz w:val="28"/>
                <w:szCs w:val="28"/>
                <w:highlight w:val="none"/>
              </w:rPr>
            </w:pPr>
          </w:p>
        </w:tc>
      </w:tr>
      <w:tr w14:paraId="7AA2AF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345E262D">
            <w:pPr>
              <w:pStyle w:val="445"/>
              <w:widowControl/>
              <w:spacing w:line="560" w:lineRule="exact"/>
              <w:ind w:firstLine="560"/>
              <w:jc w:val="center"/>
              <w:rPr>
                <w:rFonts w:hint="eastAsia" w:ascii="仿宋" w:hAnsi="仿宋" w:eastAsia="仿宋" w:cs="仿宋"/>
                <w:color w:val="auto"/>
                <w:sz w:val="28"/>
                <w:szCs w:val="28"/>
                <w:highlight w:val="none"/>
              </w:rPr>
            </w:pPr>
          </w:p>
        </w:tc>
        <w:tc>
          <w:tcPr>
            <w:tcW w:w="1843" w:type="dxa"/>
            <w:noWrap w:val="0"/>
            <w:vAlign w:val="center"/>
          </w:tcPr>
          <w:p w14:paraId="1485B846">
            <w:pPr>
              <w:pStyle w:val="505"/>
              <w:jc w:val="center"/>
              <w:rPr>
                <w:rFonts w:hint="eastAsia" w:ascii="仿宋" w:hAnsi="仿宋" w:eastAsia="仿宋" w:cs="仿宋"/>
                <w:color w:val="auto"/>
                <w:sz w:val="20"/>
                <w:szCs w:val="20"/>
                <w:highlight w:val="none"/>
              </w:rPr>
            </w:pPr>
          </w:p>
        </w:tc>
        <w:tc>
          <w:tcPr>
            <w:tcW w:w="992" w:type="dxa"/>
            <w:noWrap w:val="0"/>
            <w:vAlign w:val="center"/>
          </w:tcPr>
          <w:p w14:paraId="09A79B7E">
            <w:pPr>
              <w:pStyle w:val="445"/>
              <w:widowControl/>
              <w:spacing w:line="560" w:lineRule="exact"/>
              <w:ind w:firstLine="560"/>
              <w:jc w:val="center"/>
              <w:rPr>
                <w:rFonts w:hint="eastAsia" w:ascii="仿宋" w:hAnsi="仿宋" w:eastAsia="仿宋" w:cs="仿宋"/>
                <w:color w:val="auto"/>
                <w:sz w:val="28"/>
                <w:szCs w:val="28"/>
                <w:highlight w:val="none"/>
              </w:rPr>
            </w:pPr>
          </w:p>
        </w:tc>
        <w:tc>
          <w:tcPr>
            <w:tcW w:w="1984" w:type="dxa"/>
            <w:noWrap w:val="0"/>
            <w:vAlign w:val="center"/>
          </w:tcPr>
          <w:p w14:paraId="773BD5F9">
            <w:pPr>
              <w:pStyle w:val="445"/>
              <w:widowControl/>
              <w:spacing w:line="560" w:lineRule="exact"/>
              <w:ind w:firstLine="560"/>
              <w:jc w:val="center"/>
              <w:rPr>
                <w:rFonts w:hint="eastAsia" w:ascii="仿宋" w:hAnsi="仿宋" w:eastAsia="仿宋" w:cs="仿宋"/>
                <w:color w:val="auto"/>
                <w:sz w:val="28"/>
                <w:szCs w:val="28"/>
                <w:highlight w:val="none"/>
              </w:rPr>
            </w:pPr>
          </w:p>
        </w:tc>
        <w:tc>
          <w:tcPr>
            <w:tcW w:w="1702" w:type="dxa"/>
            <w:noWrap w:val="0"/>
            <w:vAlign w:val="center"/>
          </w:tcPr>
          <w:p w14:paraId="1C868FE9">
            <w:pPr>
              <w:pStyle w:val="445"/>
              <w:widowControl/>
              <w:spacing w:line="560" w:lineRule="exact"/>
              <w:ind w:firstLine="560"/>
              <w:jc w:val="center"/>
              <w:rPr>
                <w:rFonts w:hint="eastAsia" w:ascii="仿宋" w:hAnsi="仿宋" w:eastAsia="仿宋" w:cs="仿宋"/>
                <w:color w:val="auto"/>
                <w:sz w:val="28"/>
                <w:szCs w:val="28"/>
                <w:highlight w:val="none"/>
              </w:rPr>
            </w:pPr>
          </w:p>
        </w:tc>
        <w:tc>
          <w:tcPr>
            <w:tcW w:w="962" w:type="dxa"/>
            <w:noWrap w:val="0"/>
            <w:vAlign w:val="center"/>
          </w:tcPr>
          <w:p w14:paraId="0DCD7752">
            <w:pPr>
              <w:pStyle w:val="445"/>
              <w:widowControl/>
              <w:spacing w:line="560" w:lineRule="exact"/>
              <w:ind w:firstLine="560"/>
              <w:jc w:val="center"/>
              <w:rPr>
                <w:rFonts w:hint="eastAsia" w:ascii="仿宋" w:hAnsi="仿宋" w:eastAsia="仿宋" w:cs="仿宋"/>
                <w:color w:val="auto"/>
                <w:sz w:val="28"/>
                <w:szCs w:val="28"/>
                <w:highlight w:val="none"/>
              </w:rPr>
            </w:pPr>
          </w:p>
        </w:tc>
      </w:tr>
      <w:tr w14:paraId="5BD4C9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2C712BCA">
            <w:pPr>
              <w:pStyle w:val="445"/>
              <w:widowControl/>
              <w:spacing w:line="560" w:lineRule="exact"/>
              <w:ind w:firstLine="560"/>
              <w:jc w:val="center"/>
              <w:rPr>
                <w:rFonts w:hint="eastAsia" w:ascii="仿宋" w:hAnsi="仿宋" w:eastAsia="仿宋" w:cs="仿宋"/>
                <w:color w:val="auto"/>
                <w:sz w:val="28"/>
                <w:szCs w:val="28"/>
                <w:highlight w:val="none"/>
              </w:rPr>
            </w:pPr>
          </w:p>
        </w:tc>
        <w:tc>
          <w:tcPr>
            <w:tcW w:w="1843" w:type="dxa"/>
            <w:noWrap w:val="0"/>
            <w:vAlign w:val="center"/>
          </w:tcPr>
          <w:p w14:paraId="584DDE83">
            <w:pPr>
              <w:pStyle w:val="505"/>
              <w:jc w:val="center"/>
              <w:rPr>
                <w:rFonts w:hint="eastAsia" w:ascii="仿宋" w:hAnsi="仿宋" w:eastAsia="仿宋" w:cs="仿宋"/>
                <w:color w:val="auto"/>
                <w:sz w:val="20"/>
                <w:szCs w:val="20"/>
                <w:highlight w:val="none"/>
              </w:rPr>
            </w:pPr>
          </w:p>
        </w:tc>
        <w:tc>
          <w:tcPr>
            <w:tcW w:w="992" w:type="dxa"/>
            <w:noWrap w:val="0"/>
            <w:vAlign w:val="center"/>
          </w:tcPr>
          <w:p w14:paraId="74EA380B">
            <w:pPr>
              <w:pStyle w:val="445"/>
              <w:widowControl/>
              <w:spacing w:line="560" w:lineRule="exact"/>
              <w:ind w:firstLine="560"/>
              <w:jc w:val="center"/>
              <w:rPr>
                <w:rFonts w:hint="eastAsia" w:ascii="仿宋" w:hAnsi="仿宋" w:eastAsia="仿宋" w:cs="仿宋"/>
                <w:color w:val="auto"/>
                <w:sz w:val="28"/>
                <w:szCs w:val="28"/>
                <w:highlight w:val="none"/>
              </w:rPr>
            </w:pPr>
          </w:p>
        </w:tc>
        <w:tc>
          <w:tcPr>
            <w:tcW w:w="1984" w:type="dxa"/>
            <w:noWrap w:val="0"/>
            <w:vAlign w:val="center"/>
          </w:tcPr>
          <w:p w14:paraId="08A6CE88">
            <w:pPr>
              <w:pStyle w:val="445"/>
              <w:widowControl/>
              <w:spacing w:line="560" w:lineRule="exact"/>
              <w:ind w:firstLine="560"/>
              <w:jc w:val="center"/>
              <w:rPr>
                <w:rFonts w:hint="eastAsia" w:ascii="仿宋" w:hAnsi="仿宋" w:eastAsia="仿宋" w:cs="仿宋"/>
                <w:color w:val="auto"/>
                <w:sz w:val="28"/>
                <w:szCs w:val="28"/>
                <w:highlight w:val="none"/>
              </w:rPr>
            </w:pPr>
          </w:p>
        </w:tc>
        <w:tc>
          <w:tcPr>
            <w:tcW w:w="1702" w:type="dxa"/>
            <w:noWrap w:val="0"/>
            <w:vAlign w:val="center"/>
          </w:tcPr>
          <w:p w14:paraId="1709F224">
            <w:pPr>
              <w:pStyle w:val="445"/>
              <w:widowControl/>
              <w:spacing w:line="560" w:lineRule="exact"/>
              <w:ind w:firstLine="560"/>
              <w:jc w:val="center"/>
              <w:rPr>
                <w:rFonts w:hint="eastAsia" w:ascii="仿宋" w:hAnsi="仿宋" w:eastAsia="仿宋" w:cs="仿宋"/>
                <w:color w:val="auto"/>
                <w:sz w:val="28"/>
                <w:szCs w:val="28"/>
                <w:highlight w:val="none"/>
              </w:rPr>
            </w:pPr>
          </w:p>
        </w:tc>
        <w:tc>
          <w:tcPr>
            <w:tcW w:w="962" w:type="dxa"/>
            <w:noWrap w:val="0"/>
            <w:vAlign w:val="center"/>
          </w:tcPr>
          <w:p w14:paraId="1BC3C3E1">
            <w:pPr>
              <w:pStyle w:val="445"/>
              <w:widowControl/>
              <w:spacing w:line="560" w:lineRule="exact"/>
              <w:ind w:firstLine="560"/>
              <w:jc w:val="center"/>
              <w:rPr>
                <w:rFonts w:hint="eastAsia" w:ascii="仿宋" w:hAnsi="仿宋" w:eastAsia="仿宋" w:cs="仿宋"/>
                <w:color w:val="auto"/>
                <w:sz w:val="28"/>
                <w:szCs w:val="28"/>
                <w:highlight w:val="none"/>
              </w:rPr>
            </w:pPr>
          </w:p>
        </w:tc>
      </w:tr>
    </w:tbl>
    <w:p w14:paraId="6F36B999">
      <w:pPr>
        <w:spacing w:line="480" w:lineRule="exact"/>
        <w:ind w:firstLine="210"/>
        <w:rPr>
          <w:rFonts w:hint="eastAsia" w:ascii="Times New Roman" w:hAnsi="Times New Roman" w:cs="宋体"/>
          <w:color w:val="auto"/>
          <w:sz w:val="24"/>
          <w:szCs w:val="20"/>
          <w:highlight w:val="none"/>
        </w:rPr>
      </w:pPr>
      <w:r>
        <w:rPr>
          <w:rFonts w:hint="eastAsia" w:ascii="Times New Roman" w:hAnsi="Times New Roman" w:cs="宋体"/>
          <w:color w:val="auto"/>
          <w:sz w:val="24"/>
          <w:szCs w:val="20"/>
          <w:highlight w:val="none"/>
        </w:rPr>
        <w:t>注：如投标人中标，项目组成员按本表承诺人员操作，不得随意更换。按采购文件要求附相关人员证书。</w:t>
      </w:r>
      <w:bookmarkStart w:id="161" w:name="_格式2__法定代表人授权书"/>
      <w:bookmarkEnd w:id="161"/>
    </w:p>
    <w:p w14:paraId="0869881D">
      <w:pPr>
        <w:ind w:firstLine="210"/>
        <w:rPr>
          <w:rFonts w:hint="eastAsia" w:ascii="仿宋" w:hAnsi="仿宋" w:eastAsia="仿宋" w:cs="仿宋"/>
          <w:color w:val="auto"/>
          <w:szCs w:val="21"/>
          <w:highlight w:val="none"/>
        </w:rPr>
      </w:pPr>
    </w:p>
    <w:p w14:paraId="57673894">
      <w:pPr>
        <w:ind w:firstLine="210"/>
        <w:rPr>
          <w:rFonts w:hint="eastAsia" w:ascii="仿宋" w:hAnsi="仿宋" w:eastAsia="仿宋" w:cs="仿宋"/>
          <w:color w:val="auto"/>
          <w:szCs w:val="21"/>
          <w:highlight w:val="none"/>
        </w:rPr>
      </w:pPr>
    </w:p>
    <w:p w14:paraId="1C91F9D9">
      <w:pPr>
        <w:pStyle w:val="373"/>
        <w:ind w:left="210"/>
        <w:outlineLvl w:val="1"/>
        <w:rPr>
          <w:rFonts w:hint="eastAsia" w:ascii="宋体"/>
          <w:b w:val="0"/>
          <w:color w:val="auto"/>
          <w:szCs w:val="32"/>
          <w:highlight w:val="none"/>
        </w:rPr>
      </w:pPr>
      <w:r>
        <w:rPr>
          <w:rFonts w:hint="eastAsia" w:ascii="宋体"/>
          <w:b w:val="0"/>
          <w:color w:val="auto"/>
          <w:szCs w:val="32"/>
          <w:highlight w:val="none"/>
        </w:rPr>
        <w:br w:type="page" w:clear="all"/>
      </w:r>
      <w:r>
        <w:rPr>
          <w:rFonts w:hint="eastAsia" w:ascii="宋体"/>
          <w:b w:val="0"/>
          <w:color w:val="auto"/>
          <w:szCs w:val="32"/>
          <w:highlight w:val="none"/>
          <w:lang w:eastAsia="zh-CN"/>
        </w:rPr>
        <w:t>七</w:t>
      </w:r>
      <w:r>
        <w:rPr>
          <w:rFonts w:hint="eastAsia" w:ascii="宋体"/>
          <w:b w:val="0"/>
          <w:color w:val="auto"/>
          <w:szCs w:val="32"/>
          <w:highlight w:val="none"/>
        </w:rPr>
        <w:t>、企业业绩</w:t>
      </w:r>
      <w:bookmarkEnd w:id="159"/>
      <w:bookmarkEnd w:id="160"/>
    </w:p>
    <w:p w14:paraId="31550F28">
      <w:pPr>
        <w:pStyle w:val="381"/>
        <w:jc w:val="center"/>
        <w:rPr>
          <w:rFonts w:ascii="方正小标宋_GBK" w:eastAsia="方正小标宋_GBK"/>
          <w:bCs/>
          <w:color w:val="auto"/>
          <w:sz w:val="32"/>
          <w:szCs w:val="32"/>
          <w:highlight w:val="none"/>
        </w:rPr>
      </w:pPr>
      <w:r>
        <w:rPr>
          <w:rFonts w:hint="eastAsia" w:ascii="方正小标宋_GBK" w:eastAsia="方正小标宋_GBK"/>
          <w:bCs/>
          <w:color w:val="auto"/>
          <w:sz w:val="32"/>
          <w:szCs w:val="32"/>
          <w:highlight w:val="none"/>
        </w:rPr>
        <w:t>投标人</w:t>
      </w:r>
      <w:bookmarkStart w:id="162" w:name="_Hlk187935031"/>
      <w:r>
        <w:rPr>
          <w:rFonts w:hint="eastAsia" w:ascii="方正小标宋_GBK" w:eastAsia="方正小标宋_GBK"/>
          <w:bCs/>
          <w:color w:val="auto"/>
          <w:sz w:val="32"/>
          <w:szCs w:val="32"/>
          <w:highlight w:val="none"/>
        </w:rPr>
        <w:t>自</w:t>
      </w:r>
      <w:r>
        <w:rPr>
          <w:rFonts w:hint="eastAsia" w:ascii="方正小标宋_GBK" w:eastAsia="方正小标宋_GBK"/>
          <w:bCs/>
          <w:color w:val="auto"/>
          <w:sz w:val="32"/>
          <w:szCs w:val="32"/>
          <w:highlight w:val="none"/>
          <w:u w:val="single"/>
          <w:lang w:val="en-US" w:eastAsia="zh-CN"/>
        </w:rPr>
        <w:t xml:space="preserve">   </w:t>
      </w:r>
      <w:r>
        <w:rPr>
          <w:rFonts w:hint="eastAsia" w:ascii="方正小标宋_GBK" w:eastAsia="方正小标宋_GBK"/>
          <w:bCs/>
          <w:color w:val="auto"/>
          <w:sz w:val="32"/>
          <w:szCs w:val="32"/>
          <w:highlight w:val="none"/>
        </w:rPr>
        <w:t>年</w:t>
      </w:r>
      <w:r>
        <w:rPr>
          <w:rFonts w:hint="eastAsia" w:ascii="方正小标宋_GBK" w:eastAsia="方正小标宋_GBK"/>
          <w:bCs/>
          <w:color w:val="auto"/>
          <w:sz w:val="32"/>
          <w:szCs w:val="32"/>
          <w:highlight w:val="none"/>
          <w:u w:val="single"/>
          <w:lang w:val="en-US" w:eastAsia="zh-CN"/>
        </w:rPr>
        <w:t xml:space="preserve">   </w:t>
      </w:r>
      <w:r>
        <w:rPr>
          <w:rFonts w:hint="eastAsia" w:ascii="方正小标宋_GBK" w:eastAsia="方正小标宋_GBK"/>
          <w:bCs/>
          <w:color w:val="auto"/>
          <w:sz w:val="32"/>
          <w:szCs w:val="32"/>
          <w:highlight w:val="none"/>
          <w:u w:val="none"/>
          <w:lang w:val="en-US" w:eastAsia="zh-CN"/>
        </w:rPr>
        <w:t>月</w:t>
      </w:r>
      <w:r>
        <w:rPr>
          <w:rFonts w:hint="eastAsia" w:ascii="方正小标宋_GBK" w:eastAsia="方正小标宋_GBK"/>
          <w:bCs/>
          <w:color w:val="auto"/>
          <w:sz w:val="32"/>
          <w:szCs w:val="32"/>
          <w:highlight w:val="none"/>
          <w:u w:val="single"/>
          <w:lang w:val="en-US" w:eastAsia="zh-CN"/>
        </w:rPr>
        <w:t xml:space="preserve">   </w:t>
      </w:r>
      <w:r>
        <w:rPr>
          <w:rFonts w:hint="eastAsia" w:ascii="方正小标宋_GBK" w:eastAsia="方正小标宋_GBK"/>
          <w:bCs/>
          <w:color w:val="auto"/>
          <w:sz w:val="32"/>
          <w:szCs w:val="32"/>
          <w:highlight w:val="none"/>
        </w:rPr>
        <w:t>日以来承担</w:t>
      </w:r>
    </w:p>
    <w:p w14:paraId="4194B4C7">
      <w:pPr>
        <w:pStyle w:val="381"/>
        <w:jc w:val="center"/>
        <w:rPr>
          <w:rFonts w:hint="eastAsia" w:ascii="方正小标宋_GBK" w:eastAsia="方正小标宋_GBK"/>
          <w:bCs/>
          <w:color w:val="auto"/>
          <w:sz w:val="32"/>
          <w:szCs w:val="32"/>
          <w:highlight w:val="none"/>
        </w:rPr>
      </w:pPr>
      <w:r>
        <w:rPr>
          <w:rFonts w:hint="eastAsia" w:ascii="方正小标宋_GBK" w:eastAsia="方正小标宋_GBK"/>
          <w:bCs/>
          <w:color w:val="auto"/>
          <w:sz w:val="32"/>
          <w:szCs w:val="32"/>
          <w:highlight w:val="none"/>
        </w:rPr>
        <w:t>类似项目业绩一览表</w:t>
      </w:r>
      <w:bookmarkEnd w:id="162"/>
    </w:p>
    <w:tbl>
      <w:tblPr>
        <w:tblStyle w:val="28"/>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29"/>
        <w:gridCol w:w="3827"/>
        <w:gridCol w:w="2433"/>
        <w:gridCol w:w="1395"/>
      </w:tblGrid>
      <w:tr w14:paraId="71F01B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229" w:type="dxa"/>
            <w:noWrap w:val="0"/>
            <w:vAlign w:val="top"/>
          </w:tcPr>
          <w:p w14:paraId="04257CC1">
            <w:pPr>
              <w:pStyle w:val="382"/>
              <w:spacing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序号</w:t>
            </w:r>
          </w:p>
        </w:tc>
        <w:tc>
          <w:tcPr>
            <w:tcW w:w="3827" w:type="dxa"/>
            <w:noWrap w:val="0"/>
            <w:vAlign w:val="center"/>
          </w:tcPr>
          <w:p w14:paraId="580D56FD">
            <w:pPr>
              <w:pStyle w:val="382"/>
              <w:spacing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项目名称</w:t>
            </w:r>
          </w:p>
        </w:tc>
        <w:tc>
          <w:tcPr>
            <w:tcW w:w="2433" w:type="dxa"/>
            <w:noWrap w:val="0"/>
            <w:vAlign w:val="center"/>
          </w:tcPr>
          <w:p w14:paraId="4B870B77">
            <w:pPr>
              <w:pStyle w:val="382"/>
              <w:spacing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采购单位</w:t>
            </w:r>
          </w:p>
        </w:tc>
        <w:tc>
          <w:tcPr>
            <w:tcW w:w="1395" w:type="dxa"/>
            <w:noWrap w:val="0"/>
            <w:vAlign w:val="center"/>
          </w:tcPr>
          <w:p w14:paraId="3B4C10B8">
            <w:pPr>
              <w:pStyle w:val="382"/>
              <w:spacing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服务主要内容</w:t>
            </w:r>
          </w:p>
        </w:tc>
      </w:tr>
      <w:tr w14:paraId="033241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noWrap w:val="0"/>
            <w:vAlign w:val="top"/>
          </w:tcPr>
          <w:p w14:paraId="1733693F">
            <w:pPr>
              <w:pStyle w:val="382"/>
              <w:spacing w:line="560" w:lineRule="exact"/>
              <w:jc w:val="center"/>
              <w:rPr>
                <w:rFonts w:ascii="仿宋_GB2312" w:eastAsia="仿宋_GB2312"/>
                <w:color w:val="auto"/>
                <w:sz w:val="28"/>
                <w:highlight w:val="none"/>
              </w:rPr>
            </w:pPr>
          </w:p>
        </w:tc>
        <w:tc>
          <w:tcPr>
            <w:tcW w:w="3827" w:type="dxa"/>
            <w:noWrap w:val="0"/>
            <w:vAlign w:val="center"/>
          </w:tcPr>
          <w:p w14:paraId="05D6DC39">
            <w:pPr>
              <w:pStyle w:val="382"/>
              <w:spacing w:line="560" w:lineRule="exact"/>
              <w:jc w:val="center"/>
              <w:rPr>
                <w:rFonts w:ascii="仿宋_GB2312" w:eastAsia="仿宋_GB2312"/>
                <w:color w:val="auto"/>
                <w:sz w:val="28"/>
                <w:highlight w:val="none"/>
              </w:rPr>
            </w:pPr>
          </w:p>
        </w:tc>
        <w:tc>
          <w:tcPr>
            <w:tcW w:w="2433" w:type="dxa"/>
            <w:noWrap w:val="0"/>
            <w:vAlign w:val="center"/>
          </w:tcPr>
          <w:p w14:paraId="3D18E929">
            <w:pPr>
              <w:pStyle w:val="382"/>
              <w:spacing w:line="560" w:lineRule="exact"/>
              <w:jc w:val="center"/>
              <w:rPr>
                <w:rFonts w:ascii="仿宋_GB2312" w:eastAsia="仿宋_GB2312"/>
                <w:color w:val="auto"/>
                <w:sz w:val="28"/>
                <w:highlight w:val="none"/>
              </w:rPr>
            </w:pPr>
          </w:p>
        </w:tc>
        <w:tc>
          <w:tcPr>
            <w:tcW w:w="1395" w:type="dxa"/>
            <w:noWrap w:val="0"/>
            <w:vAlign w:val="center"/>
          </w:tcPr>
          <w:p w14:paraId="0545F0FD">
            <w:pPr>
              <w:pStyle w:val="382"/>
              <w:spacing w:line="560" w:lineRule="exact"/>
              <w:jc w:val="center"/>
              <w:rPr>
                <w:rFonts w:ascii="仿宋_GB2312" w:eastAsia="仿宋_GB2312"/>
                <w:color w:val="auto"/>
                <w:sz w:val="28"/>
                <w:highlight w:val="none"/>
              </w:rPr>
            </w:pPr>
          </w:p>
        </w:tc>
      </w:tr>
      <w:tr w14:paraId="77EA47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noWrap w:val="0"/>
            <w:vAlign w:val="top"/>
          </w:tcPr>
          <w:p w14:paraId="531D2B44">
            <w:pPr>
              <w:pStyle w:val="382"/>
              <w:spacing w:line="560" w:lineRule="exact"/>
              <w:jc w:val="center"/>
              <w:rPr>
                <w:rFonts w:ascii="仿宋_GB2312" w:eastAsia="仿宋_GB2312"/>
                <w:color w:val="auto"/>
                <w:sz w:val="28"/>
                <w:highlight w:val="none"/>
              </w:rPr>
            </w:pPr>
          </w:p>
        </w:tc>
        <w:tc>
          <w:tcPr>
            <w:tcW w:w="3827" w:type="dxa"/>
            <w:noWrap w:val="0"/>
            <w:vAlign w:val="center"/>
          </w:tcPr>
          <w:p w14:paraId="72B3F9F3">
            <w:pPr>
              <w:pStyle w:val="382"/>
              <w:spacing w:line="560" w:lineRule="exact"/>
              <w:jc w:val="center"/>
              <w:rPr>
                <w:rFonts w:ascii="仿宋_GB2312" w:eastAsia="仿宋_GB2312"/>
                <w:color w:val="auto"/>
                <w:sz w:val="28"/>
                <w:highlight w:val="none"/>
              </w:rPr>
            </w:pPr>
          </w:p>
        </w:tc>
        <w:tc>
          <w:tcPr>
            <w:tcW w:w="2433" w:type="dxa"/>
            <w:noWrap w:val="0"/>
            <w:vAlign w:val="center"/>
          </w:tcPr>
          <w:p w14:paraId="53C703A4">
            <w:pPr>
              <w:pStyle w:val="382"/>
              <w:spacing w:line="560" w:lineRule="exact"/>
              <w:jc w:val="center"/>
              <w:rPr>
                <w:rFonts w:ascii="仿宋_GB2312" w:eastAsia="仿宋_GB2312"/>
                <w:color w:val="auto"/>
                <w:sz w:val="28"/>
                <w:highlight w:val="none"/>
              </w:rPr>
            </w:pPr>
          </w:p>
        </w:tc>
        <w:tc>
          <w:tcPr>
            <w:tcW w:w="1395" w:type="dxa"/>
            <w:noWrap w:val="0"/>
            <w:vAlign w:val="center"/>
          </w:tcPr>
          <w:p w14:paraId="4ED41A76">
            <w:pPr>
              <w:pStyle w:val="382"/>
              <w:spacing w:line="560" w:lineRule="exact"/>
              <w:jc w:val="center"/>
              <w:rPr>
                <w:rFonts w:ascii="仿宋_GB2312" w:eastAsia="仿宋_GB2312"/>
                <w:color w:val="auto"/>
                <w:sz w:val="28"/>
                <w:highlight w:val="none"/>
              </w:rPr>
            </w:pPr>
          </w:p>
        </w:tc>
      </w:tr>
      <w:tr w14:paraId="6CE804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noWrap w:val="0"/>
            <w:vAlign w:val="top"/>
          </w:tcPr>
          <w:p w14:paraId="68C86066">
            <w:pPr>
              <w:pStyle w:val="382"/>
              <w:spacing w:line="560" w:lineRule="exact"/>
              <w:jc w:val="center"/>
              <w:rPr>
                <w:rFonts w:ascii="仿宋_GB2312" w:eastAsia="仿宋_GB2312"/>
                <w:color w:val="auto"/>
                <w:sz w:val="28"/>
                <w:highlight w:val="none"/>
              </w:rPr>
            </w:pPr>
          </w:p>
        </w:tc>
        <w:tc>
          <w:tcPr>
            <w:tcW w:w="3827" w:type="dxa"/>
            <w:noWrap w:val="0"/>
            <w:vAlign w:val="center"/>
          </w:tcPr>
          <w:p w14:paraId="2D0EC588">
            <w:pPr>
              <w:pStyle w:val="382"/>
              <w:spacing w:line="560" w:lineRule="exact"/>
              <w:jc w:val="center"/>
              <w:rPr>
                <w:rFonts w:ascii="仿宋_GB2312" w:eastAsia="仿宋_GB2312"/>
                <w:color w:val="auto"/>
                <w:sz w:val="28"/>
                <w:highlight w:val="none"/>
              </w:rPr>
            </w:pPr>
          </w:p>
        </w:tc>
        <w:tc>
          <w:tcPr>
            <w:tcW w:w="2433" w:type="dxa"/>
            <w:noWrap w:val="0"/>
            <w:vAlign w:val="center"/>
          </w:tcPr>
          <w:p w14:paraId="3AB81ACF">
            <w:pPr>
              <w:pStyle w:val="382"/>
              <w:spacing w:line="560" w:lineRule="exact"/>
              <w:jc w:val="center"/>
              <w:rPr>
                <w:rFonts w:ascii="仿宋_GB2312" w:eastAsia="仿宋_GB2312"/>
                <w:color w:val="auto"/>
                <w:sz w:val="28"/>
                <w:highlight w:val="none"/>
              </w:rPr>
            </w:pPr>
          </w:p>
        </w:tc>
        <w:tc>
          <w:tcPr>
            <w:tcW w:w="1395" w:type="dxa"/>
            <w:noWrap w:val="0"/>
            <w:vAlign w:val="center"/>
          </w:tcPr>
          <w:p w14:paraId="689B615C">
            <w:pPr>
              <w:pStyle w:val="382"/>
              <w:spacing w:line="560" w:lineRule="exact"/>
              <w:jc w:val="center"/>
              <w:rPr>
                <w:rFonts w:ascii="仿宋_GB2312" w:eastAsia="仿宋_GB2312"/>
                <w:color w:val="auto"/>
                <w:sz w:val="28"/>
                <w:highlight w:val="none"/>
              </w:rPr>
            </w:pPr>
          </w:p>
        </w:tc>
      </w:tr>
      <w:tr w14:paraId="0E2B4C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25" w:hRule="atLeast"/>
          <w:jc w:val="center"/>
        </w:trPr>
        <w:tc>
          <w:tcPr>
            <w:tcW w:w="1229" w:type="dxa"/>
            <w:noWrap w:val="0"/>
            <w:vAlign w:val="top"/>
          </w:tcPr>
          <w:p w14:paraId="48D2E669">
            <w:pPr>
              <w:pStyle w:val="382"/>
              <w:spacing w:line="560" w:lineRule="exact"/>
              <w:jc w:val="center"/>
              <w:rPr>
                <w:rFonts w:ascii="仿宋_GB2312" w:eastAsia="仿宋_GB2312"/>
                <w:color w:val="auto"/>
                <w:sz w:val="28"/>
                <w:highlight w:val="none"/>
              </w:rPr>
            </w:pPr>
          </w:p>
        </w:tc>
        <w:tc>
          <w:tcPr>
            <w:tcW w:w="3827" w:type="dxa"/>
            <w:noWrap w:val="0"/>
            <w:vAlign w:val="center"/>
          </w:tcPr>
          <w:p w14:paraId="44BEA9D0">
            <w:pPr>
              <w:pStyle w:val="382"/>
              <w:spacing w:line="560" w:lineRule="exact"/>
              <w:jc w:val="center"/>
              <w:rPr>
                <w:rFonts w:ascii="仿宋_GB2312" w:eastAsia="仿宋_GB2312"/>
                <w:color w:val="auto"/>
                <w:sz w:val="28"/>
                <w:highlight w:val="none"/>
              </w:rPr>
            </w:pPr>
          </w:p>
        </w:tc>
        <w:tc>
          <w:tcPr>
            <w:tcW w:w="2433" w:type="dxa"/>
            <w:noWrap w:val="0"/>
            <w:vAlign w:val="center"/>
          </w:tcPr>
          <w:p w14:paraId="07A71A54">
            <w:pPr>
              <w:pStyle w:val="382"/>
              <w:spacing w:line="560" w:lineRule="exact"/>
              <w:jc w:val="center"/>
              <w:rPr>
                <w:rFonts w:ascii="仿宋_GB2312" w:eastAsia="仿宋_GB2312"/>
                <w:color w:val="auto"/>
                <w:sz w:val="28"/>
                <w:highlight w:val="none"/>
              </w:rPr>
            </w:pPr>
          </w:p>
        </w:tc>
        <w:tc>
          <w:tcPr>
            <w:tcW w:w="1395" w:type="dxa"/>
            <w:noWrap w:val="0"/>
            <w:vAlign w:val="center"/>
          </w:tcPr>
          <w:p w14:paraId="7DB94093">
            <w:pPr>
              <w:pStyle w:val="382"/>
              <w:spacing w:line="560" w:lineRule="exact"/>
              <w:jc w:val="center"/>
              <w:rPr>
                <w:rFonts w:ascii="仿宋_GB2312" w:eastAsia="仿宋_GB2312"/>
                <w:color w:val="auto"/>
                <w:sz w:val="28"/>
                <w:highlight w:val="none"/>
              </w:rPr>
            </w:pPr>
          </w:p>
        </w:tc>
      </w:tr>
    </w:tbl>
    <w:p w14:paraId="2786BE59">
      <w:pPr>
        <w:pStyle w:val="381"/>
        <w:rPr>
          <w:rFonts w:ascii="宋体" w:hAnsi="宋体"/>
          <w:bCs/>
          <w:color w:val="auto"/>
          <w:highlight w:val="none"/>
        </w:rPr>
      </w:pPr>
      <w:r>
        <w:rPr>
          <w:rFonts w:hint="eastAsia" w:ascii="宋体" w:hAnsi="宋体"/>
          <w:bCs/>
          <w:color w:val="auto"/>
          <w:sz w:val="24"/>
          <w:highlight w:val="none"/>
        </w:rPr>
        <w:t>注：请填写此表，并按要求上传业绩资料电子件。</w:t>
      </w:r>
    </w:p>
    <w:p w14:paraId="12A3CCAF">
      <w:pPr>
        <w:spacing w:line="480" w:lineRule="exact"/>
        <w:outlineLvl w:val="1"/>
        <w:rPr>
          <w:rFonts w:ascii="宋体" w:hAnsi="黑体" w:eastAsia="黑体" w:cs="黑体"/>
          <w:color w:val="auto"/>
          <w:sz w:val="32"/>
          <w:szCs w:val="32"/>
          <w:highlight w:val="none"/>
          <w:lang w:val="en-US" w:eastAsia="zh-CN"/>
        </w:rPr>
      </w:pPr>
      <w:r>
        <w:rPr>
          <w:rFonts w:ascii="宋体" w:hAnsi="宋体"/>
          <w:bCs/>
          <w:color w:val="auto"/>
          <w:highlight w:val="none"/>
        </w:rPr>
        <w:br w:type="page" w:clear="all"/>
      </w:r>
      <w:bookmarkStart w:id="163" w:name="_Toc26048"/>
      <w:bookmarkStart w:id="164" w:name="_Toc9275"/>
      <w:r>
        <w:rPr>
          <w:rFonts w:hint="eastAsia" w:ascii="宋体" w:hAnsi="黑体" w:eastAsia="黑体" w:cs="黑体"/>
          <w:color w:val="auto"/>
          <w:sz w:val="32"/>
          <w:szCs w:val="32"/>
          <w:highlight w:val="none"/>
          <w:lang w:eastAsia="zh-CN"/>
        </w:rPr>
        <w:t>八</w:t>
      </w:r>
      <w:r>
        <w:rPr>
          <w:rFonts w:hint="eastAsia" w:ascii="宋体" w:hAnsi="黑体" w:eastAsia="黑体" w:cs="黑体"/>
          <w:color w:val="auto"/>
          <w:sz w:val="32"/>
          <w:szCs w:val="32"/>
          <w:highlight w:val="none"/>
        </w:rPr>
        <w:t>、</w:t>
      </w:r>
      <w:r>
        <w:rPr>
          <w:rFonts w:hint="eastAsia" w:ascii="宋体" w:hAnsi="黑体" w:eastAsia="黑体" w:cs="黑体"/>
          <w:color w:val="auto"/>
          <w:sz w:val="32"/>
          <w:szCs w:val="32"/>
          <w:highlight w:val="none"/>
          <w:lang w:val="en-US" w:eastAsia="zh-CN"/>
        </w:rPr>
        <w:t>训练设备</w:t>
      </w:r>
    </w:p>
    <w:p w14:paraId="423CE791">
      <w:pPr>
        <w:spacing w:line="480" w:lineRule="exact"/>
        <w:outlineLvl w:val="1"/>
        <w:rPr>
          <w:rFonts w:ascii="宋体" w:hAnsi="黑体" w:eastAsia="黑体" w:cs="黑体"/>
          <w:color w:val="auto"/>
          <w:sz w:val="32"/>
          <w:szCs w:val="32"/>
          <w:highlight w:val="none"/>
          <w:lang w:val="en-US" w:eastAsia="zh-CN"/>
        </w:rPr>
      </w:pPr>
      <w:r>
        <w:rPr>
          <w:rFonts w:hint="eastAsia" w:ascii="宋体" w:hAnsi="黑体" w:eastAsia="黑体" w:cs="黑体"/>
          <w:color w:val="auto"/>
          <w:sz w:val="32"/>
          <w:szCs w:val="32"/>
          <w:highlight w:val="none"/>
          <w:lang w:val="en-US" w:eastAsia="zh-CN"/>
        </w:rPr>
        <w:t>格式自拟</w:t>
      </w:r>
    </w:p>
    <w:p w14:paraId="2AF2769F">
      <w:pPr>
        <w:spacing w:line="480" w:lineRule="exact"/>
        <w:outlineLvl w:val="1"/>
        <w:rPr>
          <w:rFonts w:hint="eastAsia" w:ascii="宋体" w:hAnsi="黑体" w:eastAsia="黑体" w:cs="黑体"/>
          <w:color w:val="auto"/>
          <w:sz w:val="32"/>
          <w:szCs w:val="32"/>
          <w:highlight w:val="none"/>
          <w:lang w:val="en-US" w:eastAsia="zh-CN"/>
        </w:rPr>
      </w:pPr>
    </w:p>
    <w:p w14:paraId="484730C6">
      <w:pPr>
        <w:spacing w:line="480" w:lineRule="exact"/>
        <w:outlineLvl w:val="1"/>
        <w:rPr>
          <w:rFonts w:hint="eastAsia" w:ascii="宋体" w:hAnsi="黑体" w:eastAsia="黑体" w:cs="黑体"/>
          <w:color w:val="auto"/>
          <w:sz w:val="32"/>
          <w:szCs w:val="32"/>
          <w:highlight w:val="none"/>
          <w:lang w:eastAsia="zh-CN"/>
        </w:rPr>
      </w:pPr>
    </w:p>
    <w:p w14:paraId="5DDFEEA3">
      <w:pPr>
        <w:spacing w:line="480" w:lineRule="exact"/>
        <w:outlineLvl w:val="1"/>
        <w:rPr>
          <w:rFonts w:ascii="宋体" w:hAnsi="黑体" w:eastAsia="黑体" w:cs="黑体"/>
          <w:color w:val="auto"/>
          <w:sz w:val="32"/>
          <w:szCs w:val="32"/>
          <w:highlight w:val="none"/>
          <w:lang w:val="en-US" w:eastAsia="zh-CN"/>
        </w:rPr>
      </w:pPr>
      <w:r>
        <w:rPr>
          <w:rFonts w:hint="eastAsia" w:ascii="宋体" w:hAnsi="黑体" w:eastAsia="黑体" w:cs="黑体"/>
          <w:color w:val="auto"/>
          <w:sz w:val="32"/>
          <w:szCs w:val="32"/>
          <w:highlight w:val="none"/>
          <w:lang w:val="en-US" w:eastAsia="zh-CN"/>
        </w:rPr>
        <w:t>九</w:t>
      </w:r>
      <w:r>
        <w:rPr>
          <w:rFonts w:hint="eastAsia" w:ascii="宋体" w:hAnsi="黑体" w:eastAsia="黑体" w:cs="黑体"/>
          <w:color w:val="auto"/>
          <w:sz w:val="32"/>
          <w:szCs w:val="32"/>
          <w:highlight w:val="none"/>
          <w:lang w:eastAsia="zh-CN"/>
        </w:rPr>
        <w:t>、</w:t>
      </w:r>
      <w:r>
        <w:rPr>
          <w:rFonts w:hint="eastAsia" w:ascii="宋体" w:hAnsi="黑体" w:eastAsia="黑体" w:cs="黑体"/>
          <w:color w:val="auto"/>
          <w:sz w:val="32"/>
          <w:szCs w:val="32"/>
          <w:highlight w:val="none"/>
          <w:lang w:val="en-US" w:eastAsia="zh-CN"/>
        </w:rPr>
        <w:t>项目实施方案、管理方案、人员配置及管理方案、应急预案</w:t>
      </w:r>
    </w:p>
    <w:p w14:paraId="28F7C742">
      <w:pPr>
        <w:spacing w:line="480" w:lineRule="exact"/>
        <w:outlineLvl w:val="1"/>
        <w:rPr>
          <w:rFonts w:ascii="宋体" w:hAnsi="黑体" w:eastAsia="黑体" w:cs="黑体"/>
          <w:color w:val="auto"/>
          <w:sz w:val="32"/>
          <w:szCs w:val="32"/>
          <w:highlight w:val="none"/>
          <w:lang w:val="en-US" w:eastAsia="zh-CN"/>
        </w:rPr>
      </w:pPr>
      <w:r>
        <w:rPr>
          <w:rFonts w:hint="eastAsia" w:ascii="宋体" w:hAnsi="黑体" w:eastAsia="黑体" w:cs="黑体"/>
          <w:color w:val="auto"/>
          <w:sz w:val="32"/>
          <w:szCs w:val="32"/>
          <w:highlight w:val="none"/>
          <w:lang w:val="en-US" w:eastAsia="zh-CN"/>
        </w:rPr>
        <w:t>格式自拟</w:t>
      </w:r>
    </w:p>
    <w:p w14:paraId="5E133EFF">
      <w:pPr>
        <w:spacing w:line="480" w:lineRule="exact"/>
        <w:outlineLvl w:val="1"/>
        <w:rPr>
          <w:rFonts w:hint="eastAsia" w:ascii="宋体" w:hAnsi="黑体" w:eastAsia="黑体" w:cs="黑体"/>
          <w:color w:val="auto"/>
          <w:sz w:val="32"/>
          <w:szCs w:val="32"/>
          <w:highlight w:val="none"/>
          <w:lang w:val="en-US" w:eastAsia="zh-CN"/>
        </w:rPr>
      </w:pPr>
    </w:p>
    <w:p w14:paraId="4583D836">
      <w:pPr>
        <w:spacing w:line="480" w:lineRule="exact"/>
        <w:outlineLvl w:val="1"/>
        <w:rPr>
          <w:rFonts w:hint="eastAsia" w:ascii="宋体" w:hAnsi="黑体" w:eastAsia="黑体" w:cs="黑体"/>
          <w:color w:val="auto"/>
          <w:sz w:val="32"/>
          <w:szCs w:val="32"/>
          <w:highlight w:val="none"/>
          <w:lang w:val="en-US" w:eastAsia="zh-CN"/>
        </w:rPr>
      </w:pPr>
    </w:p>
    <w:p w14:paraId="5E90B7D4">
      <w:pPr>
        <w:spacing w:line="480" w:lineRule="exact"/>
        <w:outlineLvl w:val="1"/>
        <w:rPr>
          <w:rFonts w:hint="eastAsia" w:ascii="宋体"/>
          <w:color w:val="auto"/>
          <w:szCs w:val="32"/>
          <w:highlight w:val="none"/>
        </w:rPr>
      </w:pPr>
      <w:r>
        <w:rPr>
          <w:rFonts w:hint="eastAsia" w:ascii="宋体" w:hAnsi="黑体" w:eastAsia="黑体" w:cs="黑体"/>
          <w:color w:val="auto"/>
          <w:sz w:val="32"/>
          <w:szCs w:val="32"/>
          <w:highlight w:val="none"/>
          <w:lang w:val="en-US" w:eastAsia="zh-CN"/>
        </w:rPr>
        <w:t>十、</w:t>
      </w:r>
      <w:r>
        <w:rPr>
          <w:rFonts w:hint="eastAsia" w:ascii="宋体" w:hAnsi="黑体" w:eastAsia="黑体" w:cs="黑体"/>
          <w:color w:val="auto"/>
          <w:sz w:val="32"/>
          <w:szCs w:val="32"/>
          <w:highlight w:val="none"/>
        </w:rPr>
        <w:t>投标所需其他材料</w:t>
      </w:r>
      <w:bookmarkEnd w:id="163"/>
      <w:bookmarkEnd w:id="164"/>
    </w:p>
    <w:p w14:paraId="4412487B">
      <w:pPr>
        <w:pStyle w:val="385"/>
        <w:spacing w:line="480" w:lineRule="exact"/>
        <w:ind w:firstLine="420"/>
        <w:rPr>
          <w:color w:val="auto"/>
          <w:sz w:val="24"/>
          <w:szCs w:val="24"/>
          <w:highlight w:val="none"/>
        </w:rPr>
      </w:pPr>
      <w:r>
        <w:rPr>
          <w:rFonts w:hint="eastAsia"/>
          <w:color w:val="auto"/>
          <w:sz w:val="24"/>
          <w:szCs w:val="24"/>
          <w:highlight w:val="none"/>
        </w:rPr>
        <w:t>请在此文档中增加投标所需其他相关内容（包括评分办法、采购需求中涉及的证件证明及其它投标人认为有必要提供的资料），如没有请将此空文档上传。</w:t>
      </w:r>
    </w:p>
    <w:sectPr>
      <w:footerReference r:id="rId6" w:type="default"/>
      <w:type w:val="continuous"/>
      <w:pgSz w:w="11906" w:h="16838"/>
      <w:pgMar w:top="1440" w:right="1304" w:bottom="1440" w:left="1418"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新宋体">
    <w:panose1 w:val="02010609030101010101"/>
    <w:charset w:val="86"/>
    <w:family w:val="auto"/>
    <w:pitch w:val="default"/>
    <w:sig w:usb0="00000203" w:usb1="288F0000" w:usb2="00000006" w:usb3="00000000" w:csb0="00040001"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monospace">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Tahoma">
    <w:panose1 w:val="020B0604030504040204"/>
    <w:charset w:val="00"/>
    <w:family w:val="auto"/>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 w:name="Arial Unicode MS">
    <w:altName w:val="Arial"/>
    <w:panose1 w:val="020B0604020202020204"/>
    <w:charset w:val="00"/>
    <w:family w:val="auto"/>
    <w:pitch w:val="default"/>
    <w:sig w:usb0="00000000" w:usb1="00000000" w:usb2="00000000" w:usb3="00000000" w:csb0="00000000" w:csb1="00000000"/>
  </w:font>
  <w:font w:name="方正黑体_GBK">
    <w:altName w:val="微软雅黑"/>
    <w:panose1 w:val="020B0503020202020204"/>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方正小标宋_GBK">
    <w:altName w:val="微软雅黑"/>
    <w:panose1 w:val="020B0503020202020204"/>
    <w:charset w:val="00"/>
    <w:family w:val="auto"/>
    <w:pitch w:val="default"/>
    <w:sig w:usb0="00000000" w:usb1="00000000" w:usb2="00000000" w:usb3="00000000" w:csb0="00000000" w:csb1="00000000"/>
  </w:font>
  <w:font w:name="华文楷体">
    <w:altName w:val="宋体"/>
    <w:panose1 w:val="02010600040101010101"/>
    <w:charset w:val="00"/>
    <w:family w:val="auto"/>
    <w:pitch w:val="default"/>
    <w:sig w:usb0="00000000" w:usb1="00000000" w:usb2="00000000" w:usb3="00000000" w:csb0="00000000" w:csb1="00000000"/>
  </w:font>
  <w:font w:name="方正仿宋_GBK">
    <w:altName w:val="微软雅黑"/>
    <w:panose1 w:val="020B0503020202020204"/>
    <w:charset w:val="00"/>
    <w:family w:val="auto"/>
    <w:pitch w:val="default"/>
    <w:sig w:usb0="00000000" w:usb1="00000000" w:usb2="00000000" w:usb3="00000000" w:csb0="00000000" w:csb1="00000000"/>
  </w:font>
  <w:font w:name="华文中宋">
    <w:altName w:val="宋体"/>
    <w:panose1 w:val="02010600040101010101"/>
    <w:charset w:val="00"/>
    <w:family w:val="auto"/>
    <w:pitch w:val="default"/>
    <w:sig w:usb0="00000000" w:usb1="00000000" w:usb2="00000000" w:usb3="00000000" w:csb0="00000000" w:csb1="00000000"/>
  </w:font>
  <w:font w:name="KSOFE44F9426">
    <w:panose1 w:val="02010609060101010101"/>
    <w:charset w:val="86"/>
    <w:family w:val="auto"/>
    <w:pitch w:val="default"/>
    <w:sig w:usb0="00000001" w:usb1="00000000" w:usb2="00000000" w:usb3="00000000" w:csb0="00040001" w:csb1="00000000"/>
  </w:font>
  <w:font w:name="KSOF8080F95D">
    <w:panose1 w:val="020B0503020204020204"/>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136218">
    <w:pPr>
      <w:pStyle w:val="92"/>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-122555</wp:posOffset>
              </wp:positionV>
              <wp:extent cx="770890" cy="343535"/>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770890" cy="343534"/>
                      </a:xfrm>
                      <a:prstGeom prst="rect">
                        <a:avLst/>
                      </a:prstGeom>
                      <a:noFill/>
                      <a:ln>
                        <a:noFill/>
                      </a:ln>
                    </wps:spPr>
                    <wps:txbx>
                      <w:txbxContent>
                        <w:p w14:paraId="79764ADF">
                          <w:pPr>
                            <w:pStyle w:val="92"/>
                            <w:tabs>
                              <w:tab w:val="clear" w:pos="4153"/>
                              <w:tab w:val="clear" w:pos="8306"/>
                            </w:tabs>
                            <w:jc w:val="center"/>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2</w:t>
                          </w:r>
                          <w:r>
                            <w:rPr>
                              <w:rFonts w:ascii="Times New Roman" w:hAnsi="Times New Roman"/>
                              <w:sz w:val="32"/>
                              <w:szCs w:val="32"/>
                            </w:rPr>
                            <w:fldChar w:fldCharType="end"/>
                          </w:r>
                          <w:r>
                            <w:rPr>
                              <w:rFonts w:hint="eastAsia" w:ascii="Times New Roman" w:hAnsi="Times New Roman"/>
                              <w:sz w:val="32"/>
                              <w:szCs w:val="32"/>
                            </w:rPr>
                            <w:t xml:space="preserve"> —</w:t>
                          </w:r>
                        </w:p>
                        <w:p w14:paraId="0CA0959A"/>
                      </w:txbxContent>
                    </wps:txbx>
                    <wps:bodyPr wrap="square" lIns="0" tIns="0" rIns="0" bIns="0" upright="1"/>
                  </wps:wsp>
                </a:graphicData>
              </a:graphic>
            </wp:anchor>
          </w:drawing>
        </mc:Choice>
        <mc:Fallback>
          <w:pict>
            <v:shape id="_x0000_s1026" o:spid="_x0000_s1026" o:spt="202" type="#_x0000_t202" style="position:absolute;left:0pt;margin-top:-9.65pt;height:27.05pt;width:60.7pt;mso-position-horizontal:center;mso-position-horizontal-relative:margin;z-index:251659264;mso-width-relative:page;mso-height-relative:page;" filled="f" stroked="f" coordsize="21600,21600" o:gfxdata="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phf7ydcAAAAHAQAADwAAAAAAAAABACAAAAAiAAAA&#10;ZHJzL2Rvd25yZXYueG1sUEsBAhQAFAAAAAgAh07iQPRzxFHPAQAAjQMAAA4AAAAAAAAAAQAgAAAA&#10;JgEAAGRycy9lMm9Eb2MueG1sUEsFBgAAAAAGAAYAWQEAAGcFAAAAAA==&#10;">
              <v:fill on="f" focussize="0,0"/>
              <v:stroke on="f"/>
              <v:imagedata o:title=""/>
              <o:lock v:ext="edit" aspectratio="f"/>
              <v:textbox inset="0mm,0mm,0mm,0mm">
                <w:txbxContent>
                  <w:p w14:paraId="79764ADF">
                    <w:pPr>
                      <w:pStyle w:val="92"/>
                      <w:tabs>
                        <w:tab w:val="clear" w:pos="4153"/>
                        <w:tab w:val="clear" w:pos="8306"/>
                      </w:tabs>
                      <w:jc w:val="center"/>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2</w:t>
                    </w:r>
                    <w:r>
                      <w:rPr>
                        <w:rFonts w:ascii="Times New Roman" w:hAnsi="Times New Roman"/>
                        <w:sz w:val="32"/>
                        <w:szCs w:val="32"/>
                      </w:rPr>
                      <w:fldChar w:fldCharType="end"/>
                    </w:r>
                    <w:r>
                      <w:rPr>
                        <w:rFonts w:hint="eastAsia" w:ascii="Times New Roman" w:hAnsi="Times New Roman"/>
                        <w:sz w:val="32"/>
                        <w:szCs w:val="32"/>
                      </w:rPr>
                      <w:t xml:space="preserve"> —</w:t>
                    </w:r>
                  </w:p>
                  <w:p w14:paraId="0CA0959A"/>
                </w:txbxContent>
              </v:textbox>
            </v:shape>
          </w:pict>
        </mc:Fallback>
      </mc:AlternateContent>
    </w:r>
  </w:p>
  <w:p w14:paraId="238F15F0">
    <w:pPr>
      <w:pStyle w:val="9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C2FE43">
    <w:pPr>
      <w:pStyle w:val="92"/>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7CD183FF">
                          <w:pPr>
                            <w:pStyle w:val="92"/>
                            <w:tabs>
                              <w:tab w:val="clear" w:pos="4153"/>
                              <w:tab w:val="clear" w:pos="8306"/>
                            </w:tabs>
                          </w:pPr>
                          <w:r>
                            <w:fldChar w:fldCharType="begin"/>
                          </w:r>
                          <w:r>
                            <w:instrText xml:space="preserve"> PAGE  \* MERGEFORMAT </w:instrText>
                          </w:r>
                          <w:r>
                            <w:fldChar w:fldCharType="separate"/>
                          </w:r>
                          <w:r>
                            <w:t>1</w:t>
                          </w:r>
                          <w:r>
                            <w:fldChar w:fldCharType="end"/>
                          </w:r>
                        </w:p>
                        <w:p w14:paraId="798DF595"/>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7CD183FF">
                    <w:pPr>
                      <w:pStyle w:val="92"/>
                      <w:tabs>
                        <w:tab w:val="clear" w:pos="4153"/>
                        <w:tab w:val="clear" w:pos="8306"/>
                      </w:tabs>
                    </w:pPr>
                    <w:r>
                      <w:fldChar w:fldCharType="begin"/>
                    </w:r>
                    <w:r>
                      <w:instrText xml:space="preserve"> PAGE  \* MERGEFORMAT </w:instrText>
                    </w:r>
                    <w:r>
                      <w:fldChar w:fldCharType="separate"/>
                    </w:r>
                    <w:r>
                      <w:t>1</w:t>
                    </w:r>
                    <w:r>
                      <w:fldChar w:fldCharType="end"/>
                    </w:r>
                  </w:p>
                  <w:p w14:paraId="798DF595"/>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CCF8E9">
    <w:pPr>
      <w:pStyle w:val="92"/>
      <w:jc w:val="center"/>
    </w:pPr>
    <w:r>
      <mc:AlternateContent>
        <mc:Choice Requires="wps">
          <w:drawing>
            <wp:anchor distT="0" distB="0" distL="114300" distR="114300" simplePos="0" relativeHeight="251660288" behindDoc="0" locked="0" layoutInCell="1" allowOverlap="1">
              <wp:simplePos x="0" y="0"/>
              <wp:positionH relativeFrom="margin">
                <wp:posOffset>2847975</wp:posOffset>
              </wp:positionH>
              <wp:positionV relativeFrom="paragraph">
                <wp:posOffset>-13335</wp:posOffset>
              </wp:positionV>
              <wp:extent cx="742950" cy="2794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742950" cy="279400"/>
                      </a:xfrm>
                      <a:prstGeom prst="rect">
                        <a:avLst/>
                      </a:prstGeom>
                      <a:noFill/>
                      <a:ln>
                        <a:noFill/>
                      </a:ln>
                    </wps:spPr>
                    <wps:txbx>
                      <w:txbxContent>
                        <w:p w14:paraId="6CBD4D49">
                          <w:pPr>
                            <w:pStyle w:val="92"/>
                            <w:tabs>
                              <w:tab w:val="clear" w:pos="4153"/>
                              <w:tab w:val="clear" w:pos="8306"/>
                            </w:tabs>
                            <w:jc w:val="center"/>
                            <w:rPr>
                              <w:rFonts w:ascii="Times New Roman" w:hAnsi="Times New Roman"/>
                              <w:sz w:val="32"/>
                              <w:szCs w:val="32"/>
                            </w:rPr>
                          </w:pPr>
                          <w:r>
                            <w:rPr>
                              <w:rFonts w:ascii="Times New Roman" w:hAnsi="Times New Roman"/>
                              <w:sz w:val="32"/>
                              <w:szCs w:val="32"/>
                            </w:rPr>
                            <w:t>—</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w:t>
                          </w:r>
                        </w:p>
                        <w:p w14:paraId="74E5F038"/>
                      </w:txbxContent>
                    </wps:txbx>
                    <wps:bodyPr wrap="square" lIns="0" tIns="0" rIns="0" bIns="0" upright="1"/>
                  </wps:wsp>
                </a:graphicData>
              </a:graphic>
            </wp:anchor>
          </w:drawing>
        </mc:Choice>
        <mc:Fallback>
          <w:pict>
            <v:shape id="_x0000_s1026" o:spid="_x0000_s1026" o:spt="202" type="#_x0000_t202" style="position:absolute;left:0pt;margin-left:224.25pt;margin-top:-1.05pt;height:22pt;width:58.5pt;mso-position-horizontal-relative:margin;z-index:251660288;mso-width-relative:page;mso-height-relative:page;" filled="f" stroked="f" coordsize="21600,21600" o:gfxdata="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Ak7CHy2AAAAAkBAAAPAAAAAAAAAAEAIAAAACIA&#10;AABkcnMvZG93bnJldi54bWxQSwECFAAUAAAACACHTuJA8FM7zNABAACNAwAADgAAAAAAAAABACAA&#10;AAAnAQAAZHJzL2Uyb0RvYy54bWxQSwUGAAAAAAYABgBZAQAAaQUAAAAA&#10;">
              <v:fill on="f" focussize="0,0"/>
              <v:stroke on="f"/>
              <v:imagedata o:title=""/>
              <o:lock v:ext="edit" aspectratio="f"/>
              <v:textbox inset="0mm,0mm,0mm,0mm">
                <w:txbxContent>
                  <w:p w14:paraId="6CBD4D49">
                    <w:pPr>
                      <w:pStyle w:val="92"/>
                      <w:tabs>
                        <w:tab w:val="clear" w:pos="4153"/>
                        <w:tab w:val="clear" w:pos="8306"/>
                      </w:tabs>
                      <w:jc w:val="center"/>
                      <w:rPr>
                        <w:rFonts w:ascii="Times New Roman" w:hAnsi="Times New Roman"/>
                        <w:sz w:val="32"/>
                        <w:szCs w:val="32"/>
                      </w:rPr>
                    </w:pPr>
                    <w:r>
                      <w:rPr>
                        <w:rFonts w:ascii="Times New Roman" w:hAnsi="Times New Roman"/>
                        <w:sz w:val="32"/>
                        <w:szCs w:val="32"/>
                      </w:rPr>
                      <w:t>—</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w:t>
                    </w:r>
                  </w:p>
                  <w:p w14:paraId="74E5F038"/>
                </w:txbxContent>
              </v:textbox>
            </v:shape>
          </w:pict>
        </mc:Fallback>
      </mc:AlternateContent>
    </w:r>
  </w:p>
  <w:p w14:paraId="29BF55AD">
    <w:pPr>
      <w:pStyle w:val="92"/>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024C5A">
    <w:pPr>
      <w:pStyle w:val="94"/>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chineseCounting"/>
      <w:pStyle w:val="468"/>
      <w:suff w:val="nothing"/>
      <w:lvlText w:val="%1、"/>
      <w:lvlJc w:val="left"/>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
    <w:nsid w:val="0053208E"/>
    <w:multiLevelType w:val="multilevel"/>
    <w:tmpl w:val="0053208E"/>
    <w:lvl w:ilvl="0" w:tentative="0">
      <w:start w:val="1"/>
      <w:numFmt w:val="decimal"/>
      <w:pStyle w:val="453"/>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A463E1D"/>
    <w:rsid w:val="1FCB7BA9"/>
    <w:rsid w:val="3A925EC3"/>
    <w:rsid w:val="41861DBC"/>
    <w:rsid w:val="452C79F9"/>
    <w:rsid w:val="4ED1689E"/>
    <w:rsid w:val="57DC70E8"/>
    <w:rsid w:val="66816B0C"/>
    <w:rsid w:val="6DCA5B51"/>
    <w:rsid w:val="75B9755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513"/>
    <w:qFormat/>
    <w:uiPriority w:val="0"/>
    <w:pPr>
      <w:widowControl w:val="0"/>
      <w:jc w:val="both"/>
    </w:pPr>
    <w:rPr>
      <w:rFonts w:hint="default" w:ascii="Calibri" w:hAnsi="Calibri" w:eastAsia="宋体" w:cs="Times New Roman"/>
      <w:sz w:val="21"/>
      <w:szCs w:val="22"/>
      <w:lang w:val="en-US" w:eastAsia="zh-CN" w:bidi="ar-SA"/>
    </w:rPr>
  </w:style>
  <w:style w:type="paragraph" w:styleId="2">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unhideWhenUsed/>
    <w:qFormat/>
    <w:uiPriority w:val="9"/>
    <w:pPr>
      <w:keepNext/>
      <w:keepLines/>
      <w:spacing w:before="320" w:after="200"/>
      <w:outlineLvl w:val="8"/>
    </w:pPr>
    <w:rPr>
      <w:rFonts w:ascii="Arial" w:hAnsi="Arial" w:eastAsia="Arial" w:cs="Arial"/>
      <w:i/>
      <w:iCs/>
      <w:sz w:val="21"/>
      <w:szCs w:val="21"/>
    </w:rPr>
  </w:style>
  <w:style w:type="character" w:default="1" w:styleId="30">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toc 5"/>
    <w:basedOn w:val="1"/>
    <w:next w:val="1"/>
    <w:unhideWhenUsed/>
    <w:qFormat/>
    <w:uiPriority w:val="39"/>
    <w:pPr>
      <w:spacing w:after="57"/>
      <w:ind w:left="1134" w:right="0" w:firstLine="0"/>
    </w:pPr>
  </w:style>
  <w:style w:type="paragraph" w:styleId="14">
    <w:name w:val="toc 3"/>
    <w:basedOn w:val="1"/>
    <w:next w:val="1"/>
    <w:unhideWhenUsed/>
    <w:qFormat/>
    <w:uiPriority w:val="39"/>
    <w:pPr>
      <w:spacing w:after="57"/>
      <w:ind w:left="567" w:right="0" w:firstLine="0"/>
    </w:pPr>
  </w:style>
  <w:style w:type="paragraph" w:styleId="15">
    <w:name w:val="toc 8"/>
    <w:basedOn w:val="1"/>
    <w:next w:val="1"/>
    <w:unhideWhenUsed/>
    <w:qFormat/>
    <w:uiPriority w:val="39"/>
    <w:pPr>
      <w:spacing w:after="57"/>
      <w:ind w:left="1984" w:right="0" w:firstLine="0"/>
    </w:pPr>
  </w:style>
  <w:style w:type="paragraph" w:styleId="16">
    <w:name w:val="endnote text"/>
    <w:basedOn w:val="1"/>
    <w:semiHidden/>
    <w:unhideWhenUsed/>
    <w:qFormat/>
    <w:uiPriority w:val="99"/>
    <w:pPr>
      <w:spacing w:after="0" w:line="240" w:lineRule="auto"/>
    </w:pPr>
    <w:rPr>
      <w:sz w:val="20"/>
    </w:rPr>
  </w:style>
  <w:style w:type="paragraph" w:styleId="17">
    <w:name w:val="footer"/>
    <w:basedOn w:val="1"/>
    <w:unhideWhenUsed/>
    <w:qFormat/>
    <w:uiPriority w:val="99"/>
    <w:pPr>
      <w:tabs>
        <w:tab w:val="center" w:pos="7143"/>
        <w:tab w:val="right" w:pos="14287"/>
      </w:tabs>
      <w:spacing w:after="0" w:line="240" w:lineRule="auto"/>
    </w:pPr>
  </w:style>
  <w:style w:type="paragraph" w:styleId="18">
    <w:name w:val="header"/>
    <w:basedOn w:val="1"/>
    <w:unhideWhenUsed/>
    <w:qFormat/>
    <w:uiPriority w:val="99"/>
    <w:pPr>
      <w:tabs>
        <w:tab w:val="center" w:pos="7143"/>
        <w:tab w:val="right" w:pos="14287"/>
      </w:tabs>
      <w:spacing w:after="0" w:line="240" w:lineRule="auto"/>
    </w:pPr>
  </w:style>
  <w:style w:type="paragraph" w:styleId="19">
    <w:name w:val="toc 1"/>
    <w:basedOn w:val="1"/>
    <w:next w:val="1"/>
    <w:unhideWhenUsed/>
    <w:qFormat/>
    <w:uiPriority w:val="39"/>
    <w:pPr>
      <w:spacing w:after="57"/>
      <w:ind w:left="0" w:right="0" w:firstLine="0"/>
    </w:pPr>
  </w:style>
  <w:style w:type="paragraph" w:styleId="20">
    <w:name w:val="toc 4"/>
    <w:basedOn w:val="1"/>
    <w:next w:val="1"/>
    <w:unhideWhenUsed/>
    <w:qFormat/>
    <w:uiPriority w:val="39"/>
    <w:pPr>
      <w:spacing w:after="57"/>
      <w:ind w:left="850" w:right="0" w:firstLine="0"/>
    </w:pPr>
  </w:style>
  <w:style w:type="paragraph" w:styleId="21">
    <w:name w:val="Subtitle"/>
    <w:basedOn w:val="1"/>
    <w:next w:val="1"/>
    <w:qFormat/>
    <w:uiPriority w:val="11"/>
    <w:pPr>
      <w:spacing w:before="200" w:after="200"/>
    </w:pPr>
    <w:rPr>
      <w:sz w:val="24"/>
      <w:szCs w:val="24"/>
    </w:rPr>
  </w:style>
  <w:style w:type="paragraph" w:styleId="22">
    <w:name w:val="footnote text"/>
    <w:basedOn w:val="1"/>
    <w:semiHidden/>
    <w:unhideWhenUsed/>
    <w:qFormat/>
    <w:uiPriority w:val="99"/>
    <w:pPr>
      <w:spacing w:after="40" w:line="240" w:lineRule="auto"/>
    </w:pPr>
    <w:rPr>
      <w:sz w:val="18"/>
    </w:rPr>
  </w:style>
  <w:style w:type="paragraph" w:styleId="23">
    <w:name w:val="toc 6"/>
    <w:basedOn w:val="1"/>
    <w:next w:val="1"/>
    <w:unhideWhenUsed/>
    <w:qFormat/>
    <w:uiPriority w:val="39"/>
    <w:pPr>
      <w:spacing w:after="57"/>
      <w:ind w:left="1417" w:right="0" w:firstLine="0"/>
    </w:pPr>
  </w:style>
  <w:style w:type="paragraph" w:styleId="24">
    <w:name w:val="table of figures"/>
    <w:basedOn w:val="1"/>
    <w:next w:val="1"/>
    <w:unhideWhenUsed/>
    <w:qFormat/>
    <w:uiPriority w:val="99"/>
    <w:pPr>
      <w:spacing w:after="0" w:afterAutospacing="0"/>
    </w:pPr>
  </w:style>
  <w:style w:type="paragraph" w:styleId="25">
    <w:name w:val="toc 2"/>
    <w:basedOn w:val="1"/>
    <w:next w:val="1"/>
    <w:unhideWhenUsed/>
    <w:qFormat/>
    <w:uiPriority w:val="39"/>
    <w:pPr>
      <w:spacing w:after="57"/>
      <w:ind w:left="283" w:right="0" w:firstLine="0"/>
    </w:pPr>
  </w:style>
  <w:style w:type="paragraph" w:styleId="26">
    <w:name w:val="toc 9"/>
    <w:basedOn w:val="1"/>
    <w:next w:val="1"/>
    <w:unhideWhenUsed/>
    <w:qFormat/>
    <w:uiPriority w:val="39"/>
    <w:pPr>
      <w:spacing w:after="57"/>
      <w:ind w:left="2268" w:right="0" w:firstLine="0"/>
    </w:pPr>
  </w:style>
  <w:style w:type="paragraph" w:styleId="27">
    <w:name w:val="Title"/>
    <w:basedOn w:val="1"/>
    <w:next w:val="1"/>
    <w:qFormat/>
    <w:uiPriority w:val="10"/>
    <w:pPr>
      <w:spacing w:before="300" w:after="200"/>
      <w:contextualSpacing/>
    </w:pPr>
    <w:rPr>
      <w:sz w:val="48"/>
      <w:szCs w:val="48"/>
    </w:rPr>
  </w:style>
  <w:style w:type="table" w:styleId="29">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1">
    <w:name w:val="endnote reference"/>
    <w:semiHidden/>
    <w:unhideWhenUsed/>
    <w:qFormat/>
    <w:uiPriority w:val="99"/>
    <w:rPr>
      <w:vertAlign w:val="superscript"/>
    </w:rPr>
  </w:style>
  <w:style w:type="character" w:styleId="32">
    <w:name w:val="Hyperlink"/>
    <w:unhideWhenUsed/>
    <w:qFormat/>
    <w:uiPriority w:val="99"/>
    <w:rPr>
      <w:color w:val="0000FF" w:themeColor="hyperlink"/>
      <w:u w:val="single"/>
      <w14:textFill>
        <w14:solidFill>
          <w14:schemeClr w14:val="hlink"/>
        </w14:solidFill>
      </w14:textFill>
    </w:rPr>
  </w:style>
  <w:style w:type="character" w:styleId="33">
    <w:name w:val="footnote reference"/>
    <w:unhideWhenUsed/>
    <w:qFormat/>
    <w:uiPriority w:val="99"/>
    <w:rPr>
      <w:vertAlign w:val="superscript"/>
    </w:rPr>
  </w:style>
  <w:style w:type="paragraph" w:styleId="34">
    <w:name w:val="List Paragraph"/>
    <w:basedOn w:val="1"/>
    <w:qFormat/>
    <w:uiPriority w:val="34"/>
    <w:pPr>
      <w:ind w:left="720"/>
      <w:contextualSpacing/>
    </w:pPr>
  </w:style>
  <w:style w:type="paragraph" w:styleId="35">
    <w:name w:val="No Spacing"/>
    <w:qFormat/>
    <w:uiPriority w:val="1"/>
    <w:pPr>
      <w:spacing w:before="0" w:after="0" w:line="240" w:lineRule="auto"/>
    </w:pPr>
    <w:rPr>
      <w:rFonts w:hint="default" w:ascii="Times New Roman" w:hAnsi="Times New Roman" w:eastAsia="宋体" w:cs="Times New Roman"/>
    </w:rPr>
  </w:style>
  <w:style w:type="paragraph" w:styleId="36">
    <w:name w:val="Quote"/>
    <w:basedOn w:val="1"/>
    <w:next w:val="1"/>
    <w:qFormat/>
    <w:uiPriority w:val="29"/>
    <w:pPr>
      <w:ind w:left="720" w:right="720"/>
    </w:pPr>
    <w:rPr>
      <w:i/>
    </w:rPr>
  </w:style>
  <w:style w:type="paragraph" w:styleId="37">
    <w:name w:val="Intense Quote"/>
    <w:basedOn w:val="1"/>
    <w:next w:val="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paragraph" w:customStyle="1" w:styleId="38">
    <w:name w:val="标题 11"/>
    <w:basedOn w:val="1"/>
    <w:next w:val="1"/>
    <w:link w:val="56"/>
    <w:qFormat/>
    <w:uiPriority w:val="0"/>
    <w:pPr>
      <w:keepNext/>
      <w:keepLines/>
      <w:spacing w:before="480" w:after="200"/>
      <w:outlineLvl w:val="0"/>
    </w:pPr>
    <w:rPr>
      <w:rFonts w:ascii="Arial" w:hAnsi="Arial" w:eastAsia="Arial" w:cs="Arial"/>
      <w:sz w:val="40"/>
      <w:szCs w:val="40"/>
    </w:rPr>
  </w:style>
  <w:style w:type="paragraph" w:customStyle="1" w:styleId="39">
    <w:name w:val="标题 211"/>
    <w:basedOn w:val="1"/>
    <w:next w:val="40"/>
    <w:link w:val="57"/>
    <w:qFormat/>
    <w:uiPriority w:val="0"/>
    <w:pPr>
      <w:keepNext/>
      <w:keepLines/>
      <w:spacing w:before="260" w:after="260" w:line="413" w:lineRule="auto"/>
      <w:outlineLvl w:val="1"/>
    </w:pPr>
    <w:rPr>
      <w:rFonts w:ascii="Arial" w:hAnsi="Arial" w:eastAsia="黑体"/>
      <w:b/>
      <w:sz w:val="32"/>
      <w:szCs w:val="20"/>
    </w:rPr>
  </w:style>
  <w:style w:type="paragraph" w:customStyle="1" w:styleId="40">
    <w:name w:val="正文缩进11"/>
    <w:basedOn w:val="1"/>
    <w:link w:val="58"/>
    <w:qFormat/>
    <w:uiPriority w:val="0"/>
    <w:pPr>
      <w:ind w:firstLine="420"/>
    </w:pPr>
    <w:rPr>
      <w:rFonts w:ascii="宋体"/>
      <w:color w:val="000000"/>
      <w:sz w:val="24"/>
      <w:szCs w:val="20"/>
    </w:rPr>
  </w:style>
  <w:style w:type="paragraph" w:customStyle="1" w:styleId="41">
    <w:name w:val="标题 312"/>
    <w:basedOn w:val="42"/>
    <w:next w:val="44"/>
    <w:link w:val="59"/>
    <w:qFormat/>
    <w:uiPriority w:val="0"/>
    <w:pPr>
      <w:keepNext/>
      <w:keepLines/>
      <w:spacing w:before="320" w:after="200"/>
      <w:outlineLvl w:val="2"/>
    </w:pPr>
    <w:rPr>
      <w:rFonts w:ascii="Arial" w:hAnsi="Arial" w:eastAsia="Arial" w:cs="Arial"/>
      <w:sz w:val="30"/>
      <w:szCs w:val="30"/>
    </w:rPr>
  </w:style>
  <w:style w:type="paragraph" w:customStyle="1" w:styleId="42">
    <w:name w:val="Normal1"/>
    <w:next w:val="43"/>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3">
    <w:name w:val="标题 311"/>
    <w:next w:val="44"/>
    <w:qFormat/>
    <w:uiPriority w:val="0"/>
    <w:pPr>
      <w:keepNext/>
      <w:keepLines/>
      <w:widowControl w:val="0"/>
      <w:spacing w:before="320" w:after="200"/>
      <w:jc w:val="both"/>
      <w:outlineLvl w:val="2"/>
    </w:pPr>
    <w:rPr>
      <w:rFonts w:hint="default" w:ascii="Arial" w:hAnsi="Arial" w:eastAsia="Arial" w:cs="Times New Roman"/>
      <w:sz w:val="30"/>
      <w:szCs w:val="30"/>
      <w:lang w:val="en-US" w:eastAsia="en-US" w:bidi="ar-SA"/>
    </w:rPr>
  </w:style>
  <w:style w:type="paragraph" w:customStyle="1" w:styleId="44">
    <w:name w:val="Normal_19"/>
    <w:next w:val="45"/>
    <w:qFormat/>
    <w:uiPriority w:val="0"/>
    <w:rPr>
      <w:rFonts w:hint="default" w:ascii="黑体" w:hAnsi="黑体" w:eastAsia="黑体" w:cs="黑体"/>
      <w:b/>
      <w:sz w:val="32"/>
      <w:szCs w:val="24"/>
      <w:lang w:val="en-US" w:eastAsia="zh-CN" w:bidi="ar-SA"/>
    </w:rPr>
  </w:style>
  <w:style w:type="paragraph" w:customStyle="1" w:styleId="45">
    <w:name w:val="Normal111"/>
    <w:next w:val="46"/>
    <w:qFormat/>
    <w:uiPriority w:val="0"/>
    <w:pPr>
      <w:widowControl w:val="0"/>
      <w:jc w:val="both"/>
    </w:pPr>
    <w:rPr>
      <w:rFonts w:hint="default" w:ascii="Times New Roman" w:hAnsi="Times New Roman" w:eastAsia="宋体" w:cs="Times New Roman"/>
      <w:szCs w:val="21"/>
      <w:lang w:val="en-US" w:eastAsia="zh-CN" w:bidi="ar-SA"/>
    </w:rPr>
  </w:style>
  <w:style w:type="paragraph" w:customStyle="1" w:styleId="46">
    <w:name w:val="Body Text First Indent1"/>
    <w:basedOn w:val="47"/>
    <w:unhideWhenUsed/>
    <w:qFormat/>
    <w:uiPriority w:val="99"/>
    <w:pPr>
      <w:ind w:firstLine="420"/>
    </w:pPr>
  </w:style>
  <w:style w:type="paragraph" w:customStyle="1" w:styleId="47">
    <w:name w:val="Body Text1"/>
    <w:basedOn w:val="45"/>
    <w:unhideWhenUsed/>
    <w:qFormat/>
    <w:uiPriority w:val="99"/>
    <w:pPr>
      <w:spacing w:after="120"/>
    </w:pPr>
  </w:style>
  <w:style w:type="paragraph" w:customStyle="1" w:styleId="48">
    <w:name w:val="标题 411"/>
    <w:basedOn w:val="1"/>
    <w:next w:val="1"/>
    <w:link w:val="60"/>
    <w:qFormat/>
    <w:uiPriority w:val="0"/>
    <w:pPr>
      <w:keepNext/>
      <w:jc w:val="center"/>
      <w:outlineLvl w:val="3"/>
    </w:pPr>
    <w:rPr>
      <w:rFonts w:eastAsia="新宋体"/>
      <w:sz w:val="30"/>
      <w:szCs w:val="21"/>
    </w:rPr>
  </w:style>
  <w:style w:type="paragraph" w:customStyle="1" w:styleId="49">
    <w:name w:val="标题 51"/>
    <w:basedOn w:val="1"/>
    <w:next w:val="1"/>
    <w:link w:val="61"/>
    <w:qFormat/>
    <w:uiPriority w:val="0"/>
    <w:pPr>
      <w:keepNext/>
      <w:keepLines/>
      <w:spacing w:before="320" w:after="200"/>
      <w:outlineLvl w:val="4"/>
    </w:pPr>
    <w:rPr>
      <w:rFonts w:ascii="Arial" w:hAnsi="Arial" w:eastAsia="Arial" w:cs="Arial"/>
      <w:b/>
      <w:bCs/>
      <w:sz w:val="24"/>
      <w:szCs w:val="24"/>
    </w:rPr>
  </w:style>
  <w:style w:type="paragraph" w:customStyle="1" w:styleId="50">
    <w:name w:val="标题 61"/>
    <w:basedOn w:val="1"/>
    <w:next w:val="1"/>
    <w:link w:val="62"/>
    <w:qFormat/>
    <w:uiPriority w:val="0"/>
    <w:pPr>
      <w:keepNext/>
      <w:keepLines/>
      <w:spacing w:before="320" w:after="200"/>
      <w:outlineLvl w:val="5"/>
    </w:pPr>
    <w:rPr>
      <w:rFonts w:ascii="Arial" w:hAnsi="Arial" w:eastAsia="Arial" w:cs="Arial"/>
      <w:b/>
      <w:bCs/>
      <w:sz w:val="22"/>
    </w:rPr>
  </w:style>
  <w:style w:type="paragraph" w:customStyle="1" w:styleId="51">
    <w:name w:val="标题 71"/>
    <w:basedOn w:val="1"/>
    <w:next w:val="1"/>
    <w:link w:val="63"/>
    <w:qFormat/>
    <w:uiPriority w:val="0"/>
    <w:pPr>
      <w:keepNext/>
      <w:keepLines/>
      <w:spacing w:before="320" w:after="200"/>
      <w:outlineLvl w:val="6"/>
    </w:pPr>
    <w:rPr>
      <w:rFonts w:ascii="Arial" w:hAnsi="Arial" w:eastAsia="Arial" w:cs="Arial"/>
      <w:b/>
      <w:bCs/>
      <w:i/>
      <w:iCs/>
      <w:sz w:val="22"/>
    </w:rPr>
  </w:style>
  <w:style w:type="paragraph" w:customStyle="1" w:styleId="52">
    <w:name w:val="标题 81"/>
    <w:basedOn w:val="1"/>
    <w:next w:val="1"/>
    <w:link w:val="64"/>
    <w:qFormat/>
    <w:uiPriority w:val="0"/>
    <w:pPr>
      <w:keepNext/>
      <w:keepLines/>
      <w:spacing w:before="320" w:after="200"/>
      <w:outlineLvl w:val="7"/>
    </w:pPr>
    <w:rPr>
      <w:rFonts w:ascii="Arial" w:hAnsi="Arial" w:eastAsia="Arial" w:cs="Arial"/>
      <w:i/>
      <w:iCs/>
      <w:sz w:val="22"/>
    </w:rPr>
  </w:style>
  <w:style w:type="paragraph" w:customStyle="1" w:styleId="53">
    <w:name w:val="标题 91"/>
    <w:basedOn w:val="1"/>
    <w:next w:val="1"/>
    <w:link w:val="65"/>
    <w:qFormat/>
    <w:uiPriority w:val="0"/>
    <w:pPr>
      <w:keepNext/>
      <w:keepLines/>
      <w:spacing w:before="320" w:after="200"/>
      <w:outlineLvl w:val="8"/>
    </w:pPr>
    <w:rPr>
      <w:rFonts w:ascii="Arial" w:hAnsi="Arial" w:eastAsia="Arial" w:cs="Arial"/>
      <w:i/>
      <w:iCs/>
      <w:szCs w:val="21"/>
    </w:rPr>
  </w:style>
  <w:style w:type="character" w:customStyle="1" w:styleId="54">
    <w:name w:val="默认段落字体1"/>
    <w:link w:val="1"/>
    <w:unhideWhenUsed/>
    <w:qFormat/>
    <w:uiPriority w:val="1"/>
  </w:style>
  <w:style w:type="table" w:customStyle="1" w:styleId="55">
    <w:name w:val="普通表格1"/>
    <w:unhideWhenUsed/>
    <w:qFormat/>
    <w:uiPriority w:val="99"/>
  </w:style>
  <w:style w:type="character" w:customStyle="1" w:styleId="56">
    <w:name w:val="标题 1 字符"/>
    <w:link w:val="38"/>
    <w:qFormat/>
    <w:uiPriority w:val="0"/>
    <w:rPr>
      <w:rFonts w:ascii="Arial" w:hAnsi="Arial" w:eastAsia="Arial" w:cs="Arial"/>
      <w:sz w:val="40"/>
      <w:szCs w:val="40"/>
    </w:rPr>
  </w:style>
  <w:style w:type="character" w:customStyle="1" w:styleId="57">
    <w:name w:val="标题 2 字符"/>
    <w:link w:val="39"/>
    <w:qFormat/>
    <w:uiPriority w:val="0"/>
    <w:rPr>
      <w:rFonts w:ascii="Arial" w:hAnsi="Arial" w:eastAsia="Arial" w:cs="Arial"/>
      <w:sz w:val="34"/>
    </w:rPr>
  </w:style>
  <w:style w:type="character" w:customStyle="1" w:styleId="58">
    <w:name w:val="正文缩进 字符"/>
    <w:link w:val="40"/>
    <w:qFormat/>
    <w:uiPriority w:val="0"/>
    <w:rPr>
      <w:rFonts w:ascii="宋体" w:hAnsi="Calibri"/>
      <w:color w:val="000000"/>
      <w:sz w:val="24"/>
    </w:rPr>
  </w:style>
  <w:style w:type="character" w:customStyle="1" w:styleId="59">
    <w:name w:val="标题 3 字符"/>
    <w:link w:val="41"/>
    <w:qFormat/>
    <w:uiPriority w:val="0"/>
    <w:rPr>
      <w:rFonts w:ascii="Arial" w:hAnsi="Arial" w:eastAsia="Arial" w:cs="Arial"/>
      <w:sz w:val="30"/>
      <w:szCs w:val="30"/>
    </w:rPr>
  </w:style>
  <w:style w:type="character" w:customStyle="1" w:styleId="60">
    <w:name w:val="标题 4 字符"/>
    <w:link w:val="48"/>
    <w:qFormat/>
    <w:uiPriority w:val="0"/>
    <w:rPr>
      <w:rFonts w:ascii="Arial" w:hAnsi="Arial" w:eastAsia="Arial" w:cs="Arial"/>
      <w:b/>
      <w:bCs/>
      <w:sz w:val="26"/>
      <w:szCs w:val="26"/>
    </w:rPr>
  </w:style>
  <w:style w:type="character" w:customStyle="1" w:styleId="61">
    <w:name w:val="标题 5 字符"/>
    <w:link w:val="49"/>
    <w:qFormat/>
    <w:uiPriority w:val="0"/>
    <w:rPr>
      <w:rFonts w:ascii="Arial" w:hAnsi="Arial" w:eastAsia="Arial" w:cs="Arial"/>
      <w:b/>
      <w:bCs/>
      <w:sz w:val="24"/>
      <w:szCs w:val="24"/>
    </w:rPr>
  </w:style>
  <w:style w:type="character" w:customStyle="1" w:styleId="62">
    <w:name w:val="标题 6 字符"/>
    <w:link w:val="50"/>
    <w:qFormat/>
    <w:uiPriority w:val="0"/>
    <w:rPr>
      <w:rFonts w:ascii="Arial" w:hAnsi="Arial" w:eastAsia="Arial" w:cs="Arial"/>
      <w:b/>
      <w:bCs/>
      <w:sz w:val="22"/>
      <w:szCs w:val="22"/>
    </w:rPr>
  </w:style>
  <w:style w:type="character" w:customStyle="1" w:styleId="63">
    <w:name w:val="标题 7 字符"/>
    <w:link w:val="51"/>
    <w:qFormat/>
    <w:uiPriority w:val="0"/>
    <w:rPr>
      <w:rFonts w:ascii="Arial" w:hAnsi="Arial" w:eastAsia="Arial" w:cs="Arial"/>
      <w:b/>
      <w:bCs/>
      <w:i/>
      <w:iCs/>
      <w:sz w:val="22"/>
      <w:szCs w:val="22"/>
    </w:rPr>
  </w:style>
  <w:style w:type="character" w:customStyle="1" w:styleId="64">
    <w:name w:val="标题 8 字符"/>
    <w:link w:val="52"/>
    <w:qFormat/>
    <w:uiPriority w:val="0"/>
    <w:rPr>
      <w:rFonts w:ascii="Arial" w:hAnsi="Arial" w:eastAsia="Arial" w:cs="Arial"/>
      <w:i/>
      <w:iCs/>
      <w:sz w:val="22"/>
      <w:szCs w:val="22"/>
    </w:rPr>
  </w:style>
  <w:style w:type="character" w:customStyle="1" w:styleId="65">
    <w:name w:val="标题 9 字符"/>
    <w:link w:val="53"/>
    <w:qFormat/>
    <w:uiPriority w:val="0"/>
    <w:rPr>
      <w:rFonts w:ascii="Arial" w:hAnsi="Arial" w:eastAsia="Arial" w:cs="Arial"/>
      <w:i/>
      <w:iCs/>
      <w:sz w:val="21"/>
      <w:szCs w:val="21"/>
    </w:rPr>
  </w:style>
  <w:style w:type="paragraph" w:customStyle="1" w:styleId="66">
    <w:name w:val="列表 31"/>
    <w:basedOn w:val="1"/>
    <w:qFormat/>
    <w:uiPriority w:val="0"/>
    <w:pPr>
      <w:ind w:left="100" w:hanging="200"/>
    </w:pPr>
    <w:rPr>
      <w:rFonts w:ascii="Times New Roman" w:hAnsi="Times New Roman"/>
      <w:szCs w:val="21"/>
    </w:rPr>
  </w:style>
  <w:style w:type="paragraph" w:customStyle="1" w:styleId="67">
    <w:name w:val="目录 71"/>
    <w:basedOn w:val="1"/>
    <w:next w:val="1"/>
    <w:unhideWhenUsed/>
    <w:qFormat/>
    <w:uiPriority w:val="0"/>
    <w:pPr>
      <w:spacing w:after="57"/>
      <w:ind w:left="1701"/>
    </w:pPr>
  </w:style>
  <w:style w:type="paragraph" w:customStyle="1" w:styleId="68">
    <w:name w:val="题注1"/>
    <w:basedOn w:val="1"/>
    <w:next w:val="1"/>
    <w:qFormat/>
    <w:uiPriority w:val="35"/>
    <w:pPr>
      <w:spacing w:line="276" w:lineRule="auto"/>
    </w:pPr>
    <w:rPr>
      <w:b/>
      <w:bCs/>
      <w:color w:val="5B9BD5"/>
      <w:sz w:val="18"/>
      <w:szCs w:val="18"/>
    </w:rPr>
  </w:style>
  <w:style w:type="paragraph" w:customStyle="1" w:styleId="69">
    <w:name w:val="文档结构图1"/>
    <w:basedOn w:val="1"/>
    <w:link w:val="70"/>
    <w:semiHidden/>
    <w:qFormat/>
    <w:uiPriority w:val="0"/>
    <w:pPr>
      <w:shd w:val="clear" w:color="auto" w:fill="000080"/>
    </w:pPr>
    <w:rPr>
      <w:rFonts w:ascii="Times New Roman" w:hAnsi="Times New Roman"/>
      <w:szCs w:val="21"/>
    </w:rPr>
  </w:style>
  <w:style w:type="character" w:customStyle="1" w:styleId="70">
    <w:name w:val="文档结构图 字符"/>
    <w:link w:val="69"/>
    <w:semiHidden/>
    <w:qFormat/>
    <w:uiPriority w:val="0"/>
    <w:rPr>
      <w:sz w:val="21"/>
      <w:szCs w:val="21"/>
      <w:shd w:val="clear" w:color="auto" w:fill="000080"/>
    </w:rPr>
  </w:style>
  <w:style w:type="paragraph" w:customStyle="1" w:styleId="71">
    <w:name w:val="批注文字1"/>
    <w:basedOn w:val="1"/>
    <w:link w:val="72"/>
    <w:semiHidden/>
    <w:qFormat/>
    <w:uiPriority w:val="0"/>
    <w:pPr>
      <w:jc w:val="left"/>
    </w:pPr>
    <w:rPr>
      <w:rFonts w:ascii="Times New Roman" w:hAnsi="Times New Roman"/>
      <w:szCs w:val="21"/>
    </w:rPr>
  </w:style>
  <w:style w:type="character" w:customStyle="1" w:styleId="72">
    <w:name w:val="批注文字 字符"/>
    <w:link w:val="71"/>
    <w:semiHidden/>
    <w:qFormat/>
    <w:uiPriority w:val="0"/>
    <w:rPr>
      <w:sz w:val="21"/>
      <w:szCs w:val="21"/>
    </w:rPr>
  </w:style>
  <w:style w:type="paragraph" w:customStyle="1" w:styleId="73">
    <w:name w:val="正文文本 31"/>
    <w:basedOn w:val="1"/>
    <w:link w:val="74"/>
    <w:qFormat/>
    <w:uiPriority w:val="0"/>
    <w:rPr>
      <w:rFonts w:ascii="仿宋_GB2312" w:hAnsi="Arial" w:eastAsia="仿宋_GB2312"/>
      <w:sz w:val="32"/>
      <w:szCs w:val="32"/>
    </w:rPr>
  </w:style>
  <w:style w:type="character" w:customStyle="1" w:styleId="74">
    <w:name w:val="正文文本 3 字符"/>
    <w:link w:val="73"/>
    <w:qFormat/>
    <w:uiPriority w:val="0"/>
    <w:rPr>
      <w:rFonts w:ascii="仿宋_GB2312" w:hAnsi="Arial" w:eastAsia="仿宋_GB2312"/>
      <w:sz w:val="32"/>
      <w:szCs w:val="32"/>
    </w:rPr>
  </w:style>
  <w:style w:type="paragraph" w:customStyle="1" w:styleId="75">
    <w:name w:val="正文文本11"/>
    <w:basedOn w:val="1"/>
    <w:semiHidden/>
    <w:qFormat/>
    <w:uiPriority w:val="0"/>
    <w:rPr>
      <w:rFonts w:ascii="仿宋" w:hAnsi="仿宋" w:eastAsia="仿宋" w:cs="仿宋"/>
      <w:sz w:val="32"/>
      <w:szCs w:val="32"/>
      <w:lang w:val="en-US" w:eastAsia="en-US" w:bidi="ar-SA"/>
    </w:rPr>
  </w:style>
  <w:style w:type="paragraph" w:customStyle="1" w:styleId="76">
    <w:name w:val="正文文本缩进11"/>
    <w:basedOn w:val="1"/>
    <w:link w:val="77"/>
    <w:qFormat/>
    <w:uiPriority w:val="0"/>
    <w:pPr>
      <w:ind w:firstLine="225"/>
    </w:pPr>
    <w:rPr>
      <w:rFonts w:ascii="仿宋_GB2312" w:eastAsia="仿宋_GB2312"/>
      <w:sz w:val="32"/>
    </w:rPr>
  </w:style>
  <w:style w:type="character" w:customStyle="1" w:styleId="77">
    <w:name w:val="正文文本缩进 字符1"/>
    <w:link w:val="76"/>
    <w:qFormat/>
    <w:uiPriority w:val="0"/>
    <w:rPr>
      <w:rFonts w:ascii="仿宋_GB2312" w:hAnsi="Calibri" w:eastAsia="仿宋_GB2312"/>
      <w:sz w:val="32"/>
      <w:szCs w:val="22"/>
    </w:rPr>
  </w:style>
  <w:style w:type="paragraph" w:customStyle="1" w:styleId="78">
    <w:name w:val="列表 21"/>
    <w:basedOn w:val="1"/>
    <w:qFormat/>
    <w:uiPriority w:val="0"/>
    <w:pPr>
      <w:ind w:left="100" w:hanging="200"/>
    </w:pPr>
    <w:rPr>
      <w:rFonts w:ascii="Times New Roman" w:hAnsi="Times New Roman"/>
      <w:szCs w:val="21"/>
    </w:rPr>
  </w:style>
  <w:style w:type="paragraph" w:customStyle="1" w:styleId="79">
    <w:name w:val="目录 51"/>
    <w:basedOn w:val="1"/>
    <w:next w:val="1"/>
    <w:unhideWhenUsed/>
    <w:qFormat/>
    <w:uiPriority w:val="0"/>
    <w:pPr>
      <w:spacing w:after="57"/>
      <w:ind w:left="1134"/>
    </w:pPr>
  </w:style>
  <w:style w:type="paragraph" w:customStyle="1" w:styleId="80">
    <w:name w:val="目录 31"/>
    <w:basedOn w:val="1"/>
    <w:next w:val="1"/>
    <w:unhideWhenUsed/>
    <w:qFormat/>
    <w:uiPriority w:val="0"/>
    <w:pPr>
      <w:spacing w:after="57"/>
      <w:ind w:left="567"/>
    </w:pPr>
  </w:style>
  <w:style w:type="paragraph" w:customStyle="1" w:styleId="81">
    <w:name w:val="纯文本11"/>
    <w:basedOn w:val="1"/>
    <w:link w:val="82"/>
    <w:qFormat/>
    <w:uiPriority w:val="0"/>
    <w:rPr>
      <w:rFonts w:ascii="宋体" w:hAnsi="Courier New" w:cs="Courier New"/>
      <w:szCs w:val="21"/>
    </w:rPr>
  </w:style>
  <w:style w:type="character" w:customStyle="1" w:styleId="82">
    <w:name w:val="纯文本 字符"/>
    <w:link w:val="81"/>
    <w:qFormat/>
    <w:uiPriority w:val="0"/>
    <w:rPr>
      <w:rFonts w:ascii="宋体" w:hAnsi="Courier New" w:cs="Courier New"/>
      <w:sz w:val="21"/>
      <w:szCs w:val="21"/>
    </w:rPr>
  </w:style>
  <w:style w:type="paragraph" w:customStyle="1" w:styleId="83">
    <w:name w:val="目录 81"/>
    <w:basedOn w:val="1"/>
    <w:next w:val="1"/>
    <w:unhideWhenUsed/>
    <w:qFormat/>
    <w:uiPriority w:val="0"/>
    <w:pPr>
      <w:spacing w:after="57"/>
      <w:ind w:left="1984"/>
    </w:pPr>
  </w:style>
  <w:style w:type="paragraph" w:customStyle="1" w:styleId="84">
    <w:name w:val="日期1"/>
    <w:basedOn w:val="1"/>
    <w:next w:val="1"/>
    <w:link w:val="85"/>
    <w:qFormat/>
    <w:uiPriority w:val="0"/>
    <w:rPr>
      <w:rFonts w:ascii="Times New Roman" w:hAnsi="Times New Roman"/>
      <w:sz w:val="24"/>
      <w:szCs w:val="24"/>
    </w:rPr>
  </w:style>
  <w:style w:type="character" w:customStyle="1" w:styleId="85">
    <w:name w:val="日期 字符"/>
    <w:link w:val="84"/>
    <w:qFormat/>
    <w:uiPriority w:val="0"/>
    <w:rPr>
      <w:sz w:val="24"/>
      <w:szCs w:val="24"/>
    </w:rPr>
  </w:style>
  <w:style w:type="paragraph" w:customStyle="1" w:styleId="86">
    <w:name w:val="正文文本缩进 21"/>
    <w:basedOn w:val="1"/>
    <w:link w:val="87"/>
    <w:qFormat/>
    <w:uiPriority w:val="0"/>
    <w:pPr>
      <w:ind w:left="630" w:firstLine="645"/>
    </w:pPr>
    <w:rPr>
      <w:rFonts w:ascii="Arial" w:hAnsi="Arial" w:eastAsia="仿宋_GB2312" w:cs="Arial"/>
      <w:sz w:val="32"/>
      <w:szCs w:val="32"/>
    </w:rPr>
  </w:style>
  <w:style w:type="character" w:customStyle="1" w:styleId="87">
    <w:name w:val="正文文本缩进 2 字符"/>
    <w:link w:val="86"/>
    <w:qFormat/>
    <w:uiPriority w:val="0"/>
    <w:rPr>
      <w:rFonts w:ascii="Arial" w:hAnsi="Arial" w:eastAsia="仿宋_GB2312" w:cs="Arial"/>
      <w:sz w:val="32"/>
      <w:szCs w:val="32"/>
    </w:rPr>
  </w:style>
  <w:style w:type="paragraph" w:customStyle="1" w:styleId="88">
    <w:name w:val="尾注文本1"/>
    <w:basedOn w:val="1"/>
    <w:link w:val="89"/>
    <w:unhideWhenUsed/>
    <w:qFormat/>
    <w:uiPriority w:val="99"/>
    <w:rPr>
      <w:sz w:val="20"/>
    </w:rPr>
  </w:style>
  <w:style w:type="character" w:customStyle="1" w:styleId="89">
    <w:name w:val="尾注文本 字符"/>
    <w:link w:val="88"/>
    <w:qFormat/>
    <w:uiPriority w:val="99"/>
    <w:rPr>
      <w:sz w:val="20"/>
    </w:rPr>
  </w:style>
  <w:style w:type="paragraph" w:customStyle="1" w:styleId="90">
    <w:name w:val="批注框文本1"/>
    <w:basedOn w:val="1"/>
    <w:link w:val="91"/>
    <w:qFormat/>
    <w:uiPriority w:val="0"/>
    <w:rPr>
      <w:rFonts w:ascii="Times New Roman" w:hAnsi="Times New Roman"/>
      <w:sz w:val="18"/>
      <w:szCs w:val="18"/>
    </w:rPr>
  </w:style>
  <w:style w:type="character" w:customStyle="1" w:styleId="91">
    <w:name w:val="批注框文本 字符"/>
    <w:link w:val="90"/>
    <w:qFormat/>
    <w:uiPriority w:val="0"/>
    <w:rPr>
      <w:sz w:val="18"/>
      <w:szCs w:val="18"/>
    </w:rPr>
  </w:style>
  <w:style w:type="paragraph" w:customStyle="1" w:styleId="92">
    <w:name w:val="页脚11"/>
    <w:basedOn w:val="1"/>
    <w:link w:val="93"/>
    <w:qFormat/>
    <w:uiPriority w:val="99"/>
    <w:pPr>
      <w:tabs>
        <w:tab w:val="center" w:pos="4153"/>
        <w:tab w:val="right" w:pos="8306"/>
      </w:tabs>
      <w:jc w:val="left"/>
    </w:pPr>
    <w:rPr>
      <w:sz w:val="18"/>
      <w:szCs w:val="18"/>
    </w:rPr>
  </w:style>
  <w:style w:type="character" w:customStyle="1" w:styleId="93">
    <w:name w:val="页脚 字符"/>
    <w:link w:val="92"/>
    <w:qFormat/>
    <w:uiPriority w:val="99"/>
  </w:style>
  <w:style w:type="paragraph" w:customStyle="1" w:styleId="94">
    <w:name w:val="页眉1"/>
    <w:basedOn w:val="1"/>
    <w:link w:val="95"/>
    <w:qFormat/>
    <w:uiPriority w:val="0"/>
    <w:pPr>
      <w:tabs>
        <w:tab w:val="center" w:pos="4153"/>
        <w:tab w:val="right" w:pos="8306"/>
      </w:tabs>
      <w:jc w:val="center"/>
    </w:pPr>
    <w:rPr>
      <w:sz w:val="18"/>
      <w:szCs w:val="18"/>
    </w:rPr>
  </w:style>
  <w:style w:type="character" w:customStyle="1" w:styleId="95">
    <w:name w:val="页眉 字符"/>
    <w:link w:val="94"/>
    <w:qFormat/>
    <w:uiPriority w:val="0"/>
    <w:rPr>
      <w:rFonts w:ascii="Calibri" w:hAnsi="Calibri"/>
      <w:sz w:val="18"/>
      <w:szCs w:val="18"/>
    </w:rPr>
  </w:style>
  <w:style w:type="paragraph" w:customStyle="1" w:styleId="96">
    <w:name w:val="目录 11"/>
    <w:basedOn w:val="1"/>
    <w:next w:val="1"/>
    <w:qFormat/>
    <w:uiPriority w:val="0"/>
    <w:pPr>
      <w:spacing w:before="120" w:after="120"/>
      <w:jc w:val="left"/>
    </w:pPr>
    <w:rPr>
      <w:rFonts w:cs="Calibri"/>
      <w:b/>
      <w:bCs/>
      <w:caps/>
      <w:sz w:val="20"/>
      <w:szCs w:val="20"/>
    </w:rPr>
  </w:style>
  <w:style w:type="paragraph" w:customStyle="1" w:styleId="97">
    <w:name w:val="目录 41"/>
    <w:basedOn w:val="1"/>
    <w:next w:val="1"/>
    <w:unhideWhenUsed/>
    <w:qFormat/>
    <w:uiPriority w:val="0"/>
    <w:pPr>
      <w:spacing w:after="57"/>
      <w:ind w:left="850"/>
    </w:pPr>
  </w:style>
  <w:style w:type="paragraph" w:customStyle="1" w:styleId="98">
    <w:name w:val="副标题1"/>
    <w:basedOn w:val="1"/>
    <w:next w:val="1"/>
    <w:link w:val="99"/>
    <w:qFormat/>
    <w:uiPriority w:val="11"/>
    <w:pPr>
      <w:spacing w:before="200" w:after="200"/>
    </w:pPr>
    <w:rPr>
      <w:sz w:val="24"/>
      <w:szCs w:val="24"/>
    </w:rPr>
  </w:style>
  <w:style w:type="character" w:customStyle="1" w:styleId="99">
    <w:name w:val="副标题 字符"/>
    <w:link w:val="98"/>
    <w:qFormat/>
    <w:uiPriority w:val="11"/>
    <w:rPr>
      <w:sz w:val="24"/>
      <w:szCs w:val="24"/>
    </w:rPr>
  </w:style>
  <w:style w:type="paragraph" w:customStyle="1" w:styleId="100">
    <w:name w:val="列表1"/>
    <w:basedOn w:val="1"/>
    <w:qFormat/>
    <w:uiPriority w:val="0"/>
    <w:pPr>
      <w:ind w:left="200" w:hanging="200"/>
    </w:pPr>
    <w:rPr>
      <w:rFonts w:ascii="Times New Roman" w:hAnsi="Times New Roman"/>
      <w:szCs w:val="21"/>
    </w:rPr>
  </w:style>
  <w:style w:type="paragraph" w:customStyle="1" w:styleId="101">
    <w:name w:val="脚注文本11"/>
    <w:basedOn w:val="1"/>
    <w:link w:val="102"/>
    <w:unhideWhenUsed/>
    <w:qFormat/>
    <w:uiPriority w:val="99"/>
    <w:pPr>
      <w:spacing w:after="40"/>
    </w:pPr>
    <w:rPr>
      <w:sz w:val="18"/>
    </w:rPr>
  </w:style>
  <w:style w:type="character" w:customStyle="1" w:styleId="102">
    <w:name w:val="脚注文本 字符"/>
    <w:link w:val="101"/>
    <w:qFormat/>
    <w:uiPriority w:val="99"/>
    <w:rPr>
      <w:sz w:val="18"/>
    </w:rPr>
  </w:style>
  <w:style w:type="paragraph" w:customStyle="1" w:styleId="103">
    <w:name w:val="目录 61"/>
    <w:basedOn w:val="1"/>
    <w:next w:val="1"/>
    <w:unhideWhenUsed/>
    <w:qFormat/>
    <w:uiPriority w:val="0"/>
    <w:pPr>
      <w:spacing w:after="57"/>
      <w:ind w:left="1417"/>
    </w:pPr>
  </w:style>
  <w:style w:type="paragraph" w:customStyle="1" w:styleId="104">
    <w:name w:val="正文文本缩进 31"/>
    <w:basedOn w:val="1"/>
    <w:link w:val="105"/>
    <w:qFormat/>
    <w:uiPriority w:val="0"/>
    <w:pPr>
      <w:ind w:left="645" w:firstLine="645"/>
    </w:pPr>
    <w:rPr>
      <w:rFonts w:ascii="Arial" w:hAnsi="Arial" w:eastAsia="仿宋_GB2312" w:cs="Arial"/>
      <w:color w:val="FFFF00"/>
      <w:sz w:val="32"/>
      <w:szCs w:val="32"/>
    </w:rPr>
  </w:style>
  <w:style w:type="character" w:customStyle="1" w:styleId="105">
    <w:name w:val="正文文本缩进 3 字符"/>
    <w:link w:val="104"/>
    <w:qFormat/>
    <w:uiPriority w:val="0"/>
    <w:rPr>
      <w:rFonts w:ascii="Arial" w:hAnsi="Arial" w:eastAsia="仿宋_GB2312" w:cs="Arial"/>
      <w:color w:val="FFFF00"/>
      <w:sz w:val="32"/>
      <w:szCs w:val="32"/>
    </w:rPr>
  </w:style>
  <w:style w:type="paragraph" w:customStyle="1" w:styleId="106">
    <w:name w:val="图表目录1"/>
    <w:basedOn w:val="1"/>
    <w:next w:val="1"/>
    <w:unhideWhenUsed/>
    <w:qFormat/>
    <w:uiPriority w:val="0"/>
  </w:style>
  <w:style w:type="paragraph" w:customStyle="1" w:styleId="107">
    <w:name w:val="目录 21"/>
    <w:basedOn w:val="1"/>
    <w:next w:val="1"/>
    <w:qFormat/>
    <w:uiPriority w:val="0"/>
    <w:pPr>
      <w:ind w:left="210"/>
      <w:jc w:val="left"/>
    </w:pPr>
    <w:rPr>
      <w:rFonts w:cs="Calibri"/>
      <w:smallCaps/>
      <w:sz w:val="20"/>
      <w:szCs w:val="20"/>
    </w:rPr>
  </w:style>
  <w:style w:type="paragraph" w:customStyle="1" w:styleId="108">
    <w:name w:val="目录 91"/>
    <w:basedOn w:val="1"/>
    <w:next w:val="1"/>
    <w:unhideWhenUsed/>
    <w:qFormat/>
    <w:uiPriority w:val="0"/>
    <w:pPr>
      <w:spacing w:after="57"/>
      <w:ind w:left="2268"/>
    </w:pPr>
  </w:style>
  <w:style w:type="paragraph" w:customStyle="1" w:styleId="109">
    <w:name w:val="正文文本 21"/>
    <w:basedOn w:val="1"/>
    <w:link w:val="110"/>
    <w:qFormat/>
    <w:uiPriority w:val="0"/>
    <w:pPr>
      <w:widowControl/>
      <w:jc w:val="center"/>
    </w:pPr>
    <w:rPr>
      <w:rFonts w:ascii="楷体_GB2312" w:hAnsi="Times New Roman" w:eastAsia="楷体_GB2312"/>
      <w:sz w:val="28"/>
      <w:szCs w:val="28"/>
    </w:rPr>
  </w:style>
  <w:style w:type="character" w:customStyle="1" w:styleId="110">
    <w:name w:val="正文文本 2 字符"/>
    <w:link w:val="109"/>
    <w:qFormat/>
    <w:uiPriority w:val="0"/>
    <w:rPr>
      <w:rFonts w:ascii="楷体_GB2312" w:eastAsia="楷体_GB2312"/>
      <w:sz w:val="28"/>
      <w:szCs w:val="28"/>
    </w:rPr>
  </w:style>
  <w:style w:type="paragraph" w:customStyle="1" w:styleId="111">
    <w:name w:val="HTML 预设格式1"/>
    <w:basedOn w:val="1"/>
    <w:link w:val="112"/>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sz w:val="24"/>
      <w:szCs w:val="24"/>
    </w:rPr>
  </w:style>
  <w:style w:type="character" w:customStyle="1" w:styleId="112">
    <w:name w:val="HTML 预设格式 字符"/>
    <w:link w:val="111"/>
    <w:qFormat/>
    <w:uiPriority w:val="99"/>
    <w:rPr>
      <w:rFonts w:ascii="宋体" w:hAnsi="宋体"/>
      <w:sz w:val="24"/>
      <w:szCs w:val="24"/>
    </w:rPr>
  </w:style>
  <w:style w:type="paragraph" w:customStyle="1" w:styleId="113">
    <w:name w:val="普通(网站)11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114">
    <w:name w:val="索引 11"/>
    <w:basedOn w:val="1"/>
    <w:next w:val="1"/>
    <w:semiHidden/>
    <w:qFormat/>
    <w:uiPriority w:val="0"/>
    <w:pPr>
      <w:spacing w:line="240" w:lineRule="atLeast"/>
    </w:pPr>
    <w:rPr>
      <w:rFonts w:ascii="Times New Roman" w:hAnsi="Times New Roman"/>
      <w:b/>
      <w:bCs/>
      <w:szCs w:val="21"/>
    </w:rPr>
  </w:style>
  <w:style w:type="paragraph" w:customStyle="1" w:styleId="115">
    <w:name w:val="标题11"/>
    <w:basedOn w:val="1"/>
    <w:next w:val="1"/>
    <w:link w:val="116"/>
    <w:qFormat/>
    <w:uiPriority w:val="10"/>
    <w:pPr>
      <w:spacing w:before="300" w:after="200"/>
      <w:contextualSpacing/>
    </w:pPr>
    <w:rPr>
      <w:sz w:val="48"/>
      <w:szCs w:val="48"/>
    </w:rPr>
  </w:style>
  <w:style w:type="character" w:customStyle="1" w:styleId="116">
    <w:name w:val="标题 字符"/>
    <w:link w:val="115"/>
    <w:qFormat/>
    <w:uiPriority w:val="10"/>
    <w:rPr>
      <w:sz w:val="48"/>
      <w:szCs w:val="48"/>
    </w:rPr>
  </w:style>
  <w:style w:type="paragraph" w:customStyle="1" w:styleId="117">
    <w:name w:val="批注主题1"/>
    <w:basedOn w:val="71"/>
    <w:next w:val="71"/>
    <w:link w:val="118"/>
    <w:semiHidden/>
    <w:qFormat/>
    <w:uiPriority w:val="0"/>
    <w:rPr>
      <w:b/>
      <w:bCs/>
    </w:rPr>
  </w:style>
  <w:style w:type="character" w:customStyle="1" w:styleId="118">
    <w:name w:val="批注主题 字符"/>
    <w:link w:val="117"/>
    <w:semiHidden/>
    <w:qFormat/>
    <w:uiPriority w:val="0"/>
    <w:rPr>
      <w:b/>
      <w:bCs/>
      <w:sz w:val="21"/>
      <w:szCs w:val="21"/>
    </w:rPr>
  </w:style>
  <w:style w:type="paragraph" w:customStyle="1" w:styleId="119">
    <w:name w:val="正文首行缩进 211"/>
    <w:basedOn w:val="76"/>
    <w:link w:val="120"/>
    <w:qFormat/>
    <w:uiPriority w:val="0"/>
    <w:pPr>
      <w:spacing w:line="360" w:lineRule="auto"/>
      <w:ind w:firstLine="420"/>
    </w:pPr>
    <w:rPr>
      <w:rFonts w:ascii="宋体" w:hAnsi="宋体" w:eastAsia="宋体"/>
      <w:sz w:val="21"/>
      <w:szCs w:val="20"/>
    </w:rPr>
  </w:style>
  <w:style w:type="character" w:customStyle="1" w:styleId="120">
    <w:name w:val="正文文本首行缩进 2 字符"/>
    <w:link w:val="119"/>
    <w:qFormat/>
    <w:uiPriority w:val="0"/>
    <w:rPr>
      <w:rFonts w:ascii="宋体" w:hAnsi="宋体" w:eastAsia="仿宋_GB2312"/>
      <w:sz w:val="21"/>
      <w:szCs w:val="22"/>
    </w:rPr>
  </w:style>
  <w:style w:type="table" w:customStyle="1" w:styleId="121">
    <w:name w:val="网格型1"/>
    <w:basedOn w:val="55"/>
    <w:qFormat/>
    <w:uiPriority w:val="0"/>
    <w:pPr>
      <w:widowControl w:val="0"/>
      <w:jc w:val="both"/>
    </w:pPr>
  </w:style>
  <w:style w:type="character" w:customStyle="1" w:styleId="122">
    <w:name w:val="要点1"/>
    <w:link w:val="1"/>
    <w:qFormat/>
    <w:uiPriority w:val="0"/>
    <w:rPr>
      <w:b/>
      <w:bCs/>
    </w:rPr>
  </w:style>
  <w:style w:type="character" w:customStyle="1" w:styleId="123">
    <w:name w:val="尾注引用1"/>
    <w:link w:val="1"/>
    <w:unhideWhenUsed/>
    <w:qFormat/>
    <w:uiPriority w:val="99"/>
    <w:rPr>
      <w:vertAlign w:val="superscript"/>
    </w:rPr>
  </w:style>
  <w:style w:type="character" w:customStyle="1" w:styleId="124">
    <w:name w:val="页码11"/>
    <w:link w:val="1"/>
    <w:qFormat/>
    <w:uiPriority w:val="0"/>
  </w:style>
  <w:style w:type="character" w:customStyle="1" w:styleId="125">
    <w:name w:val="已访问的超链接1"/>
    <w:basedOn w:val="54"/>
    <w:link w:val="1"/>
    <w:qFormat/>
    <w:uiPriority w:val="0"/>
    <w:rPr>
      <w:color w:val="800080"/>
      <w:u w:val="none"/>
    </w:rPr>
  </w:style>
  <w:style w:type="character" w:customStyle="1" w:styleId="126">
    <w:name w:val="强调1"/>
    <w:basedOn w:val="54"/>
    <w:link w:val="1"/>
    <w:qFormat/>
    <w:uiPriority w:val="20"/>
  </w:style>
  <w:style w:type="character" w:customStyle="1" w:styleId="127">
    <w:name w:val="HTML 定义1"/>
    <w:basedOn w:val="54"/>
    <w:link w:val="1"/>
    <w:unhideWhenUsed/>
    <w:qFormat/>
    <w:uiPriority w:val="99"/>
  </w:style>
  <w:style w:type="character" w:customStyle="1" w:styleId="128">
    <w:name w:val="HTML 打字机1"/>
    <w:basedOn w:val="54"/>
    <w:link w:val="1"/>
    <w:unhideWhenUsed/>
    <w:qFormat/>
    <w:uiPriority w:val="99"/>
    <w:rPr>
      <w:rFonts w:ascii="monospace" w:hAnsi="monospace" w:eastAsia="monospace" w:cs="monospace"/>
      <w:sz w:val="20"/>
    </w:rPr>
  </w:style>
  <w:style w:type="character" w:customStyle="1" w:styleId="129">
    <w:name w:val="HTML 缩写1"/>
    <w:basedOn w:val="54"/>
    <w:link w:val="1"/>
    <w:unhideWhenUsed/>
    <w:qFormat/>
    <w:uiPriority w:val="99"/>
  </w:style>
  <w:style w:type="character" w:customStyle="1" w:styleId="130">
    <w:name w:val="HTML 变量1"/>
    <w:basedOn w:val="54"/>
    <w:link w:val="1"/>
    <w:unhideWhenUsed/>
    <w:qFormat/>
    <w:uiPriority w:val="99"/>
  </w:style>
  <w:style w:type="character" w:customStyle="1" w:styleId="131">
    <w:name w:val="超链接1"/>
    <w:basedOn w:val="54"/>
    <w:link w:val="1"/>
    <w:qFormat/>
    <w:uiPriority w:val="0"/>
    <w:rPr>
      <w:color w:val="0000FF"/>
      <w:u w:val="none"/>
    </w:rPr>
  </w:style>
  <w:style w:type="character" w:customStyle="1" w:styleId="132">
    <w:name w:val="HTML 代码1"/>
    <w:basedOn w:val="54"/>
    <w:link w:val="1"/>
    <w:unhideWhenUsed/>
    <w:qFormat/>
    <w:uiPriority w:val="99"/>
    <w:rPr>
      <w:rFonts w:ascii="monospace" w:hAnsi="monospace" w:eastAsia="monospace" w:cs="monospace"/>
      <w:sz w:val="20"/>
    </w:rPr>
  </w:style>
  <w:style w:type="character" w:customStyle="1" w:styleId="133">
    <w:name w:val="批注引用1"/>
    <w:link w:val="1"/>
    <w:semiHidden/>
    <w:qFormat/>
    <w:uiPriority w:val="0"/>
    <w:rPr>
      <w:sz w:val="21"/>
      <w:szCs w:val="21"/>
    </w:rPr>
  </w:style>
  <w:style w:type="character" w:customStyle="1" w:styleId="134">
    <w:name w:val="HTML 引文1"/>
    <w:basedOn w:val="54"/>
    <w:link w:val="1"/>
    <w:unhideWhenUsed/>
    <w:qFormat/>
    <w:uiPriority w:val="99"/>
  </w:style>
  <w:style w:type="character" w:customStyle="1" w:styleId="135">
    <w:name w:val="脚注引用1"/>
    <w:link w:val="1"/>
    <w:unhideWhenUsed/>
    <w:qFormat/>
    <w:uiPriority w:val="99"/>
    <w:rPr>
      <w:vertAlign w:val="superscript"/>
    </w:rPr>
  </w:style>
  <w:style w:type="character" w:customStyle="1" w:styleId="136">
    <w:name w:val="HTML 键盘1"/>
    <w:basedOn w:val="54"/>
    <w:link w:val="1"/>
    <w:unhideWhenUsed/>
    <w:qFormat/>
    <w:uiPriority w:val="99"/>
    <w:rPr>
      <w:rFonts w:ascii="monospace" w:hAnsi="monospace" w:eastAsia="monospace" w:cs="monospace"/>
      <w:sz w:val="20"/>
    </w:rPr>
  </w:style>
  <w:style w:type="character" w:customStyle="1" w:styleId="137">
    <w:name w:val="HTML 样本1"/>
    <w:basedOn w:val="54"/>
    <w:link w:val="1"/>
    <w:unhideWhenUsed/>
    <w:qFormat/>
    <w:uiPriority w:val="99"/>
    <w:rPr>
      <w:rFonts w:ascii="monospace" w:hAnsi="monospace" w:eastAsia="monospace" w:cs="monospace"/>
    </w:rPr>
  </w:style>
  <w:style w:type="paragraph" w:customStyle="1" w:styleId="138">
    <w:name w:val="正文首行缩进 21"/>
    <w:basedOn w:val="139"/>
    <w:next w:val="1"/>
    <w:qFormat/>
    <w:uiPriority w:val="0"/>
    <w:pPr>
      <w:spacing w:line="360" w:lineRule="auto"/>
      <w:ind w:firstLine="420"/>
    </w:pPr>
    <w:rPr>
      <w:rFonts w:ascii="宋体" w:hAnsi="宋体" w:eastAsia="宋体"/>
      <w:sz w:val="21"/>
      <w:szCs w:val="20"/>
    </w:rPr>
  </w:style>
  <w:style w:type="paragraph" w:customStyle="1" w:styleId="139">
    <w:name w:val="正文文本缩进1"/>
    <w:basedOn w:val="1"/>
    <w:next w:val="140"/>
    <w:qFormat/>
    <w:uiPriority w:val="0"/>
    <w:pPr>
      <w:ind w:firstLine="645"/>
    </w:pPr>
    <w:rPr>
      <w:rFonts w:ascii="楷体_GB2312" w:eastAsia="楷体_GB2312"/>
      <w:sz w:val="32"/>
      <w:szCs w:val="32"/>
    </w:rPr>
  </w:style>
  <w:style w:type="paragraph" w:customStyle="1" w:styleId="140">
    <w:name w:val="寄信人地址1"/>
    <w:basedOn w:val="1"/>
    <w:qFormat/>
    <w:uiPriority w:val="0"/>
    <w:rPr>
      <w:rFonts w:ascii="Arial" w:hAnsi="Arial"/>
    </w:rPr>
  </w:style>
  <w:style w:type="paragraph" w:customStyle="1" w:styleId="141">
    <w:name w:val="标题 41"/>
    <w:basedOn w:val="142"/>
    <w:next w:val="1"/>
    <w:qFormat/>
    <w:uiPriority w:val="0"/>
    <w:pPr>
      <w:keepNext/>
      <w:keepLines/>
      <w:widowControl w:val="0"/>
      <w:tabs>
        <w:tab w:val="left" w:pos="1134"/>
        <w:tab w:val="right" w:pos="7371"/>
      </w:tabs>
      <w:spacing w:line="360" w:lineRule="auto"/>
      <w:outlineLvl w:val="3"/>
    </w:pPr>
    <w:rPr>
      <w:rFonts w:ascii="宋体"/>
      <w:color w:val="800000"/>
      <w:sz w:val="28"/>
      <w:szCs w:val="20"/>
    </w:rPr>
  </w:style>
  <w:style w:type="paragraph" w:customStyle="1" w:styleId="142">
    <w:name w:val="Normal_20"/>
    <w:next w:val="143"/>
    <w:qFormat/>
    <w:uiPriority w:val="0"/>
    <w:rPr>
      <w:rFonts w:hint="default" w:ascii="黑体" w:hAnsi="黑体" w:eastAsia="黑体" w:cs="黑体"/>
      <w:b/>
      <w:sz w:val="32"/>
      <w:szCs w:val="24"/>
      <w:lang w:val="en-US" w:eastAsia="zh-CN" w:bidi="ar-SA"/>
    </w:rPr>
  </w:style>
  <w:style w:type="paragraph" w:customStyle="1" w:styleId="143">
    <w:name w:val="Body Text First Indent_2"/>
    <w:basedOn w:val="142"/>
    <w:qFormat/>
    <w:uiPriority w:val="0"/>
    <w:pPr>
      <w:spacing w:after="120"/>
      <w:ind w:firstLine="100"/>
    </w:pPr>
  </w:style>
  <w:style w:type="paragraph" w:customStyle="1" w:styleId="144">
    <w:name w:val="脚注文本1"/>
    <w:basedOn w:val="1"/>
    <w:qFormat/>
    <w:uiPriority w:val="0"/>
    <w:pPr>
      <w:jc w:val="left"/>
    </w:pPr>
    <w:rPr>
      <w:rFonts w:eastAsia="Times New Roman"/>
      <w:sz w:val="18"/>
      <w:szCs w:val="24"/>
    </w:rPr>
  </w:style>
  <w:style w:type="table" w:customStyle="1" w:styleId="145">
    <w:name w:val="Plain Table 1"/>
    <w:basedOn w:val="55"/>
    <w:qFormat/>
    <w:uiPriority w:val="59"/>
    <w:pPr>
      <w:spacing w:after="0" w:line="240" w:lineRule="auto"/>
    </w:pPr>
  </w:style>
  <w:style w:type="table" w:customStyle="1" w:styleId="146">
    <w:name w:val="Plain Table 2"/>
    <w:basedOn w:val="55"/>
    <w:qFormat/>
    <w:uiPriority w:val="59"/>
    <w:pPr>
      <w:spacing w:after="0" w:line="240" w:lineRule="auto"/>
    </w:pPr>
  </w:style>
  <w:style w:type="table" w:customStyle="1" w:styleId="147">
    <w:name w:val="Plain Table 3"/>
    <w:basedOn w:val="55"/>
    <w:qFormat/>
    <w:uiPriority w:val="99"/>
    <w:pPr>
      <w:spacing w:after="0" w:line="240" w:lineRule="auto"/>
    </w:pPr>
  </w:style>
  <w:style w:type="table" w:customStyle="1" w:styleId="148">
    <w:name w:val="Plain Table 4"/>
    <w:basedOn w:val="55"/>
    <w:qFormat/>
    <w:uiPriority w:val="99"/>
    <w:pPr>
      <w:spacing w:after="0" w:line="240" w:lineRule="auto"/>
    </w:pPr>
  </w:style>
  <w:style w:type="table" w:customStyle="1" w:styleId="149">
    <w:name w:val="Plain Table 5"/>
    <w:basedOn w:val="55"/>
    <w:qFormat/>
    <w:uiPriority w:val="99"/>
    <w:pPr>
      <w:spacing w:after="0" w:line="240" w:lineRule="auto"/>
    </w:pPr>
  </w:style>
  <w:style w:type="table" w:customStyle="1" w:styleId="150">
    <w:name w:val="Grid Table 1 Light"/>
    <w:basedOn w:val="55"/>
    <w:qFormat/>
    <w:uiPriority w:val="99"/>
    <w:pPr>
      <w:spacing w:after="0" w:line="240" w:lineRule="auto"/>
    </w:pPr>
  </w:style>
  <w:style w:type="table" w:customStyle="1" w:styleId="151">
    <w:name w:val="Grid Table 2"/>
    <w:basedOn w:val="55"/>
    <w:qFormat/>
    <w:uiPriority w:val="99"/>
    <w:pPr>
      <w:spacing w:after="0" w:line="240" w:lineRule="auto"/>
    </w:pPr>
  </w:style>
  <w:style w:type="table" w:customStyle="1" w:styleId="152">
    <w:name w:val="Grid Table 3"/>
    <w:basedOn w:val="55"/>
    <w:qFormat/>
    <w:uiPriority w:val="99"/>
    <w:pPr>
      <w:spacing w:after="0" w:line="240" w:lineRule="auto"/>
    </w:pPr>
  </w:style>
  <w:style w:type="table" w:customStyle="1" w:styleId="153">
    <w:name w:val="Grid Table 4"/>
    <w:basedOn w:val="55"/>
    <w:qFormat/>
    <w:uiPriority w:val="59"/>
    <w:pPr>
      <w:spacing w:after="0" w:line="240" w:lineRule="auto"/>
    </w:pPr>
  </w:style>
  <w:style w:type="table" w:customStyle="1" w:styleId="154">
    <w:name w:val="Grid Table 5 Dark"/>
    <w:basedOn w:val="55"/>
    <w:qFormat/>
    <w:uiPriority w:val="99"/>
    <w:pPr>
      <w:spacing w:after="0" w:line="240" w:lineRule="auto"/>
    </w:pPr>
  </w:style>
  <w:style w:type="table" w:customStyle="1" w:styleId="155">
    <w:name w:val="Grid Table 6 Colorful"/>
    <w:basedOn w:val="55"/>
    <w:qFormat/>
    <w:uiPriority w:val="99"/>
    <w:pPr>
      <w:spacing w:after="0" w:line="240" w:lineRule="auto"/>
    </w:pPr>
  </w:style>
  <w:style w:type="table" w:customStyle="1" w:styleId="156">
    <w:name w:val="Grid Table 7 Colorful"/>
    <w:basedOn w:val="55"/>
    <w:qFormat/>
    <w:uiPriority w:val="99"/>
    <w:pPr>
      <w:spacing w:after="0" w:line="240" w:lineRule="auto"/>
    </w:pPr>
  </w:style>
  <w:style w:type="table" w:customStyle="1" w:styleId="157">
    <w:name w:val="List Table 1 Light"/>
    <w:basedOn w:val="55"/>
    <w:qFormat/>
    <w:uiPriority w:val="99"/>
    <w:pPr>
      <w:spacing w:after="0" w:line="240" w:lineRule="auto"/>
    </w:pPr>
  </w:style>
  <w:style w:type="table" w:customStyle="1" w:styleId="158">
    <w:name w:val="List Table 2"/>
    <w:basedOn w:val="55"/>
    <w:qFormat/>
    <w:uiPriority w:val="99"/>
    <w:pPr>
      <w:spacing w:after="0" w:line="240" w:lineRule="auto"/>
    </w:pPr>
  </w:style>
  <w:style w:type="table" w:customStyle="1" w:styleId="159">
    <w:name w:val="List Table 3"/>
    <w:basedOn w:val="55"/>
    <w:qFormat/>
    <w:uiPriority w:val="99"/>
    <w:pPr>
      <w:spacing w:after="0" w:line="240" w:lineRule="auto"/>
    </w:pPr>
  </w:style>
  <w:style w:type="table" w:customStyle="1" w:styleId="160">
    <w:name w:val="List Table 4"/>
    <w:basedOn w:val="55"/>
    <w:qFormat/>
    <w:uiPriority w:val="99"/>
    <w:pPr>
      <w:spacing w:after="0" w:line="240" w:lineRule="auto"/>
    </w:pPr>
  </w:style>
  <w:style w:type="table" w:customStyle="1" w:styleId="161">
    <w:name w:val="List Table 5 Dark"/>
    <w:basedOn w:val="55"/>
    <w:qFormat/>
    <w:uiPriority w:val="99"/>
    <w:pPr>
      <w:spacing w:after="0" w:line="240" w:lineRule="auto"/>
    </w:pPr>
  </w:style>
  <w:style w:type="table" w:customStyle="1" w:styleId="162">
    <w:name w:val="List Table 6 Colorful"/>
    <w:basedOn w:val="55"/>
    <w:qFormat/>
    <w:uiPriority w:val="99"/>
    <w:pPr>
      <w:spacing w:after="0" w:line="240" w:lineRule="auto"/>
    </w:pPr>
  </w:style>
  <w:style w:type="table" w:customStyle="1" w:styleId="163">
    <w:name w:val="List Table 7 Colorful"/>
    <w:basedOn w:val="55"/>
    <w:qFormat/>
    <w:uiPriority w:val="99"/>
    <w:pPr>
      <w:spacing w:after="0" w:line="240" w:lineRule="auto"/>
    </w:pPr>
  </w:style>
  <w:style w:type="paragraph" w:customStyle="1" w:styleId="164">
    <w:name w:val="TOC Heading"/>
    <w:unhideWhenUsed/>
    <w:qFormat/>
    <w:uiPriority w:val="39"/>
    <w:rPr>
      <w:rFonts w:hint="default" w:ascii="Times New Roman" w:hAnsi="Times New Roman" w:eastAsia="宋体" w:cs="Times New Roman"/>
      <w:lang w:val="en-US" w:eastAsia="zh-CN" w:bidi="ar-SA"/>
    </w:rPr>
  </w:style>
  <w:style w:type="table" w:customStyle="1" w:styleId="165">
    <w:name w:val="无格式表格 11"/>
    <w:basedOn w:val="55"/>
    <w:qFormat/>
    <w:uiPriority w:val="59"/>
  </w:style>
  <w:style w:type="table" w:customStyle="1" w:styleId="166">
    <w:name w:val="无格式表格 21"/>
    <w:basedOn w:val="55"/>
    <w:qFormat/>
    <w:uiPriority w:val="59"/>
  </w:style>
  <w:style w:type="table" w:customStyle="1" w:styleId="167">
    <w:name w:val="无格式表格 31"/>
    <w:basedOn w:val="55"/>
    <w:qFormat/>
    <w:uiPriority w:val="99"/>
  </w:style>
  <w:style w:type="table" w:customStyle="1" w:styleId="168">
    <w:name w:val="无格式表格 41"/>
    <w:basedOn w:val="55"/>
    <w:qFormat/>
    <w:uiPriority w:val="99"/>
  </w:style>
  <w:style w:type="table" w:customStyle="1" w:styleId="169">
    <w:name w:val="无格式表格 51"/>
    <w:basedOn w:val="55"/>
    <w:qFormat/>
    <w:uiPriority w:val="99"/>
  </w:style>
  <w:style w:type="table" w:customStyle="1" w:styleId="170">
    <w:name w:val="网格表 1 浅色1"/>
    <w:basedOn w:val="55"/>
    <w:qFormat/>
    <w:uiPriority w:val="99"/>
  </w:style>
  <w:style w:type="table" w:customStyle="1" w:styleId="171">
    <w:name w:val="网格表 21"/>
    <w:basedOn w:val="55"/>
    <w:qFormat/>
    <w:uiPriority w:val="99"/>
  </w:style>
  <w:style w:type="table" w:customStyle="1" w:styleId="172">
    <w:name w:val="网格表 31"/>
    <w:basedOn w:val="55"/>
    <w:qFormat/>
    <w:uiPriority w:val="99"/>
  </w:style>
  <w:style w:type="table" w:customStyle="1" w:styleId="173">
    <w:name w:val="网格表 41"/>
    <w:basedOn w:val="55"/>
    <w:qFormat/>
    <w:uiPriority w:val="59"/>
  </w:style>
  <w:style w:type="table" w:customStyle="1" w:styleId="174">
    <w:name w:val="网格表 5 深色1"/>
    <w:basedOn w:val="55"/>
    <w:qFormat/>
    <w:uiPriority w:val="99"/>
  </w:style>
  <w:style w:type="table" w:customStyle="1" w:styleId="175">
    <w:name w:val="网格表 6 彩色1"/>
    <w:basedOn w:val="55"/>
    <w:qFormat/>
    <w:uiPriority w:val="99"/>
  </w:style>
  <w:style w:type="table" w:customStyle="1" w:styleId="176">
    <w:name w:val="网格表 7 彩色1"/>
    <w:basedOn w:val="55"/>
    <w:qFormat/>
    <w:uiPriority w:val="99"/>
  </w:style>
  <w:style w:type="table" w:customStyle="1" w:styleId="177">
    <w:name w:val="清单表 1 浅色1"/>
    <w:basedOn w:val="55"/>
    <w:qFormat/>
    <w:uiPriority w:val="99"/>
  </w:style>
  <w:style w:type="table" w:customStyle="1" w:styleId="178">
    <w:name w:val="清单表 21"/>
    <w:basedOn w:val="55"/>
    <w:qFormat/>
    <w:uiPriority w:val="99"/>
  </w:style>
  <w:style w:type="table" w:customStyle="1" w:styleId="179">
    <w:name w:val="清单表 31"/>
    <w:basedOn w:val="55"/>
    <w:qFormat/>
    <w:uiPriority w:val="99"/>
  </w:style>
  <w:style w:type="table" w:customStyle="1" w:styleId="180">
    <w:name w:val="清单表 41"/>
    <w:basedOn w:val="55"/>
    <w:qFormat/>
    <w:uiPriority w:val="99"/>
  </w:style>
  <w:style w:type="table" w:customStyle="1" w:styleId="181">
    <w:name w:val="清单表 5 深色1"/>
    <w:basedOn w:val="55"/>
    <w:qFormat/>
    <w:uiPriority w:val="99"/>
  </w:style>
  <w:style w:type="table" w:customStyle="1" w:styleId="182">
    <w:name w:val="清单表 6 彩色1"/>
    <w:basedOn w:val="55"/>
    <w:qFormat/>
    <w:uiPriority w:val="99"/>
  </w:style>
  <w:style w:type="table" w:customStyle="1" w:styleId="183">
    <w:name w:val="清单表 7 彩色1"/>
    <w:basedOn w:val="55"/>
    <w:qFormat/>
    <w:uiPriority w:val="99"/>
  </w:style>
  <w:style w:type="paragraph" w:customStyle="1" w:styleId="184">
    <w:name w:val="TOC 标题1"/>
    <w:unhideWhenUsed/>
    <w:qFormat/>
    <w:uiPriority w:val="39"/>
    <w:rPr>
      <w:rFonts w:hint="default" w:ascii="Times New Roman" w:hAnsi="Times New Roman" w:eastAsia="宋体" w:cs="Times New Roman"/>
      <w:lang w:val="en-US" w:eastAsia="zh-CN" w:bidi="ar-SA"/>
    </w:rPr>
  </w:style>
  <w:style w:type="paragraph" w:customStyle="1" w:styleId="185">
    <w:name w:val="Normal_21"/>
    <w:basedOn w:val="186"/>
    <w:next w:val="186"/>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186">
    <w:name w:val="正文_16"/>
    <w:qFormat/>
    <w:uiPriority w:val="0"/>
    <w:pPr>
      <w:widowControl w:val="0"/>
      <w:jc w:val="both"/>
    </w:pPr>
    <w:rPr>
      <w:rFonts w:hint="default" w:ascii="Calibri" w:hAnsi="Calibri" w:eastAsia="宋体" w:cs="Times New Roman"/>
      <w:sz w:val="21"/>
      <w:szCs w:val="22"/>
      <w:lang w:val="en-US" w:eastAsia="zh-CN" w:bidi="ar-SA"/>
    </w:rPr>
  </w:style>
  <w:style w:type="paragraph" w:customStyle="1" w:styleId="187">
    <w:name w:val="正文_17"/>
    <w:next w:val="188"/>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188">
    <w:name w:val="标题 4_1"/>
    <w:basedOn w:val="187"/>
    <w:next w:val="187"/>
    <w:qFormat/>
    <w:uiPriority w:val="0"/>
    <w:pPr>
      <w:keepNext/>
      <w:keepLines/>
      <w:tabs>
        <w:tab w:val="left" w:pos="1134"/>
        <w:tab w:val="right" w:pos="7371"/>
      </w:tabs>
      <w:spacing w:line="360" w:lineRule="auto"/>
      <w:outlineLvl w:val="3"/>
    </w:pPr>
    <w:rPr>
      <w:rFonts w:ascii="宋体"/>
      <w:color w:val="800000"/>
      <w:sz w:val="28"/>
      <w:szCs w:val="20"/>
    </w:rPr>
  </w:style>
  <w:style w:type="character" w:customStyle="1" w:styleId="189">
    <w:name w:val="Heading 1 Char"/>
    <w:link w:val="1"/>
    <w:qFormat/>
    <w:uiPriority w:val="9"/>
    <w:rPr>
      <w:rFonts w:ascii="Arial" w:hAnsi="Arial" w:eastAsia="Arial" w:cs="Arial"/>
      <w:sz w:val="40"/>
      <w:szCs w:val="40"/>
    </w:rPr>
  </w:style>
  <w:style w:type="character" w:customStyle="1" w:styleId="190">
    <w:name w:val="Heading 2 Char"/>
    <w:link w:val="1"/>
    <w:qFormat/>
    <w:uiPriority w:val="9"/>
    <w:rPr>
      <w:rFonts w:ascii="Arial" w:hAnsi="Arial" w:eastAsia="Arial" w:cs="Arial"/>
      <w:sz w:val="34"/>
    </w:rPr>
  </w:style>
  <w:style w:type="character" w:customStyle="1" w:styleId="191">
    <w:name w:val="Heading 3 Char"/>
    <w:link w:val="1"/>
    <w:qFormat/>
    <w:uiPriority w:val="9"/>
    <w:rPr>
      <w:rFonts w:ascii="Arial" w:hAnsi="Arial" w:eastAsia="Arial" w:cs="Arial"/>
      <w:sz w:val="30"/>
      <w:szCs w:val="30"/>
    </w:rPr>
  </w:style>
  <w:style w:type="character" w:customStyle="1" w:styleId="192">
    <w:name w:val="Heading 4 Char"/>
    <w:link w:val="1"/>
    <w:qFormat/>
    <w:uiPriority w:val="9"/>
    <w:rPr>
      <w:rFonts w:ascii="Arial" w:hAnsi="Arial" w:eastAsia="Arial" w:cs="Arial"/>
      <w:b/>
      <w:bCs/>
      <w:sz w:val="26"/>
      <w:szCs w:val="26"/>
    </w:rPr>
  </w:style>
  <w:style w:type="character" w:customStyle="1" w:styleId="193">
    <w:name w:val="Heading 5 Char"/>
    <w:link w:val="1"/>
    <w:qFormat/>
    <w:uiPriority w:val="9"/>
    <w:rPr>
      <w:rFonts w:ascii="Arial" w:hAnsi="Arial" w:eastAsia="Arial" w:cs="Arial"/>
      <w:b/>
      <w:bCs/>
      <w:sz w:val="24"/>
      <w:szCs w:val="24"/>
    </w:rPr>
  </w:style>
  <w:style w:type="character" w:customStyle="1" w:styleId="194">
    <w:name w:val="Heading 6 Char"/>
    <w:link w:val="1"/>
    <w:qFormat/>
    <w:uiPriority w:val="9"/>
    <w:rPr>
      <w:rFonts w:ascii="Arial" w:hAnsi="Arial" w:eastAsia="Arial" w:cs="Arial"/>
      <w:b/>
      <w:bCs/>
      <w:sz w:val="22"/>
      <w:szCs w:val="22"/>
    </w:rPr>
  </w:style>
  <w:style w:type="character" w:customStyle="1" w:styleId="195">
    <w:name w:val="Heading 7 Char"/>
    <w:link w:val="1"/>
    <w:qFormat/>
    <w:uiPriority w:val="9"/>
    <w:rPr>
      <w:rFonts w:ascii="Arial" w:hAnsi="Arial" w:eastAsia="Arial" w:cs="Arial"/>
      <w:b/>
      <w:bCs/>
      <w:i/>
      <w:iCs/>
      <w:sz w:val="22"/>
      <w:szCs w:val="22"/>
    </w:rPr>
  </w:style>
  <w:style w:type="character" w:customStyle="1" w:styleId="196">
    <w:name w:val="Heading 8 Char"/>
    <w:link w:val="1"/>
    <w:qFormat/>
    <w:uiPriority w:val="9"/>
    <w:rPr>
      <w:rFonts w:ascii="Arial" w:hAnsi="Arial" w:eastAsia="Arial" w:cs="Arial"/>
      <w:i/>
      <w:iCs/>
      <w:sz w:val="22"/>
      <w:szCs w:val="22"/>
    </w:rPr>
  </w:style>
  <w:style w:type="character" w:customStyle="1" w:styleId="197">
    <w:name w:val="Heading 9 Char"/>
    <w:link w:val="1"/>
    <w:qFormat/>
    <w:uiPriority w:val="9"/>
    <w:rPr>
      <w:rFonts w:ascii="Arial" w:hAnsi="Arial" w:eastAsia="Arial" w:cs="Arial"/>
      <w:i/>
      <w:iCs/>
      <w:sz w:val="21"/>
      <w:szCs w:val="21"/>
    </w:rPr>
  </w:style>
  <w:style w:type="character" w:customStyle="1" w:styleId="198">
    <w:name w:val="Title Char"/>
    <w:link w:val="1"/>
    <w:qFormat/>
    <w:uiPriority w:val="10"/>
    <w:rPr>
      <w:sz w:val="48"/>
      <w:szCs w:val="48"/>
    </w:rPr>
  </w:style>
  <w:style w:type="character" w:customStyle="1" w:styleId="199">
    <w:name w:val="Subtitle Char"/>
    <w:link w:val="1"/>
    <w:qFormat/>
    <w:uiPriority w:val="11"/>
    <w:rPr>
      <w:sz w:val="24"/>
      <w:szCs w:val="24"/>
    </w:rPr>
  </w:style>
  <w:style w:type="character" w:customStyle="1" w:styleId="200">
    <w:name w:val="Quote Char"/>
    <w:link w:val="1"/>
    <w:qFormat/>
    <w:uiPriority w:val="29"/>
    <w:rPr>
      <w:i/>
    </w:rPr>
  </w:style>
  <w:style w:type="character" w:customStyle="1" w:styleId="201">
    <w:name w:val="Intense Quote Char"/>
    <w:link w:val="1"/>
    <w:qFormat/>
    <w:uiPriority w:val="30"/>
    <w:rPr>
      <w:i/>
    </w:rPr>
  </w:style>
  <w:style w:type="character" w:customStyle="1" w:styleId="202">
    <w:name w:val="Caption Char"/>
    <w:link w:val="1"/>
    <w:qFormat/>
    <w:uiPriority w:val="99"/>
  </w:style>
  <w:style w:type="character" w:customStyle="1" w:styleId="203">
    <w:name w:val="Footnote Text Char"/>
    <w:link w:val="1"/>
    <w:qFormat/>
    <w:uiPriority w:val="99"/>
    <w:rPr>
      <w:sz w:val="18"/>
    </w:rPr>
  </w:style>
  <w:style w:type="character" w:customStyle="1" w:styleId="204">
    <w:name w:val="Endnote Text Char"/>
    <w:link w:val="1"/>
    <w:qFormat/>
    <w:uiPriority w:val="99"/>
    <w:rPr>
      <w:sz w:val="20"/>
    </w:rPr>
  </w:style>
  <w:style w:type="paragraph" w:customStyle="1" w:styleId="205">
    <w:name w:val="列表段落"/>
    <w:basedOn w:val="1"/>
    <w:qFormat/>
    <w:uiPriority w:val="0"/>
    <w:pPr>
      <w:ind w:left="720"/>
      <w:contextualSpacing/>
    </w:pPr>
  </w:style>
  <w:style w:type="paragraph" w:customStyle="1" w:styleId="206">
    <w:name w:val="无间隔"/>
    <w:qFormat/>
    <w:uiPriority w:val="99"/>
    <w:rPr>
      <w:rFonts w:hint="default" w:ascii="Times New Roman" w:hAnsi="Times New Roman" w:eastAsia="宋体" w:cs="Times New Roman"/>
      <w:lang w:val="en-US" w:eastAsia="zh-CN" w:bidi="ar-SA"/>
    </w:rPr>
  </w:style>
  <w:style w:type="paragraph" w:customStyle="1" w:styleId="207">
    <w:name w:val="引用"/>
    <w:basedOn w:val="1"/>
    <w:next w:val="1"/>
    <w:link w:val="208"/>
    <w:qFormat/>
    <w:uiPriority w:val="29"/>
    <w:pPr>
      <w:ind w:left="720" w:right="720"/>
    </w:pPr>
    <w:rPr>
      <w:i/>
    </w:rPr>
  </w:style>
  <w:style w:type="character" w:customStyle="1" w:styleId="208">
    <w:name w:val="引用 字符"/>
    <w:link w:val="207"/>
    <w:qFormat/>
    <w:uiPriority w:val="29"/>
    <w:rPr>
      <w:i/>
    </w:rPr>
  </w:style>
  <w:style w:type="paragraph" w:customStyle="1" w:styleId="209">
    <w:name w:val="明显引用"/>
    <w:basedOn w:val="1"/>
    <w:next w:val="1"/>
    <w:link w:val="21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210">
    <w:name w:val="明显引用 字符"/>
    <w:link w:val="209"/>
    <w:qFormat/>
    <w:uiPriority w:val="30"/>
    <w:rPr>
      <w:i/>
    </w:rPr>
  </w:style>
  <w:style w:type="character" w:customStyle="1" w:styleId="211">
    <w:name w:val="Header Char"/>
    <w:link w:val="1"/>
    <w:qFormat/>
    <w:uiPriority w:val="99"/>
  </w:style>
  <w:style w:type="character" w:customStyle="1" w:styleId="212">
    <w:name w:val="Footer Char"/>
    <w:link w:val="1"/>
    <w:qFormat/>
    <w:uiPriority w:val="99"/>
  </w:style>
  <w:style w:type="table" w:customStyle="1" w:styleId="213">
    <w:name w:val="Table Grid Light"/>
    <w:basedOn w:val="55"/>
    <w:qFormat/>
    <w:uiPriority w:val="59"/>
  </w:style>
  <w:style w:type="table" w:customStyle="1" w:styleId="214">
    <w:name w:val="Grid Table 1 Light - Accent 1"/>
    <w:basedOn w:val="55"/>
    <w:qFormat/>
    <w:uiPriority w:val="99"/>
  </w:style>
  <w:style w:type="table" w:customStyle="1" w:styleId="215">
    <w:name w:val="Grid Table 1 Light - Accent 2"/>
    <w:basedOn w:val="55"/>
    <w:qFormat/>
    <w:uiPriority w:val="99"/>
  </w:style>
  <w:style w:type="table" w:customStyle="1" w:styleId="216">
    <w:name w:val="Grid Table 1 Light - Accent 3"/>
    <w:basedOn w:val="55"/>
    <w:qFormat/>
    <w:uiPriority w:val="99"/>
  </w:style>
  <w:style w:type="table" w:customStyle="1" w:styleId="217">
    <w:name w:val="Grid Table 1 Light - Accent 4"/>
    <w:basedOn w:val="55"/>
    <w:qFormat/>
    <w:uiPriority w:val="99"/>
  </w:style>
  <w:style w:type="table" w:customStyle="1" w:styleId="218">
    <w:name w:val="Grid Table 1 Light - Accent 5"/>
    <w:basedOn w:val="55"/>
    <w:qFormat/>
    <w:uiPriority w:val="99"/>
  </w:style>
  <w:style w:type="table" w:customStyle="1" w:styleId="219">
    <w:name w:val="Grid Table 1 Light - Accent 6"/>
    <w:basedOn w:val="55"/>
    <w:qFormat/>
    <w:uiPriority w:val="99"/>
  </w:style>
  <w:style w:type="table" w:customStyle="1" w:styleId="220">
    <w:name w:val="Grid Table 2 - Accent 1"/>
    <w:basedOn w:val="55"/>
    <w:qFormat/>
    <w:uiPriority w:val="99"/>
  </w:style>
  <w:style w:type="table" w:customStyle="1" w:styleId="221">
    <w:name w:val="Grid Table 2 - Accent 2"/>
    <w:basedOn w:val="55"/>
    <w:qFormat/>
    <w:uiPriority w:val="99"/>
  </w:style>
  <w:style w:type="table" w:customStyle="1" w:styleId="222">
    <w:name w:val="Grid Table 2 - Accent 3"/>
    <w:basedOn w:val="55"/>
    <w:qFormat/>
    <w:uiPriority w:val="99"/>
  </w:style>
  <w:style w:type="table" w:customStyle="1" w:styleId="223">
    <w:name w:val="Grid Table 2 - Accent 4"/>
    <w:basedOn w:val="55"/>
    <w:qFormat/>
    <w:uiPriority w:val="99"/>
  </w:style>
  <w:style w:type="table" w:customStyle="1" w:styleId="224">
    <w:name w:val="Grid Table 2 - Accent 5"/>
    <w:basedOn w:val="55"/>
    <w:qFormat/>
    <w:uiPriority w:val="99"/>
  </w:style>
  <w:style w:type="table" w:customStyle="1" w:styleId="225">
    <w:name w:val="Grid Table 2 - Accent 6"/>
    <w:basedOn w:val="55"/>
    <w:qFormat/>
    <w:uiPriority w:val="99"/>
  </w:style>
  <w:style w:type="table" w:customStyle="1" w:styleId="226">
    <w:name w:val="Grid Table 3 - Accent 1"/>
    <w:basedOn w:val="55"/>
    <w:qFormat/>
    <w:uiPriority w:val="99"/>
  </w:style>
  <w:style w:type="table" w:customStyle="1" w:styleId="227">
    <w:name w:val="Grid Table 3 - Accent 2"/>
    <w:basedOn w:val="55"/>
    <w:qFormat/>
    <w:uiPriority w:val="99"/>
  </w:style>
  <w:style w:type="table" w:customStyle="1" w:styleId="228">
    <w:name w:val="Grid Table 3 - Accent 3"/>
    <w:basedOn w:val="55"/>
    <w:qFormat/>
    <w:uiPriority w:val="99"/>
  </w:style>
  <w:style w:type="table" w:customStyle="1" w:styleId="229">
    <w:name w:val="Grid Table 3 - Accent 4"/>
    <w:basedOn w:val="55"/>
    <w:qFormat/>
    <w:uiPriority w:val="99"/>
  </w:style>
  <w:style w:type="table" w:customStyle="1" w:styleId="230">
    <w:name w:val="Grid Table 3 - Accent 5"/>
    <w:basedOn w:val="55"/>
    <w:qFormat/>
    <w:uiPriority w:val="99"/>
  </w:style>
  <w:style w:type="table" w:customStyle="1" w:styleId="231">
    <w:name w:val="Grid Table 3 - Accent 6"/>
    <w:basedOn w:val="55"/>
    <w:qFormat/>
    <w:uiPriority w:val="99"/>
  </w:style>
  <w:style w:type="table" w:customStyle="1" w:styleId="232">
    <w:name w:val="Grid Table 4 - Accent 1"/>
    <w:basedOn w:val="55"/>
    <w:qFormat/>
    <w:uiPriority w:val="59"/>
  </w:style>
  <w:style w:type="table" w:customStyle="1" w:styleId="233">
    <w:name w:val="Grid Table 4 - Accent 2"/>
    <w:basedOn w:val="55"/>
    <w:qFormat/>
    <w:uiPriority w:val="59"/>
  </w:style>
  <w:style w:type="table" w:customStyle="1" w:styleId="234">
    <w:name w:val="Grid Table 4 - Accent 3"/>
    <w:basedOn w:val="55"/>
    <w:qFormat/>
    <w:uiPriority w:val="59"/>
  </w:style>
  <w:style w:type="table" w:customStyle="1" w:styleId="235">
    <w:name w:val="Grid Table 4 - Accent 4"/>
    <w:basedOn w:val="55"/>
    <w:qFormat/>
    <w:uiPriority w:val="59"/>
  </w:style>
  <w:style w:type="table" w:customStyle="1" w:styleId="236">
    <w:name w:val="Grid Table 4 - Accent 5"/>
    <w:basedOn w:val="55"/>
    <w:qFormat/>
    <w:uiPriority w:val="59"/>
  </w:style>
  <w:style w:type="table" w:customStyle="1" w:styleId="237">
    <w:name w:val="Grid Table 4 - Accent 6"/>
    <w:basedOn w:val="55"/>
    <w:qFormat/>
    <w:uiPriority w:val="59"/>
  </w:style>
  <w:style w:type="table" w:customStyle="1" w:styleId="238">
    <w:name w:val="Grid Table 5 Dark- Accent 1"/>
    <w:basedOn w:val="55"/>
    <w:qFormat/>
    <w:uiPriority w:val="99"/>
  </w:style>
  <w:style w:type="table" w:customStyle="1" w:styleId="239">
    <w:name w:val="Grid Table 5 Dark - Accent 2"/>
    <w:basedOn w:val="55"/>
    <w:qFormat/>
    <w:uiPriority w:val="99"/>
  </w:style>
  <w:style w:type="table" w:customStyle="1" w:styleId="240">
    <w:name w:val="Grid Table 5 Dark - Accent 3"/>
    <w:basedOn w:val="55"/>
    <w:qFormat/>
    <w:uiPriority w:val="99"/>
  </w:style>
  <w:style w:type="table" w:customStyle="1" w:styleId="241">
    <w:name w:val="Grid Table 5 Dark- Accent 4"/>
    <w:basedOn w:val="55"/>
    <w:qFormat/>
    <w:uiPriority w:val="99"/>
  </w:style>
  <w:style w:type="table" w:customStyle="1" w:styleId="242">
    <w:name w:val="Grid Table 5 Dark - Accent 5"/>
    <w:basedOn w:val="55"/>
    <w:qFormat/>
    <w:uiPriority w:val="99"/>
  </w:style>
  <w:style w:type="table" w:customStyle="1" w:styleId="243">
    <w:name w:val="Grid Table 5 Dark - Accent 6"/>
    <w:basedOn w:val="55"/>
    <w:qFormat/>
    <w:uiPriority w:val="99"/>
  </w:style>
  <w:style w:type="table" w:customStyle="1" w:styleId="244">
    <w:name w:val="Grid Table 6 Colorful - Accent 1"/>
    <w:basedOn w:val="55"/>
    <w:qFormat/>
    <w:uiPriority w:val="99"/>
  </w:style>
  <w:style w:type="table" w:customStyle="1" w:styleId="245">
    <w:name w:val="Grid Table 6 Colorful - Accent 2"/>
    <w:basedOn w:val="55"/>
    <w:qFormat/>
    <w:uiPriority w:val="99"/>
  </w:style>
  <w:style w:type="table" w:customStyle="1" w:styleId="246">
    <w:name w:val="Grid Table 6 Colorful - Accent 3"/>
    <w:basedOn w:val="55"/>
    <w:qFormat/>
    <w:uiPriority w:val="99"/>
  </w:style>
  <w:style w:type="table" w:customStyle="1" w:styleId="247">
    <w:name w:val="Grid Table 6 Colorful - Accent 4"/>
    <w:basedOn w:val="55"/>
    <w:qFormat/>
    <w:uiPriority w:val="99"/>
  </w:style>
  <w:style w:type="table" w:customStyle="1" w:styleId="248">
    <w:name w:val="Grid Table 6 Colorful - Accent 5"/>
    <w:basedOn w:val="55"/>
    <w:qFormat/>
    <w:uiPriority w:val="99"/>
  </w:style>
  <w:style w:type="table" w:customStyle="1" w:styleId="249">
    <w:name w:val="Grid Table 6 Colorful - Accent 6"/>
    <w:basedOn w:val="55"/>
    <w:qFormat/>
    <w:uiPriority w:val="99"/>
  </w:style>
  <w:style w:type="table" w:customStyle="1" w:styleId="250">
    <w:name w:val="Grid Table 7 Colorful - Accent 1"/>
    <w:basedOn w:val="55"/>
    <w:qFormat/>
    <w:uiPriority w:val="99"/>
  </w:style>
  <w:style w:type="table" w:customStyle="1" w:styleId="251">
    <w:name w:val="Grid Table 7 Colorful - Accent 2"/>
    <w:basedOn w:val="55"/>
    <w:qFormat/>
    <w:uiPriority w:val="99"/>
  </w:style>
  <w:style w:type="table" w:customStyle="1" w:styleId="252">
    <w:name w:val="Grid Table 7 Colorful - Accent 3"/>
    <w:basedOn w:val="55"/>
    <w:qFormat/>
    <w:uiPriority w:val="99"/>
  </w:style>
  <w:style w:type="table" w:customStyle="1" w:styleId="253">
    <w:name w:val="Grid Table 7 Colorful - Accent 4"/>
    <w:basedOn w:val="55"/>
    <w:qFormat/>
    <w:uiPriority w:val="99"/>
  </w:style>
  <w:style w:type="table" w:customStyle="1" w:styleId="254">
    <w:name w:val="Grid Table 7 Colorful - Accent 5"/>
    <w:basedOn w:val="55"/>
    <w:qFormat/>
    <w:uiPriority w:val="99"/>
  </w:style>
  <w:style w:type="table" w:customStyle="1" w:styleId="255">
    <w:name w:val="Grid Table 7 Colorful - Accent 6"/>
    <w:basedOn w:val="55"/>
    <w:qFormat/>
    <w:uiPriority w:val="99"/>
  </w:style>
  <w:style w:type="table" w:customStyle="1" w:styleId="256">
    <w:name w:val="List Table 1 Light - Accent 1"/>
    <w:basedOn w:val="55"/>
    <w:qFormat/>
    <w:uiPriority w:val="99"/>
  </w:style>
  <w:style w:type="table" w:customStyle="1" w:styleId="257">
    <w:name w:val="List Table 1 Light - Accent 2"/>
    <w:basedOn w:val="55"/>
    <w:qFormat/>
    <w:uiPriority w:val="99"/>
  </w:style>
  <w:style w:type="table" w:customStyle="1" w:styleId="258">
    <w:name w:val="List Table 1 Light - Accent 3"/>
    <w:basedOn w:val="55"/>
    <w:qFormat/>
    <w:uiPriority w:val="99"/>
  </w:style>
  <w:style w:type="table" w:customStyle="1" w:styleId="259">
    <w:name w:val="List Table 1 Light - Accent 4"/>
    <w:basedOn w:val="55"/>
    <w:qFormat/>
    <w:uiPriority w:val="99"/>
  </w:style>
  <w:style w:type="table" w:customStyle="1" w:styleId="260">
    <w:name w:val="List Table 1 Light - Accent 5"/>
    <w:basedOn w:val="55"/>
    <w:qFormat/>
    <w:uiPriority w:val="99"/>
  </w:style>
  <w:style w:type="table" w:customStyle="1" w:styleId="261">
    <w:name w:val="List Table 1 Light - Accent 6"/>
    <w:basedOn w:val="55"/>
    <w:qFormat/>
    <w:uiPriority w:val="99"/>
  </w:style>
  <w:style w:type="table" w:customStyle="1" w:styleId="262">
    <w:name w:val="List Table 2 - Accent 1"/>
    <w:basedOn w:val="55"/>
    <w:qFormat/>
    <w:uiPriority w:val="99"/>
  </w:style>
  <w:style w:type="table" w:customStyle="1" w:styleId="263">
    <w:name w:val="List Table 2 - Accent 2"/>
    <w:basedOn w:val="55"/>
    <w:qFormat/>
    <w:uiPriority w:val="99"/>
  </w:style>
  <w:style w:type="table" w:customStyle="1" w:styleId="264">
    <w:name w:val="List Table 2 - Accent 3"/>
    <w:basedOn w:val="55"/>
    <w:qFormat/>
    <w:uiPriority w:val="99"/>
  </w:style>
  <w:style w:type="table" w:customStyle="1" w:styleId="265">
    <w:name w:val="List Table 2 - Accent 4"/>
    <w:basedOn w:val="55"/>
    <w:qFormat/>
    <w:uiPriority w:val="99"/>
  </w:style>
  <w:style w:type="table" w:customStyle="1" w:styleId="266">
    <w:name w:val="List Table 2 - Accent 5"/>
    <w:basedOn w:val="55"/>
    <w:qFormat/>
    <w:uiPriority w:val="99"/>
  </w:style>
  <w:style w:type="table" w:customStyle="1" w:styleId="267">
    <w:name w:val="List Table 2 - Accent 6"/>
    <w:basedOn w:val="55"/>
    <w:qFormat/>
    <w:uiPriority w:val="99"/>
  </w:style>
  <w:style w:type="table" w:customStyle="1" w:styleId="268">
    <w:name w:val="List Table 3 - Accent 1"/>
    <w:basedOn w:val="55"/>
    <w:qFormat/>
    <w:uiPriority w:val="99"/>
  </w:style>
  <w:style w:type="table" w:customStyle="1" w:styleId="269">
    <w:name w:val="List Table 3 - Accent 2"/>
    <w:basedOn w:val="55"/>
    <w:qFormat/>
    <w:uiPriority w:val="99"/>
  </w:style>
  <w:style w:type="table" w:customStyle="1" w:styleId="270">
    <w:name w:val="List Table 3 - Accent 3"/>
    <w:basedOn w:val="55"/>
    <w:qFormat/>
    <w:uiPriority w:val="99"/>
  </w:style>
  <w:style w:type="table" w:customStyle="1" w:styleId="271">
    <w:name w:val="List Table 3 - Accent 4"/>
    <w:basedOn w:val="55"/>
    <w:qFormat/>
    <w:uiPriority w:val="99"/>
  </w:style>
  <w:style w:type="table" w:customStyle="1" w:styleId="272">
    <w:name w:val="List Table 3 - Accent 5"/>
    <w:basedOn w:val="55"/>
    <w:qFormat/>
    <w:uiPriority w:val="99"/>
  </w:style>
  <w:style w:type="table" w:customStyle="1" w:styleId="273">
    <w:name w:val="List Table 3 - Accent 6"/>
    <w:basedOn w:val="55"/>
    <w:qFormat/>
    <w:uiPriority w:val="99"/>
  </w:style>
  <w:style w:type="table" w:customStyle="1" w:styleId="274">
    <w:name w:val="List Table 4 - Accent 1"/>
    <w:basedOn w:val="55"/>
    <w:qFormat/>
    <w:uiPriority w:val="99"/>
  </w:style>
  <w:style w:type="table" w:customStyle="1" w:styleId="275">
    <w:name w:val="List Table 4 - Accent 2"/>
    <w:basedOn w:val="55"/>
    <w:qFormat/>
    <w:uiPriority w:val="99"/>
  </w:style>
  <w:style w:type="table" w:customStyle="1" w:styleId="276">
    <w:name w:val="List Table 4 - Accent 3"/>
    <w:basedOn w:val="55"/>
    <w:qFormat/>
    <w:uiPriority w:val="99"/>
  </w:style>
  <w:style w:type="table" w:customStyle="1" w:styleId="277">
    <w:name w:val="List Table 4 - Accent 4"/>
    <w:basedOn w:val="55"/>
    <w:qFormat/>
    <w:uiPriority w:val="99"/>
  </w:style>
  <w:style w:type="table" w:customStyle="1" w:styleId="278">
    <w:name w:val="List Table 4 - Accent 5"/>
    <w:basedOn w:val="55"/>
    <w:qFormat/>
    <w:uiPriority w:val="99"/>
  </w:style>
  <w:style w:type="table" w:customStyle="1" w:styleId="279">
    <w:name w:val="List Table 4 - Accent 6"/>
    <w:basedOn w:val="55"/>
    <w:qFormat/>
    <w:uiPriority w:val="99"/>
  </w:style>
  <w:style w:type="table" w:customStyle="1" w:styleId="280">
    <w:name w:val="List Table 5 Dark - Accent 1"/>
    <w:basedOn w:val="55"/>
    <w:qFormat/>
    <w:uiPriority w:val="99"/>
  </w:style>
  <w:style w:type="table" w:customStyle="1" w:styleId="281">
    <w:name w:val="List Table 5 Dark - Accent 2"/>
    <w:basedOn w:val="55"/>
    <w:qFormat/>
    <w:uiPriority w:val="99"/>
  </w:style>
  <w:style w:type="table" w:customStyle="1" w:styleId="282">
    <w:name w:val="List Table 5 Dark - Accent 3"/>
    <w:basedOn w:val="55"/>
    <w:qFormat/>
    <w:uiPriority w:val="99"/>
  </w:style>
  <w:style w:type="table" w:customStyle="1" w:styleId="283">
    <w:name w:val="List Table 5 Dark - Accent 4"/>
    <w:basedOn w:val="55"/>
    <w:qFormat/>
    <w:uiPriority w:val="99"/>
  </w:style>
  <w:style w:type="table" w:customStyle="1" w:styleId="284">
    <w:name w:val="List Table 5 Dark - Accent 5"/>
    <w:basedOn w:val="55"/>
    <w:qFormat/>
    <w:uiPriority w:val="99"/>
  </w:style>
  <w:style w:type="table" w:customStyle="1" w:styleId="285">
    <w:name w:val="List Table 5 Dark - Accent 6"/>
    <w:basedOn w:val="55"/>
    <w:qFormat/>
    <w:uiPriority w:val="99"/>
  </w:style>
  <w:style w:type="table" w:customStyle="1" w:styleId="286">
    <w:name w:val="List Table 6 Colorful - Accent 1"/>
    <w:basedOn w:val="55"/>
    <w:qFormat/>
    <w:uiPriority w:val="99"/>
  </w:style>
  <w:style w:type="table" w:customStyle="1" w:styleId="287">
    <w:name w:val="List Table 6 Colorful - Accent 2"/>
    <w:basedOn w:val="55"/>
    <w:qFormat/>
    <w:uiPriority w:val="99"/>
  </w:style>
  <w:style w:type="table" w:customStyle="1" w:styleId="288">
    <w:name w:val="List Table 6 Colorful - Accent 3"/>
    <w:basedOn w:val="55"/>
    <w:qFormat/>
    <w:uiPriority w:val="99"/>
  </w:style>
  <w:style w:type="table" w:customStyle="1" w:styleId="289">
    <w:name w:val="List Table 6 Colorful - Accent 4"/>
    <w:basedOn w:val="55"/>
    <w:qFormat/>
    <w:uiPriority w:val="99"/>
  </w:style>
  <w:style w:type="table" w:customStyle="1" w:styleId="290">
    <w:name w:val="List Table 6 Colorful - Accent 5"/>
    <w:basedOn w:val="55"/>
    <w:qFormat/>
    <w:uiPriority w:val="99"/>
  </w:style>
  <w:style w:type="table" w:customStyle="1" w:styleId="291">
    <w:name w:val="List Table 6 Colorful - Accent 6"/>
    <w:basedOn w:val="55"/>
    <w:qFormat/>
    <w:uiPriority w:val="99"/>
  </w:style>
  <w:style w:type="table" w:customStyle="1" w:styleId="292">
    <w:name w:val="List Table 7 Colorful - Accent 1"/>
    <w:basedOn w:val="55"/>
    <w:qFormat/>
    <w:uiPriority w:val="99"/>
  </w:style>
  <w:style w:type="table" w:customStyle="1" w:styleId="293">
    <w:name w:val="List Table 7 Colorful - Accent 2"/>
    <w:basedOn w:val="55"/>
    <w:qFormat/>
    <w:uiPriority w:val="99"/>
  </w:style>
  <w:style w:type="table" w:customStyle="1" w:styleId="294">
    <w:name w:val="List Table 7 Colorful - Accent 3"/>
    <w:basedOn w:val="55"/>
    <w:qFormat/>
    <w:uiPriority w:val="99"/>
  </w:style>
  <w:style w:type="table" w:customStyle="1" w:styleId="295">
    <w:name w:val="List Table 7 Colorful - Accent 4"/>
    <w:basedOn w:val="55"/>
    <w:qFormat/>
    <w:uiPriority w:val="99"/>
  </w:style>
  <w:style w:type="table" w:customStyle="1" w:styleId="296">
    <w:name w:val="List Table 7 Colorful - Accent 5"/>
    <w:basedOn w:val="55"/>
    <w:qFormat/>
    <w:uiPriority w:val="99"/>
  </w:style>
  <w:style w:type="table" w:customStyle="1" w:styleId="297">
    <w:name w:val="List Table 7 Colorful - Accent 6"/>
    <w:basedOn w:val="55"/>
    <w:qFormat/>
    <w:uiPriority w:val="99"/>
  </w:style>
  <w:style w:type="table" w:customStyle="1" w:styleId="298">
    <w:name w:val="Lined - Accent"/>
    <w:basedOn w:val="55"/>
    <w:qFormat/>
    <w:uiPriority w:val="99"/>
    <w:rPr>
      <w:color w:val="404040"/>
    </w:rPr>
  </w:style>
  <w:style w:type="table" w:customStyle="1" w:styleId="299">
    <w:name w:val="Lined - Accent 1"/>
    <w:basedOn w:val="55"/>
    <w:qFormat/>
    <w:uiPriority w:val="99"/>
    <w:rPr>
      <w:color w:val="404040"/>
    </w:rPr>
  </w:style>
  <w:style w:type="table" w:customStyle="1" w:styleId="300">
    <w:name w:val="Lined - Accent 2"/>
    <w:basedOn w:val="55"/>
    <w:qFormat/>
    <w:uiPriority w:val="99"/>
    <w:rPr>
      <w:color w:val="404040"/>
    </w:rPr>
  </w:style>
  <w:style w:type="table" w:customStyle="1" w:styleId="301">
    <w:name w:val="Lined - Accent 3"/>
    <w:basedOn w:val="55"/>
    <w:qFormat/>
    <w:uiPriority w:val="99"/>
    <w:rPr>
      <w:color w:val="404040"/>
    </w:rPr>
  </w:style>
  <w:style w:type="table" w:customStyle="1" w:styleId="302">
    <w:name w:val="Lined - Accent 4"/>
    <w:basedOn w:val="55"/>
    <w:qFormat/>
    <w:uiPriority w:val="99"/>
    <w:rPr>
      <w:color w:val="404040"/>
    </w:rPr>
  </w:style>
  <w:style w:type="table" w:customStyle="1" w:styleId="303">
    <w:name w:val="Lined - Accent 5"/>
    <w:basedOn w:val="55"/>
    <w:qFormat/>
    <w:uiPriority w:val="99"/>
    <w:rPr>
      <w:color w:val="404040"/>
    </w:rPr>
  </w:style>
  <w:style w:type="table" w:customStyle="1" w:styleId="304">
    <w:name w:val="Lined - Accent 6"/>
    <w:basedOn w:val="55"/>
    <w:qFormat/>
    <w:uiPriority w:val="99"/>
    <w:rPr>
      <w:color w:val="404040"/>
    </w:rPr>
  </w:style>
  <w:style w:type="table" w:customStyle="1" w:styleId="305">
    <w:name w:val="Bordered &amp; Lined - Accent"/>
    <w:basedOn w:val="55"/>
    <w:qFormat/>
    <w:uiPriority w:val="99"/>
    <w:rPr>
      <w:color w:val="404040"/>
    </w:rPr>
  </w:style>
  <w:style w:type="table" w:customStyle="1" w:styleId="306">
    <w:name w:val="Bordered &amp; Lined - Accent 1"/>
    <w:basedOn w:val="55"/>
    <w:qFormat/>
    <w:uiPriority w:val="99"/>
    <w:rPr>
      <w:color w:val="404040"/>
    </w:rPr>
  </w:style>
  <w:style w:type="table" w:customStyle="1" w:styleId="307">
    <w:name w:val="Bordered &amp; Lined - Accent 2"/>
    <w:basedOn w:val="55"/>
    <w:qFormat/>
    <w:uiPriority w:val="99"/>
    <w:rPr>
      <w:color w:val="404040"/>
    </w:rPr>
  </w:style>
  <w:style w:type="table" w:customStyle="1" w:styleId="308">
    <w:name w:val="Bordered &amp; Lined - Accent 3"/>
    <w:basedOn w:val="55"/>
    <w:qFormat/>
    <w:uiPriority w:val="99"/>
    <w:rPr>
      <w:color w:val="404040"/>
    </w:rPr>
  </w:style>
  <w:style w:type="table" w:customStyle="1" w:styleId="309">
    <w:name w:val="Bordered &amp; Lined - Accent 4"/>
    <w:basedOn w:val="55"/>
    <w:qFormat/>
    <w:uiPriority w:val="99"/>
    <w:rPr>
      <w:color w:val="404040"/>
    </w:rPr>
  </w:style>
  <w:style w:type="table" w:customStyle="1" w:styleId="310">
    <w:name w:val="Bordered &amp; Lined - Accent 5"/>
    <w:basedOn w:val="55"/>
    <w:qFormat/>
    <w:uiPriority w:val="99"/>
    <w:rPr>
      <w:color w:val="404040"/>
    </w:rPr>
  </w:style>
  <w:style w:type="table" w:customStyle="1" w:styleId="311">
    <w:name w:val="Bordered &amp; Lined - Accent 6"/>
    <w:basedOn w:val="55"/>
    <w:qFormat/>
    <w:uiPriority w:val="99"/>
    <w:rPr>
      <w:color w:val="404040"/>
    </w:rPr>
  </w:style>
  <w:style w:type="table" w:customStyle="1" w:styleId="312">
    <w:name w:val="Bordered"/>
    <w:basedOn w:val="55"/>
    <w:qFormat/>
    <w:uiPriority w:val="99"/>
  </w:style>
  <w:style w:type="table" w:customStyle="1" w:styleId="313">
    <w:name w:val="Bordered - Accent 1"/>
    <w:basedOn w:val="55"/>
    <w:qFormat/>
    <w:uiPriority w:val="99"/>
  </w:style>
  <w:style w:type="table" w:customStyle="1" w:styleId="314">
    <w:name w:val="Bordered - Accent 2"/>
    <w:basedOn w:val="55"/>
    <w:qFormat/>
    <w:uiPriority w:val="99"/>
  </w:style>
  <w:style w:type="table" w:customStyle="1" w:styleId="315">
    <w:name w:val="Bordered - Accent 3"/>
    <w:basedOn w:val="55"/>
    <w:qFormat/>
    <w:uiPriority w:val="99"/>
  </w:style>
  <w:style w:type="table" w:customStyle="1" w:styleId="316">
    <w:name w:val="Bordered - Accent 4"/>
    <w:basedOn w:val="55"/>
    <w:qFormat/>
    <w:uiPriority w:val="99"/>
  </w:style>
  <w:style w:type="table" w:customStyle="1" w:styleId="317">
    <w:name w:val="Bordered - Accent 5"/>
    <w:basedOn w:val="55"/>
    <w:qFormat/>
    <w:uiPriority w:val="99"/>
  </w:style>
  <w:style w:type="table" w:customStyle="1" w:styleId="318">
    <w:name w:val="Bordered - Accent 6"/>
    <w:basedOn w:val="55"/>
    <w:qFormat/>
    <w:uiPriority w:val="99"/>
  </w:style>
  <w:style w:type="paragraph" w:customStyle="1" w:styleId="319">
    <w:name w:val="TOC 标题11"/>
    <w:unhideWhenUsed/>
    <w:qFormat/>
    <w:uiPriority w:val="39"/>
    <w:rPr>
      <w:rFonts w:hint="default" w:ascii="Times New Roman" w:hAnsi="Times New Roman" w:eastAsia="宋体" w:cs="Times New Roman"/>
      <w:lang w:val="en-US" w:eastAsia="zh-CN" w:bidi="ar-SA"/>
    </w:rPr>
  </w:style>
  <w:style w:type="paragraph" w:customStyle="1" w:styleId="320">
    <w:name w:val="Normal_0"/>
    <w:qFormat/>
    <w:uiPriority w:val="0"/>
    <w:rPr>
      <w:rFonts w:hint="default" w:ascii="黑体" w:hAnsi="黑体" w:eastAsia="黑体" w:cs="Times New Roman"/>
      <w:b/>
      <w:sz w:val="32"/>
      <w:szCs w:val="24"/>
      <w:lang w:val="en-US" w:eastAsia="zh-CN" w:bidi="ar-SA"/>
    </w:rPr>
  </w:style>
  <w:style w:type="paragraph" w:customStyle="1" w:styleId="321">
    <w:name w:val="正文1"/>
    <w:next w:val="46"/>
    <w:qFormat/>
    <w:uiPriority w:val="0"/>
    <w:rPr>
      <w:rFonts w:hint="default" w:ascii="Times New Roman" w:hAnsi="Times New Roman" w:eastAsia="Times New Roman" w:cs="Times New Roman"/>
      <w:sz w:val="24"/>
      <w:szCs w:val="24"/>
      <w:lang w:val="en-US" w:eastAsia="zh-CN" w:bidi="ar-SA"/>
    </w:rPr>
  </w:style>
  <w:style w:type="paragraph" w:customStyle="1" w:styleId="322">
    <w:name w:val="Normal_0_3"/>
    <w:qFormat/>
    <w:uiPriority w:val="0"/>
    <w:rPr>
      <w:rFonts w:hint="default" w:ascii="黑体" w:hAnsi="黑体" w:eastAsia="黑体" w:cs="黑体"/>
      <w:b/>
      <w:sz w:val="32"/>
      <w:szCs w:val="24"/>
      <w:lang w:val="en-US" w:eastAsia="zh-CN" w:bidi="ar-SA"/>
    </w:rPr>
  </w:style>
  <w:style w:type="paragraph" w:customStyle="1" w:styleId="323">
    <w:name w:val="正文首行缩进 2_0"/>
    <w:basedOn w:val="324"/>
    <w:qFormat/>
    <w:uiPriority w:val="0"/>
    <w:pPr>
      <w:spacing w:after="120"/>
      <w:ind w:left="200" w:firstLine="200"/>
    </w:pPr>
    <w:rPr>
      <w:rFonts w:ascii="Times New Roman" w:hAnsi="Times New Roman"/>
      <w:sz w:val="24"/>
      <w:szCs w:val="24"/>
    </w:rPr>
  </w:style>
  <w:style w:type="paragraph" w:customStyle="1" w:styleId="324">
    <w:name w:val="正文文本缩进_0"/>
    <w:basedOn w:val="325"/>
    <w:qFormat/>
    <w:uiPriority w:val="0"/>
    <w:pPr>
      <w:ind w:firstLine="225"/>
    </w:pPr>
    <w:rPr>
      <w:rFonts w:ascii="仿宋_GB2312" w:eastAsia="仿宋_GB2312"/>
      <w:sz w:val="32"/>
    </w:rPr>
  </w:style>
  <w:style w:type="paragraph" w:customStyle="1" w:styleId="325">
    <w:name w:val="正文_2"/>
    <w:next w:val="324"/>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26">
    <w:name w:val="Normal_0_2"/>
    <w:next w:val="327"/>
    <w:qFormat/>
    <w:uiPriority w:val="0"/>
    <w:rPr>
      <w:rFonts w:hint="default" w:ascii="黑体" w:hAnsi="黑体" w:eastAsia="黑体" w:cs="黑体"/>
      <w:b/>
      <w:sz w:val="32"/>
      <w:szCs w:val="24"/>
      <w:lang w:val="en-US" w:eastAsia="zh-CN" w:bidi="ar-SA"/>
    </w:rPr>
  </w:style>
  <w:style w:type="paragraph" w:customStyle="1" w:styleId="327">
    <w:name w:val="Body Text First Indent_1"/>
    <w:basedOn w:val="45"/>
    <w:unhideWhenUsed/>
    <w:qFormat/>
    <w:uiPriority w:val="99"/>
    <w:pPr>
      <w:spacing w:after="120"/>
      <w:ind w:firstLine="420"/>
    </w:pPr>
    <w:rPr>
      <w:rFonts w:eastAsia="Times New Roman"/>
      <w:sz w:val="20"/>
    </w:rPr>
  </w:style>
  <w:style w:type="paragraph" w:customStyle="1" w:styleId="328">
    <w:name w:val="Normal_1_2"/>
    <w:qFormat/>
    <w:uiPriority w:val="0"/>
    <w:rPr>
      <w:rFonts w:hint="default" w:ascii="Times New Roman" w:hAnsi="Times New Roman" w:eastAsia="Times New Roman" w:cs="Times New Roman"/>
      <w:sz w:val="24"/>
      <w:szCs w:val="24"/>
      <w:lang w:val="en-US" w:eastAsia="zh-CN" w:bidi="ar-SA"/>
    </w:rPr>
  </w:style>
  <w:style w:type="paragraph" w:customStyle="1" w:styleId="329">
    <w:name w:val="Normal_0_1"/>
    <w:next w:val="330"/>
    <w:qFormat/>
    <w:uiPriority w:val="0"/>
    <w:rPr>
      <w:rFonts w:hint="default" w:ascii="黑体" w:hAnsi="黑体" w:eastAsia="黑体" w:cs="黑体"/>
      <w:b/>
      <w:sz w:val="32"/>
      <w:szCs w:val="24"/>
      <w:lang w:val="en-US" w:eastAsia="zh-CN" w:bidi="ar-SA"/>
    </w:rPr>
  </w:style>
  <w:style w:type="paragraph" w:customStyle="1" w:styleId="330">
    <w:name w:val="Body Text First Indent_0"/>
    <w:basedOn w:val="331"/>
    <w:unhideWhenUsed/>
    <w:qFormat/>
    <w:uiPriority w:val="99"/>
    <w:pPr>
      <w:spacing w:after="120"/>
      <w:ind w:firstLine="420"/>
    </w:pPr>
    <w:rPr>
      <w:rFonts w:eastAsia="Times New Roman"/>
    </w:rPr>
  </w:style>
  <w:style w:type="paragraph" w:customStyle="1" w:styleId="331">
    <w:name w:val="正文3"/>
    <w:next w:val="332"/>
    <w:qFormat/>
    <w:uiPriority w:val="0"/>
    <w:rPr>
      <w:rFonts w:hint="default" w:ascii="Times New Roman" w:hAnsi="Times New Roman" w:eastAsia="Times New Roman" w:cs="Times New Roman"/>
      <w:sz w:val="24"/>
      <w:szCs w:val="24"/>
      <w:lang w:val="en-US" w:eastAsia="zh-CN" w:bidi="ar-SA"/>
    </w:rPr>
  </w:style>
  <w:style w:type="paragraph" w:customStyle="1" w:styleId="332">
    <w:name w:val="正文首行缩进3"/>
    <w:basedOn w:val="321"/>
    <w:unhideWhenUsed/>
    <w:qFormat/>
    <w:uiPriority w:val="99"/>
    <w:pPr>
      <w:spacing w:after="120"/>
      <w:ind w:firstLine="420"/>
    </w:pPr>
    <w:rPr>
      <w:sz w:val="20"/>
    </w:rPr>
  </w:style>
  <w:style w:type="paragraph" w:customStyle="1" w:styleId="333">
    <w:name w:val="Normal_1_1"/>
    <w:qFormat/>
    <w:uiPriority w:val="0"/>
    <w:rPr>
      <w:rFonts w:hint="default" w:ascii="黑体" w:hAnsi="黑体" w:eastAsia="黑体" w:cs="黑体"/>
      <w:b/>
      <w:sz w:val="32"/>
      <w:szCs w:val="24"/>
      <w:lang w:val="en-US" w:eastAsia="zh-CN" w:bidi="ar-SA"/>
    </w:rPr>
  </w:style>
  <w:style w:type="paragraph" w:customStyle="1" w:styleId="334">
    <w:name w:val="正文_0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35">
    <w:name w:val="正文_1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36">
    <w:name w:val="Normal_2_0"/>
    <w:qFormat/>
    <w:uiPriority w:val="0"/>
    <w:rPr>
      <w:rFonts w:hint="default" w:ascii="黑体" w:hAnsi="黑体" w:eastAsia="黑体" w:cs="黑体"/>
      <w:b/>
      <w:sz w:val="32"/>
      <w:szCs w:val="24"/>
      <w:lang w:val="en-US" w:eastAsia="zh-CN" w:bidi="ar-SA"/>
    </w:rPr>
  </w:style>
  <w:style w:type="paragraph" w:customStyle="1" w:styleId="337">
    <w:name w:val="Normal_3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38">
    <w:name w:val="Normal_4_0"/>
    <w:qFormat/>
    <w:uiPriority w:val="0"/>
    <w:rPr>
      <w:rFonts w:hint="default" w:ascii="黑体" w:hAnsi="黑体" w:eastAsia="黑体" w:cs="黑体"/>
      <w:b/>
      <w:sz w:val="32"/>
      <w:szCs w:val="24"/>
      <w:lang w:val="en-US" w:eastAsia="zh-CN" w:bidi="ar-SA"/>
    </w:rPr>
  </w:style>
  <w:style w:type="paragraph" w:customStyle="1" w:styleId="339">
    <w:name w:val="Normal_5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40">
    <w:name w:val="Normal_6_0"/>
    <w:qFormat/>
    <w:uiPriority w:val="0"/>
    <w:rPr>
      <w:rFonts w:hint="default" w:ascii="黑体" w:hAnsi="黑体" w:eastAsia="黑体" w:cs="黑体"/>
      <w:b/>
      <w:sz w:val="32"/>
      <w:szCs w:val="24"/>
      <w:lang w:val="en-US" w:eastAsia="zh-CN" w:bidi="ar-SA"/>
    </w:rPr>
  </w:style>
  <w:style w:type="paragraph" w:customStyle="1" w:styleId="341">
    <w:name w:val="正文_1_0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342">
    <w:name w:val="正文_0_0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43">
    <w:name w:val="正文_1_0_0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344">
    <w:name w:val="Normal_7_0"/>
    <w:qFormat/>
    <w:uiPriority w:val="0"/>
    <w:rPr>
      <w:rFonts w:hint="default" w:ascii="黑体" w:hAnsi="黑体" w:eastAsia="黑体" w:cs="黑体"/>
      <w:b/>
      <w:sz w:val="32"/>
      <w:szCs w:val="24"/>
      <w:lang w:val="en-US" w:eastAsia="zh-CN" w:bidi="ar-SA"/>
    </w:rPr>
  </w:style>
  <w:style w:type="paragraph" w:customStyle="1" w:styleId="345">
    <w:name w:val="Normal_8_0"/>
    <w:qFormat/>
    <w:uiPriority w:val="0"/>
    <w:rPr>
      <w:rFonts w:hint="default" w:ascii="Times New Roman" w:hAnsi="Times New Roman" w:eastAsia="Times New Roman" w:cs="Times New Roman"/>
      <w:sz w:val="24"/>
      <w:szCs w:val="24"/>
      <w:lang w:val="en-US" w:eastAsia="zh-CN" w:bidi="ar-SA"/>
    </w:rPr>
  </w:style>
  <w:style w:type="paragraph" w:customStyle="1" w:styleId="346">
    <w:name w:val="Normal_9_0"/>
    <w:qFormat/>
    <w:uiPriority w:val="0"/>
    <w:rPr>
      <w:rFonts w:hint="default" w:ascii="Times New Roman" w:hAnsi="Times New Roman" w:eastAsia="Times New Roman" w:cs="Times New Roman"/>
      <w:sz w:val="24"/>
      <w:szCs w:val="24"/>
      <w:lang w:val="en-US" w:eastAsia="zh-CN" w:bidi="ar-SA"/>
    </w:rPr>
  </w:style>
  <w:style w:type="paragraph" w:customStyle="1" w:styleId="347">
    <w:name w:val="Normal_10_0"/>
    <w:qFormat/>
    <w:uiPriority w:val="0"/>
    <w:rPr>
      <w:rFonts w:hint="default" w:ascii="黑体" w:hAnsi="黑体" w:eastAsia="黑体" w:cs="黑体"/>
      <w:b/>
      <w:sz w:val="32"/>
      <w:szCs w:val="24"/>
      <w:lang w:val="en-US" w:eastAsia="zh-CN" w:bidi="ar-SA"/>
    </w:rPr>
  </w:style>
  <w:style w:type="paragraph" w:customStyle="1" w:styleId="348">
    <w:name w:val="正文_3"/>
    <w:next w:val="349"/>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49">
    <w:name w:val="正文首行缩进 2_1"/>
    <w:basedOn w:val="350"/>
    <w:next w:val="352"/>
    <w:qFormat/>
    <w:uiPriority w:val="0"/>
    <w:pPr>
      <w:spacing w:after="120"/>
      <w:ind w:left="200" w:firstLine="200"/>
    </w:pPr>
    <w:rPr>
      <w:rFonts w:ascii="Times New Roman"/>
      <w:szCs w:val="24"/>
    </w:rPr>
  </w:style>
  <w:style w:type="paragraph" w:customStyle="1" w:styleId="350">
    <w:name w:val="正文文本缩进_1"/>
    <w:basedOn w:val="351"/>
    <w:next w:val="349"/>
    <w:qFormat/>
    <w:uiPriority w:val="0"/>
    <w:pPr>
      <w:ind w:firstLine="225"/>
    </w:pPr>
    <w:rPr>
      <w:rFonts w:ascii="仿宋_GB2312" w:eastAsia="仿宋_GB2312"/>
      <w:sz w:val="32"/>
    </w:rPr>
  </w:style>
  <w:style w:type="paragraph" w:customStyle="1" w:styleId="351">
    <w:name w:val="正文_18"/>
    <w:next w:val="35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52">
    <w:name w:val="xl53_0"/>
    <w:next w:val="348"/>
    <w:qFormat/>
    <w:uiPriority w:val="0"/>
    <w:pPr>
      <w:pBdr>
        <w:top w:val="single" w:color="000000" w:sz="4" w:space="0"/>
        <w:left w:val="single" w:color="000000" w:sz="8" w:space="0"/>
        <w:bottom w:val="single" w:color="000000" w:sz="8" w:space="0"/>
        <w:right w:val="single" w:color="000000" w:sz="4" w:space="0"/>
      </w:pBdr>
      <w:spacing w:before="100" w:beforeAutospacing="1" w:after="100" w:afterAutospacing="1"/>
      <w:jc w:val="center"/>
    </w:pPr>
    <w:rPr>
      <w:rFonts w:hint="default" w:ascii="宋体" w:hAnsi="宋体" w:eastAsia="宋体" w:cs="Times New Roman"/>
      <w:b/>
      <w:bCs/>
      <w:lang w:val="en-US" w:eastAsia="zh-CN" w:bidi="ar-SA"/>
    </w:rPr>
  </w:style>
  <w:style w:type="paragraph" w:customStyle="1" w:styleId="353">
    <w:name w:val="正文_4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54">
    <w:name w:val="Normal_11_0"/>
    <w:qFormat/>
    <w:uiPriority w:val="0"/>
    <w:rPr>
      <w:rFonts w:hint="default" w:ascii="黑体" w:hAnsi="黑体" w:eastAsia="黑体" w:cs="黑体"/>
      <w:b/>
      <w:sz w:val="32"/>
      <w:szCs w:val="24"/>
      <w:lang w:val="en-US" w:eastAsia="zh-CN" w:bidi="ar-SA"/>
    </w:rPr>
  </w:style>
  <w:style w:type="paragraph" w:customStyle="1" w:styleId="355">
    <w:name w:val="Normal_12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56">
    <w:name w:val="正文_9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57">
    <w:name w:val="正文_8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58">
    <w:name w:val="正文_1_0_0_0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359">
    <w:name w:val="列出段落_2"/>
    <w:basedOn w:val="357"/>
    <w:qFormat/>
    <w:uiPriority w:val="34"/>
    <w:pPr>
      <w:ind w:firstLine="420"/>
    </w:pPr>
  </w:style>
  <w:style w:type="paragraph" w:customStyle="1" w:styleId="360">
    <w:name w:val="Normal_13_0"/>
    <w:qFormat/>
    <w:uiPriority w:val="0"/>
    <w:rPr>
      <w:rFonts w:hint="default" w:ascii="黑体" w:hAnsi="黑体" w:eastAsia="黑体" w:cs="黑体"/>
      <w:b/>
      <w:sz w:val="32"/>
      <w:szCs w:val="24"/>
      <w:lang w:val="en-US" w:eastAsia="zh-CN" w:bidi="ar-SA"/>
    </w:rPr>
  </w:style>
  <w:style w:type="paragraph" w:customStyle="1" w:styleId="361">
    <w:name w:val="正文_7_1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62">
    <w:name w:val="纯文本_0_0"/>
    <w:basedOn w:val="361"/>
    <w:unhideWhenUsed/>
    <w:qFormat/>
    <w:uiPriority w:val="0"/>
    <w:rPr>
      <w:rFonts w:ascii="宋体" w:hAnsi="Courier New"/>
      <w:szCs w:val="21"/>
    </w:rPr>
  </w:style>
  <w:style w:type="paragraph" w:customStyle="1" w:styleId="363">
    <w:name w:val="正文_8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64">
    <w:name w:val="Normal_14_0"/>
    <w:qFormat/>
    <w:uiPriority w:val="0"/>
    <w:rPr>
      <w:rFonts w:hint="default" w:ascii="黑体" w:hAnsi="黑体" w:eastAsia="黑体" w:cs="黑体"/>
      <w:b/>
      <w:sz w:val="32"/>
      <w:szCs w:val="24"/>
      <w:lang w:val="en-US" w:eastAsia="zh-CN" w:bidi="ar-SA"/>
    </w:rPr>
  </w:style>
  <w:style w:type="paragraph" w:customStyle="1" w:styleId="365">
    <w:name w:val="正文_6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66">
    <w:name w:val="Normal_15_0"/>
    <w:qFormat/>
    <w:uiPriority w:val="0"/>
    <w:rPr>
      <w:rFonts w:hint="default" w:ascii="黑体" w:hAnsi="黑体" w:eastAsia="黑体" w:cs="黑体"/>
      <w:b/>
      <w:sz w:val="32"/>
      <w:szCs w:val="24"/>
      <w:lang w:val="en-US" w:eastAsia="zh-CN" w:bidi="ar-SA"/>
    </w:rPr>
  </w:style>
  <w:style w:type="paragraph" w:customStyle="1" w:styleId="367">
    <w:name w:val="正文_7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68">
    <w:name w:val="正文_9_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69">
    <w:name w:val="Normal_16_0"/>
    <w:qFormat/>
    <w:uiPriority w:val="0"/>
    <w:rPr>
      <w:rFonts w:hint="default" w:ascii="黑体" w:hAnsi="黑体" w:eastAsia="黑体" w:cs="黑体"/>
      <w:b/>
      <w:sz w:val="32"/>
      <w:szCs w:val="24"/>
      <w:lang w:val="en-US" w:eastAsia="zh-CN" w:bidi="ar-SA"/>
    </w:rPr>
  </w:style>
  <w:style w:type="paragraph" w:customStyle="1" w:styleId="370">
    <w:name w:val="正文_1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71">
    <w:name w:val="Normal_17_0"/>
    <w:qFormat/>
    <w:uiPriority w:val="0"/>
    <w:rPr>
      <w:rFonts w:hint="default" w:ascii="黑体" w:hAnsi="黑体" w:eastAsia="黑体" w:cs="黑体"/>
      <w:b/>
      <w:sz w:val="32"/>
      <w:szCs w:val="24"/>
      <w:lang w:val="en-US" w:eastAsia="zh-CN" w:bidi="ar-SA"/>
    </w:rPr>
  </w:style>
  <w:style w:type="paragraph" w:customStyle="1" w:styleId="372">
    <w:name w:val="正文_10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73">
    <w:name w:val="Normal_18_0"/>
    <w:qFormat/>
    <w:uiPriority w:val="0"/>
    <w:rPr>
      <w:rFonts w:hint="default" w:ascii="黑体" w:hAnsi="黑体" w:eastAsia="黑体" w:cs="黑体"/>
      <w:b/>
      <w:sz w:val="32"/>
      <w:szCs w:val="24"/>
      <w:lang w:val="en-US" w:eastAsia="zh-CN" w:bidi="ar-SA"/>
    </w:rPr>
  </w:style>
  <w:style w:type="paragraph" w:customStyle="1" w:styleId="374">
    <w:name w:val="正文_12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75">
    <w:name w:val="正文_9_1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76">
    <w:name w:val="Normal_14_0_0"/>
    <w:qFormat/>
    <w:uiPriority w:val="0"/>
    <w:rPr>
      <w:rFonts w:hint="default" w:ascii="黑体" w:hAnsi="黑体" w:eastAsia="黑体" w:cs="Times New Roman"/>
      <w:b/>
      <w:sz w:val="32"/>
      <w:szCs w:val="24"/>
      <w:lang w:val="en-US" w:eastAsia="zh-CN" w:bidi="ar-SA"/>
    </w:rPr>
  </w:style>
  <w:style w:type="paragraph" w:customStyle="1" w:styleId="377">
    <w:name w:val="正文_12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78">
    <w:name w:val="正文_12_0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79">
    <w:name w:val="正文_13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80">
    <w:name w:val="正文_13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81">
    <w:name w:val="正文_14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82">
    <w:name w:val="正文_14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83">
    <w:name w:val="Normal Indent_0"/>
    <w:basedOn w:val="142"/>
    <w:qFormat/>
    <w:uiPriority w:val="0"/>
    <w:pPr>
      <w:ind w:firstLine="420"/>
    </w:pPr>
    <w:rPr>
      <w:rFonts w:ascii="宋体" w:eastAsia="Times New Roman"/>
      <w:color w:val="000000"/>
      <w:sz w:val="24"/>
      <w:szCs w:val="20"/>
    </w:rPr>
  </w:style>
  <w:style w:type="paragraph" w:customStyle="1" w:styleId="384">
    <w:name w:val="Heading 3_0"/>
    <w:basedOn w:val="142"/>
    <w:next w:val="142"/>
    <w:qFormat/>
    <w:uiPriority w:val="0"/>
    <w:pPr>
      <w:keepNext/>
      <w:keepLines/>
      <w:spacing w:before="260" w:after="260" w:line="413" w:lineRule="auto"/>
      <w:outlineLvl w:val="2"/>
    </w:pPr>
    <w:rPr>
      <w:rFonts w:ascii="Times New Roman" w:hAnsi="Times New Roman" w:eastAsia="Times New Roman"/>
      <w:szCs w:val="20"/>
    </w:rPr>
  </w:style>
  <w:style w:type="paragraph" w:customStyle="1" w:styleId="385">
    <w:name w:val="正文_15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86">
    <w:name w:val="正文2"/>
    <w:basedOn w:val="1"/>
    <w:qFormat/>
    <w:uiPriority w:val="0"/>
    <w:pPr>
      <w:spacing w:before="156" w:line="360" w:lineRule="auto"/>
      <w:ind w:firstLine="510"/>
    </w:pPr>
    <w:rPr>
      <w:sz w:val="24"/>
      <w:szCs w:val="20"/>
    </w:rPr>
  </w:style>
  <w:style w:type="paragraph" w:customStyle="1" w:styleId="387">
    <w:name w:val="Default"/>
    <w:qFormat/>
    <w:uiPriority w:val="0"/>
    <w:pPr>
      <w:widowControl w:val="0"/>
    </w:pPr>
    <w:rPr>
      <w:rFonts w:hint="default" w:ascii="宋体" w:hAnsi="Times New Roman" w:eastAsia="宋体" w:cs="宋体"/>
      <w:color w:val="000000"/>
      <w:sz w:val="24"/>
      <w:szCs w:val="24"/>
      <w:lang w:val="en-US" w:eastAsia="zh-CN" w:bidi="ar-SA"/>
    </w:rPr>
  </w:style>
  <w:style w:type="paragraph" w:customStyle="1" w:styleId="388">
    <w:name w:val="正文_0_2_0"/>
    <w:qFormat/>
    <w:uiPriority w:val="0"/>
    <w:pPr>
      <w:widowControl w:val="0"/>
      <w:jc w:val="both"/>
    </w:pPr>
    <w:rPr>
      <w:rFonts w:hint="default" w:ascii="Times New Roman" w:hAnsi="Times New Roman" w:eastAsia="宋体" w:cs="Times New Roman"/>
      <w:szCs w:val="24"/>
      <w:lang w:val="en-US" w:eastAsia="zh-CN" w:bidi="ar-SA"/>
    </w:rPr>
  </w:style>
  <w:style w:type="paragraph" w:customStyle="1" w:styleId="389">
    <w:name w:val="Normal_19_1_0"/>
    <w:next w:val="390"/>
    <w:qFormat/>
    <w:uiPriority w:val="0"/>
    <w:pPr>
      <w:widowControl w:val="0"/>
      <w:jc w:val="both"/>
    </w:pPr>
    <w:rPr>
      <w:rFonts w:hint="default" w:ascii="Calibri" w:hAnsi="Calibri" w:eastAsia="宋体" w:cs="Times New Roman"/>
      <w:szCs w:val="24"/>
      <w:lang w:val="en-US" w:eastAsia="zh-CN" w:bidi="ar-SA"/>
    </w:rPr>
  </w:style>
  <w:style w:type="paragraph" w:customStyle="1" w:styleId="390">
    <w:name w:val="正文_16_0"/>
    <w:basedOn w:val="351"/>
    <w:next w:val="349"/>
    <w:qFormat/>
    <w:uiPriority w:val="0"/>
    <w:rPr>
      <w:rFonts w:ascii="Times New Roman" w:hAnsi="Times New Roman"/>
    </w:rPr>
  </w:style>
  <w:style w:type="paragraph" w:customStyle="1" w:styleId="391">
    <w:name w:val="Normal_19_0"/>
    <w:basedOn w:val="42"/>
    <w:next w:val="392"/>
    <w:qFormat/>
    <w:uiPriority w:val="0"/>
    <w:rPr>
      <w:szCs w:val="24"/>
    </w:rPr>
  </w:style>
  <w:style w:type="paragraph" w:customStyle="1" w:styleId="392">
    <w:name w:val="Body Text First Indent_1_0"/>
    <w:basedOn w:val="391"/>
    <w:qFormat/>
    <w:uiPriority w:val="0"/>
    <w:pPr>
      <w:spacing w:after="120"/>
      <w:ind w:firstLine="100"/>
    </w:pPr>
  </w:style>
  <w:style w:type="paragraph" w:customStyle="1" w:styleId="393">
    <w:name w:val="Body Text_0"/>
    <w:basedOn w:val="391"/>
    <w:qFormat/>
    <w:uiPriority w:val="0"/>
    <w:pPr>
      <w:spacing w:line="60" w:lineRule="auto"/>
    </w:pPr>
    <w:rPr>
      <w:rFonts w:ascii="仿宋_GB2312" w:eastAsia="仿宋_GB2312"/>
      <w:sz w:val="32"/>
    </w:rPr>
  </w:style>
  <w:style w:type="paragraph" w:customStyle="1" w:styleId="394">
    <w:name w:val="Normal_19_1"/>
    <w:next w:val="142"/>
    <w:qFormat/>
    <w:uiPriority w:val="0"/>
    <w:pPr>
      <w:widowControl w:val="0"/>
      <w:jc w:val="both"/>
    </w:pPr>
    <w:rPr>
      <w:rFonts w:hint="default" w:ascii="Calibri" w:hAnsi="Calibri" w:eastAsia="宋体" w:cs="Times New Roman"/>
      <w:szCs w:val="24"/>
      <w:lang w:val="en-US" w:eastAsia="zh-CN" w:bidi="ar-SA"/>
    </w:rPr>
  </w:style>
  <w:style w:type="paragraph" w:customStyle="1" w:styleId="395">
    <w:name w:val="正文_6_0_0"/>
    <w:qFormat/>
    <w:uiPriority w:val="0"/>
    <w:pPr>
      <w:widowControl w:val="0"/>
      <w:jc w:val="both"/>
    </w:pPr>
    <w:rPr>
      <w:rFonts w:hint="default" w:ascii="Calibri" w:hAnsi="Calibri" w:eastAsia="宋体" w:cs="Times New Roman"/>
      <w:lang w:val="en-US" w:eastAsia="zh-CN" w:bidi="ar-SA"/>
    </w:rPr>
  </w:style>
  <w:style w:type="paragraph" w:customStyle="1" w:styleId="396">
    <w:name w:val="正文_7_1"/>
    <w:qFormat/>
    <w:uiPriority w:val="0"/>
    <w:pPr>
      <w:widowControl w:val="0"/>
      <w:jc w:val="both"/>
    </w:pPr>
    <w:rPr>
      <w:rFonts w:hint="default" w:ascii="Calibri" w:hAnsi="Calibri" w:eastAsia="宋体" w:cs="Times New Roman"/>
      <w:lang w:val="en-US" w:eastAsia="zh-CN" w:bidi="ar-SA"/>
    </w:rPr>
  </w:style>
  <w:style w:type="paragraph" w:customStyle="1" w:styleId="397">
    <w:name w:val="正文1_1"/>
    <w:basedOn w:val="345"/>
    <w:qFormat/>
    <w:uiPriority w:val="0"/>
    <w:pPr>
      <w:widowControl w:val="0"/>
      <w:jc w:val="both"/>
    </w:pPr>
    <w:rPr>
      <w:sz w:val="20"/>
      <w:szCs w:val="20"/>
    </w:rPr>
  </w:style>
  <w:style w:type="paragraph" w:customStyle="1" w:styleId="398">
    <w:name w:val="Normal_8_0_0"/>
    <w:qFormat/>
    <w:uiPriority w:val="0"/>
    <w:rPr>
      <w:rFonts w:hint="default" w:ascii="Times New Roman" w:hAnsi="Times New Roman" w:eastAsia="Times New Roman" w:cs="Times New Roman"/>
      <w:sz w:val="24"/>
      <w:szCs w:val="24"/>
      <w:lang w:val="en-US" w:eastAsia="zh-CN" w:bidi="ar-SA"/>
    </w:rPr>
  </w:style>
  <w:style w:type="paragraph" w:customStyle="1" w:styleId="399">
    <w:name w:val="Normal_8_0_0_0"/>
    <w:qFormat/>
    <w:uiPriority w:val="0"/>
    <w:pPr>
      <w:widowControl w:val="0"/>
      <w:jc w:val="both"/>
    </w:pPr>
    <w:rPr>
      <w:rFonts w:hint="default" w:ascii="Calibri" w:hAnsi="Calibri" w:eastAsia="宋体" w:cs="Times New Roman"/>
      <w:lang w:val="en-US" w:eastAsia="zh-CN" w:bidi="ar-SA"/>
    </w:rPr>
  </w:style>
  <w:style w:type="paragraph" w:customStyle="1" w:styleId="400">
    <w:name w:val="Normal_16_1"/>
    <w:qFormat/>
    <w:uiPriority w:val="0"/>
    <w:rPr>
      <w:rFonts w:hint="default" w:ascii="黑体" w:hAnsi="黑体" w:eastAsia="黑体" w:cs="Times New Roman"/>
      <w:b/>
      <w:sz w:val="32"/>
      <w:szCs w:val="24"/>
      <w:lang w:val="en-US" w:eastAsia="zh-CN" w:bidi="ar-SA"/>
    </w:rPr>
  </w:style>
  <w:style w:type="paragraph" w:customStyle="1" w:styleId="401">
    <w:name w:val="Normal_19_0_1"/>
    <w:qFormat/>
    <w:uiPriority w:val="0"/>
    <w:rPr>
      <w:rFonts w:hint="default" w:ascii="Tahoma" w:hAnsi="Tahoma" w:eastAsia="微软雅黑" w:cs="Times New Roman"/>
      <w:lang w:val="en-US" w:eastAsia="zh-CN" w:bidi="ar-SA"/>
    </w:rPr>
  </w:style>
  <w:style w:type="paragraph" w:customStyle="1" w:styleId="402">
    <w:name w:val="Normal_16_0_0"/>
    <w:qFormat/>
    <w:uiPriority w:val="0"/>
    <w:pPr>
      <w:widowControl w:val="0"/>
      <w:jc w:val="both"/>
    </w:pPr>
    <w:rPr>
      <w:rFonts w:hint="default" w:ascii="Calibri" w:hAnsi="Calibri" w:eastAsia="宋体" w:cs="Times New Roman"/>
      <w:lang w:val="en-US" w:eastAsia="zh-CN" w:bidi="ar-SA"/>
    </w:rPr>
  </w:style>
  <w:style w:type="paragraph" w:customStyle="1" w:styleId="403">
    <w:name w:val="Normal_22_0"/>
    <w:qFormat/>
    <w:uiPriority w:val="0"/>
    <w:pPr>
      <w:widowControl w:val="0"/>
      <w:jc w:val="both"/>
    </w:pPr>
    <w:rPr>
      <w:rFonts w:hint="default" w:ascii="Calibri" w:hAnsi="Calibri" w:eastAsia="宋体" w:cs="Times New Roman"/>
      <w:szCs w:val="24"/>
      <w:lang w:val="en-US" w:eastAsia="zh-CN" w:bidi="ar-SA"/>
    </w:rPr>
  </w:style>
  <w:style w:type="paragraph" w:customStyle="1" w:styleId="404">
    <w:name w:val="Normal_17_0_0"/>
    <w:qFormat/>
    <w:uiPriority w:val="0"/>
    <w:rPr>
      <w:rFonts w:hint="default" w:ascii="黑体" w:hAnsi="黑体" w:eastAsia="黑体" w:cs="Times New Roman"/>
      <w:b/>
      <w:sz w:val="32"/>
      <w:szCs w:val="24"/>
      <w:lang w:val="en-US" w:eastAsia="zh-CN" w:bidi="ar-SA"/>
    </w:rPr>
  </w:style>
  <w:style w:type="paragraph" w:customStyle="1" w:styleId="405">
    <w:name w:val="Normal_19_0_1_0"/>
    <w:qFormat/>
    <w:uiPriority w:val="0"/>
    <w:rPr>
      <w:rFonts w:hint="default" w:ascii="Tahoma" w:hAnsi="Tahoma" w:eastAsia="微软雅黑" w:cs="Times New Roman"/>
      <w:lang w:val="en-US" w:eastAsia="zh-CN" w:bidi="ar-SA"/>
    </w:rPr>
  </w:style>
  <w:style w:type="paragraph" w:customStyle="1" w:styleId="406">
    <w:name w:val="Normal_19_3"/>
    <w:next w:val="407"/>
    <w:qFormat/>
    <w:uiPriority w:val="0"/>
    <w:pPr>
      <w:widowControl w:val="0"/>
      <w:jc w:val="both"/>
    </w:pPr>
    <w:rPr>
      <w:rFonts w:hint="default" w:ascii="Calibri" w:hAnsi="Calibri" w:eastAsia="Times New Roman" w:cs="Times New Roman"/>
      <w:szCs w:val="24"/>
      <w:lang w:val="en-US" w:eastAsia="zh-CN" w:bidi="ar-SA"/>
    </w:rPr>
  </w:style>
  <w:style w:type="paragraph" w:customStyle="1" w:styleId="407">
    <w:name w:val="正文_17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08">
    <w:name w:val="Normal_22_0_0"/>
    <w:qFormat/>
    <w:uiPriority w:val="0"/>
    <w:pPr>
      <w:widowControl w:val="0"/>
      <w:jc w:val="both"/>
    </w:pPr>
    <w:rPr>
      <w:rFonts w:hint="default" w:ascii="Calibri" w:hAnsi="Calibri" w:eastAsia="宋体" w:cs="Times New Roman"/>
      <w:szCs w:val="24"/>
      <w:lang w:val="en-US" w:eastAsia="zh-CN" w:bidi="ar-SA"/>
    </w:rPr>
  </w:style>
  <w:style w:type="character" w:customStyle="1" w:styleId="409">
    <w:name w:val="custom-tag-placeholder-class"/>
    <w:link w:val="1"/>
    <w:qFormat/>
    <w:uiPriority w:val="0"/>
  </w:style>
  <w:style w:type="paragraph" w:customStyle="1" w:styleId="410">
    <w:name w:val="Normal_19_0_0"/>
    <w:basedOn w:val="142"/>
    <w:next w:val="411"/>
    <w:qFormat/>
    <w:uiPriority w:val="0"/>
    <w:rPr>
      <w:rFonts w:ascii="Calibri" w:hAnsi="Calibri" w:eastAsia="Times New Roman"/>
      <w:sz w:val="24"/>
    </w:rPr>
  </w:style>
  <w:style w:type="paragraph" w:customStyle="1" w:styleId="411">
    <w:name w:val="Body Text First Indent_1_0_0"/>
    <w:basedOn w:val="410"/>
    <w:qFormat/>
    <w:uiPriority w:val="0"/>
    <w:pPr>
      <w:spacing w:after="120"/>
      <w:ind w:firstLine="100"/>
    </w:pPr>
    <w:rPr>
      <w:rFonts w:eastAsia="Times New Roman"/>
    </w:rPr>
  </w:style>
  <w:style w:type="paragraph" w:customStyle="1" w:styleId="412">
    <w:name w:val="正文首行缩进1"/>
    <w:basedOn w:val="413"/>
    <w:qFormat/>
    <w:uiPriority w:val="0"/>
    <w:pPr>
      <w:spacing w:after="120" w:line="240" w:lineRule="auto"/>
      <w:ind w:firstLine="100"/>
    </w:pPr>
    <w:rPr>
      <w:rFonts w:ascii="Times New Roman" w:hAnsi="Times New Roman" w:eastAsia="宋体"/>
      <w:sz w:val="21"/>
    </w:rPr>
  </w:style>
  <w:style w:type="paragraph" w:customStyle="1" w:styleId="413">
    <w:name w:val="正文文本1"/>
    <w:basedOn w:val="1"/>
    <w:qFormat/>
    <w:uiPriority w:val="0"/>
    <w:pPr>
      <w:spacing w:line="60" w:lineRule="auto"/>
    </w:pPr>
    <w:rPr>
      <w:rFonts w:ascii="仿宋_GB2312" w:eastAsia="仿宋_GB2312"/>
      <w:sz w:val="32"/>
    </w:rPr>
  </w:style>
  <w:style w:type="paragraph" w:customStyle="1" w:styleId="414">
    <w:name w:val="正文_2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15">
    <w:name w:val="List Paragraph_0"/>
    <w:basedOn w:val="325"/>
    <w:qFormat/>
    <w:uiPriority w:val="0"/>
    <w:pPr>
      <w:ind w:firstLine="420"/>
    </w:pPr>
  </w:style>
  <w:style w:type="paragraph" w:customStyle="1" w:styleId="416">
    <w:name w:val="纯文本_1"/>
    <w:basedOn w:val="414"/>
    <w:qFormat/>
    <w:uiPriority w:val="0"/>
    <w:rPr>
      <w:rFonts w:ascii="宋体" w:hAnsi="Times New Roman"/>
      <w:sz w:val="20"/>
      <w:szCs w:val="21"/>
    </w:rPr>
  </w:style>
  <w:style w:type="paragraph" w:customStyle="1" w:styleId="417">
    <w:name w:val="正文_16_0_0"/>
    <w:next w:val="187"/>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18">
    <w:name w:val="正文_11_0"/>
    <w:basedOn w:val="187"/>
    <w:qFormat/>
    <w:uiPriority w:val="0"/>
    <w:rPr>
      <w:rFonts w:ascii="Calibri" w:hAnsi="Calibri"/>
      <w:szCs w:val="20"/>
    </w:rPr>
  </w:style>
  <w:style w:type="paragraph" w:customStyle="1" w:styleId="419">
    <w:name w:val="Normal_19_0_0_0"/>
    <w:basedOn w:val="42"/>
    <w:qFormat/>
    <w:uiPriority w:val="0"/>
    <w:rPr>
      <w:rFonts w:cs="黑体"/>
      <w:szCs w:val="24"/>
    </w:rPr>
  </w:style>
  <w:style w:type="paragraph" w:customStyle="1" w:styleId="420">
    <w:name w:val="无间隔1"/>
    <w:basedOn w:val="331"/>
    <w:qFormat/>
    <w:uiPriority w:val="0"/>
    <w:rPr>
      <w:rFonts w:ascii="Calibri" w:hAnsi="Calibri" w:cs="Calibri"/>
    </w:rPr>
  </w:style>
  <w:style w:type="paragraph" w:customStyle="1" w:styleId="421">
    <w:name w:val="标题 31"/>
    <w:basedOn w:val="331"/>
    <w:next w:val="331"/>
    <w:qFormat/>
    <w:uiPriority w:val="0"/>
    <w:pPr>
      <w:keepNext/>
      <w:keepLines/>
      <w:spacing w:before="260" w:after="260" w:line="413" w:lineRule="auto"/>
      <w:outlineLvl w:val="2"/>
    </w:pPr>
    <w:rPr>
      <w:b/>
      <w:sz w:val="32"/>
      <w:szCs w:val="20"/>
    </w:rPr>
  </w:style>
  <w:style w:type="character" w:customStyle="1" w:styleId="422">
    <w:name w:val="标题 2 Char_0"/>
    <w:link w:val="423"/>
    <w:qFormat/>
    <w:uiPriority w:val="0"/>
    <w:rPr>
      <w:rFonts w:ascii="Arial" w:hAnsi="Arial" w:eastAsia="黑体"/>
      <w:b/>
      <w:sz w:val="32"/>
      <w:szCs w:val="22"/>
    </w:rPr>
  </w:style>
  <w:style w:type="paragraph" w:customStyle="1" w:styleId="423">
    <w:name w:val="标题 21"/>
    <w:basedOn w:val="44"/>
    <w:next w:val="44"/>
    <w:link w:val="422"/>
    <w:unhideWhenUsed/>
    <w:qFormat/>
    <w:uiPriority w:val="0"/>
    <w:pPr>
      <w:keepNext/>
      <w:keepLines/>
      <w:spacing w:before="260" w:after="260" w:line="413" w:lineRule="auto"/>
      <w:outlineLvl w:val="1"/>
    </w:pPr>
    <w:rPr>
      <w:rFonts w:ascii="Arial" w:hAnsi="Arial"/>
      <w:szCs w:val="22"/>
    </w:rPr>
  </w:style>
  <w:style w:type="paragraph" w:customStyle="1" w:styleId="424">
    <w:name w:val="Normal_19_1_0_0"/>
    <w:next w:val="425"/>
    <w:qFormat/>
    <w:uiPriority w:val="0"/>
    <w:pPr>
      <w:widowControl w:val="0"/>
      <w:jc w:val="both"/>
    </w:pPr>
    <w:rPr>
      <w:rFonts w:hint="default" w:ascii="Calibri" w:hAnsi="Calibri" w:eastAsia="宋体" w:cs="Times New Roman"/>
      <w:sz w:val="21"/>
      <w:szCs w:val="24"/>
      <w:lang w:val="en-US" w:eastAsia="zh-CN" w:bidi="ar-SA"/>
    </w:rPr>
  </w:style>
  <w:style w:type="paragraph" w:customStyle="1" w:styleId="425">
    <w:name w:val="正文_16_0_1"/>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426">
    <w:name w:val="正文1_0_0"/>
    <w:basedOn w:val="44"/>
    <w:qFormat/>
    <w:uiPriority w:val="0"/>
    <w:pPr>
      <w:spacing w:line="360" w:lineRule="auto"/>
      <w:ind w:left="357" w:firstLine="420"/>
    </w:pPr>
    <w:rPr>
      <w:rFonts w:eastAsia="Times New Roman" w:cs="Arial"/>
    </w:rPr>
  </w:style>
  <w:style w:type="paragraph" w:customStyle="1" w:styleId="427">
    <w:name w:val="普通正文"/>
    <w:basedOn w:val="1"/>
    <w:qFormat/>
    <w:uiPriority w:val="0"/>
    <w:pPr>
      <w:spacing w:before="120" w:after="120" w:line="360" w:lineRule="auto"/>
      <w:ind w:firstLine="480"/>
      <w:jc w:val="left"/>
    </w:pPr>
    <w:rPr>
      <w:rFonts w:ascii="Arial" w:hAnsi="Arial"/>
      <w:sz w:val="24"/>
      <w:szCs w:val="24"/>
    </w:rPr>
  </w:style>
  <w:style w:type="paragraph" w:customStyle="1" w:styleId="428">
    <w:name w:val="正文空2字"/>
    <w:basedOn w:val="429"/>
    <w:qFormat/>
    <w:uiPriority w:val="99"/>
    <w:pPr>
      <w:widowControl w:val="0"/>
      <w:spacing w:line="560" w:lineRule="exact"/>
      <w:ind w:firstLine="640"/>
    </w:pPr>
    <w:rPr>
      <w:rFonts w:ascii="仿宋_GB2312" w:hAnsi="仿宋_GB2312" w:cs="仿宋_GB2312"/>
      <w:lang w:val="zh-TW"/>
    </w:rPr>
  </w:style>
  <w:style w:type="paragraph" w:customStyle="1" w:styleId="429">
    <w:name w:val="左对齐正文"/>
    <w:qFormat/>
    <w:uiPriority w:val="99"/>
    <w:rPr>
      <w:rFonts w:hint="default" w:ascii="Calibri" w:hAnsi="Calibri" w:eastAsia="仿宋_GB2312" w:cs="Calibri"/>
      <w:sz w:val="32"/>
      <w:szCs w:val="32"/>
      <w:lang w:val="en-US" w:eastAsia="zh-CN" w:bidi="ar-SA"/>
    </w:rPr>
  </w:style>
  <w:style w:type="paragraph" w:customStyle="1" w:styleId="430">
    <w:name w:val="普通(网站)1"/>
    <w:basedOn w:val="1"/>
    <w:qFormat/>
    <w:uiPriority w:val="0"/>
    <w:rPr>
      <w:sz w:val="24"/>
    </w:rPr>
  </w:style>
  <w:style w:type="character" w:customStyle="1" w:styleId="431">
    <w:name w:val="16"/>
    <w:link w:val="1"/>
    <w:qFormat/>
    <w:uiPriority w:val="0"/>
    <w:rPr>
      <w:rFonts w:ascii="Times New Roman" w:hAnsi="Times New Roman"/>
      <w:sz w:val="21"/>
      <w:szCs w:val="21"/>
      <w:lang w:val="en-US" w:eastAsia="zh-CN" w:bidi="ar-SA"/>
    </w:rPr>
  </w:style>
  <w:style w:type="paragraph" w:customStyle="1" w:styleId="432">
    <w:name w:val="正文文本_0"/>
    <w:basedOn w:val="325"/>
    <w:next w:val="433"/>
    <w:qFormat/>
    <w:uiPriority w:val="0"/>
    <w:pPr>
      <w:spacing w:line="60" w:lineRule="auto"/>
    </w:pPr>
    <w:rPr>
      <w:rFonts w:ascii="仿宋_GB2312" w:eastAsia="仿宋_GB2312"/>
      <w:sz w:val="32"/>
    </w:rPr>
  </w:style>
  <w:style w:type="paragraph" w:customStyle="1" w:styleId="433">
    <w:name w:val="正文缩进_1"/>
    <w:basedOn w:val="325"/>
    <w:next w:val="325"/>
    <w:qFormat/>
    <w:uiPriority w:val="0"/>
    <w:pPr>
      <w:ind w:firstLine="420"/>
    </w:pPr>
    <w:rPr>
      <w:rFonts w:ascii="宋体"/>
      <w:color w:val="000000"/>
      <w:sz w:val="24"/>
      <w:szCs w:val="20"/>
    </w:rPr>
  </w:style>
  <w:style w:type="paragraph" w:customStyle="1" w:styleId="434">
    <w:name w:val="Table Paragraph"/>
    <w:basedOn w:val="142"/>
    <w:qFormat/>
    <w:uiPriority w:val="1"/>
    <w:rPr>
      <w:rFonts w:ascii="宋体" w:hAnsi="宋体" w:cs="宋体"/>
      <w:sz w:val="22"/>
      <w:lang w:val="zh-CN" w:bidi="zh-CN"/>
    </w:rPr>
  </w:style>
  <w:style w:type="paragraph" w:customStyle="1" w:styleId="435">
    <w:name w:val="Normal_19_2"/>
    <w:basedOn w:val="436"/>
    <w:qFormat/>
    <w:uiPriority w:val="0"/>
    <w:rPr>
      <w:rFonts w:ascii="Times New Roman" w:hAnsi="Times New Roman"/>
      <w:szCs w:val="21"/>
    </w:rPr>
  </w:style>
  <w:style w:type="paragraph" w:customStyle="1" w:styleId="436">
    <w:name w:val="正文_3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37">
    <w:name w:val="正文文本2"/>
    <w:basedOn w:val="185"/>
    <w:qFormat/>
    <w:uiPriority w:val="0"/>
    <w:pPr>
      <w:spacing w:line="60" w:lineRule="auto"/>
    </w:pPr>
    <w:rPr>
      <w:rFonts w:ascii="仿宋_GB2312" w:eastAsia="仿宋_GB2312"/>
      <w:sz w:val="32"/>
      <w:szCs w:val="22"/>
    </w:rPr>
  </w:style>
  <w:style w:type="paragraph" w:customStyle="1" w:styleId="438">
    <w:name w:val="正文1_0"/>
    <w:basedOn w:val="414"/>
    <w:qFormat/>
    <w:uiPriority w:val="0"/>
    <w:pPr>
      <w:widowControl/>
      <w:spacing w:line="360" w:lineRule="auto"/>
      <w:ind w:left="357" w:firstLine="420"/>
      <w:jc w:val="left"/>
    </w:pPr>
    <w:rPr>
      <w:rFonts w:cs="Arial"/>
      <w:szCs w:val="20"/>
    </w:rPr>
  </w:style>
  <w:style w:type="paragraph" w:customStyle="1" w:styleId="439">
    <w:name w:val="Normal_19_2_0"/>
    <w:basedOn w:val="440"/>
    <w:qFormat/>
    <w:uiPriority w:val="0"/>
    <w:rPr>
      <w:rFonts w:ascii="Times New Roman" w:hAnsi="Times New Roman"/>
      <w:szCs w:val="21"/>
    </w:rPr>
  </w:style>
  <w:style w:type="paragraph" w:customStyle="1" w:styleId="440">
    <w:name w:val="正文_3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41">
    <w:name w:val="正文缩进1"/>
    <w:basedOn w:val="1"/>
    <w:qFormat/>
    <w:uiPriority w:val="0"/>
    <w:pPr>
      <w:ind w:firstLine="420"/>
      <w:jc w:val="left"/>
    </w:pPr>
    <w:rPr>
      <w:rFonts w:ascii="宋体" w:hAnsi="Calibri" w:eastAsia="宋体" w:cs="Times New Roman"/>
      <w:sz w:val="24"/>
    </w:rPr>
  </w:style>
  <w:style w:type="paragraph" w:customStyle="1" w:styleId="442">
    <w:name w:val="纯文本1"/>
    <w:basedOn w:val="186"/>
    <w:qFormat/>
    <w:uiPriority w:val="0"/>
    <w:rPr>
      <w:rFonts w:ascii="宋体" w:hAnsi="Courier New" w:eastAsia="宋体" w:cs="Times New Roman"/>
    </w:rPr>
  </w:style>
  <w:style w:type="paragraph" w:customStyle="1" w:styleId="443">
    <w:name w:val="Normal_21_0"/>
    <w:next w:val="444"/>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44">
    <w:name w:val="Heading 1_0"/>
    <w:basedOn w:val="443"/>
    <w:next w:val="443"/>
    <w:qFormat/>
    <w:uiPriority w:val="0"/>
    <w:pPr>
      <w:keepNext/>
      <w:keepLines/>
      <w:spacing w:before="240" w:after="120" w:line="300" w:lineRule="auto"/>
      <w:jc w:val="center"/>
      <w:outlineLvl w:val="0"/>
    </w:pPr>
    <w:rPr>
      <w:rFonts w:ascii="宋体"/>
      <w:b/>
      <w:sz w:val="32"/>
      <w:szCs w:val="20"/>
    </w:rPr>
  </w:style>
  <w:style w:type="paragraph" w:customStyle="1" w:styleId="445">
    <w:name w:val="正文_12_0_0_0_0"/>
    <w:qFormat/>
    <w:uiPriority w:val="0"/>
    <w:pPr>
      <w:widowControl w:val="0"/>
      <w:jc w:val="both"/>
    </w:pPr>
    <w:rPr>
      <w:rFonts w:hint="default" w:ascii="Times New Roman" w:hAnsi="Times New Roman" w:eastAsia="宋体" w:cs="Times New Roman"/>
      <w:sz w:val="21"/>
      <w:szCs w:val="24"/>
      <w:lang w:val="en-US" w:eastAsia="zh-CN" w:bidi="ar-SA"/>
    </w:rPr>
  </w:style>
  <w:style w:type="character" w:customStyle="1" w:styleId="446">
    <w:name w:val="正文文本 字符"/>
    <w:link w:val="1"/>
    <w:qFormat/>
    <w:uiPriority w:val="0"/>
    <w:rPr>
      <w:rFonts w:ascii="楷体_GB2312" w:hAnsi="Arial" w:eastAsia="楷体_GB2312" w:cs="Times New Roman"/>
      <w:sz w:val="28"/>
      <w:szCs w:val="28"/>
    </w:rPr>
  </w:style>
  <w:style w:type="character" w:customStyle="1" w:styleId="447">
    <w:name w:val="正文文本缩进 字符"/>
    <w:link w:val="1"/>
    <w:qFormat/>
    <w:uiPriority w:val="0"/>
    <w:rPr>
      <w:rFonts w:ascii="楷体_GB2312" w:hAnsi="Times New Roman" w:eastAsia="楷体_GB2312" w:cs="Times New Roman"/>
      <w:sz w:val="32"/>
      <w:szCs w:val="32"/>
    </w:rPr>
  </w:style>
  <w:style w:type="character" w:customStyle="1" w:styleId="448">
    <w:name w:val="正文文本 字符1"/>
    <w:link w:val="1"/>
    <w:qFormat/>
    <w:uiPriority w:val="0"/>
    <w:rPr>
      <w:rFonts w:ascii="Calibri" w:hAnsi="Calibri"/>
      <w:sz w:val="28"/>
      <w:szCs w:val="24"/>
    </w:rPr>
  </w:style>
  <w:style w:type="character" w:customStyle="1" w:styleId="449">
    <w:name w:val="正文文本首行缩进 字符"/>
    <w:link w:val="1"/>
    <w:qFormat/>
    <w:uiPriority w:val="0"/>
    <w:rPr>
      <w:rFonts w:ascii="仿宋_GB2312" w:hAnsi="Calibri" w:eastAsia="仿宋_GB2312"/>
      <w:sz w:val="30"/>
      <w:szCs w:val="30"/>
    </w:rPr>
  </w:style>
  <w:style w:type="paragraph" w:customStyle="1" w:styleId="450">
    <w:name w:val="索引 41"/>
    <w:basedOn w:val="1"/>
    <w:next w:val="1"/>
    <w:semiHidden/>
    <w:qFormat/>
    <w:uiPriority w:val="0"/>
    <w:pPr>
      <w:ind w:left="1260"/>
    </w:pPr>
    <w:rPr>
      <w:rFonts w:eastAsia="Calibri" w:cs="宋体"/>
      <w:sz w:val="20"/>
      <w:szCs w:val="21"/>
      <w:lang w:val="zh-CN"/>
    </w:rPr>
  </w:style>
  <w:style w:type="character" w:customStyle="1" w:styleId="451">
    <w:name w:val="font5 Char"/>
    <w:link w:val="1"/>
    <w:qFormat/>
    <w:uiPriority w:val="0"/>
    <w:rPr>
      <w:rFonts w:ascii="宋体" w:hAnsi="宋体" w:eastAsia="宋体"/>
      <w:sz w:val="28"/>
      <w:szCs w:val="28"/>
      <w:lang w:val="en-US" w:eastAsia="zh-CN" w:bidi="ar-SA"/>
    </w:rPr>
  </w:style>
  <w:style w:type="character" w:customStyle="1" w:styleId="452">
    <w:name w:val="二级目录 Char"/>
    <w:link w:val="453"/>
    <w:qFormat/>
    <w:uiPriority w:val="0"/>
    <w:rPr>
      <w:b/>
      <w:sz w:val="30"/>
      <w:szCs w:val="28"/>
    </w:rPr>
  </w:style>
  <w:style w:type="paragraph" w:customStyle="1" w:styleId="453">
    <w:name w:val="二级目录"/>
    <w:next w:val="1"/>
    <w:link w:val="452"/>
    <w:qFormat/>
    <w:uiPriority w:val="0"/>
    <w:pPr>
      <w:numPr>
        <w:ilvl w:val="0"/>
        <w:numId w:val="1"/>
      </w:numPr>
      <w:tabs>
        <w:tab w:val="left" w:pos="907"/>
        <w:tab w:val="left" w:pos="1145"/>
      </w:tabs>
      <w:outlineLvl w:val="1"/>
    </w:pPr>
    <w:rPr>
      <w:rFonts w:hint="default" w:ascii="Times New Roman" w:hAnsi="Times New Roman" w:eastAsia="宋体" w:cs="Times New Roman"/>
      <w:b/>
      <w:sz w:val="30"/>
      <w:szCs w:val="28"/>
      <w:lang w:val="en-US" w:eastAsia="zh-CN" w:bidi="ar-SA"/>
    </w:rPr>
  </w:style>
  <w:style w:type="character" w:customStyle="1" w:styleId="454">
    <w:name w:val="列出段落 Char"/>
    <w:link w:val="455"/>
    <w:qFormat/>
    <w:uiPriority w:val="0"/>
    <w:rPr>
      <w:rFonts w:ascii="Calibri" w:hAnsi="Calibri"/>
      <w:sz w:val="24"/>
      <w:szCs w:val="24"/>
      <w:lang w:eastAsia="en-US" w:bidi="en-US"/>
    </w:rPr>
  </w:style>
  <w:style w:type="paragraph" w:customStyle="1" w:styleId="455">
    <w:name w:val="列出段落1"/>
    <w:basedOn w:val="1"/>
    <w:link w:val="454"/>
    <w:qFormat/>
    <w:uiPriority w:val="0"/>
    <w:pPr>
      <w:widowControl/>
      <w:ind w:left="720"/>
      <w:contextualSpacing/>
      <w:jc w:val="left"/>
    </w:pPr>
    <w:rPr>
      <w:sz w:val="24"/>
      <w:szCs w:val="24"/>
      <w:lang w:eastAsia="en-US" w:bidi="en-US"/>
    </w:rPr>
  </w:style>
  <w:style w:type="paragraph" w:customStyle="1" w:styleId="456">
    <w:name w:val="Body Text(ch)"/>
    <w:basedOn w:val="1"/>
    <w:qFormat/>
    <w:uiPriority w:val="0"/>
    <w:pPr>
      <w:spacing w:after="120"/>
    </w:pPr>
    <w:rPr>
      <w:rFonts w:ascii="宋体" w:hAnsi="Arial"/>
      <w:bCs/>
      <w:iCs/>
      <w:szCs w:val="24"/>
    </w:rPr>
  </w:style>
  <w:style w:type="paragraph" w:customStyle="1" w:styleId="457">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458">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459">
    <w:name w:val="Char"/>
    <w:basedOn w:val="1"/>
    <w:qFormat/>
    <w:uiPriority w:val="0"/>
    <w:pPr>
      <w:tabs>
        <w:tab w:val="left" w:pos="360"/>
      </w:tabs>
      <w:ind w:firstLine="200"/>
    </w:pPr>
    <w:rPr>
      <w:rFonts w:ascii="Times New Roman" w:hAnsi="Times New Roman"/>
      <w:sz w:val="28"/>
      <w:szCs w:val="30"/>
    </w:rPr>
  </w:style>
  <w:style w:type="paragraph" w:customStyle="1" w:styleId="460">
    <w:name w:val="Char1"/>
    <w:basedOn w:val="69"/>
    <w:qFormat/>
    <w:uiPriority w:val="0"/>
    <w:rPr>
      <w:rFonts w:ascii="Tahoma" w:hAnsi="Tahoma"/>
      <w:sz w:val="24"/>
      <w:szCs w:val="24"/>
    </w:rPr>
  </w:style>
  <w:style w:type="paragraph" w:customStyle="1" w:styleId="461">
    <w:name w:val="table_lines"/>
    <w:basedOn w:val="1"/>
    <w:qFormat/>
    <w:uiPriority w:val="0"/>
    <w:pPr>
      <w:widowControl/>
      <w:jc w:val="left"/>
    </w:pPr>
    <w:rPr>
      <w:rFonts w:ascii="Times New Roman" w:hAnsi="Times New Roman"/>
      <w:sz w:val="20"/>
      <w:szCs w:val="20"/>
      <w:lang w:val="de-DE" w:eastAsia="de-DE"/>
    </w:rPr>
  </w:style>
  <w:style w:type="paragraph" w:customStyle="1" w:styleId="462">
    <w:name w:val="附录1"/>
    <w:qFormat/>
    <w:uiPriority w:val="0"/>
    <w:pPr>
      <w:tabs>
        <w:tab w:val="left" w:pos="907"/>
      </w:tabs>
      <w:spacing w:before="240" w:line="600" w:lineRule="atLeast"/>
    </w:pPr>
    <w:rPr>
      <w:rFonts w:hint="default" w:ascii="Times New Roman" w:hAnsi="Times New Roman" w:eastAsia="宋体" w:cs="Times New Roman"/>
      <w:b/>
      <w:i/>
      <w:sz w:val="28"/>
      <w:lang w:val="en-US" w:eastAsia="zh-CN" w:bidi="ar-SA"/>
    </w:rPr>
  </w:style>
  <w:style w:type="paragraph" w:customStyle="1" w:styleId="463">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464">
    <w:name w:val="Char Char Char Char"/>
    <w:basedOn w:val="69"/>
    <w:qFormat/>
    <w:uiPriority w:val="0"/>
    <w:pPr>
      <w:spacing w:line="360" w:lineRule="auto"/>
    </w:pPr>
    <w:rPr>
      <w:rFonts w:ascii="Tahoma" w:hAnsi="Tahoma"/>
      <w:sz w:val="24"/>
      <w:szCs w:val="24"/>
    </w:rPr>
  </w:style>
  <w:style w:type="paragraph" w:customStyle="1" w:styleId="465">
    <w:name w:val="4"/>
    <w:basedOn w:val="1"/>
    <w:next w:val="104"/>
    <w:qFormat/>
    <w:uiPriority w:val="0"/>
    <w:pPr>
      <w:spacing w:line="360" w:lineRule="auto"/>
      <w:ind w:firstLine="420"/>
    </w:pPr>
    <w:rPr>
      <w:rFonts w:ascii="Times New Roman" w:hAnsi="Times New Roman"/>
      <w:color w:val="FF0000"/>
      <w:sz w:val="24"/>
      <w:szCs w:val="24"/>
    </w:rPr>
  </w:style>
  <w:style w:type="paragraph" w:customStyle="1" w:styleId="466">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467">
    <w:name w:val="Char Char Char Char Char Char Char Char Char Char"/>
    <w:basedOn w:val="1"/>
    <w:qFormat/>
    <w:uiPriority w:val="0"/>
    <w:pPr>
      <w:spacing w:line="360" w:lineRule="auto"/>
    </w:pPr>
    <w:rPr>
      <w:rFonts w:ascii="Times New Roman" w:hAnsi="Times New Roman"/>
      <w:sz w:val="24"/>
      <w:szCs w:val="20"/>
    </w:rPr>
  </w:style>
  <w:style w:type="paragraph" w:customStyle="1" w:styleId="468">
    <w:name w:val="样式1"/>
    <w:basedOn w:val="1"/>
    <w:qFormat/>
    <w:uiPriority w:val="0"/>
    <w:pPr>
      <w:numPr>
        <w:ilvl w:val="0"/>
        <w:numId w:val="2"/>
      </w:numPr>
      <w:tabs>
        <w:tab w:val="left" w:pos="709"/>
      </w:tabs>
    </w:pPr>
    <w:rPr>
      <w:rFonts w:ascii="宋体" w:hAnsi="宋体"/>
      <w:szCs w:val="21"/>
    </w:rPr>
  </w:style>
  <w:style w:type="paragraph" w:customStyle="1" w:styleId="469">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470">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471">
    <w:name w:val="图标"/>
    <w:basedOn w:val="1"/>
    <w:next w:val="1"/>
    <w:qFormat/>
    <w:uiPriority w:val="0"/>
    <w:pPr>
      <w:tabs>
        <w:tab w:val="left" w:pos="567"/>
        <w:tab w:val="left" w:pos="840"/>
      </w:tabs>
      <w:spacing w:before="120" w:after="120" w:line="320" w:lineRule="atLeast"/>
      <w:ind w:left="840" w:hanging="420"/>
      <w:jc w:val="center"/>
    </w:pPr>
    <w:rPr>
      <w:rFonts w:ascii="Times New Roman" w:hAnsi="Times New Roman" w:eastAsia="仿宋_GB2312"/>
      <w:sz w:val="24"/>
      <w:szCs w:val="20"/>
    </w:rPr>
  </w:style>
  <w:style w:type="paragraph" w:customStyle="1" w:styleId="472">
    <w:name w:val="标题3"/>
    <w:basedOn w:val="1"/>
    <w:next w:val="1"/>
    <w:qFormat/>
    <w:uiPriority w:val="0"/>
    <w:pPr>
      <w:spacing w:line="590" w:lineRule="atLeast"/>
      <w:ind w:firstLine="624"/>
    </w:pPr>
    <w:rPr>
      <w:rFonts w:ascii="方正黑体_GBK" w:hAnsi="Times New Roman" w:eastAsia="方正黑体_GBK"/>
      <w:sz w:val="32"/>
      <w:szCs w:val="32"/>
    </w:rPr>
  </w:style>
  <w:style w:type="paragraph" w:customStyle="1" w:styleId="473">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474">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475">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476">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477">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478">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479">
    <w:name w:val="Char Char Char Char1"/>
    <w:basedOn w:val="69"/>
    <w:qFormat/>
    <w:uiPriority w:val="0"/>
    <w:pPr>
      <w:spacing w:line="360" w:lineRule="auto"/>
    </w:pPr>
    <w:rPr>
      <w:rFonts w:ascii="Tahoma" w:hAnsi="Tahoma"/>
      <w:sz w:val="24"/>
      <w:szCs w:val="24"/>
    </w:rPr>
  </w:style>
  <w:style w:type="paragraph" w:customStyle="1" w:styleId="480">
    <w:name w:val="table_1stline"/>
    <w:basedOn w:val="1"/>
    <w:qFormat/>
    <w:uiPriority w:val="0"/>
    <w:pPr>
      <w:widowControl/>
      <w:spacing w:before="120"/>
      <w:jc w:val="left"/>
    </w:pPr>
    <w:rPr>
      <w:rFonts w:ascii="Times New Roman" w:hAnsi="Times New Roman"/>
      <w:bCs/>
      <w:sz w:val="20"/>
      <w:szCs w:val="20"/>
      <w:lang w:val="de-DE" w:eastAsia="de-DE"/>
    </w:rPr>
  </w:style>
  <w:style w:type="paragraph" w:customStyle="1" w:styleId="481">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482">
    <w:name w:val="标题1"/>
    <w:basedOn w:val="1"/>
    <w:next w:val="1"/>
    <w:qFormat/>
    <w:uiPriority w:val="0"/>
    <w:pPr>
      <w:tabs>
        <w:tab w:val="left" w:pos="9193"/>
        <w:tab w:val="left" w:pos="9827"/>
      </w:tabs>
      <w:spacing w:line="700" w:lineRule="atLeast"/>
      <w:jc w:val="center"/>
    </w:pPr>
    <w:rPr>
      <w:rFonts w:ascii="方正小标宋_GBK" w:hAnsi="Times New Roman" w:eastAsia="方正小标宋_GBK"/>
      <w:sz w:val="44"/>
      <w:szCs w:val="20"/>
    </w:rPr>
  </w:style>
  <w:style w:type="paragraph" w:customStyle="1" w:styleId="483">
    <w:name w:val="修订1"/>
    <w:semiHidden/>
    <w:qFormat/>
    <w:uiPriority w:val="99"/>
    <w:rPr>
      <w:rFonts w:hint="default" w:ascii="Times New Roman" w:hAnsi="Times New Roman" w:eastAsia="宋体" w:cs="Times New Roman"/>
      <w:sz w:val="21"/>
      <w:szCs w:val="21"/>
      <w:lang w:val="en-US" w:eastAsia="zh-CN" w:bidi="ar-SA"/>
    </w:rPr>
  </w:style>
  <w:style w:type="table" w:customStyle="1" w:styleId="484">
    <w:name w:val="Table Normal"/>
    <w:qFormat/>
    <w:uiPriority w:val="0"/>
    <w:rPr>
      <w:lang w:val="en-US" w:eastAsia="zh-CN" w:bidi="ar-SA"/>
    </w:rPr>
  </w:style>
  <w:style w:type="paragraph" w:customStyle="1" w:styleId="485">
    <w:name w:val="正文文本12"/>
    <w:basedOn w:val="1"/>
    <w:qFormat/>
    <w:uiPriority w:val="1"/>
    <w:pPr>
      <w:ind w:left="120"/>
    </w:pPr>
    <w:rPr>
      <w:rFonts w:ascii="宋体" w:hAnsi="宋体" w:cs="宋体"/>
      <w:szCs w:val="21"/>
      <w:lang w:val="zh-CN" w:bidi="zh-CN"/>
    </w:rPr>
  </w:style>
  <w:style w:type="paragraph" w:customStyle="1" w:styleId="486">
    <w:name w:val="首行缩进"/>
    <w:basedOn w:val="1"/>
    <w:qFormat/>
    <w:uiPriority w:val="0"/>
    <w:pPr>
      <w:ind w:firstLine="480"/>
    </w:pPr>
    <w:rPr>
      <w:rFonts w:ascii="Times New Roman" w:hAnsi="Times New Roman"/>
      <w:szCs w:val="21"/>
      <w:lang w:val="zh-CN"/>
    </w:rPr>
  </w:style>
  <w:style w:type="paragraph" w:customStyle="1" w:styleId="487">
    <w:name w:val="部分1"/>
    <w:basedOn w:val="1"/>
    <w:qFormat/>
    <w:uiPriority w:val="0"/>
    <w:pPr>
      <w:keepNext/>
      <w:pageBreakBefore/>
      <w:tabs>
        <w:tab w:val="left" w:pos="720"/>
      </w:tabs>
      <w:spacing w:line="360" w:lineRule="auto"/>
      <w:jc w:val="center"/>
      <w:outlineLvl w:val="0"/>
    </w:pPr>
    <w:rPr>
      <w:rFonts w:ascii="Times New Roman" w:hAnsi="Times New Roman" w:eastAsia="黑体"/>
      <w:b/>
      <w:sz w:val="36"/>
      <w:szCs w:val="20"/>
    </w:rPr>
  </w:style>
  <w:style w:type="character" w:customStyle="1" w:styleId="488">
    <w:name w:val="15"/>
    <w:link w:val="1"/>
    <w:qFormat/>
    <w:uiPriority w:val="0"/>
    <w:rPr>
      <w:rFonts w:ascii="Times New Roman" w:hAnsi="Times New Roman" w:cs="Times New Roman"/>
    </w:rPr>
  </w:style>
  <w:style w:type="paragraph" w:customStyle="1" w:styleId="489">
    <w:name w:val="正文文本缩进 2_0"/>
    <w:basedOn w:val="325"/>
    <w:qFormat/>
    <w:uiPriority w:val="0"/>
    <w:pPr>
      <w:spacing w:line="540" w:lineRule="exact"/>
      <w:ind w:firstLine="720"/>
      <w:jc w:val="left"/>
    </w:pPr>
    <w:rPr>
      <w:rFonts w:ascii="仿宋_GB2312" w:hAnsi="仿宋_GB2312" w:cs="宋体"/>
      <w:sz w:val="32"/>
      <w:szCs w:val="32"/>
    </w:rPr>
  </w:style>
  <w:style w:type="character" w:customStyle="1" w:styleId="490">
    <w:name w:val="10"/>
    <w:link w:val="1"/>
    <w:qFormat/>
    <w:uiPriority w:val="0"/>
    <w:rPr>
      <w:rFonts w:ascii="Times New Roman" w:hAnsi="Times New Roman" w:cs="Times New Roman"/>
    </w:rPr>
  </w:style>
  <w:style w:type="paragraph" w:customStyle="1" w:styleId="491">
    <w:name w:val="正文_16_1"/>
    <w:basedOn w:val="1"/>
    <w:qFormat/>
    <w:uiPriority w:val="0"/>
    <w:rPr>
      <w:rFonts w:ascii="Times New Roman" w:hAnsi="Times New Roman"/>
      <w:szCs w:val="21"/>
    </w:rPr>
  </w:style>
  <w:style w:type="paragraph" w:customStyle="1" w:styleId="492">
    <w:name w:val="页脚1"/>
    <w:basedOn w:val="1"/>
    <w:qFormat/>
    <w:uiPriority w:val="0"/>
    <w:pPr>
      <w:tabs>
        <w:tab w:val="center" w:pos="4153"/>
        <w:tab w:val="right" w:pos="8306"/>
      </w:tabs>
      <w:jc w:val="left"/>
    </w:pPr>
    <w:rPr>
      <w:sz w:val="18"/>
      <w:szCs w:val="18"/>
    </w:rPr>
  </w:style>
  <w:style w:type="character" w:customStyle="1" w:styleId="493">
    <w:name w:val="页码1"/>
    <w:link w:val="1"/>
    <w:qFormat/>
    <w:uiPriority w:val="0"/>
  </w:style>
  <w:style w:type="paragraph" w:customStyle="1" w:styleId="494">
    <w:name w:val="*正文"/>
    <w:basedOn w:val="40"/>
    <w:qFormat/>
    <w:uiPriority w:val="0"/>
    <w:pPr>
      <w:ind w:firstLine="200"/>
    </w:pPr>
    <w:rPr>
      <w:rFonts w:ascii="宋体" w:hAnsi="宋体"/>
      <w:color w:val="000000"/>
      <w:sz w:val="24"/>
      <w:szCs w:val="24"/>
    </w:rPr>
  </w:style>
  <w:style w:type="paragraph" w:customStyle="1" w:styleId="495">
    <w:name w:val="*正文_0"/>
    <w:basedOn w:val="496"/>
    <w:qFormat/>
    <w:uiPriority w:val="0"/>
    <w:pPr>
      <w:spacing w:line="360" w:lineRule="auto"/>
      <w:ind w:firstLine="200"/>
    </w:pPr>
    <w:rPr>
      <w:rFonts w:ascii="宋体" w:hAnsi="宋体" w:eastAsia="Arial" w:cs="Arial"/>
      <w:color w:val="000000"/>
      <w:sz w:val="24"/>
    </w:rPr>
  </w:style>
  <w:style w:type="paragraph" w:customStyle="1" w:styleId="496">
    <w:name w:val="正文缩进_2"/>
    <w:basedOn w:val="348"/>
    <w:unhideWhenUsed/>
    <w:qFormat/>
    <w:uiPriority w:val="0"/>
    <w:pPr>
      <w:widowControl/>
      <w:ind w:firstLine="420"/>
      <w:jc w:val="left"/>
    </w:pPr>
    <w:rPr>
      <w:rFonts w:ascii="Times New Roman" w:hAnsi="Times New Roman"/>
      <w:sz w:val="20"/>
      <w:szCs w:val="24"/>
    </w:rPr>
  </w:style>
  <w:style w:type="paragraph" w:customStyle="1" w:styleId="497">
    <w:name w:val="*正文_0_0"/>
    <w:basedOn w:val="348"/>
    <w:qFormat/>
    <w:uiPriority w:val="0"/>
    <w:pPr>
      <w:widowControl/>
      <w:spacing w:line="360" w:lineRule="auto"/>
      <w:ind w:firstLine="200"/>
      <w:jc w:val="left"/>
    </w:pPr>
    <w:rPr>
      <w:rFonts w:ascii="宋体" w:hAnsi="宋体" w:eastAsia="Arial" w:cs="Arial"/>
      <w:color w:val="000000"/>
      <w:sz w:val="24"/>
      <w:szCs w:val="24"/>
    </w:rPr>
  </w:style>
  <w:style w:type="paragraph" w:customStyle="1" w:styleId="498">
    <w:name w:val="无间隔1_0_0"/>
    <w:basedOn w:val="348"/>
    <w:qFormat/>
    <w:uiPriority w:val="0"/>
    <w:rPr>
      <w:rFonts w:ascii="Times New Roman" w:hAnsi="Times New Roman"/>
      <w:szCs w:val="21"/>
    </w:rPr>
  </w:style>
  <w:style w:type="paragraph" w:customStyle="1" w:styleId="499">
    <w:name w:val="正文_0_2"/>
    <w:qFormat/>
    <w:uiPriority w:val="0"/>
    <w:pPr>
      <w:widowControl w:val="0"/>
      <w:jc w:val="both"/>
    </w:pPr>
    <w:rPr>
      <w:rFonts w:hint="default" w:ascii="Times New Roman" w:hAnsi="Times New Roman" w:eastAsia="宋体" w:cs="Times New Roman"/>
      <w:szCs w:val="24"/>
      <w:lang w:val="en-US" w:eastAsia="zh-CN" w:bidi="ar-SA"/>
    </w:rPr>
  </w:style>
  <w:style w:type="paragraph" w:customStyle="1" w:styleId="500">
    <w:name w:val="标题 4_0"/>
    <w:basedOn w:val="501"/>
    <w:next w:val="501"/>
    <w:unhideWhenUsed/>
    <w:qFormat/>
    <w:uiPriority w:val="9"/>
    <w:pPr>
      <w:keepNext/>
      <w:keepLines/>
      <w:spacing w:before="280" w:after="290" w:line="372" w:lineRule="auto"/>
      <w:outlineLvl w:val="3"/>
    </w:pPr>
    <w:rPr>
      <w:rFonts w:ascii="Arial" w:hAnsi="Arial" w:eastAsia="黑体"/>
      <w:b/>
      <w:sz w:val="28"/>
    </w:rPr>
  </w:style>
  <w:style w:type="paragraph" w:customStyle="1" w:styleId="501">
    <w:name w:val="正文4"/>
    <w:qFormat/>
    <w:uiPriority w:val="0"/>
    <w:pPr>
      <w:widowControl w:val="0"/>
      <w:jc w:val="both"/>
    </w:pPr>
    <w:rPr>
      <w:rFonts w:hint="default" w:ascii="Calibri" w:hAnsi="Calibri" w:eastAsia="宋体" w:cs="Times New Roman"/>
      <w:lang w:val="en-US" w:eastAsia="zh-CN" w:bidi="ar-SA"/>
    </w:rPr>
  </w:style>
  <w:style w:type="paragraph" w:customStyle="1" w:styleId="502">
    <w:name w:val="正文_3_0_0"/>
    <w:qFormat/>
    <w:uiPriority w:val="0"/>
    <w:pPr>
      <w:widowControl w:val="0"/>
      <w:jc w:val="both"/>
    </w:pPr>
    <w:rPr>
      <w:rFonts w:hint="default" w:ascii="Times New Roman" w:hAnsi="Times New Roman" w:eastAsia="宋体" w:cs="Times New Roman"/>
      <w:lang w:val="en-US" w:eastAsia="zh-CN" w:bidi="ar-SA"/>
    </w:rPr>
  </w:style>
  <w:style w:type="paragraph" w:customStyle="1" w:styleId="503">
    <w:name w:val="p17_0_0"/>
    <w:basedOn w:val="391"/>
    <w:qFormat/>
    <w:uiPriority w:val="0"/>
    <w:pPr>
      <w:widowControl/>
      <w:spacing w:before="100" w:beforeAutospacing="1" w:after="100" w:afterAutospacing="1"/>
      <w:jc w:val="left"/>
    </w:pPr>
    <w:rPr>
      <w:rFonts w:ascii="宋体" w:hAnsi="宋体" w:eastAsia="Times New Roman" w:cs="宋体"/>
      <w:sz w:val="24"/>
      <w:szCs w:val="24"/>
    </w:rPr>
  </w:style>
  <w:style w:type="paragraph" w:customStyle="1" w:styleId="504">
    <w:name w:val="p17_0"/>
    <w:basedOn w:val="44"/>
    <w:qFormat/>
    <w:uiPriority w:val="0"/>
    <w:pPr>
      <w:widowControl/>
      <w:spacing w:before="100" w:beforeAutospacing="1" w:after="100" w:afterAutospacing="1"/>
      <w:jc w:val="left"/>
    </w:pPr>
    <w:rPr>
      <w:rFonts w:ascii="宋体" w:hAnsi="宋体" w:eastAsia="Times New Roman" w:cs="宋体"/>
      <w:sz w:val="24"/>
      <w:szCs w:val="24"/>
    </w:rPr>
  </w:style>
  <w:style w:type="paragraph" w:customStyle="1" w:styleId="505">
    <w:name w:val="普通(网站)11"/>
    <w:basedOn w:val="1"/>
    <w:qFormat/>
    <w:uiPriority w:val="99"/>
    <w:rPr>
      <w:sz w:val="24"/>
    </w:rPr>
  </w:style>
  <w:style w:type="paragraph" w:customStyle="1" w:styleId="506">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character" w:customStyle="1" w:styleId="507">
    <w:name w:val="hour_am"/>
    <w:basedOn w:val="54"/>
    <w:link w:val="1"/>
    <w:qFormat/>
    <w:uiPriority w:val="0"/>
  </w:style>
  <w:style w:type="character" w:customStyle="1" w:styleId="508">
    <w:name w:val="hour_pm"/>
    <w:basedOn w:val="54"/>
    <w:link w:val="1"/>
    <w:qFormat/>
    <w:uiPriority w:val="0"/>
  </w:style>
  <w:style w:type="character" w:customStyle="1" w:styleId="509">
    <w:name w:val="first-child"/>
    <w:basedOn w:val="54"/>
    <w:link w:val="1"/>
    <w:qFormat/>
    <w:uiPriority w:val="0"/>
  </w:style>
  <w:style w:type="character" w:customStyle="1" w:styleId="510">
    <w:name w:val="layui-layer-tabnow"/>
    <w:basedOn w:val="54"/>
    <w:link w:val="1"/>
    <w:qFormat/>
    <w:uiPriority w:val="0"/>
    <w:rPr>
      <w:shd w:val="clear" w:color="auto" w:fill="FFFFFF"/>
    </w:rPr>
  </w:style>
  <w:style w:type="character" w:customStyle="1" w:styleId="511">
    <w:name w:val="hover5"/>
    <w:basedOn w:val="54"/>
    <w:link w:val="1"/>
    <w:qFormat/>
    <w:uiPriority w:val="0"/>
    <w:rPr>
      <w:shd w:val="clear" w:color="auto" w:fill="EEEEEE"/>
    </w:rPr>
  </w:style>
  <w:style w:type="character" w:customStyle="1" w:styleId="512">
    <w:name w:val="old"/>
    <w:basedOn w:val="54"/>
    <w:link w:val="1"/>
    <w:qFormat/>
    <w:uiPriority w:val="0"/>
    <w:rPr>
      <w:color w:val="999999"/>
    </w:rPr>
  </w:style>
  <w:style w:type="character" w:customStyle="1" w:styleId="513">
    <w:name w:val="glyphicon"/>
    <w:basedOn w:val="54"/>
    <w:link w:val="1"/>
    <w:qFormat/>
    <w:uiPriority w:val="0"/>
  </w:style>
  <w:style w:type="paragraph" w:customStyle="1" w:styleId="514">
    <w:name w:val="Normal11"/>
    <w:next w:val="46"/>
    <w:qFormat/>
    <w:uiPriority w:val="0"/>
    <w:pPr>
      <w:widowControl w:val="0"/>
      <w:jc w:val="both"/>
    </w:pPr>
    <w:rPr>
      <w:rFonts w:hint="default" w:ascii="Times New Roman" w:hAnsi="Times New Roman" w:eastAsia="宋体" w:cs="Times New Roman"/>
      <w:szCs w:val="21"/>
      <w:lang w:val="en-US" w:eastAsia="zh-CN" w:bidi="ar-SA"/>
    </w:rPr>
  </w:style>
  <w:style w:type="paragraph" w:customStyle="1" w:styleId="515">
    <w:name w:val="List Paragraph_1"/>
    <w:qFormat/>
    <w:uiPriority w:val="0"/>
    <w:pPr>
      <w:widowControl w:val="0"/>
      <w:ind w:firstLine="420"/>
      <w:jc w:val="both"/>
    </w:pPr>
    <w:rPr>
      <w:rFonts w:hint="default" w:ascii="Calibri" w:hAnsi="Calibri" w:eastAsia="Times New Roman" w:cs="Times New Roman"/>
      <w:sz w:val="20"/>
      <w:szCs w:val="20"/>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Organi</Company>
  <Pages>46</Pages>
  <Words>26929</Words>
  <Characters>28412</Characters>
  <TotalTime>1</TotalTime>
  <ScaleCrop>false</ScaleCrop>
  <LinksUpToDate>false</LinksUpToDate>
  <CharactersWithSpaces>29169</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2023-07-23T13:07:00Z</dcterms:created>
  <dc:creator>宿迁政府采</dc:creator>
  <cp:lastModifiedBy>zx</cp:lastModifiedBy>
  <cp:lastPrinted>2026-07-08T02:12:00Z</cp:lastPrinted>
  <dcterms:modified xsi:type="dcterms:W3CDTF">2026-07-09T03:07:38Z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eyJoZGlkIjoiNTg3NWVkZWQxMDQ3MmI4MTlkZjBkMjBiM2QyMTAxZmMiLCJ1c2VySWQiOiIxMTQwMDYxNjg1In0=</vt:lpwstr>
  </property>
  <property fmtid="{D5CDD505-2E9C-101B-9397-08002B2CF9AE}" pid="3" name="KSOProductBuildVer">
    <vt:lpwstr>2052-12.1.0.26375</vt:lpwstr>
  </property>
  <property fmtid="{D5CDD505-2E9C-101B-9397-08002B2CF9AE}" pid="4" name="ICV">
    <vt:lpwstr>178DEE007A664382AF32565BB56AD40C_13</vt:lpwstr>
  </property>
</Properties>
</file>