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ind w:firstLine="0"/>
        <w:jc w:val="center"/>
        <w:spacing w:line="480" w:lineRule="exact"/>
        <w:rPr>
          <w:color w:val="auto"/>
          <w:sz w:val="28"/>
          <w:highlight w:val="none"/>
        </w:rPr>
      </w:pPr>
      <w:r>
        <w:rPr>
          <w:color w:val="auto"/>
          <w:sz w:val="28"/>
          <w:highlight w:val="none"/>
        </w:rPr>
      </w:r>
      <w:r/>
    </w:p>
    <w:p>
      <w:pPr>
        <w:pStyle w:val="646"/>
        <w:ind w:firstLine="0"/>
        <w:jc w:val="center"/>
        <w:spacing w:line="480" w:lineRule="exact"/>
        <w:rPr>
          <w:rFonts w:hint="eastAsia"/>
          <w:color w:val="auto"/>
          <w:sz w:val="28"/>
          <w:highlight w:val="none"/>
        </w:rPr>
      </w:pPr>
      <w:r>
        <w:rPr>
          <w:rFonts w:hint="eastAsia"/>
          <w:color w:val="auto"/>
          <w:sz w:val="28"/>
          <w:highlight w:val="none"/>
        </w:rPr>
      </w: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46"/>
        <w:ind w:firstLine="0"/>
        <w:jc w:val="center"/>
        <w:spacing w:line="480" w:lineRule="exact"/>
        <w:rPr>
          <w:color w:val="auto"/>
          <w:sz w:val="28"/>
          <w:highlight w:val="none"/>
        </w:rPr>
      </w:pPr>
      <w:r>
        <w:rPr>
          <w:color w:val="auto"/>
          <w:sz w:val="28"/>
          <w:highlight w:val="none"/>
        </w:rPr>
      </w:r>
      <w:r/>
    </w:p>
    <w:p>
      <w:pPr>
        <w:pStyle w:val="646"/>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Times New Roman" w:hAnsi="Times New Roman" w:cs="Times New Roman"/>
          <w:b w:val="0"/>
          <w:bCs w:val="0"/>
          <w:color w:val="auto"/>
          <w:sz w:val="32"/>
          <w:szCs w:val="24"/>
          <w:highlight w:val="none"/>
        </w:rPr>
      </w:pPr>
      <w:r>
        <w:rPr>
          <w:rFonts w:hint="eastAsia" w:ascii="Arial" w:hAnsi="Arial"/>
          <w:b/>
          <w:bCs/>
          <w:color w:val="auto"/>
          <w:sz w:val="32"/>
          <w:szCs w:val="24"/>
          <w:highlight w:val="none"/>
        </w:rPr>
        <w:t xml:space="preserve">项目名称：</w:t>
      </w:r>
      <w:r>
        <w:rPr>
          <w:rFonts w:hint="eastAsia" w:ascii="Times New Roman" w:hAnsi="Times New Roman" w:cs="Times New Roman"/>
          <w:b w:val="0"/>
          <w:bCs w:val="0"/>
          <w:color w:val="auto"/>
          <w:sz w:val="32"/>
          <w:szCs w:val="24"/>
          <w:highlight w:val="none"/>
        </w:rPr>
        <w:t xml:space="preserve">南通市苏锡通园区实验中学</w:t>
      </w:r>
      <w:r/>
    </w:p>
    <w:p>
      <w:pPr>
        <w:jc w:val="center"/>
        <w:spacing w:line="360" w:lineRule="auto"/>
        <w:rPr>
          <w:rFonts w:hint="eastAsia" w:ascii="宋体" w:hAnsi="宋体"/>
          <w:b w:val="0"/>
          <w:bCs w:val="0"/>
          <w:color w:val="auto"/>
          <w:sz w:val="32"/>
          <w:highlight w:val="none"/>
        </w:rPr>
      </w:pPr>
      <w:r>
        <w:rPr>
          <w:rFonts w:hint="eastAsia" w:cs="Times New Roman"/>
          <w:b w:val="0"/>
          <w:bCs w:val="0"/>
          <w:color w:val="auto"/>
          <w:sz w:val="32"/>
          <w:szCs w:val="24"/>
          <w:highlight w:val="none"/>
          <w:lang w:val="en-US" w:eastAsia="zh-CN"/>
        </w:rPr>
        <w:t xml:space="preserve">       校园广播系统采购</w:t>
      </w:r>
      <w:r>
        <w:rPr>
          <w:rFonts w:hint="eastAsia" w:ascii="Times New Roman" w:hAnsi="Times New Roman" w:cs="Times New Roman"/>
          <w:b w:val="0"/>
          <w:bCs w:val="0"/>
          <w:color w:val="auto"/>
          <w:sz w:val="32"/>
          <w:szCs w:val="24"/>
          <w:highlight w:val="none"/>
        </w:rPr>
        <w:t xml:space="preserve">项目</w:t>
      </w: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eastAsia" w:cs="Times New Roman"/>
          <w:b w:val="0"/>
          <w:bCs w:val="0"/>
          <w:color w:val="auto"/>
          <w:sz w:val="32"/>
          <w:szCs w:val="24"/>
          <w:highlight w:val="none"/>
          <w:lang w:val="en-US" w:eastAsia="zh-CN"/>
        </w:rPr>
        <w:t xml:space="preserve">J</w:t>
      </w:r>
      <w:r>
        <w:rPr>
          <w:rFonts w:hint="eastAsia" w:cs="Times New Roman"/>
          <w:b w:val="0"/>
          <w:bCs w:val="0"/>
          <w:color w:val="auto"/>
          <w:sz w:val="32"/>
          <w:szCs w:val="24"/>
          <w:highlight w:val="none"/>
          <w:lang w:val="en-US" w:eastAsia="zh-CN"/>
        </w:rPr>
        <w:t xml:space="preserve">SZC-320600-JZCG-X2026-0075</w:t>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pStyle w:val="646"/>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46"/>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7</w:t>
      </w:r>
      <w:r>
        <w:rPr>
          <w:rFonts w:hint="eastAsia" w:ascii="宋体" w:hAnsi="宋体"/>
          <w:color w:val="auto"/>
          <w:sz w:val="32"/>
          <w:highlight w:val="none"/>
        </w:rPr>
        <w:t xml:space="preserve">月</w:t>
      </w:r>
      <w:r/>
    </w:p>
    <w:p>
      <w:pPr>
        <w:pStyle w:val="646"/>
        <w:ind w:firstLine="0"/>
        <w:jc w:val="center"/>
        <w:spacing w:line="480" w:lineRule="exact"/>
        <w:rPr>
          <w:color w:val="auto"/>
          <w:sz w:val="28"/>
          <w:highlight w:val="none"/>
        </w:rPr>
      </w:pPr>
      <w:r>
        <w:rPr>
          <w:color w:val="auto"/>
          <w:highlight w:val="none"/>
          <w:lang w:eastAsia="zh-CN"/>
        </w:rPr>
        <w:br w:type="page" w:clear="all"/>
      </w:r>
      <w:r/>
    </w:p>
    <w:p>
      <w:pPr>
        <w:pStyle w:val="646"/>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firstLine="537"/>
            <w:jc w:val="left"/>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文本</w:t>
          </w:r>
          <w:r>
            <w:rPr>
              <w:rFonts w:hint="eastAsia" w:ascii="宋体" w:hAnsi="宋体"/>
              <w:b/>
              <w:sz w:val="32"/>
              <w:szCs w:val="32"/>
              <w:lang w:val="en-US" w:eastAsia="zh-CN"/>
            </w:rPr>
            <w:t xml:space="preserve">合同</w:t>
          </w:r>
          <w:r>
            <w:rPr>
              <w:rFonts w:hint="eastAsia" w:ascii="宋体" w:hAnsi="宋体"/>
              <w:b/>
              <w:sz w:val="32"/>
              <w:szCs w:val="32"/>
            </w:rPr>
            <w:t xml:space="preserve">（格式）</w:t>
          </w:r>
          <w:r/>
        </w:p>
        <w:p>
          <w:pPr>
            <w:ind w:firstLine="537"/>
            <w:jc w:val="left"/>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w:t>
          </w:r>
          <w:r>
            <w:rPr>
              <w:rFonts w:hint="eastAsia" w:ascii="宋体" w:hAnsi="宋体"/>
              <w:b/>
              <w:bCs/>
              <w:sz w:val="32"/>
              <w:szCs w:val="32"/>
              <w:lang w:val="en-US" w:eastAsia="zh-CN"/>
            </w:rPr>
            <w:t xml:space="preserve">采购</w:t>
          </w:r>
          <w:r>
            <w:rPr>
              <w:rFonts w:hint="eastAsia" w:ascii="宋体" w:hAnsi="宋体"/>
              <w:b/>
              <w:bCs/>
              <w:sz w:val="32"/>
              <w:szCs w:val="32"/>
            </w:rPr>
            <w:t xml:space="preserve">需求</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pStyle w:val="646"/>
            <w:ind w:firstLine="0"/>
            <w:jc w:val="center"/>
            <w:spacing w:line="480" w:lineRule="exact"/>
            <w:rPr>
              <w:rFonts w:hint="default" w:ascii="宋体" w:hAnsi="宋体" w:eastAsia="宋体" w:cs="Times New Roman"/>
              <w:color w:val="auto"/>
              <w:sz w:val="20"/>
              <w:szCs w:val="20"/>
              <w:highlight w:val="none"/>
            </w:rPr>
          </w:pPr>
          <w:r>
            <w:rPr>
              <w:rFonts w:hint="eastAsia" w:ascii="宋体" w:hAnsi="宋体"/>
              <w:b/>
              <w:bCs/>
              <w:sz w:val="32"/>
              <w:szCs w:val="32"/>
            </w:rPr>
            <w:fldChar w:fldCharType="end"/>
          </w:r>
          <w:bookmarkStart w:id="33" w:name="_GoBack"/>
          <w:r/>
          <w:bookmarkEnd w:id="33"/>
          <w:r/>
          <w:r/>
        </w:p>
      </w:sdtContent>
    </w:sdt>
    <w:p>
      <w:pPr>
        <w:rPr>
          <w:rFonts w:ascii="黑体" w:hAnsi="黑体" w:eastAsia="黑体" w:cs="黑体"/>
          <w:color w:val="auto"/>
          <w:sz w:val="44"/>
          <w:szCs w:val="44"/>
          <w:highlight w:val="none"/>
        </w:rPr>
        <w:outlineLvl w:val="0"/>
      </w:pPr>
      <w:r>
        <w:rPr>
          <w:highlight w:val="none"/>
        </w:rPr>
        <w:br w:type="page" w:clear="all"/>
      </w:r>
      <w:r/>
    </w:p>
    <w:p>
      <w:pPr>
        <w:pStyle w:val="646"/>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auto"/>
          <w:sz w:val="44"/>
          <w:highlight w:val="none"/>
          <w:lang w:eastAsia="zh-CN"/>
        </w:rPr>
        <w:t xml:space="preserve">第一章</w:t>
      </w:r>
      <w:bookmarkEnd w:id="0"/>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南通市苏锡通园区实验中学</w:t>
      </w:r>
      <w:r>
        <w:rPr>
          <w:rFonts w:hint="eastAsia" w:ascii="仿宋" w:hAnsi="仿宋" w:eastAsia="仿宋" w:cs="仿宋"/>
          <w:color w:val="auto"/>
          <w:sz w:val="28"/>
          <w:szCs w:val="28"/>
          <w:highlight w:val="none"/>
          <w:lang w:val="en-US" w:eastAsia="zh-CN"/>
        </w:rPr>
        <w:t xml:space="preserve">校园</w:t>
      </w:r>
      <w:r>
        <w:rPr>
          <w:rFonts w:hint="eastAsia" w:ascii="仿宋" w:hAnsi="仿宋" w:eastAsia="仿宋" w:cs="仿宋"/>
          <w:color w:val="auto"/>
          <w:sz w:val="28"/>
          <w:szCs w:val="28"/>
          <w:highlight w:val="none"/>
        </w:rPr>
        <w:t xml:space="preserve">广播</w:t>
      </w:r>
      <w:r>
        <w:rPr>
          <w:rFonts w:hint="eastAsia" w:ascii="仿宋" w:hAnsi="仿宋" w:eastAsia="仿宋" w:cs="仿宋"/>
          <w:color w:val="auto"/>
          <w:sz w:val="28"/>
          <w:szCs w:val="28"/>
          <w:highlight w:val="none"/>
          <w:lang w:val="en-US" w:eastAsia="zh-CN"/>
        </w:rPr>
        <w:t xml:space="preserve">系统</w:t>
      </w:r>
      <w:r>
        <w:rPr>
          <w:rFonts w:hint="eastAsia" w:ascii="仿宋" w:hAnsi="仿宋" w:eastAsia="仿宋" w:cs="仿宋"/>
          <w:color w:val="auto"/>
          <w:sz w:val="28"/>
          <w:szCs w:val="28"/>
          <w:highlight w:val="none"/>
        </w:rPr>
        <w:t xml:space="preserve">采购项目的潜在供应商应在江苏政府采购网获取采购文件，并于2026年7月31日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46"/>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1.项目编号：</w:t>
      </w:r>
      <w:r>
        <w:rPr>
          <w:rFonts w:hint="eastAsia" w:ascii="仿宋" w:hAnsi="仿宋" w:eastAsia="仿宋" w:cs="仿宋"/>
          <w:color w:val="auto"/>
          <w:sz w:val="28"/>
          <w:szCs w:val="28"/>
          <w:highlight w:val="none"/>
          <w:lang w:val="en-US" w:eastAsia="zh-CN" w:bidi="ar-SA"/>
        </w:rPr>
        <w:t xml:space="preserve">JSZC-320600-JZCG-X2026-0075</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lang w:val="en-US" w:eastAsia="zh-CN"/>
        </w:rPr>
        <w:t xml:space="preserve">南通市苏锡通园区实验中学校园广播系统采购项目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金额：25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4.最高限价：25 万元。</w:t>
      </w:r>
      <w:r/>
    </w:p>
    <w:p>
      <w:pPr>
        <w:ind w:firstLine="560"/>
        <w:spacing w:line="480" w:lineRule="exact"/>
        <w:rPr>
          <w:rFonts w:hint="eastAsia" w:ascii="仿宋" w:hAnsi="仿宋" w:eastAsia="宋体" w:cs="仿宋"/>
          <w:color w:val="auto"/>
          <w:sz w:val="28"/>
          <w:szCs w:val="28"/>
          <w:highlight w:val="none"/>
          <w:lang w:eastAsia="zh-CN"/>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8"/>
          <w:highlight w:val="none"/>
          <w:lang w:val="en-US" w:eastAsia="zh-CN"/>
        </w:rPr>
        <w:t xml:space="preserve">校园广播及会议室改造设备采购与安装。</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6.合同履行期限：</w:t>
      </w:r>
      <w:r>
        <w:rPr>
          <w:rFonts w:hint="eastAsia" w:ascii="仿宋" w:hAnsi="仿宋" w:eastAsia="仿宋" w:cs="仿宋"/>
          <w:color w:val="auto"/>
          <w:sz w:val="28"/>
          <w:szCs w:val="28"/>
          <w:highlight w:val="none"/>
          <w:lang w:val="en-US" w:eastAsia="zh-CN"/>
        </w:rPr>
        <w:t xml:space="preserve">签订合同后20天内完成供货安装调试，并通过采购人验收。</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47"/>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47"/>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2026年7月24日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2026年7月28日</w:t>
      </w:r>
      <w:r>
        <w:rPr>
          <w:rFonts w:hint="eastAsia" w:ascii="仿宋" w:hAnsi="仿宋" w:eastAsia="仿宋" w:cs="宋体"/>
          <w:color w:val="auto"/>
          <w:sz w:val="28"/>
          <w:szCs w:val="28"/>
          <w:highlight w:val="none"/>
        </w:rPr>
        <w:t xml:space="preserve">23:59</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截止时间：2026年7月31日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47"/>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pStyle w:val="847"/>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47"/>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47"/>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none"/>
          <w:lang w:val="en-US" w:eastAsia="zh-CN"/>
        </w:rPr>
        <w:t xml:space="preserve">南通市苏锡通园区实验中学 </w:t>
      </w:r>
      <w:r>
        <w:rPr>
          <w:rFonts w:hint="eastAsia" w:ascii="仿宋" w:hAnsi="仿宋" w:eastAsia="仿宋" w:cs="仿宋"/>
          <w:color w:val="auto"/>
          <w:sz w:val="28"/>
          <w:szCs w:val="28"/>
          <w:highlight w:val="none"/>
          <w:u w:val="none"/>
        </w:rPr>
        <w:t xml:space="preserve">  </w:t>
      </w:r>
      <w:r/>
    </w:p>
    <w:p>
      <w:pPr>
        <w:pStyle w:val="847"/>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rPr>
        <w:t xml:space="preserve">地　  址：</w:t>
      </w:r>
      <w:r>
        <w:rPr>
          <w:rFonts w:hint="eastAsia" w:ascii="仿宋" w:hAnsi="仿宋" w:eastAsia="仿宋" w:cs="仿宋"/>
          <w:color w:val="auto"/>
          <w:sz w:val="28"/>
          <w:szCs w:val="28"/>
          <w:highlight w:val="none"/>
          <w:u w:val="none"/>
          <w:lang w:val="en-US" w:eastAsia="zh-CN"/>
        </w:rPr>
        <w:t xml:space="preserve">南通市苏锡通园区实验中学 </w:t>
      </w:r>
      <w:r/>
    </w:p>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陈老师</w:t>
      </w:r>
      <w:r/>
    </w:p>
    <w:p>
      <w:pPr>
        <w:spacing w:line="480" w:lineRule="exact"/>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none"/>
        </w:rPr>
        <w:t xml:space="preserve">0513-</w:t>
      </w:r>
      <w:r>
        <w:rPr>
          <w:rFonts w:hint="eastAsia" w:ascii="仿宋" w:hAnsi="仿宋" w:eastAsia="仿宋" w:cs="仿宋"/>
          <w:color w:val="auto"/>
          <w:sz w:val="28"/>
          <w:szCs w:val="28"/>
          <w:highlight w:val="none"/>
          <w:u w:val="none"/>
          <w:lang w:val="en-US" w:eastAsia="zh-CN"/>
        </w:rPr>
        <w:t xml:space="preserve">83505442</w:t>
      </w:r>
      <w:r/>
    </w:p>
    <w:p>
      <w:pPr>
        <w:pStyle w:val="847"/>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47"/>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47"/>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47"/>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47"/>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47"/>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46"/>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5.满足公告规定的供货时间要求</w:t>
      </w:r>
      <w:r>
        <w:rPr>
          <w:rFonts w:hint="eastAsia" w:ascii="仿宋" w:hAnsi="仿宋" w:eastAsia="仿宋" w:cs="仿宋"/>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6.成交人不得以任何方式转包或分包。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color w:val="auto"/>
          <w:sz w:val="28"/>
          <w:szCs w:val="28"/>
          <w:highlight w:val="none"/>
        </w:rPr>
        <w:t xml:space="preserve">详见本询价文件第四章采购需求中斜体且有下划线部分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r>
        <w:rPr>
          <w:rFonts w:hint="eastAsia" w:ascii="仿宋" w:hAnsi="仿宋" w:eastAsia="仿宋" w:cs="仿宋"/>
          <w:color w:val="000000"/>
          <w:sz w:val="28"/>
          <w:szCs w:val="28"/>
          <w:highlight w:val="none"/>
          <w:lang w:val="en-US" w:eastAsia="zh-CN"/>
        </w:rPr>
        <w:t xml:space="preserve">     </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快递包装环保要求：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采购本国产品的支持政策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646"/>
        <w:ind w:firstLine="0"/>
        <w:spacing w:line="480" w:lineRule="exact"/>
        <w:rPr>
          <w:rFonts w:hint="eastAsia" w:ascii="仿宋" w:hAnsi="仿宋" w:eastAsia="仿宋" w:cs="仿宋"/>
          <w:b/>
          <w:color w:val="auto"/>
          <w:sz w:val="28"/>
          <w:highlight w:val="none"/>
          <w:lang w:eastAsia="zh-CN"/>
        </w:rPr>
        <w:outlineLvl w:val="1"/>
      </w:pPr>
      <w:r>
        <w:rPr>
          <w:rFonts w:hint="eastAsia" w:ascii="仿宋" w:hAnsi="仿宋" w:eastAsia="仿宋" w:cs="仿宋"/>
          <w:b/>
          <w:color w:val="auto"/>
          <w:sz w:val="28"/>
          <w:highlight w:val="none"/>
          <w:lang w:eastAsia="zh-CN"/>
        </w:rPr>
      </w:r>
      <w:r/>
    </w:p>
    <w:p>
      <w:pPr>
        <w:pStyle w:val="646"/>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646"/>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
    </w:p>
    <w:p>
      <w:pPr>
        <w:pStyle w:val="847"/>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p>
    <w:p>
      <w:pPr>
        <w:pStyle w:val="646"/>
        <w:ind w:firstLine="0"/>
        <w:jc w:val="center"/>
        <w:rPr>
          <w:color w:val="auto"/>
          <w:sz w:val="28"/>
          <w:szCs w:val="28"/>
          <w:highlight w:val="none"/>
        </w:rPr>
      </w:pPr>
      <w:r>
        <w:rPr>
          <w:color w:val="auto"/>
          <w:sz w:val="28"/>
          <w:szCs w:val="28"/>
          <w:highlight w:val="none"/>
        </w:rPr>
      </w:r>
      <w:r/>
    </w:p>
    <w:p>
      <w:pPr>
        <w:pStyle w:val="646"/>
        <w:ind w:firstLine="0"/>
        <w:jc w:val="center"/>
        <w:rPr>
          <w:color w:val="auto"/>
          <w:sz w:val="28"/>
          <w:szCs w:val="28"/>
          <w:highlight w:val="none"/>
        </w:rPr>
      </w:pPr>
      <w:r>
        <w:rPr>
          <w:color w:val="auto"/>
          <w:sz w:val="28"/>
          <w:szCs w:val="28"/>
          <w:highlight w:val="none"/>
        </w:rPr>
      </w:r>
      <w:r/>
    </w:p>
    <w:p>
      <w:pPr>
        <w:pStyle w:val="646"/>
        <w:ind w:firstLine="0"/>
        <w:jc w:val="center"/>
        <w:rPr>
          <w:color w:val="auto"/>
          <w:sz w:val="28"/>
          <w:szCs w:val="28"/>
          <w:highlight w:val="none"/>
        </w:rPr>
      </w:pPr>
      <w:r>
        <w:rPr>
          <w:color w:val="auto"/>
          <w:sz w:val="28"/>
          <w:szCs w:val="28"/>
          <w:highlight w:val="none"/>
        </w:rPr>
      </w:r>
      <w:r/>
    </w:p>
    <w:p>
      <w:pPr>
        <w:pStyle w:val="646"/>
        <w:ind w:firstLine="0"/>
        <w:jc w:val="center"/>
        <w:rPr>
          <w:rFonts w:hint="eastAsia"/>
          <w:color w:val="auto"/>
          <w:highlight w:val="none"/>
        </w:rPr>
      </w:pPr>
      <w:r>
        <w:rPr>
          <w:rFonts w:hint="eastAsia"/>
          <w:color w:val="auto"/>
          <w:highlight w:val="none"/>
        </w:rPr>
      </w:r>
      <w:r/>
    </w:p>
    <w:p>
      <w:pPr>
        <w:pStyle w:val="831"/>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831"/>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646"/>
        <w:ind w:firstLine="0"/>
        <w:jc w:val="center"/>
        <w:spacing w:line="480" w:lineRule="exact"/>
        <w:rPr>
          <w:rFonts w:hint="eastAsia"/>
          <w:b/>
          <w:color w:val="auto"/>
          <w:sz w:val="28"/>
          <w:highlight w:val="none"/>
        </w:rPr>
        <w:outlineLvl w:val="1"/>
      </w:p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832"/>
        <w:ind w:left="0" w:firstLine="420"/>
        <w:spacing w:after="0" w:line="400" w:lineRule="exact"/>
        <w:rPr>
          <w:rFonts w:ascii="宋体" w:hAnsi="宋体"/>
          <w:color w:val="auto"/>
          <w:szCs w:val="21"/>
          <w:highlight w:val="none"/>
        </w:rPr>
      </w:pPr>
      <w:r>
        <w:rPr>
          <w:rFonts w:ascii="宋体" w:hAnsi="宋体"/>
          <w:color w:val="auto"/>
          <w:szCs w:val="21"/>
          <w:highlight w:val="none"/>
        </w:rPr>
      </w:r>
      <w:r/>
    </w:p>
    <w:p>
      <w:pPr>
        <w:pStyle w:val="83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p>
    <w:p>
      <w:pPr>
        <w:pStyle w:val="832"/>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p>
    <w:p>
      <w:pPr>
        <w:pStyle w:val="832"/>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83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pStyle w:val="86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6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6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p>
    <w:p>
      <w:pPr>
        <w:pStyle w:val="86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6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86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67"/>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867"/>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67"/>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67"/>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867"/>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p>
    <w:p>
      <w:pPr>
        <w:pStyle w:val="867"/>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pStyle w:val="867"/>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pStyle w:val="867"/>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pStyle w:val="868"/>
        <w:spacing w:line="400" w:lineRule="exact"/>
        <w:rPr>
          <w:color w:val="auto"/>
          <w:highlight w:val="none"/>
        </w:rPr>
      </w:pPr>
      <w:r>
        <w:rPr>
          <w:rFonts w:hint="eastAsia" w:ascii="宋体" w:hAnsi="宋体"/>
          <w:color w:val="auto"/>
          <w:highlight w:val="none"/>
        </w:rPr>
        <w:t xml:space="preserve">（3）付款方式（按项目实际勾选填写）：</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67"/>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867"/>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pStyle w:val="867"/>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6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pStyle w:val="86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p>
    <w:p>
      <w:pPr>
        <w:pStyle w:val="867"/>
        <w:rPr>
          <w:rFonts w:ascii="宋体" w:hAnsi="宋体" w:eastAsia="宋体" w:cs="宋体"/>
          <w:color w:val="auto"/>
          <w:sz w:val="21"/>
          <w:highlight w:val="none"/>
        </w:rPr>
      </w:pPr>
      <w:r>
        <w:rPr>
          <w:color w:val="auto"/>
          <w:highlight w:val="none"/>
        </w:rPr>
        <w:br w:type="page" w:clear="all"/>
      </w:r>
      <w:r/>
    </w:p>
    <w:p>
      <w:pPr>
        <w:pStyle w:val="86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64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W w:w="8593" w:type="dxa"/>
            <w:vAlign w:val="center"/>
            <w:textDirection w:val="lrTb"/>
            <w:noWrap w:val="false"/>
          </w:tcPr>
          <w:p>
            <w:pPr>
              <w:pStyle w:val="832"/>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867"/>
        <w:ind w:firstLine="420"/>
        <w:rPr>
          <w:rFonts w:ascii="宋体" w:hAnsi="宋体" w:eastAsia="宋体" w:cs="宋体"/>
          <w:color w:val="auto"/>
          <w:sz w:val="21"/>
          <w:highlight w:val="none"/>
        </w:rPr>
      </w:pPr>
      <w:r>
        <w:rPr>
          <w:rFonts w:ascii="宋体" w:hAnsi="宋体" w:eastAsia="宋体" w:cs="宋体"/>
          <w:color w:val="auto"/>
          <w:sz w:val="21"/>
          <w:highlight w:val="none"/>
        </w:rPr>
      </w:r>
      <w:r/>
    </w:p>
    <w:p>
      <w:pPr>
        <w:pStyle w:val="86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46"/>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831"/>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p>
    <w:p>
      <w:pPr>
        <w:pStyle w:val="831"/>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7"/>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p>
    <w:p>
      <w:pPr>
        <w:pStyle w:val="836"/>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6"/>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7"/>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86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p>
    <w:p>
      <w:pPr>
        <w:pStyle w:val="86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6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2"/>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p>
    <w:p>
      <w:pPr>
        <w:pStyle w:val="86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86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p>
    <w:p>
      <w:pPr>
        <w:pStyle w:val="86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67"/>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pStyle w:val="832"/>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
    </w:p>
    <w:tbl>
      <w:tblPr>
        <w:tblStyle w:val="64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本项目不接受联合体投标</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适用质保期限和运维期限</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满足本项目招标需求</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rFonts w:hint="eastAsia"/>
                <w:color w:val="auto"/>
                <w:highlight w:val="none"/>
              </w:rPr>
              <w:t xml:space="preserve">无</w:t>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江苏商贸职业学院新建宿舍楼指定区域</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适用招标需求中质保期限</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color w:val="auto"/>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h响应、</w:t>
            </w:r>
            <w:r>
              <w:rPr>
                <w:rFonts w:ascii="宋体" w:hAnsi="宋体"/>
                <w:color w:val="auto"/>
                <w:szCs w:val="21"/>
                <w:highlight w:val="none"/>
              </w:rPr>
              <w:t xml:space="preserve">2</w:t>
            </w:r>
            <w:r>
              <w:rPr>
                <w:rFonts w:hint="eastAsia" w:ascii="宋体" w:hAnsi="宋体"/>
                <w:color w:val="auto"/>
                <w:szCs w:val="21"/>
                <w:highlight w:val="none"/>
              </w:rPr>
              <w:t xml:space="preserve">h确认、24h到场、</w:t>
            </w:r>
            <w:r>
              <w:rPr>
                <w:rFonts w:ascii="宋体" w:hAnsi="宋体"/>
                <w:color w:val="auto"/>
                <w:szCs w:val="21"/>
                <w:highlight w:val="none"/>
              </w:rPr>
              <w:t xml:space="preserve">48</w:t>
            </w:r>
            <w:r>
              <w:rPr>
                <w:rFonts w:hint="eastAsia" w:ascii="宋体" w:hAnsi="宋体"/>
                <w:color w:val="auto"/>
                <w:szCs w:val="21"/>
                <w:highlight w:val="none"/>
              </w:rPr>
              <w:t xml:space="preserve">h修复，同时满足本项目运维方案的规定</w:t>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867"/>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履约质量不合格且</w:t>
            </w:r>
            <w:r>
              <w:rPr>
                <w:rFonts w:hint="eastAsia"/>
                <w:color w:val="auto"/>
                <w:highlight w:val="none"/>
              </w:rPr>
              <w:t xml:space="preserve">拒不整改、造成安全事故或重大损失等</w:t>
            </w:r>
            <w:r>
              <w:rPr>
                <w:color w:val="auto"/>
                <w:highlight w:val="none"/>
              </w:rPr>
              <w:t xml:space="preserve">不履行合同</w:t>
            </w:r>
            <w:r>
              <w:rPr>
                <w:rFonts w:hint="eastAsia"/>
                <w:color w:val="auto"/>
                <w:highlight w:val="none"/>
              </w:rPr>
              <w:t xml:space="preserve">的情形</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本项目质保期和运维期全部结束后无息退还履约保证金</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乙方定期检修和维保并建立常态化巡检记录，满足本项目运维方案的规定，甲方有权抽查和监督</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包括但不限于免费巡检保养服务在内的质保和免费运维规定</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以同品牌、同型号、同规格、全新合格的标的物，无偿替换原不合格标的物</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rPr>
              <w:t xml:space="preserve">每延迟1日支付合同总金额的 0.1%，累计不超过合同金额1</w:t>
            </w:r>
            <w:r>
              <w:rPr>
                <w:rFonts w:ascii="宋体" w:hAnsi="宋体"/>
                <w:color w:val="auto"/>
                <w:szCs w:val="21"/>
                <w:highlight w:val="none"/>
              </w:rPr>
              <w:t xml:space="preserve">0%</w:t>
            </w:r>
            <w:r>
              <w:rPr>
                <w:rFonts w:hint="eastAsia" w:ascii="宋体" w:hAnsi="宋体"/>
                <w:color w:val="auto"/>
                <w:szCs w:val="21"/>
                <w:highlight w:val="none"/>
              </w:rPr>
              <w:t xml:space="preserve">，达到上限后，甲方有权单方面解除合同</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szCs w:val="21"/>
                <w:highlight w:val="none"/>
              </w:rPr>
              <w:t xml:space="preserve">每日0.05%（万分之五）</w:t>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szCs w:val="21"/>
                <w:highlight w:val="none"/>
              </w:rPr>
              <w:t xml:space="preserve">无</w:t>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ascii="宋体" w:hAnsi="宋体" w:cs="宋体"/>
                <w:iCs/>
                <w:color w:val="auto"/>
                <w:szCs w:val="21"/>
                <w:highlight w:val="none"/>
                <w:u w:val="single"/>
              </w:rPr>
              <w:t xml:space="preserve">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南通市崇川区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646"/>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
    </w:p>
    <w:p>
      <w:pPr>
        <w:pStyle w:val="646"/>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49090575"/>
      <w:r/>
      <w:bookmarkStart w:id="14" w:name="_Toc26554093"/>
      <w:r/>
      <w:r/>
    </w:p>
    <w:p>
      <w:pPr>
        <w:pStyle w:val="646"/>
        <w:ind w:firstLine="0"/>
        <w:pageBreakBefore w:val="0"/>
        <w:spacing w:line="440" w:lineRule="exact"/>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一、采购标的清单</w:t>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分包</w:t>
            </w:r>
            <w:r/>
          </w:p>
        </w:tc>
        <w:tc>
          <w:tcPr>
            <w:tcW w:w="1104"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序号</w:t>
            </w:r>
            <w:r/>
          </w:p>
        </w:tc>
        <w:tc>
          <w:tcPr>
            <w:tcW w:w="3990"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采购标的</w:t>
            </w:r>
            <w:r/>
          </w:p>
        </w:tc>
        <w:tc>
          <w:tcPr>
            <w:tcW w:w="2419"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对应中小企业划分标准所属行业</w:t>
            </w:r>
            <w:r/>
          </w:p>
        </w:tc>
      </w:tr>
      <w:tr>
        <w:trPr>
          <w:cantSplit/>
          <w:jc w:val="center"/>
        </w:trPr>
        <w:tc>
          <w:tcPr>
            <w:tcW w:w="846"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包1</w:t>
            </w:r>
            <w:r/>
          </w:p>
        </w:tc>
        <w:tc>
          <w:tcPr>
            <w:tcW w:w="1104"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1</w:t>
            </w:r>
            <w:r/>
          </w:p>
        </w:tc>
        <w:tc>
          <w:tcPr>
            <w:tcW w:w="3990"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校园广播及会议室改造设备采购与安装</w:t>
            </w:r>
            <w:r/>
          </w:p>
        </w:tc>
        <w:tc>
          <w:tcPr>
            <w:tcW w:w="2419" w:type="dxa"/>
            <w:vAlign w:val="center"/>
            <w:textDirection w:val="lrTb"/>
            <w:noWrap w:val="false"/>
          </w:tcPr>
          <w:p>
            <w:pPr>
              <w:ind w:left="142"/>
              <w:jc w:val="center"/>
              <w:spacing w:line="480" w:lineRule="exact"/>
              <w:rPr>
                <w:rFonts w:ascii="宋体" w:hAnsi="宋体"/>
                <w:sz w:val="28"/>
                <w:szCs w:val="28"/>
              </w:rPr>
            </w:pPr>
            <w:r>
              <w:rPr>
                <w:rFonts w:hint="eastAsia" w:ascii="宋体" w:hAnsi="宋体"/>
                <w:sz w:val="28"/>
                <w:szCs w:val="28"/>
              </w:rPr>
              <w:t xml:space="preserve">工业</w:t>
            </w:r>
            <w:r/>
          </w:p>
        </w:tc>
      </w:tr>
    </w:tbl>
    <w:p>
      <w:pPr>
        <w:jc w:val="left"/>
        <w:pageBreakBefore w:val="0"/>
        <w:spacing w:line="480" w:lineRule="exact"/>
        <w:widowControl/>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本项目核心产品：</w:t>
      </w:r>
      <w:r>
        <w:rPr>
          <w:rFonts w:hint="eastAsia" w:ascii="宋体" w:hAnsi="宋体" w:eastAsia="宋体" w:cs="Times New Roman"/>
          <w:b/>
          <w:bCs/>
          <w:color w:val="auto"/>
          <w:sz w:val="28"/>
          <w:szCs w:val="28"/>
          <w:highlight w:val="none"/>
        </w:rPr>
        <w:t xml:space="preserve">IP网络音箱</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具体采购清单及技术要求详见附件。</w:t>
      </w:r>
      <w:r/>
    </w:p>
    <w:p>
      <w:pPr>
        <w:pageBreakBefore w:val="0"/>
        <w:spacing w:line="440" w:lineRule="exact"/>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二、技术要求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本次采购的广播设备及会议室改造设备须符合项目实际应用场景的功能需求及相关技术规范。新购广播设备应充分考虑与学校原有广播系统的兼容和无缝对接，要确保新旧系统协同稳定运行。本项目实行“交钥匙工程”模式，承包范围涵盖从设备安装（含原有系统兼容、供电与网络线路敷设调整）、调试运行、竣工验收，人员技术培训，以及后续的售后质保与维护保养等全过程服务，确保最终完整交付使用。上述所有环节涉及的实施及服务费用均已包含在响应总价内，成交人不得以任何理由要求追加费用。</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投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2.本项目提供的技术要求（规格）只是对产品的一些原则性要求，并不是最详尽的描述和要求，供应商有责任依据相关设计技术规范和有关行业国家标准执行。</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3.供应商应保证提供的产品不得侵犯第三方专利权、商标权和设计权、版权等。否则，供应商应负全部责任，并承担由此引起的一切后果。</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p>
    <w:p>
      <w:pPr>
        <w:ind w:firstLine="562"/>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 xml:space="preserve">1.</w:t>
      </w:r>
      <w:r>
        <w:rPr>
          <w:rFonts w:hint="eastAsia" w:ascii="宋体" w:hAnsi="宋体" w:eastAsia="宋体" w:cs="Times New Roman"/>
          <w:b/>
          <w:bCs/>
          <w:color w:val="auto"/>
          <w:sz w:val="28"/>
          <w:szCs w:val="28"/>
          <w:highlight w:val="none"/>
        </w:rPr>
        <w:t xml:space="preserve">项目具体</w:t>
      </w:r>
      <w:r>
        <w:rPr>
          <w:rFonts w:hint="eastAsia" w:ascii="宋体" w:hAnsi="宋体" w:eastAsia="宋体" w:cs="Times New Roman"/>
          <w:b/>
          <w:bCs/>
          <w:color w:val="auto"/>
          <w:sz w:val="28"/>
          <w:szCs w:val="28"/>
          <w:highlight w:val="none"/>
        </w:rPr>
        <w:t xml:space="preserve">需求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（1）两幢教学楼共计 42对广播音箱，每间教室安装一对网络有源式广播音箱，采用数字网络线路接入广播中心系统。广播音箱在教室前墙黑板上方对称安装。所有新布设的线缆需穿线槽敷设，确保教室布线布管整洁美观。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（2）室外耕园配置2只90W音柱、教学楼外配置2只60W音柱；室外线路敷设涉及的管道开挖与铺设，须做好相应的路面破除及后期恢复修补工作，确保整体环境协调和谐。</w:t>
      </w:r>
      <w:r/>
    </w:p>
    <w:p>
      <w:pPr>
        <w:ind w:firstLine="560"/>
        <w:jc w:val="left"/>
        <w:pageBreakBefore w:val="0"/>
        <w:spacing w:line="480" w:lineRule="exact"/>
        <w:widowControl/>
        <w:rPr>
          <w:rFonts w:hint="eastAsia" w:ascii="宋体" w:hAnsi="宋体" w:eastAsia="宋体" w:cs="Times New Roman"/>
          <w:b/>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会议室扩声系统配置6只壁挂音箱，确保室内声场覆盖均匀、语言还原清晰；同时配备两套一拖四手持话筒和一套一拖四鹅颈话筒，要求具备高保真拾音能力与稳定的无线传输性能，有效满足多人会议发言及讨论需求。</w:t>
      </w:r>
      <w:r/>
    </w:p>
    <w:p>
      <w:pPr>
        <w:ind w:firstLine="562"/>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eastAsia="宋体" w:cs="Times New Roman"/>
          <w:b/>
          <w:bCs/>
          <w:color w:val="auto"/>
          <w:sz w:val="28"/>
          <w:szCs w:val="28"/>
          <w:highlight w:val="none"/>
        </w:rPr>
        <w:t xml:space="preserve">项目清单与功能参数要求</w:t>
      </w:r>
      <w:r/>
    </w:p>
    <w:tbl>
      <w:tblPr>
        <w:tblStyle w:val="645"/>
        <w:tblW w:w="929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092"/>
        <w:gridCol w:w="4839"/>
        <w:gridCol w:w="820"/>
        <w:gridCol w:w="820"/>
      </w:tblGrid>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W w:w="2092"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名称</w:t>
            </w:r>
            <w:r/>
          </w:p>
        </w:tc>
        <w:tc>
          <w:tcPr>
            <w:shd w:val="clear" w:color="auto" w:fill="auto"/>
            <w:tcW w:w="483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技术参数与功能要求</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数量</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单位</w:t>
            </w:r>
            <w:r/>
          </w:p>
        </w:tc>
      </w:tr>
      <w:tr>
        <w:trPr>
          <w:trHeight w:val="402"/>
        </w:trPr>
        <w:tc>
          <w:tcPr>
            <w:gridSpan w:val="5"/>
            <w:shd w:val="clear" w:color="auto" w:fill="auto"/>
            <w:tcW w:w="9295"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一、校园数字广播系统</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（一）主机房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控制主机</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1.工业级工控机箱设计，≥17英寸电容触摸屏，自带可抽拉式键盘、鼠标。</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2.配置不低于8核 2.7GHz主频的国产处理器；256G固态硬盘；8G内存。</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3.标配接口不少于：1个VGA接口、1个DVI接口、6个COM RS232接口、8个USB接口、1个PS/2接口、1个MIC IN接口、1个LINE OUT接口、1个LINE IN接口、1个TRIGGER INPUT接口。</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bookmarkStart w:id="15" w:name="OLE_LINK3"/>
            <w:r/>
            <w:bookmarkStart w:id="16" w:name="OLE_LINK6"/>
            <w:r>
              <w:rPr>
                <w:rFonts w:hint="eastAsia" w:cs="宋体" w:asciiTheme="minorEastAsia" w:hAnsiTheme="minorEastAsia" w:eastAsiaTheme="minorEastAsia"/>
                <w:color w:val="000000"/>
                <w:szCs w:val="21"/>
              </w:rPr>
              <w:t xml:space="preserve">数字化网络广播系统服务平台</w:t>
            </w:r>
            <w:bookmarkEnd w:id="15"/>
            <w:r/>
            <w:bookmarkEnd w:id="16"/>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1.支持多套定时打铃方案同时启用，每套定时打铃方案支持多套任务同时进行，支持一键启用/停用所有方案。</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2.可配置任务音量、优先级、混音配置、播放音源信息，播放音源支持选择话筒、快捷音源、音乐播放。</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▲3.具有系统状态、终端状态的系统检测功能，支持一键导出报告。</w:t>
            </w:r>
            <w:r>
              <w:rPr>
                <w:rFonts w:hint="eastAsia" w:cs="宋体" w:asciiTheme="minorEastAsia" w:hAnsiTheme="minorEastAsia" w:eastAsiaTheme="minorEastAsia"/>
                <w:b/>
                <w:color w:val="000000"/>
                <w:szCs w:val="21"/>
              </w:rPr>
              <w:t xml:space="preserve">（提供第三方检测机构出具的具有</w:t>
            </w:r>
            <w:r>
              <w:rPr>
                <w:rFonts w:hint="eastAsia" w:cs="宋体" w:asciiTheme="minorEastAsia" w:hAnsiTheme="minorEastAsia" w:eastAsiaTheme="minorEastAsia"/>
                <w:b/>
                <w:color w:val="000000"/>
                <w:szCs w:val="21"/>
                <w:lang w:val="en-US" w:eastAsia="zh-CN"/>
              </w:rPr>
              <w:t xml:space="preserve">以上功能的</w:t>
            </w:r>
            <w:r>
              <w:rPr>
                <w:rFonts w:hint="eastAsia" w:cs="宋体" w:asciiTheme="minorEastAsia" w:hAnsiTheme="minorEastAsia" w:eastAsiaTheme="minorEastAsia"/>
                <w:b/>
                <w:color w:val="000000"/>
                <w:szCs w:val="21"/>
              </w:rPr>
              <w:t xml:space="preserve">检测报告扫描件并加盖投标人公章（注：对应参数（检验检测项）在检验检测报告中进行标注。），提供功能界面截图并加盖投标人公章）</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4.具备电子地图、在线地图功能，可在地图上进行终端部署，在地图上可实时查看终端状态，实时显示设备状态。</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▲5.用户可选择特定的终端设备，并设定具体的时间点，系统将在该时间点自动对选定的终端执行音量均衡调整，可以对音量进行等比例的设置。</w:t>
            </w:r>
            <w:r>
              <w:rPr>
                <w:rFonts w:hint="eastAsia" w:cs="宋体" w:asciiTheme="minorEastAsia" w:hAnsiTheme="minorEastAsia" w:eastAsiaTheme="minorEastAsia"/>
                <w:b/>
                <w:color w:val="000000"/>
                <w:szCs w:val="21"/>
              </w:rPr>
              <w:t xml:space="preserve">（提供第三方检测机构出具的具有</w:t>
            </w:r>
            <w:r>
              <w:rPr>
                <w:rFonts w:hint="eastAsia" w:cs="宋体" w:asciiTheme="minorEastAsia" w:hAnsiTheme="minorEastAsia" w:eastAsiaTheme="minorEastAsia"/>
                <w:b/>
                <w:color w:val="000000"/>
                <w:szCs w:val="21"/>
                <w:lang w:val="en-US" w:eastAsia="zh-CN"/>
              </w:rPr>
              <w:t xml:space="preserve">以上功能的</w:t>
            </w:r>
            <w:r>
              <w:rPr>
                <w:rFonts w:hint="eastAsia" w:cs="宋体" w:asciiTheme="minorEastAsia" w:hAnsiTheme="minorEastAsia" w:eastAsiaTheme="minorEastAsia"/>
                <w:b/>
                <w:color w:val="000000"/>
                <w:szCs w:val="21"/>
              </w:rPr>
              <w:t xml:space="preserve">检测报告扫描件并加盖投标人公章（注：对应参数（检验检测项）在检验检测报告中进行标注。），提供功能界面截图并加盖投标人公章）</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6.具有定时插播模式，可设置执行时间点范围、间隔时间，批量自动生成打铃任务。具有启用考试模式功能，支持配置终端冻结时间，在终端被冻结期间禁止终端执行任务。</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音频采集器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17" w:name="OLE_LINK12"/>
            <w:r/>
            <w:bookmarkStart w:id="18" w:name="OLE_LINK13"/>
            <w:r>
              <w:rPr>
                <w:rFonts w:hint="eastAsia" w:cs="宋体" w:asciiTheme="minorEastAsia" w:hAnsiTheme="minorEastAsia" w:eastAsiaTheme="minorEastAsia"/>
                <w:color w:val="000000"/>
                <w:szCs w:val="21"/>
              </w:rPr>
              <w:t xml:space="preserve">具备</w:t>
            </w:r>
            <w:bookmarkEnd w:id="17"/>
            <w:r/>
            <w:bookmarkEnd w:id="18"/>
            <w:r>
              <w:rPr>
                <w:rFonts w:hint="eastAsia" w:cs="宋体" w:asciiTheme="minorEastAsia" w:hAnsiTheme="minorEastAsia" w:eastAsiaTheme="minorEastAsia"/>
                <w:color w:val="000000"/>
                <w:szCs w:val="21"/>
              </w:rPr>
              <w:t xml:space="preserve">≥2组RCA输入端子，带输入音量电位器调节，支持输入音频压限功能。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2.具备≥5分区独立打开、关闭采集功能，配套独立的指示灯显示。</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3.支持音频触发采集任务；支持AUX输入自动触发采集任务。</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寻呼话筒</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1.≥10英寸IPS触摸屏，分辨率不低于1024×600。</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 标配接口不少于：1路USB接口；1路3.5mm 耳机输出接口；1路3.5mm MIC输入接口；1路音频线路输出接口， 1路音频线路输入接口。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3.具有自定义按钮功能，支持自定义音乐播放、对讲、广播功能；具有紧急报警按钮功能，支持一键报警广播功能。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4.支持数字混音，不少于10段EQ均衡配置。</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1.主音箱内置≥2×30W（MAX）的双通道数字功率放大器，≥1路外接到副音箱，采用高、低音分频设计。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2.内置网络音频解码功能。支持数字混音，≥10段EQ均衡配置。</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3.支持网络音量设置。</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4.≥1路线路（AUX）输入接口，支持网络音量调节，支持断网本地扩声功能，支持背景伴奏预置功能。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5.≥1路短路输入接口，支持自定义实现报警触发、本地媒体库音乐播放、音量调节功能。</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42U，前后玻璃门</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（二）音箱和功放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同上</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bookmarkStart w:id="19" w:name="OLE_LINK7"/>
            <w:r>
              <w:rPr>
                <w:rFonts w:hint="eastAsia" w:cs="宋体" w:asciiTheme="minorEastAsia" w:hAnsiTheme="minorEastAsia" w:eastAsiaTheme="minorEastAsia"/>
                <w:color w:val="000000"/>
                <w:szCs w:val="21"/>
              </w:rPr>
              <w:t xml:space="preserve">对</w:t>
            </w:r>
            <w:bookmarkEnd w:id="19"/>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IP网络终端功放</w:t>
            </w:r>
            <w:r/>
          </w:p>
        </w:tc>
        <w:tc>
          <w:tcPr>
            <w:shd w:val="clear" w:color="auto" w:fill="auto"/>
            <w:tcW w:w="4839" w:type="dxa"/>
            <w:vAlign w:val="center"/>
            <w:textDirection w:val="lrTb"/>
            <w:noWrap w:val="false"/>
          </w:tcPr>
          <w:p>
            <w:pPr>
              <w:widowControl/>
              <w:tabs>
                <w:tab w:val="left" w:pos="312" w:leader="none"/>
              </w:tabs>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1.功放输出功率≥1000W，支持系统自定义≥3个功能按键设置，可定义播放曲目、执行区域、任务音量、优先级、持续时间、播放模式。</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2.≥1路100V定压信号备份输入接口，在机器无网络的状态下切换到备份通道。支持网络与模拟100V主备切换功能。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3.标配接口不少于：1路USB接口； 1路LINE OUT线路输出接口； 1路短路输入接口；1路短路输出接口； 1路RS-485控制接口。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4.面板自带TFT彩屏，可以显示动态图像和机器工作状态；具有可控制终端输出音量大小的旋钮。</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bookmarkStart w:id="20" w:name="OLE_LINK5"/>
            <w:r/>
            <w:bookmarkStart w:id="21" w:name="OLE_LINK4"/>
            <w:r>
              <w:rPr>
                <w:rFonts w:hint="eastAsia" w:cs="宋体" w:asciiTheme="minorEastAsia" w:hAnsiTheme="minorEastAsia" w:eastAsiaTheme="minorEastAsia"/>
                <w:color w:val="000000"/>
                <w:szCs w:val="21"/>
              </w:rPr>
              <w:t xml:space="preserve">IP解码终端</w:t>
            </w:r>
            <w:bookmarkEnd w:id="20"/>
            <w:r/>
            <w:bookmarkEnd w:id="21"/>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1.≥2台功率放大器供电接口，并提供智能电源管理控制。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2.内置网络音频解码模块，支持MP3、WAV、FLAC、OGG、AAC、OPUS等主流音频格式，兼容8kHz-48kHz全采样率。</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3.面板具有≥3个自定义功能按键。</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（三）室外</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60W室外音柱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1.额定功率(100V)：≥60W。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2.灵敏度≥91dB。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3.防护等级：≥IP66。</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4.喇叭单元：6.5"×2+3"×1。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90W室外音柱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1.额定功率(100V)：≥90W。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2.灵敏度≥93dB。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3.防护等级：≥IP66。</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4.喇叭单元：6.5"×3+3"×1。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240W功放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1.采用1U高度19英寸机箱设计。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2.具有≥1通道欧式端子平衡输入，≥1通道欧式端子输出。具有≥1通道数字功率放大器，额定功率输出≥240W，具备≥1路100V或4-16Ω输出端子接线扬声器。</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3.支持故障输出功能，可远程监控功放设备工作状态。</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4.设备内置≥1通道独立电源供电功能。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5.支持短路、过载、过热保护功能。</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350W功放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1.采用1U高度19英寸机箱设计。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2.具有≥1通道欧式端子平衡输入，≥1通道欧式端子输出。具有≥1通道数字功率放大器，额定功率输出≥350W，具备≥1路100V或4-16Ω输出端子接线扬声器。</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3.支持故障输出功能，可远程监控功放设备工作状态。</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4.设备内置≥1通道独立电源供电功能。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5.支持短路、过载、过热保护功能。</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22U</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（四）辅助材料</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莲花头对莲花头音频线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莲花头对6.35头音频线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6.35头对3.5头音频线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RVS2*1.5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RVS2*2.5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RVV3*1.0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6类4对非屏双绞线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6类4对非屏双绞线</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箱</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PVC管</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Φ25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其他辅材</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接插件、专用插座等</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r>
        <w:trPr>
          <w:trHeight w:val="402"/>
        </w:trPr>
        <w:tc>
          <w:tcPr>
            <w:gridSpan w:val="5"/>
            <w:shd w:val="clear" w:color="auto" w:fill="auto"/>
            <w:tcW w:w="9295" w:type="dxa"/>
            <w:vAlign w:val="center"/>
            <w:textDirection w:val="lrTb"/>
            <w:noWrap w:val="false"/>
          </w:tcPr>
          <w:p>
            <w:pP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二、合班教室改造</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（一）扩声系统</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1.阻抗≤8Ω。</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2.频响等同或优于60Hz~20KHz。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3.额定功率≥200W。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4.水平覆盖角≥80°，垂直覆盖角≥60°。</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5.高音≥1.4"压缩高音单元×1。</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6.低音≥8"低音×1。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1.标准≤1U机箱设计。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2.标准XLR输入接口，和LINK输出口。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3.电源采用开关电源技术，效率高，有效的抑制电源谐波。</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4.内置智能削峰限幅器，支持开机软启动，防止开机时向电网吸收大电流，干扰其它用电设备。 </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5.具有：过压保护，欠压保护，过流保护，直流保护，输出短路保护，温控风扇功能。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6.输出功率：立体声8Ω ：≥350W×2；立体声4Ω：≥600W×2；桥接16Ω：≥700W ；桥接8Ω：≥1200W。</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调音台</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1、话筒物理接口数≥4个单声道输入接口，支持标准动圈/电容麦克风接入。立体声物理接口数≥3个立体声输入接口，≥1个AUX物理输出接口。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2.话筒物理接口数≥4个单声道输入接口，支持标准动圈/电容麦克风接入。</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3.立体声物理接口数≥3个立体声输入接口，适用于CD机、MP3播放器等音频源。</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 ≥1个AUX物理输出接口</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音频处理器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1.处理器≥4核，主频≥2.0GHz。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3.具有移频+陷波组合反馈抑制，可以使用≥24个可编程陷波点，可自由分配动态/静态点，自动/手动切换。</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4.每个输入通道参与混音的增益可调，增益调节范围等同或优于-72dB到12dB。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5.设备具有统一集中控制功能，支持多台设备通过软件集中控制。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音频处理器软件可扫描音频处理器、抑制器、功放类产品在线情况，同款产品多台在线设备也可扫描，并显示设备硬件名称、硬件IP地址、在线、离线状态信息。支持AI宽度学习算法进行噪声抑制，根据不同使用场景提供≥3个AI语音降噪档位可调整，能有效降低甚至消除语言扩声系统中非人声类噪音信号，确保语音清晰度和可懂度。</w:t>
            </w:r>
            <w:r>
              <w:rPr>
                <w:rFonts w:hint="eastAsia" w:cs="宋体" w:asciiTheme="minorEastAsia" w:hAnsiTheme="minorEastAsia" w:eastAsiaTheme="minorEastAsia"/>
                <w:b/>
                <w:color w:val="000000"/>
                <w:szCs w:val="21"/>
              </w:rPr>
              <w:t xml:space="preserve">（提供第三方检测机构出具的具有</w:t>
            </w:r>
            <w:r>
              <w:rPr>
                <w:rFonts w:hint="eastAsia" w:cs="宋体" w:asciiTheme="minorEastAsia" w:hAnsiTheme="minorEastAsia" w:eastAsiaTheme="minorEastAsia"/>
                <w:b/>
                <w:color w:val="000000"/>
                <w:szCs w:val="21"/>
                <w:lang w:val="en-US" w:eastAsia="zh-CN"/>
              </w:rPr>
              <w:t xml:space="preserve">以上功能的</w:t>
            </w:r>
            <w:r>
              <w:rPr>
                <w:rFonts w:hint="eastAsia" w:cs="宋体" w:asciiTheme="minorEastAsia" w:hAnsiTheme="minorEastAsia" w:eastAsiaTheme="minorEastAsia"/>
                <w:b/>
                <w:color w:val="000000"/>
                <w:szCs w:val="21"/>
              </w:rPr>
              <w:t xml:space="preserve">检测报告扫描件并加盖投标人公章，注：对应参数（检验检测项）在检验检测报告中进行标注。）</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bookmarkStart w:id="22" w:name="OLE_LINK1"/>
            <w:r/>
            <w:bookmarkStart w:id="23" w:name="OLE_LINK2"/>
            <w:r>
              <w:rPr>
                <w:rFonts w:hint="eastAsia" w:cs="宋体" w:asciiTheme="minorEastAsia" w:hAnsiTheme="minorEastAsia" w:eastAsiaTheme="minorEastAsia"/>
                <w:color w:val="000000"/>
                <w:szCs w:val="21"/>
              </w:rPr>
              <w:t xml:space="preserve">抑制器</w:t>
            </w:r>
            <w:bookmarkEnd w:id="22"/>
            <w:r/>
            <w:bookmarkEnd w:id="23"/>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处理器主频≥1.3GHz；配置≥2个完全独立的反馈抑制通道，每通道均支持自适应反馈抑制（AFC）功能，传声增益提升≥6dB，可分别处理不同声源信号（如主讲麦克风与观众席拾音），避免多麦克风场景下的交叉啸叫干扰。</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 xml:space="preserve">2.支持</w:t>
            </w:r>
            <w:r>
              <w:rPr>
                <w:rFonts w:hint="eastAsia" w:cs="宋体" w:asciiTheme="minorEastAsia" w:hAnsiTheme="minorEastAsia" w:eastAsiaTheme="minorEastAsia"/>
                <w:color w:val="000000"/>
                <w:szCs w:val="21"/>
              </w:rPr>
              <w:t xml:space="preserve">声学校正按钮，按下可以预测声反馈回路；提供高/中/低三档输入电平调节。</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3. IPS真彩显示屏、≥1个编码旋钮；≥1个船形开关、≥2路XLR母座+2路TRS母座模拟输入、≥2路XLR公座+2路TRS母座模拟输出、≥1个RJ45接口。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4.设备具有统一集中控制功能，支持多台设备通过软件集中控制。支持多客户端数据同步，</w:t>
            </w:r>
            <w:bookmarkStart w:id="24" w:name="OLE_LINK15"/>
            <w:r/>
            <w:bookmarkStart w:id="25" w:name="OLE_LINK14"/>
            <w:r>
              <w:rPr>
                <w:rFonts w:hint="eastAsia" w:cs="宋体" w:asciiTheme="minorEastAsia" w:hAnsiTheme="minorEastAsia" w:eastAsiaTheme="minorEastAsia"/>
                <w:color w:val="000000"/>
                <w:szCs w:val="21"/>
              </w:rPr>
              <w:t xml:space="preserve">≥</w:t>
            </w:r>
            <w:bookmarkEnd w:id="24"/>
            <w:r/>
            <w:bookmarkEnd w:id="25"/>
            <w:r>
              <w:rPr>
                <w:rFonts w:hint="eastAsia" w:cs="宋体" w:asciiTheme="minorEastAsia" w:hAnsiTheme="minorEastAsia" w:eastAsiaTheme="minorEastAsia"/>
                <w:color w:val="000000"/>
                <w:szCs w:val="21"/>
              </w:rPr>
              <w:t xml:space="preserve">2个客户端以上连接混音器设备时，可实现多端数据同步。</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电源时序器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1.额定输出电压：AC ~220V 50Hz。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2.额定输出电流：30A。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3.可控制电源：8路。</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4.每路动作延时时间：1秒。</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5.供电电源：VAC 220V　50/60Hz 30A。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6.单路额定输出电源：10A。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7.远程控制（上电+24V直流信号）8通道电源时序打开/关闭—当电源开关锁处于off位置时有效。</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8.当远程控制有效时同时控制后板ALARM（报警）端口导通—起到级联控制ALARM（报警）功能。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9.单个通道最大负载功率≥2200W，所有通道负载总功率≥6000W。</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无线话筒1</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1.数字U段的传输技术， 1台接收主机、4只手持发射机，传输距离≥80米，接收机至少具有4路平衡输出、1路非平衡混音输出；具有混响、均衡、智能静音、音频加密、功率调节功能。</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2.接收机前面板</w:t>
            </w:r>
            <w:bookmarkStart w:id="26" w:name="OLE_LINK16"/>
            <w:r/>
            <w:bookmarkStart w:id="27" w:name="OLE_LINK17"/>
            <w:r>
              <w:rPr>
                <w:rFonts w:hint="eastAsia" w:cs="宋体" w:asciiTheme="minorEastAsia" w:hAnsiTheme="minorEastAsia" w:eastAsiaTheme="minorEastAsia"/>
                <w:color w:val="000000" w:themeColor="text1"/>
                <w:szCs w:val="21"/>
                <w14:textFill>
                  <w14:solidFill>
                    <w14:schemeClr w14:val="tx1"/>
                  </w14:solidFill>
                </w14:textFill>
              </w:rPr>
              <w:t xml:space="preserve">至少</w:t>
            </w:r>
            <w:bookmarkEnd w:id="26"/>
            <w:r/>
            <w:bookmarkEnd w:id="27"/>
            <w:r>
              <w:rPr>
                <w:rFonts w:hint="eastAsia" w:cs="宋体" w:asciiTheme="minorEastAsia" w:hAnsiTheme="minorEastAsia" w:eastAsiaTheme="minorEastAsia"/>
                <w:color w:val="000000" w:themeColor="text1"/>
                <w:szCs w:val="21"/>
                <w14:textFill>
                  <w14:solidFill>
                    <w14:schemeClr w14:val="tx1"/>
                  </w14:solidFill>
                </w14:textFill>
              </w:rPr>
              <w:t xml:space="preserve">具有4个TFT-LCD显示屏、4个编码旋钮、4个频率扫描实体按键、4个红外对频实体按键、1个电源开关按键、1个二合一指示灯；后面板</w:t>
            </w:r>
            <w:bookmarkStart w:id="28" w:name="OLE_LINK19"/>
            <w:r/>
            <w:bookmarkStart w:id="29" w:name="OLE_LINK18"/>
            <w:r>
              <w:rPr>
                <w:rFonts w:hint="eastAsia" w:cs="宋体" w:asciiTheme="minorEastAsia" w:hAnsiTheme="minorEastAsia" w:eastAsiaTheme="minorEastAsia"/>
                <w:color w:val="000000" w:themeColor="text1"/>
                <w:szCs w:val="21"/>
                <w14:textFill>
                  <w14:solidFill>
                    <w14:schemeClr w14:val="tx1"/>
                  </w14:solidFill>
                </w14:textFill>
              </w:rPr>
              <w:t xml:space="preserve">至少</w:t>
            </w:r>
            <w:bookmarkEnd w:id="28"/>
            <w:r/>
            <w:bookmarkEnd w:id="29"/>
            <w:r>
              <w:rPr>
                <w:rFonts w:hint="eastAsia" w:cs="宋体" w:asciiTheme="minorEastAsia" w:hAnsiTheme="minorEastAsia" w:eastAsiaTheme="minorEastAsia"/>
                <w:color w:val="000000" w:themeColor="text1"/>
                <w:szCs w:val="21"/>
                <w14:textFill>
                  <w14:solidFill>
                    <w14:schemeClr w14:val="tx1"/>
                  </w14:solidFill>
                </w14:textFill>
              </w:rPr>
              <w:t xml:space="preserve">具有1个LINE-OUT接口、4个XLR-OUT接口、4个BNC接口、1个DC接口。发射机至少具有1个OLED显示屏、1个开关机/静音按键、2个工作状态指示灯。</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3.具有自动静音功能，麦克风跌落、抛掷时，毫秒级自动静音，避免冲击声；实时监测设备姿态，静置数秒自动静音，静置数分钟自动关机，无需手动干预。具有长时间续航，发射机连续使用时长≥10小时。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 xml:space="preserve">4.具有ID码防串扰功能，采用32位唯一ID码，用于接收和发射配对，收发ID码必须相同才能对码，能够有效防止相同频率的信号相互串台。</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无线话筒2</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1.数字U段的传输技术，传输距离≥80米，接收机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具有4路平衡输出、1路非平衡混音输出；具有混响、均衡、智能静音、音频加密、功率调节功能。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 </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具有1台接收主机、4台桌面式鹅颈咪杆发射机；接收机前面板</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具有4个LCD 显示屏、4个编码旋钮、4个频率扫描实体按键、4个红外对频实体按键、1个电源开关按键、1个二合一指示灯；后面板</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具有1个LINE-OUT接口、4个XLR-OUT接口、4个BNC接口、1个DC接口。桌面式发射机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具有1个TYPE-C 充电口、1个3.5mm耳麦输入接口、1个LCD显示屏、1个电源开关按键，1个触摸开关麦按键。</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3.具有ID码防串扰功能，采用32位唯一ID码，用于接收和发射配对，收发ID码必须相同才能对码，能够有效防止相同频率的信号相互串台。</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4.接收机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具有4个TFT-LCD显示屏；发射机具有LCD显示屏，能够显示频率信息、音频加密状态、功率挡位、静音状态、电量格数信息。</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壁挂支架</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专业音箱配套支架</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无线话筒3</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1.数字U段的传输技术，1台接收主机、2只手持发射机，传输距离≥80米，接收机至少具有2路平衡输出、1路非平衡混音输出；具有混响、均衡、智能静音、音频加密、功率调节功能。</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接收机前面板至少具有2个TFT-LCD显示屏、2个编码旋钮、2个频率扫描实体按键、2个红外对频实体按键、1个电源开关按键、1个二合一指示灯；后面板至少具有1个LINE-OUT接口、2个XLR-OUT接口、2个BNC接口、1个DC接口。发射机至少具有1个OLED显示屏、1个开关机/静音按键、2个工作状态指示灯。</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3.具有自动静音功能，麦克风跌落、抛掷时，毫秒级自动静音，避免冲击声；实时监测设备姿态，静置数秒自动静音，静置数分钟自动关机，无需手动干预。具有长时间续航，发射机连续使用时长≥10小时。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 xml:space="preserve">4.具有ID码防串扰功能，采用32位唯一ID码，用于接收和发射配对，收发ID码必须相同才能对码，能够有效防止相同频率的信号相互串台。</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前置放大器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1.具有≥5路话筒（MIC）输入接口，≥3路标准信号线路（AUX）输入接口，≥2路紧急线路（EMC）输入接口。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2.MIC5具有最高优先、强行切入优先功能；MIC5和EMC最高优先权限功能可通过拨动开关交替选择。</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3.紧急输入线路具有二级优先，强行切入优先功能。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4.MIC1、2、3、4、5和≥2路紧急输入（EMC）通道均附设有线路辅助输入接口功能。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5.具有默音深度调节旋钮和EMC输入增益调节旋钮。</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6.MIC2、3、4、5通道灵敏度可通过拨码开关选择。</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对数指向性天线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1.天线接收频段广，可接收等同或优于470-950MHZ的频率。</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2.天线极化方式：线极化。</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3.天线驻波比：≤2.0。</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4.放大器增益：四档可调（-6dB/0dB/6dB/12dB)。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5.指向性：≥90度指向。</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天线放大器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1.频率范围≥470-950MHZ。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2.端子：BNC。</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3.噪声：≤2dB。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4.增益：≥20dB。</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天线分配器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1.具备≥2个天线输入接口，支持接收天线信号，实现分配多路射频信号的效果。</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2.具备放大射频信号，补偿因信号功率被分配至多个输出而造成的插入损耗。</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3.具备≥2个天线级联接口，支持无限制级联分配器，可实现扩展无线话筒的目的。</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4.具备≥4个直流电源输出接口，支持给≥4台接收机供电，减少适配器数量和免去繁琐布线。</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（二）控制及网络设备</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控制终端</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主频≥2.1GHz/≥8G内存/≥256G固态硬盘/≥23.8寸显示器/键鼠</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控制软件</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1.支持分控端查看终端上下线记录，可设置终端掉线弹窗提示。</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2.支持设置打铃任务。支持云播音室建立音乐任务，可实现将广播服务器音乐播放到指定终端或分组。</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今日任务支持列表模式或时间轴模式显示，在时间轴模式状态下用户可以查看任务在各个时间点的分布情况，可切换查看过去≥30个自然日的任务历史。支持对今日任务状态当天临时禁用≥1次，第二天自动恢复。</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4.支持本地日志记录，终端离线时支持弹窗和播放声音提醒；支持关闭弹窗提醒。</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24口千兆接入交换机</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弱三层接入交换机，≥24个10/100/1000M自适应电口，≥4个1G SFP光口，固化交流电源和风扇</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光模块</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1000BASE-LX mini GBIC转换模块（1310nm），≥10km，单模</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（三）辅助材料</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配套接插件</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HDMI、音频连接跳线、卡侬头、话筒插头、耳机插头</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强弱电管线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配套音箱线、系统电源线、灯光电源线、信号线，配套管材、配电箱等</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bl>
    <w:p>
      <w:pPr>
        <w:rPr>
          <w:rFonts w:hint="eastAsia" w:ascii="仿宋" w:hAnsi="仿宋" w:eastAsia="仿宋"/>
          <w:b/>
          <w:bCs/>
          <w:sz w:val="28"/>
          <w:szCs w:val="28"/>
        </w:rPr>
      </w:pPr>
      <w:r>
        <w:rPr>
          <w:rFonts w:ascii="仿宋" w:hAnsi="仿宋" w:eastAsia="仿宋"/>
          <w:b/>
          <w:bCs/>
          <w:sz w:val="28"/>
          <w:szCs w:val="28"/>
        </w:rPr>
        <w:t xml:space="preserve">注：</w:t>
      </w:r>
      <w:r>
        <w:rPr>
          <w:rFonts w:hint="eastAsia" w:ascii="仿宋" w:hAnsi="仿宋" w:eastAsia="仿宋"/>
          <w:b/>
          <w:bCs/>
          <w:sz w:val="28"/>
          <w:szCs w:val="28"/>
        </w:rPr>
        <w:t xml:space="preserve">标▲项需提供相关证明材料，否则按无效响应处理。</w:t>
      </w:r>
      <w:r/>
    </w:p>
    <w:p>
      <w:pPr>
        <w:keepLines w:val="0"/>
        <w:keepNext w:val="0"/>
        <w:pageBreakBefore w:val="0"/>
        <w:spacing w:after="62" w:line="440" w:lineRule="exact"/>
        <w:widowControl w:val="off"/>
        <w:rPr>
          <w:rFonts w:hint="eastAsia"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t xml:space="preserve">（四）采购标的需满足的服务标准、期限、效率等要求</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1.成交供应商</w:t>
      </w:r>
      <w:r>
        <w:rPr>
          <w:rFonts w:hint="default" w:ascii="仿宋" w:hAnsi="仿宋" w:eastAsia="仿宋" w:cs="仿宋"/>
          <w:bCs/>
          <w:color w:val="auto"/>
          <w:sz w:val="28"/>
          <w:szCs w:val="28"/>
          <w:highlight w:val="none"/>
          <w:lang w:val="en-US" w:eastAsia="zh-CN"/>
        </w:rPr>
        <w:t xml:space="preserve">必须负责所采购产品的运输，并派有经验的技术人员到现场进行卸货、安装，经调试、检测合格后交付使用，其费用由</w:t>
      </w:r>
      <w:r>
        <w:rPr>
          <w:rFonts w:hint="eastAsia" w:ascii="仿宋" w:hAnsi="仿宋" w:eastAsia="仿宋" w:cs="仿宋"/>
          <w:bCs/>
          <w:color w:val="auto"/>
          <w:sz w:val="28"/>
          <w:szCs w:val="28"/>
          <w:highlight w:val="none"/>
          <w:lang w:val="en-US" w:eastAsia="zh-CN"/>
        </w:rPr>
        <w:t xml:space="preserve">成交供应商</w:t>
      </w:r>
      <w:r>
        <w:rPr>
          <w:rFonts w:hint="default" w:ascii="仿宋" w:hAnsi="仿宋" w:eastAsia="仿宋" w:cs="仿宋"/>
          <w:bCs/>
          <w:color w:val="auto"/>
          <w:sz w:val="28"/>
          <w:szCs w:val="28"/>
          <w:highlight w:val="none"/>
          <w:lang w:val="en-US" w:eastAsia="zh-CN"/>
        </w:rPr>
        <w:t xml:space="preserve">承担，包含在报价中。</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2.成交供应商</w:t>
      </w:r>
      <w:r>
        <w:rPr>
          <w:rFonts w:hint="default" w:ascii="仿宋" w:hAnsi="仿宋" w:eastAsia="仿宋" w:cs="仿宋"/>
          <w:bCs/>
          <w:color w:val="auto"/>
          <w:sz w:val="28"/>
          <w:szCs w:val="28"/>
          <w:highlight w:val="none"/>
          <w:lang w:val="en-US" w:eastAsia="zh-CN"/>
        </w:rPr>
        <w:t xml:space="preserve">应保证货物是全新、未使用过的原厂合格产品，并完全符合</w:t>
      </w:r>
      <w:r>
        <w:rPr>
          <w:rFonts w:hint="eastAsia" w:ascii="仿宋" w:hAnsi="仿宋" w:eastAsia="仿宋" w:cs="仿宋"/>
          <w:bCs/>
          <w:color w:val="auto"/>
          <w:sz w:val="28"/>
          <w:szCs w:val="28"/>
          <w:highlight w:val="none"/>
          <w:lang w:val="en-US" w:eastAsia="zh-CN"/>
        </w:rPr>
        <w:t xml:space="preserve">采购</w:t>
      </w:r>
      <w:r>
        <w:rPr>
          <w:rFonts w:hint="default" w:ascii="仿宋" w:hAnsi="仿宋" w:eastAsia="仿宋" w:cs="仿宋"/>
          <w:bCs/>
          <w:color w:val="auto"/>
          <w:sz w:val="28"/>
          <w:szCs w:val="28"/>
          <w:highlight w:val="none"/>
          <w:lang w:val="en-US" w:eastAsia="zh-CN"/>
        </w:rPr>
        <w:t xml:space="preserve">文件的质量、规格和参数的要求</w:t>
      </w:r>
      <w:r>
        <w:rPr>
          <w:rFonts w:hint="eastAsia" w:ascii="仿宋" w:hAnsi="仿宋" w:eastAsia="仿宋" w:cs="仿宋"/>
          <w:bCs/>
          <w:color w:val="auto"/>
          <w:sz w:val="28"/>
          <w:szCs w:val="28"/>
          <w:highlight w:val="none"/>
          <w:lang w:val="en-US" w:eastAsia="zh-CN"/>
        </w:rPr>
        <w:t xml:space="preserve">。成交供应商</w:t>
      </w:r>
      <w:r>
        <w:rPr>
          <w:rFonts w:hint="default" w:ascii="仿宋" w:hAnsi="仿宋" w:eastAsia="仿宋" w:cs="仿宋"/>
          <w:bCs/>
          <w:color w:val="auto"/>
          <w:sz w:val="28"/>
          <w:szCs w:val="28"/>
          <w:highlight w:val="none"/>
          <w:lang w:val="en-US" w:eastAsia="zh-CN"/>
        </w:rPr>
        <w:t xml:space="preserve">应保证货物在正确安装、正常使用下，在其使用寿命期内应具有满意的性能。</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w:t>
      </w:r>
      <w:r>
        <w:rPr>
          <w:rFonts w:hint="default" w:ascii="仿宋" w:hAnsi="仿宋" w:eastAsia="仿宋" w:cs="仿宋"/>
          <w:bCs/>
          <w:color w:val="auto"/>
          <w:sz w:val="28"/>
          <w:szCs w:val="28"/>
          <w:highlight w:val="none"/>
          <w:lang w:val="en-US" w:eastAsia="zh-CN"/>
        </w:rPr>
        <w:t xml:space="preserve">所供产品交付使用时，</w:t>
      </w:r>
      <w:r>
        <w:rPr>
          <w:rFonts w:hint="eastAsia" w:ascii="仿宋" w:hAnsi="仿宋" w:eastAsia="仿宋" w:cs="仿宋"/>
          <w:bCs/>
          <w:color w:val="auto"/>
          <w:sz w:val="28"/>
          <w:szCs w:val="28"/>
          <w:highlight w:val="none"/>
          <w:lang w:val="en-US" w:eastAsia="zh-CN"/>
        </w:rPr>
        <w:t xml:space="preserve">成交</w:t>
      </w:r>
      <w:r>
        <w:rPr>
          <w:rFonts w:hint="default" w:ascii="仿宋" w:hAnsi="仿宋" w:eastAsia="仿宋" w:cs="仿宋"/>
          <w:bCs/>
          <w:color w:val="auto"/>
          <w:sz w:val="28"/>
          <w:szCs w:val="28"/>
          <w:highlight w:val="none"/>
          <w:lang w:val="en-US" w:eastAsia="zh-CN"/>
        </w:rPr>
        <w:t xml:space="preserve">供应商必须向</w:t>
      </w:r>
      <w:r>
        <w:rPr>
          <w:rFonts w:hint="eastAsia" w:ascii="仿宋" w:hAnsi="仿宋" w:eastAsia="仿宋" w:cs="仿宋"/>
          <w:bCs/>
          <w:color w:val="auto"/>
          <w:sz w:val="28"/>
          <w:szCs w:val="28"/>
          <w:highlight w:val="none"/>
          <w:lang w:val="en-US" w:eastAsia="zh-CN"/>
        </w:rPr>
        <w:t xml:space="preserve">学校</w:t>
      </w:r>
      <w:r>
        <w:rPr>
          <w:rFonts w:hint="default" w:ascii="仿宋" w:hAnsi="仿宋" w:eastAsia="仿宋" w:cs="仿宋"/>
          <w:bCs/>
          <w:color w:val="auto"/>
          <w:sz w:val="28"/>
          <w:szCs w:val="28"/>
          <w:highlight w:val="none"/>
          <w:lang w:val="en-US" w:eastAsia="zh-CN"/>
        </w:rPr>
        <w:t xml:space="preserve">提供产品说明书、质量保证书、保修卡、合格证等必须具备的相关资料和必备的附件。</w:t>
      </w:r>
      <w:r/>
    </w:p>
    <w:p>
      <w:pPr>
        <w:ind w:firstLine="560"/>
        <w:jc w:val="left"/>
        <w:pageBreakBefore w:val="0"/>
        <w:spacing w:line="48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w:t>
      </w:r>
      <w:r>
        <w:rPr>
          <w:rFonts w:hint="default" w:ascii="仿宋" w:hAnsi="仿宋" w:eastAsia="仿宋" w:cs="仿宋"/>
          <w:bCs/>
          <w:color w:val="auto"/>
          <w:sz w:val="28"/>
          <w:szCs w:val="28"/>
          <w:highlight w:val="none"/>
          <w:lang w:val="en-US" w:eastAsia="zh-CN"/>
        </w:rPr>
        <w:t xml:space="preserve">在接到供应商以书面形式提出验收申请后，</w:t>
      </w:r>
      <w:r>
        <w:rPr>
          <w:rFonts w:hint="eastAsia" w:ascii="仿宋" w:hAnsi="仿宋" w:eastAsia="仿宋" w:cs="仿宋"/>
          <w:bCs/>
          <w:color w:val="auto"/>
          <w:sz w:val="28"/>
          <w:szCs w:val="28"/>
          <w:highlight w:val="none"/>
          <w:lang w:val="en-US" w:eastAsia="zh-CN"/>
        </w:rPr>
        <w:t xml:space="preserve">相关学校</w:t>
      </w:r>
      <w:r>
        <w:rPr>
          <w:rFonts w:hint="default" w:ascii="仿宋" w:hAnsi="仿宋" w:eastAsia="仿宋" w:cs="仿宋"/>
          <w:bCs/>
          <w:color w:val="auto"/>
          <w:sz w:val="28"/>
          <w:szCs w:val="28"/>
          <w:highlight w:val="none"/>
          <w:lang w:val="en-US" w:eastAsia="zh-CN"/>
        </w:rPr>
        <w:t xml:space="preserve">在5个工作日内及时组织相关专业技术人员，按国家制造和安装的标准要求执行，必要时</w:t>
      </w:r>
      <w:r>
        <w:rPr>
          <w:rFonts w:hint="eastAsia" w:ascii="仿宋" w:hAnsi="仿宋" w:eastAsia="仿宋" w:cs="仿宋"/>
          <w:bCs/>
          <w:color w:val="auto"/>
          <w:sz w:val="28"/>
          <w:szCs w:val="28"/>
          <w:highlight w:val="none"/>
          <w:lang w:val="en-US" w:eastAsia="zh-CN"/>
        </w:rPr>
        <w:t xml:space="preserve">邀请</w:t>
      </w:r>
      <w:r>
        <w:rPr>
          <w:rFonts w:hint="default" w:ascii="仿宋" w:hAnsi="仿宋" w:eastAsia="仿宋" w:cs="仿宋"/>
          <w:bCs/>
          <w:color w:val="auto"/>
          <w:sz w:val="28"/>
          <w:szCs w:val="28"/>
          <w:highlight w:val="none"/>
          <w:lang w:val="en-US" w:eastAsia="zh-CN"/>
        </w:rPr>
        <w:t xml:space="preserve">第三方质检等部门共同参与验收，并出具验收报告，作为支付货款的依据。 </w:t>
      </w:r>
      <w:r/>
    </w:p>
    <w:p>
      <w:pPr>
        <w:ind w:firstLine="560"/>
        <w:jc w:val="left"/>
        <w:pageBreakBefore w:val="0"/>
        <w:spacing w:line="480" w:lineRule="exact"/>
        <w:widowControl/>
        <w:rPr>
          <w:rFonts w:hint="default" w:ascii="仿宋" w:hAnsi="仿宋" w:eastAsia="仿宋" w:cs="仿宋"/>
          <w:b/>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
          <w:bCs w:val="0"/>
          <w:color w:val="auto"/>
          <w:sz w:val="28"/>
          <w:szCs w:val="28"/>
          <w:highlight w:val="none"/>
          <w:lang w:val="en-US" w:eastAsia="zh-CN"/>
        </w:rPr>
        <w:t xml:space="preserve">为保障项目后续部署达到预期效果，采购人在验收时会对数字化网络广播系统服务平台、IP网络音箱、音频处理器、无线话筒的技术参数及功能进行逐条核查，技术指标功能参数必须满足相应的参数要求。</w:t>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宋体" w:hAnsi="宋体"/>
          <w:b/>
          <w:color w:val="auto"/>
          <w:sz w:val="28"/>
          <w:szCs w:val="28"/>
          <w:highlight w:val="none"/>
        </w:rPr>
      </w:pPr>
      <w:r>
        <w:rPr>
          <w:rFonts w:hint="eastAsia" w:ascii="宋体" w:hAnsi="宋体"/>
          <w:b/>
          <w:color w:val="auto"/>
          <w:sz w:val="28"/>
          <w:szCs w:val="28"/>
          <w:highlight w:val="none"/>
        </w:rPr>
        <w:t xml:space="preserve">三、商务要求</w:t>
      </w:r>
      <w:r/>
    </w:p>
    <w:p>
      <w:pPr>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p>
    <w:p>
      <w:pPr>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eastAsia="仿宋_GB2312"/>
          <w:color w:val="auto"/>
          <w:sz w:val="28"/>
          <w:szCs w:val="28"/>
          <w:highlight w:val="none"/>
        </w:rPr>
        <w:t xml:space="preserve">（1）实施时间：</w:t>
      </w:r>
      <w:r>
        <w:rPr>
          <w:rFonts w:hint="eastAsia" w:ascii="仿宋_GB2312" w:hAnsi="Times New Roman" w:eastAsia="仿宋_GB2312" w:cs="Times New Roman"/>
          <w:color w:val="auto"/>
          <w:sz w:val="28"/>
          <w:szCs w:val="28"/>
          <w:highlight w:val="none"/>
        </w:rPr>
        <w:t xml:space="preserve">签订合同后20天内完成供货安装调试，并通过采购人验收。</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eastAsia="仿宋_GB2312"/>
          <w:color w:val="auto"/>
          <w:sz w:val="28"/>
          <w:szCs w:val="28"/>
          <w:highlight w:val="none"/>
        </w:rPr>
        <w:t xml:space="preserve">（2）交付地点：</w:t>
      </w:r>
      <w:r>
        <w:rPr>
          <w:rFonts w:hint="eastAsia" w:ascii="仿宋_GB2312" w:hAnsi="Times New Roman" w:eastAsia="仿宋_GB2312" w:cs="Times New Roman"/>
          <w:color w:val="auto"/>
          <w:sz w:val="28"/>
          <w:szCs w:val="28"/>
          <w:highlight w:val="none"/>
        </w:rPr>
        <w:t xml:space="preserve">南通市苏锡通园区实验中学，具体按采购人指定地点送货、安装。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b/>
          <w:bCs/>
          <w:color w:val="auto"/>
          <w:sz w:val="28"/>
          <w:szCs w:val="28"/>
          <w:highlight w:val="none"/>
        </w:rPr>
        <w:t xml:space="preserve">本项目质保期</w:t>
      </w:r>
      <w:r>
        <w:rPr>
          <w:rFonts w:hint="eastAsia" w:ascii="仿宋_GB2312" w:hAnsi="Times New Roman" w:eastAsia="仿宋_GB2312" w:cs="Times New Roman"/>
          <w:b/>
          <w:bCs/>
          <w:color w:val="auto"/>
          <w:sz w:val="28"/>
          <w:szCs w:val="28"/>
          <w:highlight w:val="none"/>
          <w:lang w:val="en-US" w:eastAsia="zh-CN"/>
        </w:rPr>
        <w:t xml:space="preserve">叁</w:t>
      </w:r>
      <w:r>
        <w:rPr>
          <w:rFonts w:hint="eastAsia" w:ascii="仿宋_GB2312" w:hAnsi="Times New Roman" w:eastAsia="仿宋_GB2312" w:cs="Times New Roman"/>
          <w:b/>
          <w:bCs/>
          <w:color w:val="auto"/>
          <w:sz w:val="28"/>
          <w:szCs w:val="28"/>
          <w:highlight w:val="none"/>
        </w:rPr>
        <w:t xml:space="preserve">年。</w:t>
      </w:r>
      <w:r>
        <w:rPr>
          <w:rFonts w:hint="eastAsia" w:ascii="仿宋_GB2312" w:hAnsi="Times New Roman" w:eastAsia="仿宋_GB2312" w:cs="Times New Roman"/>
          <w:color w:val="auto"/>
          <w:sz w:val="28"/>
          <w:szCs w:val="28"/>
          <w:highlight w:val="none"/>
        </w:rPr>
        <w:t xml:space="preserve">时间自该批次最终验收合格并交付学校使用之日起算</w:t>
      </w:r>
      <w:r>
        <w:rPr>
          <w:rFonts w:hint="eastAsia" w:ascii="仿宋_GB2312" w:hAnsi="Times New Roman" w:eastAsia="仿宋_GB2312" w:cs="Times New Roman"/>
          <w:color w:val="auto"/>
          <w:sz w:val="28"/>
          <w:szCs w:val="28"/>
          <w:highlight w:val="none"/>
          <w:lang w:eastAsia="zh-CN"/>
        </w:rPr>
        <w:t xml:space="preserve">。（因检测不合格导致退货或整改的，该批次质保期自整改后重新验收合格并交付使用之日起计算）</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（1）在保修期内，如有损坏或质量不合格者，</w:t>
      </w:r>
      <w:r>
        <w:rPr>
          <w:rFonts w:hint="eastAsia" w:ascii="仿宋_GB2312" w:hAnsi="Times New Roman"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应及时给予修复和更换，其修理和更换应免费。</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（2）在保修期外，</w:t>
      </w:r>
      <w:r>
        <w:rPr>
          <w:rFonts w:hint="eastAsia" w:ascii="仿宋_GB2312" w:hAnsi="Times New Roman"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.验收标准</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（1）</w:t>
      </w:r>
      <w:r>
        <w:rPr>
          <w:rFonts w:hint="eastAsia" w:ascii="仿宋_GB2312" w:hAnsi="Times New Roman" w:eastAsia="仿宋_GB2312" w:cs="Times New Roman"/>
          <w:color w:val="auto"/>
          <w:sz w:val="28"/>
          <w:szCs w:val="28"/>
          <w:highlight w:val="none"/>
          <w:lang w:val="en-US" w:eastAsia="zh-CN"/>
        </w:rPr>
        <w:t xml:space="preserve">采购</w:t>
      </w:r>
      <w:r>
        <w:rPr>
          <w:rFonts w:hint="eastAsia" w:ascii="仿宋_GB2312" w:hAnsi="Times New Roman" w:eastAsia="仿宋_GB2312" w:cs="Times New Roman"/>
          <w:color w:val="auto"/>
          <w:sz w:val="28"/>
          <w:szCs w:val="28"/>
          <w:highlight w:val="none"/>
          <w:lang w:eastAsia="zh-CN"/>
        </w:rPr>
        <w:t xml:space="preserve">文件技术规格书中明确的标准和技术要求；</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（2）与合同货物有关的最新版本的中华人民共和国国家/国际标准和部颁标准；</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（3）货物合格证书技术资料中的精度、质量要求；</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color w:val="auto"/>
          <w:sz w:val="28"/>
          <w:szCs w:val="28"/>
          <w:highlight w:val="none"/>
          <w:lang w:eastAsia="zh-CN"/>
        </w:rPr>
        <w:t xml:space="preserve">（4）供应商在澄清响应文件时作出的承诺，经采购单位确认后，将作为对货物的验收依据之一；</w:t>
      </w: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（5）双方签订的合同技术附件所规定的条款。</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4.</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付款方式</w:t>
      </w:r>
      <w:r/>
    </w:p>
    <w:p>
      <w:pPr>
        <w:pStyle w:val="872"/>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（1）合同签订生效后一个月内，买方支付中标供应商合同总价的 30%预付款（乙方需先行提供同等金额的预付款保函，预付款保函须由中标供应商基本账户开户银行出具）</w:t>
      </w:r>
      <w:r/>
    </w:p>
    <w:p>
      <w:pPr>
        <w:pStyle w:val="872"/>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（2）货物到场、安装调试完毕，并经采购人验收合格确认签字入库后收到中标人正规发票付至货款的100%（最终按实际供货调整结算总价），同时退还已经收取的预付款保函。</w:t>
      </w:r>
      <w:r/>
    </w:p>
    <w:p>
      <w:pPr>
        <w:pStyle w:val="872"/>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（3）因中标人发票错误、迟延等问题而导致采购人无法付款的，采购人不承担责任。</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5.</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履约保证金</w:t>
      </w: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（1）</w:t>
      </w:r>
      <w:r>
        <w:rPr>
          <w:rFonts w:hint="eastAsia" w:ascii="仿宋_GB2312" w:hAnsi="Times New Roman" w:eastAsia="仿宋_GB2312" w:cs="Times New Roman"/>
          <w:color w:val="auto"/>
          <w:sz w:val="28"/>
          <w:szCs w:val="28"/>
          <w:highlight w:val="none"/>
        </w:rPr>
        <w:t xml:space="preserve">本项目成交后的</w:t>
      </w:r>
      <w:r>
        <w:rPr>
          <w:rFonts w:hint="eastAsia" w:ascii="仿宋_GB2312" w:hAnsi="Times New Roman" w:eastAsia="仿宋_GB2312" w:cs="Times New Roman"/>
          <w:b/>
          <w:bCs/>
          <w:color w:val="auto"/>
          <w:sz w:val="28"/>
          <w:szCs w:val="28"/>
          <w:highlight w:val="none"/>
        </w:rPr>
        <w:t xml:space="preserve">履约保证金为项目成交价的</w:t>
      </w:r>
      <w:r>
        <w:rPr>
          <w:rFonts w:hint="eastAsia" w:ascii="仿宋_GB2312" w:eastAsia="仿宋_GB2312" w:cs="Times New Roman"/>
          <w:b/>
          <w:bCs/>
          <w:color w:val="auto"/>
          <w:sz w:val="28"/>
          <w:szCs w:val="28"/>
          <w:highlight w:val="none"/>
          <w:lang w:val="en-US" w:eastAsia="zh-CN"/>
        </w:rPr>
        <w:t xml:space="preserve">10</w:t>
      </w:r>
      <w:r>
        <w:rPr>
          <w:rFonts w:hint="eastAsia" w:ascii="仿宋_GB2312" w:hAnsi="Times New Roman" w:eastAsia="仿宋_GB2312" w:cs="Times New Roman"/>
          <w:b/>
          <w:bCs/>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auto"/>
          <w:sz w:val="28"/>
          <w:szCs w:val="28"/>
          <w:highlight w:val="none"/>
          <w:lang w:eastAsia="zh-CN"/>
        </w:rPr>
        <w:t xml:space="preserve">未</w:t>
      </w:r>
      <w:r>
        <w:rPr>
          <w:rFonts w:hint="eastAsia" w:ascii="仿宋_GB2312" w:hAnsi="Times New Roman" w:eastAsia="仿宋_GB2312" w:cs="Times New Roman"/>
          <w:color w:val="auto"/>
          <w:sz w:val="28"/>
          <w:szCs w:val="28"/>
          <w:highlight w:val="none"/>
        </w:rPr>
        <w:t xml:space="preserve">协商，则视为自动放弃成交资格。</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成交供应商全部</w:t>
      </w:r>
      <w:r>
        <w:rPr>
          <w:rFonts w:hint="eastAsia" w:ascii="仿宋_GB2312" w:eastAsia="仿宋_GB2312" w:cs="Times New Roman"/>
          <w:color w:val="auto"/>
          <w:sz w:val="28"/>
          <w:szCs w:val="28"/>
          <w:highlight w:val="none"/>
          <w:lang w:eastAsia="zh-CN"/>
        </w:rPr>
        <w:t xml:space="preserve">履行合同</w:t>
      </w:r>
      <w:r>
        <w:rPr>
          <w:rFonts w:hint="eastAsia" w:ascii="仿宋_GB2312" w:hAnsi="Times New Roman" w:eastAsia="仿宋_GB2312" w:cs="Times New Roman"/>
          <w:color w:val="auto"/>
          <w:sz w:val="28"/>
          <w:szCs w:val="28"/>
          <w:highlight w:val="none"/>
        </w:rPr>
        <w:t xml:space="preserve">义务，经采购单位验收合格无质量、进度等问题的，采购人在验收合格后一次性退还履约保证金；</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（3）</w:t>
      </w:r>
      <w:r>
        <w:rPr>
          <w:rFonts w:hint="eastAsia" w:ascii="仿宋_GB2312" w:hAnsi="Times New Roman" w:eastAsia="仿宋_GB2312" w:cs="Times New Roman"/>
          <w:color w:val="auto"/>
          <w:sz w:val="28"/>
          <w:szCs w:val="28"/>
          <w:highlight w:val="none"/>
        </w:rPr>
        <w:t xml:space="preserve">发生以下情况的，履约保证金不予退还或部分退还：a.签订合同后，成交供应商不履行合同义务的，采购单位有权全额扣除履约保证金，全额不予退还，同时采购单位亦有权终止合同，</w:t>
      </w:r>
      <w:r>
        <w:rPr>
          <w:rFonts w:hint="eastAsia" w:ascii="仿宋_GB2312"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jc w:val="left"/>
        <w:keepLines w:val="0"/>
        <w:keepNext w:val="0"/>
        <w:pageBreakBefore w:val="0"/>
        <w:spacing w:line="480" w:lineRule="exact"/>
        <w:rPr>
          <w:rFonts w:hint="eastAsia" w:ascii="仿宋_GB2312" w:hAnsi="Times New Roman" w:eastAsia="仿宋_GB2312" w:cs="Times New Roman"/>
          <w:b/>
          <w:bCs/>
          <w:color w:val="auto"/>
          <w:sz w:val="28"/>
          <w:szCs w:val="28"/>
          <w:highlight w:val="none"/>
        </w:rPr>
      </w:pPr>
      <w:r>
        <w:rPr>
          <w:rFonts w:hint="eastAsia" w:ascii="仿宋_GB2312" w:eastAsia="仿宋_GB2312" w:cs="Times New Roman"/>
          <w:b/>
          <w:bCs/>
          <w:color w:val="auto"/>
          <w:sz w:val="28"/>
          <w:szCs w:val="28"/>
          <w:highlight w:val="none"/>
          <w:lang w:val="en-US" w:eastAsia="zh-CN"/>
        </w:rPr>
        <w:t xml:space="preserve">（4）</w:t>
      </w:r>
      <w:r>
        <w:rPr>
          <w:rFonts w:hint="eastAsia" w:ascii="仿宋_GB2312" w:hAnsi="Times New Roman" w:eastAsia="仿宋_GB2312" w:cs="Times New Roman"/>
          <w:b/>
          <w:bCs/>
          <w:color w:val="auto"/>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auto"/>
          <w:sz w:val="28"/>
          <w:szCs w:val="28"/>
          <w:highlight w:val="none"/>
          <w:lang w:eastAsia="zh-CN"/>
        </w:rPr>
        <w:t xml:space="preserve">可登录</w:t>
      </w:r>
      <w:r>
        <w:rPr>
          <w:rFonts w:hint="eastAsia" w:ascii="仿宋_GB2312" w:hAnsi="Times New Roman" w:eastAsia="仿宋_GB2312" w:cs="Times New Roman"/>
          <w:b/>
          <w:bCs/>
          <w:color w:val="auto"/>
          <w:sz w:val="28"/>
          <w:szCs w:val="28"/>
          <w:highlight w:val="none"/>
        </w:rPr>
        <w:t xml:space="preserve">江苏政府采购网“资料下载”栏目下载</w:t>
      </w:r>
      <w:r>
        <w:rPr>
          <w:rFonts w:hint="eastAsia" w:ascii="仿宋_GB2312" w:eastAsia="仿宋_GB2312" w:cs="Times New Roman"/>
          <w:b/>
          <w:bCs/>
          <w:color w:val="auto"/>
          <w:sz w:val="28"/>
          <w:szCs w:val="28"/>
          <w:highlight w:val="none"/>
          <w:lang w:eastAsia="zh-CN"/>
        </w:rPr>
        <w:t xml:space="preserve">《</w:t>
      </w:r>
      <w:r>
        <w:rPr>
          <w:rFonts w:hint="eastAsia" w:ascii="仿宋_GB2312" w:eastAsia="仿宋_GB2312" w:cs="Times New Roman"/>
          <w:b/>
          <w:bCs/>
          <w:color w:val="auto"/>
          <w:sz w:val="28"/>
          <w:szCs w:val="28"/>
          <w:highlight w:val="none"/>
          <w:lang w:val="en-US" w:eastAsia="zh-CN"/>
        </w:rPr>
        <w:t xml:space="preserve">江苏</w:t>
      </w:r>
      <w:r>
        <w:rPr>
          <w:rFonts w:hint="eastAsia" w:ascii="仿宋_GB2312" w:hAnsi="Times New Roman" w:eastAsia="仿宋_GB2312" w:cs="Times New Roman"/>
          <w:b/>
          <w:bCs/>
          <w:color w:val="auto"/>
          <w:sz w:val="28"/>
          <w:szCs w:val="28"/>
          <w:highlight w:val="none"/>
        </w:rPr>
        <w:t xml:space="preserve">政府采购电子履约（保函）保险</w:t>
      </w:r>
      <w:r>
        <w:rPr>
          <w:rFonts w:hint="eastAsia" w:ascii="仿宋_GB2312" w:eastAsia="仿宋_GB2312" w:cs="Times New Roman"/>
          <w:b/>
          <w:bCs/>
          <w:color w:val="auto"/>
          <w:sz w:val="28"/>
          <w:szCs w:val="28"/>
          <w:highlight w:val="none"/>
          <w:lang w:val="en-US" w:eastAsia="zh-CN"/>
        </w:rPr>
        <w:t xml:space="preserve">平台</w:t>
      </w:r>
      <w:r>
        <w:rPr>
          <w:rFonts w:hint="eastAsia" w:ascii="仿宋_GB2312" w:hAnsi="Times New Roman" w:eastAsia="仿宋_GB2312" w:cs="Times New Roman"/>
          <w:b/>
          <w:bCs/>
          <w:color w:val="auto"/>
          <w:sz w:val="28"/>
          <w:szCs w:val="28"/>
          <w:highlight w:val="none"/>
        </w:rPr>
        <w:t xml:space="preserve">操作手册</w:t>
      </w:r>
      <w:r>
        <w:rPr>
          <w:rFonts w:hint="eastAsia" w:ascii="仿宋_GB2312" w:eastAsia="仿宋_GB2312" w:cs="Times New Roman"/>
          <w:b/>
          <w:bCs/>
          <w:color w:val="auto"/>
          <w:sz w:val="28"/>
          <w:szCs w:val="28"/>
          <w:highlight w:val="none"/>
          <w:lang w:eastAsia="zh-CN"/>
        </w:rPr>
        <w:t xml:space="preserve">》</w:t>
      </w:r>
      <w:r>
        <w:rPr>
          <w:rFonts w:hint="eastAsia" w:ascii="仿宋_GB2312" w:hAnsi="Times New Roman" w:eastAsia="仿宋_GB2312" w:cs="Times New Roman"/>
          <w:b/>
          <w:bCs/>
          <w:color w:val="auto"/>
          <w:sz w:val="28"/>
          <w:szCs w:val="28"/>
          <w:highlight w:val="none"/>
        </w:rPr>
        <w:t xml:space="preserve">（网址：</w:t>
      </w:r>
      <w:r>
        <w:rPr>
          <w:rFonts w:hint="eastAsia" w:ascii="仿宋_GB2312" w:hAnsi="Times New Roman" w:eastAsia="仿宋_GB2312" w:cs="Times New Roman"/>
          <w:b/>
          <w:bCs/>
          <w:color w:val="auto"/>
          <w:sz w:val="28"/>
          <w:szCs w:val="28"/>
          <w:highlight w:val="none"/>
        </w:rPr>
        <w:fldChar w:fldCharType="begin"/>
      </w:r>
      <w:r>
        <w:rPr>
          <w:rFonts w:hint="eastAsia" w:ascii="仿宋_GB2312" w:hAnsi="Times New Roman" w:eastAsia="仿宋_GB2312" w:cs="Times New Roman"/>
          <w:b/>
          <w:bCs/>
          <w:color w:val="auto"/>
          <w:sz w:val="28"/>
          <w:szCs w:val="28"/>
          <w:highlight w:val="none"/>
        </w:rPr>
        <w:instrText xml:space="preserve"> HYPERLINK "http://www.ccgp-jiangsu.gov.cn/jisngsu/zlxz/)。" </w:instrText>
      </w:r>
      <w:r>
        <w:rPr>
          <w:rFonts w:hint="eastAsia" w:ascii="仿宋_GB2312" w:hAnsi="Times New Roman" w:eastAsia="仿宋_GB2312" w:cs="Times New Roman"/>
          <w:b/>
          <w:bCs/>
          <w:color w:val="auto"/>
          <w:sz w:val="28"/>
          <w:szCs w:val="28"/>
          <w:highlight w:val="none"/>
        </w:rPr>
        <w:fldChar w:fldCharType="separate"/>
      </w:r>
      <w:r>
        <w:rPr>
          <w:rFonts w:hint="eastAsia" w:ascii="仿宋_GB2312" w:hAnsi="Times New Roman" w:eastAsia="仿宋_GB2312" w:cs="Times New Roman"/>
          <w:b/>
          <w:bCs/>
          <w:color w:val="auto"/>
          <w:sz w:val="28"/>
          <w:szCs w:val="28"/>
          <w:highlight w:val="none"/>
        </w:rPr>
        <w:t xml:space="preserve">www.ccgp-jiangsu.gov.cn/ji</w:t>
      </w:r>
      <w:r>
        <w:rPr>
          <w:rFonts w:hint="eastAsia" w:ascii="仿宋_GB2312" w:eastAsia="仿宋_GB2312" w:cs="Times New Roman"/>
          <w:b/>
          <w:bCs/>
          <w:color w:val="auto"/>
          <w:sz w:val="28"/>
          <w:szCs w:val="28"/>
          <w:highlight w:val="none"/>
          <w:lang w:val="en-US" w:eastAsia="zh-CN"/>
        </w:rPr>
        <w:t xml:space="preserve">a</w:t>
      </w:r>
      <w:r>
        <w:rPr>
          <w:rFonts w:hint="eastAsia" w:ascii="仿宋_GB2312" w:hAnsi="Times New Roman" w:eastAsia="仿宋_GB2312" w:cs="Times New Roman"/>
          <w:b/>
          <w:bCs/>
          <w:color w:val="auto"/>
          <w:sz w:val="28"/>
          <w:szCs w:val="28"/>
          <w:highlight w:val="none"/>
        </w:rPr>
        <w:t xml:space="preserve">ngsu/zlxz/)。</w:t>
      </w:r>
      <w:r>
        <w:rPr>
          <w:rFonts w:hint="eastAsia" w:ascii="仿宋_GB2312" w:hAnsi="Times New Roman" w:eastAsia="仿宋_GB2312" w:cs="Times New Roman"/>
          <w:b/>
          <w:bCs/>
          <w:color w:val="auto"/>
          <w:sz w:val="28"/>
          <w:szCs w:val="28"/>
          <w:highlight w:val="none"/>
        </w:rPr>
        <w:fldChar w:fldCharType="end"/>
      </w:r>
      <w:r/>
    </w:p>
    <w:p>
      <w:pPr>
        <w:keepLines w:val="0"/>
        <w:keepNext w:val="0"/>
        <w:pageBreakBefore w:val="0"/>
        <w:spacing w:line="480" w:lineRule="exact"/>
        <w:rPr>
          <w:rFonts w:hint="eastAsia" w:ascii="宋体" w:hAnsi="宋体"/>
          <w:b/>
          <w:bCs/>
          <w:i w:val="0"/>
          <w:iCs w:val="0"/>
          <w:color w:val="auto"/>
          <w:sz w:val="28"/>
          <w:szCs w:val="28"/>
          <w:highlight w:val="none"/>
          <w:u w:val="single"/>
        </w:rPr>
      </w:pPr>
      <w:r/>
      <w:bookmarkStart w:id="30" w:name="_Toc120614281"/>
      <w:r/>
      <w:bookmarkStart w:id="31" w:name="_Toc171068954"/>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四、</w:t>
      </w:r>
      <w:r>
        <w:rPr>
          <w:rFonts w:hint="eastAsia" w:ascii="宋体" w:hAnsi="宋体" w:eastAsia="宋体" w:cs="Times New Roman"/>
          <w:b/>
          <w:color w:val="auto"/>
          <w:sz w:val="28"/>
          <w:szCs w:val="28"/>
          <w:highlight w:val="none"/>
        </w:rPr>
        <w:t xml:space="preserve">采购需求中必须满足的实质性要求</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t xml:space="preserve">1.报价实质性要求</w:t>
      </w:r>
      <w:r/>
    </w:p>
    <w:p>
      <w:pPr>
        <w:keepLines w:val="0"/>
        <w:keepNext w:val="0"/>
        <w:pageBreakBefore w:val="0"/>
        <w:spacing w:line="440" w:lineRule="exact"/>
        <w:widowControl w:val="off"/>
        <w:rPr>
          <w:rFonts w:hint="eastAsia" w:ascii="仿宋" w:hAnsi="仿宋" w:eastAsia="仿宋" w:cs="仿宋"/>
          <w:i/>
          <w:iCs/>
          <w:caps/>
          <w:color w:val="auto"/>
          <w:sz w:val="24"/>
          <w:szCs w:val="24"/>
          <w:highlight w:val="none"/>
          <w:u w:val="single"/>
        </w:rPr>
      </w:pPr>
      <w:r>
        <w:rPr>
          <w:rFonts w:hint="eastAsia" w:ascii="仿宋" w:hAnsi="仿宋" w:eastAsia="仿宋" w:cs="仿宋"/>
          <w:i/>
          <w:iCs/>
          <w:caps/>
          <w:color w:val="auto"/>
          <w:sz w:val="24"/>
          <w:szCs w:val="24"/>
          <w:highlight w:val="none"/>
          <w:u w:val="single"/>
          <w:lang w:val="en-US" w:eastAsia="zh-CN"/>
        </w:rPr>
        <w:t xml:space="preserve">1.1</w:t>
      </w:r>
      <w:r>
        <w:rPr>
          <w:rFonts w:hint="eastAsia" w:ascii="仿宋" w:hAnsi="仿宋" w:eastAsia="仿宋" w:cs="仿宋"/>
          <w:i/>
          <w:iCs/>
          <w:caps/>
          <w:color w:val="auto"/>
          <w:sz w:val="24"/>
          <w:szCs w:val="24"/>
          <w:highlight w:val="none"/>
          <w:u w:val="single"/>
        </w:rPr>
        <w:t xml:space="preserve">供应商应对所投项目的全部内容进行报价，只选择其中部分内容报价者，视为无效报价。</w:t>
      </w:r>
      <w:r/>
    </w:p>
    <w:p>
      <w:pPr>
        <w:keepLines w:val="0"/>
        <w:keepNext w:val="0"/>
        <w:pageBreakBefore w:val="0"/>
        <w:spacing w:line="440" w:lineRule="exact"/>
        <w:widowControl w:val="off"/>
        <w:rPr>
          <w:rFonts w:hint="eastAsia" w:ascii="仿宋" w:hAnsi="仿宋" w:eastAsia="仿宋" w:cs="仿宋"/>
          <w:i/>
          <w:iCs/>
          <w:caps/>
          <w:color w:val="auto"/>
          <w:sz w:val="24"/>
          <w:szCs w:val="24"/>
          <w:highlight w:val="none"/>
          <w:u w:val="single"/>
        </w:rPr>
      </w:pPr>
      <w:r>
        <w:rPr>
          <w:rFonts w:hint="eastAsia" w:ascii="仿宋" w:hAnsi="仿宋" w:eastAsia="仿宋" w:cs="仿宋"/>
          <w:i/>
          <w:iCs/>
          <w:caps/>
          <w:color w:val="auto"/>
          <w:sz w:val="24"/>
          <w:szCs w:val="24"/>
          <w:highlight w:val="none"/>
          <w:u w:val="single"/>
          <w:lang w:val="en-US" w:eastAsia="zh-CN"/>
        </w:rPr>
        <w:t xml:space="preserve">1.2</w:t>
      </w:r>
      <w:r>
        <w:rPr>
          <w:rFonts w:hint="eastAsia" w:ascii="仿宋" w:hAnsi="仿宋" w:eastAsia="仿宋" w:cs="仿宋"/>
          <w:i/>
          <w:iCs/>
          <w:caps/>
          <w:color w:val="auto"/>
          <w:sz w:val="24"/>
          <w:szCs w:val="24"/>
          <w:highlight w:val="none"/>
          <w:u w:val="single"/>
        </w:rPr>
        <w:t xml:space="preserve">供应商所投产品的总报价不得高于总限价，若发现超出限价的，视为无效报价。</w:t>
      </w:r>
      <w:r/>
    </w:p>
    <w:p>
      <w:pPr>
        <w:numPr>
          <w:numId w:val="0"/>
        </w:numPr>
        <w:keepLines w:val="0"/>
        <w:keepNext w:val="0"/>
        <w:pageBreakBefore w:val="0"/>
        <w:spacing w:line="480" w:lineRule="exact"/>
        <w:rPr>
          <w:rFonts w:hint="eastAsia" w:ascii="宋体" w:hAnsi="宋体"/>
          <w:b/>
          <w:bCs/>
          <w:i w:val="0"/>
          <w:iCs w:val="0"/>
          <w:color w:val="auto"/>
          <w:sz w:val="28"/>
          <w:szCs w:val="28"/>
          <w:highlight w:val="none"/>
          <w:u w:val="single"/>
        </w:rPr>
      </w:pPr>
      <w:r>
        <w:rPr>
          <w:rFonts w:hint="eastAsia" w:ascii="宋体" w:hAnsi="宋体"/>
          <w:b/>
          <w:bCs/>
          <w:i w:val="0"/>
          <w:iCs w:val="0"/>
          <w:color w:val="auto"/>
          <w:sz w:val="28"/>
          <w:szCs w:val="28"/>
          <w:highlight w:val="none"/>
          <w:u w:val="single"/>
        </w:rPr>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t xml:space="preserve">2.技术部分实质性要求（佐证材料须在《技术要求响应及偏离表》下方列明）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hAnsi="Times New Roman" w:eastAsia="仿宋_GB2312" w:cs="Times New Roman"/>
          <w:i/>
          <w:iCs/>
          <w:color w:val="auto"/>
          <w:sz w:val="24"/>
          <w:szCs w:val="24"/>
          <w:highlight w:val="none"/>
          <w:u w:val="single"/>
          <w:lang w:val="en-US" w:eastAsia="zh-CN"/>
        </w:rPr>
        <w:t xml:space="preserve">2.1所投数字化网络广播系统服务平台须适配国产操作系统（国产操作系统包含麒麟、统信等主流国产系统），保障系统全生命周期安全稳定运行。</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供书面承诺函（格式自拟），承诺中标后完成对应国产操作系统适配对接，项目验收时提供完整产品互认证明材料；若无法完成适配并提供互认证明材料，视为履约不合格，承担合同约定违约责任。</w:t>
      </w:r>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hAnsi="Times New Roman" w:eastAsia="仿宋_GB2312" w:cs="Times New Roman"/>
          <w:i/>
          <w:iCs/>
          <w:color w:val="auto"/>
          <w:sz w:val="24"/>
          <w:szCs w:val="24"/>
          <w:highlight w:val="none"/>
          <w:u w:val="single"/>
          <w:lang w:val="en-US" w:eastAsia="zh-CN"/>
        </w:rPr>
        <w:t xml:space="preserve">2.2所投数字化网络广播系统服务平台须适配国产数据库（国产数据库包含达梦、瀚高、万里等主流国产数据库），保障系统稳定可靠运行。</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供书面承诺函（格式自拟），承诺中标后完成对应国产数据库兼容对接，项目验收时提供完整产品兼容互认证明材料；若无法完成兼容并提供兼容互认证明材料，视为履约不合格，承担合同约定违约责任。</w:t>
      </w:r>
      <w:r/>
    </w:p>
    <w:p>
      <w:pPr>
        <w:keepLines w:val="0"/>
        <w:keepNext w:val="0"/>
        <w:pageBreakBefore w:val="0"/>
        <w:spacing w:line="480" w:lineRule="exact"/>
        <w:rPr>
          <w:rFonts w:hint="eastAsia" w:ascii="仿宋_GB2312" w:hAnsi="Times New Roman" w:eastAsia="仿宋_GB2312" w:cs="Times New Roman"/>
          <w:i/>
          <w:iCs/>
          <w:color w:val="auto"/>
          <w:sz w:val="24"/>
          <w:szCs w:val="24"/>
          <w:highlight w:val="none"/>
          <w:u w:val="single"/>
          <w:lang w:val="en-US" w:eastAsia="zh-CN"/>
        </w:rPr>
      </w:pPr>
      <w:r>
        <w:rPr>
          <w:rFonts w:hint="eastAsia" w:ascii="仿宋_GB2312" w:hAnsi="Times New Roman" w:eastAsia="仿宋_GB2312" w:cs="Times New Roman"/>
          <w:i/>
          <w:iCs/>
          <w:color w:val="auto"/>
          <w:sz w:val="24"/>
          <w:szCs w:val="24"/>
          <w:highlight w:val="none"/>
          <w:u w:val="single"/>
          <w:lang w:val="en-US" w:eastAsia="zh-CN"/>
        </w:rPr>
        <w:t xml:space="preserve">2.3所投广播系统须与采购人现有广播设备（品牌：ITC）对接、实现统一管理。</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投标人投标时提交加盖公章的对接承诺函（格式自拟），承诺中标后免费完成设备对接。项目实施阶段若无法实现对接和统一管理，按合同违约条款处理。</w:t>
      </w:r>
      <w:r/>
    </w:p>
    <w:p>
      <w:pPr>
        <w:keepLines w:val="0"/>
        <w:keepNext w:val="0"/>
        <w:pageBreakBefore w:val="0"/>
        <w:spacing w:line="480" w:lineRule="exact"/>
        <w:rPr>
          <w:rFonts w:hint="default" w:ascii="仿宋_GB2312" w:hAnsi="Times New Roman" w:eastAsia="仿宋_GB2312" w:cs="Times New Roman"/>
          <w:b/>
          <w:bCs/>
          <w:i/>
          <w:iCs/>
          <w:color w:val="auto"/>
          <w:sz w:val="24"/>
          <w:szCs w:val="24"/>
          <w:highlight w:val="none"/>
          <w:u w:val="single"/>
          <w:lang w:val="en-US" w:eastAsia="zh-CN"/>
        </w:rPr>
      </w:pPr>
      <w:r>
        <w:rPr>
          <w:rFonts w:hint="eastAsia" w:ascii="仿宋_GB2312" w:hAnsi="Times New Roman" w:eastAsia="仿宋_GB2312" w:cs="Times New Roman"/>
          <w:i/>
          <w:iCs/>
          <w:color w:val="auto"/>
          <w:sz w:val="24"/>
          <w:szCs w:val="24"/>
          <w:highlight w:val="none"/>
          <w:u w:val="single"/>
          <w:lang w:val="en-US" w:eastAsia="zh-CN"/>
        </w:rPr>
        <w:t xml:space="preserve">2.4项目需求中打“▲”内容需提供</w:t>
      </w:r>
      <w:r>
        <w:rPr>
          <w:rFonts w:hint="eastAsia" w:ascii="仿宋_GB2312" w:hAnsi="Times New Roman" w:eastAsia="仿宋_GB2312" w:cs="Times New Roman"/>
          <w:b/>
          <w:bCs/>
          <w:i/>
          <w:iCs/>
          <w:color w:val="auto"/>
          <w:sz w:val="24"/>
          <w:szCs w:val="24"/>
          <w:highlight w:val="none"/>
          <w:u w:val="single"/>
          <w:lang w:val="en-US" w:eastAsia="zh-CN"/>
        </w:rPr>
        <w:t xml:space="preserve">第三方检测机构出具的具有以上功能的检测报告扫描件并加盖投标人公章（注：对应参数（检验检测项）在检验检测报告中进行标注。），提供功能界面截图并加盖投标人公章。</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t xml:space="preserve">3.商务部分实质性要求（佐证材料须在《商务要求响应及偏离表》下方列明）</w:t>
      </w:r>
      <w:bookmarkEnd w:id="13"/>
      <w:r/>
      <w:bookmarkEnd w:id="14"/>
      <w:r/>
      <w:bookmarkEnd w:id="30"/>
      <w:r/>
      <w:bookmarkEnd w:id="31"/>
      <w:r/>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hAnsi="Times New Roman" w:eastAsia="仿宋_GB2312" w:cs="Times New Roman"/>
          <w:i/>
          <w:iCs/>
          <w:color w:val="auto"/>
          <w:sz w:val="24"/>
          <w:szCs w:val="24"/>
          <w:highlight w:val="none"/>
          <w:u w:val="single"/>
          <w:lang w:val="en-US" w:eastAsia="zh-CN"/>
        </w:rPr>
        <w:t xml:space="preserve">3.1本项目须在合同签订后</w:t>
      </w:r>
      <w:r>
        <w:rPr>
          <w:rFonts w:hint="eastAsia" w:ascii="仿宋_GB2312" w:hAnsi="Times New Roman" w:eastAsia="仿宋_GB2312" w:cs="Times New Roman"/>
          <w:b/>
          <w:bCs/>
          <w:i/>
          <w:iCs/>
          <w:color w:val="auto"/>
          <w:sz w:val="24"/>
          <w:szCs w:val="24"/>
          <w:highlight w:val="none"/>
          <w:u w:val="single"/>
          <w:lang w:val="en-US" w:eastAsia="zh-CN"/>
        </w:rPr>
        <w:t xml:space="preserve">20个日历天</w:t>
      </w:r>
      <w:r>
        <w:rPr>
          <w:rFonts w:hint="eastAsia" w:ascii="仿宋_GB2312" w:hAnsi="Times New Roman" w:eastAsia="仿宋_GB2312" w:cs="Times New Roman"/>
          <w:i/>
          <w:iCs/>
          <w:color w:val="auto"/>
          <w:sz w:val="24"/>
          <w:szCs w:val="24"/>
          <w:highlight w:val="none"/>
          <w:u w:val="single"/>
          <w:lang w:val="en-US" w:eastAsia="zh-CN"/>
        </w:rPr>
        <w:t xml:space="preserve">内完成全部货物的供货、安装、调试并通过验收。相关材料费、辅材费、安装费、税金等包含在总报价之中。</w:t>
      </w:r>
      <w:r>
        <w:rPr>
          <w:rFonts w:hint="eastAsia" w:ascii="仿宋_GB2312" w:hAnsi="Times New Roman" w:eastAsia="仿宋_GB2312" w:cs="Times New Roman"/>
          <w:b/>
          <w:bCs/>
          <w:i/>
          <w:iCs/>
          <w:color w:val="auto"/>
          <w:sz w:val="24"/>
          <w:szCs w:val="24"/>
          <w:highlight w:val="none"/>
          <w:u w:val="single"/>
          <w:lang w:val="en-US" w:eastAsia="zh-CN"/>
        </w:rPr>
        <w:t xml:space="preserve">供应商须在响应文件中提供书面承诺函，内容应包括详细的供货方案（须列明供货安排、人员配置、应急措施等），并加盖供应商单位公章，格式自拟。</w:t>
      </w:r>
      <w:r/>
    </w:p>
    <w:p>
      <w:pPr>
        <w:pageBreakBefore w:val="0"/>
        <w:spacing w:line="480" w:lineRule="exact"/>
        <w:rPr>
          <w:color w:val="auto"/>
          <w:highlight w:val="none"/>
        </w:rPr>
      </w:pPr>
      <w:r>
        <w:rPr>
          <w:color w:val="auto"/>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33"/>
        <w:pageBreakBefore w:val="0"/>
        <w:spacing w:line="480" w:lineRule="exact"/>
        <w:rPr>
          <w:rFonts w:hint="default"/>
          <w:color w:val="auto"/>
          <w:highlight w:val="none"/>
        </w:rPr>
      </w:pPr>
      <w:r>
        <w:rPr>
          <w:rFonts w:hint="default"/>
          <w:color w:val="auto"/>
          <w:highlight w:val="none"/>
        </w:rPr>
      </w:r>
      <w:r/>
    </w:p>
    <w:p>
      <w:pPr>
        <w:pStyle w:val="833"/>
        <w:pageBreakBefore w:val="0"/>
        <w:spacing w:line="480" w:lineRule="exact"/>
        <w:rPr>
          <w:rFonts w:hint="eastAsia"/>
          <w:color w:val="auto"/>
          <w:highlight w:val="none"/>
        </w:rPr>
      </w:pPr>
      <w:r>
        <w:rPr>
          <w:rFonts w:hint="eastAsia"/>
          <w:color w:val="auto"/>
          <w:highlight w:val="none"/>
        </w:rPr>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46"/>
        <w:ind w:firstLine="0"/>
        <w:jc w:val="center"/>
        <w:rPr>
          <w:rFonts w:hint="eastAsia" w:ascii="黑体" w:hAnsi="黑体" w:eastAsia="黑体" w:cs="黑体"/>
          <w:color w:val="auto"/>
          <w:sz w:val="44"/>
          <w:highlight w:val="none"/>
        </w:rPr>
        <w:outlineLvl w:val="0"/>
      </w:pPr>
      <w:r/>
      <w:bookmarkStart w:id="32"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32"/>
      <w:r/>
      <w:r/>
    </w:p>
    <w:p>
      <w:pPr>
        <w:pStyle w:val="646"/>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46"/>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46"/>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p>
    <w:p>
      <w:pPr>
        <w:pStyle w:val="832"/>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2"/>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3"/>
        <w:rPr>
          <w:color w:val="auto"/>
          <w:highlight w:val="none"/>
        </w:rPr>
      </w:pPr>
      <w:r>
        <w:rPr>
          <w:color w:val="auto"/>
          <w:highlight w:val="none"/>
        </w:rPr>
      </w:r>
      <w:r/>
    </w:p>
    <w:p>
      <w:pPr>
        <w:pStyle w:val="832"/>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2"/>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pStyle w:val="832"/>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p>
    <w:p>
      <w:pPr>
        <w:pStyle w:val="832"/>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询价报价表</w:t>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项目编号：</w:t>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货币单位：人民币元</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2447"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报价项目品牌规格型号</w:t>
            </w:r>
            <w:r/>
          </w:p>
        </w:tc>
        <w:tc>
          <w:tcPr>
            <w:tcW w:w="2126"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总价（小写）</w:t>
            </w:r>
            <w:r/>
          </w:p>
        </w:tc>
        <w:tc>
          <w:tcPr>
            <w:tcW w:w="1754"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850"/>
        </w:trPr>
        <w:tc>
          <w:tcPr>
            <w:tcW w:w="2231"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2447" w:type="dxa"/>
            <w:vAlign w:val="center"/>
            <w:textDirection w:val="lrTb"/>
            <w:noWrap w:val="false"/>
          </w:tcPr>
          <w:p>
            <w:pPr>
              <w:pStyle w:val="832"/>
              <w:ind w:left="0"/>
              <w:jc w:val="center"/>
              <w:spacing w:after="0"/>
              <w:rPr>
                <w:rFonts w:hint="eastAsia" w:ascii="宋体" w:hAnsi="宋体" w:eastAsia="宋体"/>
                <w:color w:val="auto"/>
                <w:szCs w:val="21"/>
                <w:highlight w:val="none"/>
              </w:rPr>
            </w:pPr>
            <w:r>
              <w:rPr>
                <w:rFonts w:hint="eastAsia" w:ascii="宋体" w:hAnsi="宋体"/>
                <w:color w:val="auto"/>
                <w:szCs w:val="21"/>
                <w:highlight w:val="none"/>
              </w:rPr>
              <w:t xml:space="preserve">详见</w:t>
            </w:r>
            <w:r>
              <w:rPr>
                <w:rFonts w:hint="eastAsia" w:ascii="宋体" w:hAnsi="宋体"/>
                <w:color w:val="auto"/>
                <w:szCs w:val="21"/>
                <w:highlight w:val="none"/>
                <w:lang w:eastAsia="zh-CN"/>
              </w:rPr>
              <w:t xml:space="preserve">响应文件</w:t>
            </w:r>
            <w:r/>
          </w:p>
        </w:tc>
        <w:tc>
          <w:tcPr>
            <w:tcW w:w="2126"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r>
            <w:r/>
          </w:p>
        </w:tc>
        <w:tc>
          <w:tcPr>
            <w:tcW w:w="1754" w:type="dxa"/>
            <w:vAlign w:val="center"/>
            <w:textDirection w:val="lrTb"/>
            <w:noWrap w:val="false"/>
          </w:tcPr>
          <w:p>
            <w:pPr>
              <w:pStyle w:val="832"/>
              <w:ind w:left="0"/>
              <w:jc w:val="center"/>
              <w:spacing w:after="0"/>
              <w:rPr>
                <w:rFonts w:hint="eastAsia" w:ascii="宋体" w:hAnsi="宋体"/>
                <w:color w:val="auto"/>
                <w:szCs w:val="21"/>
                <w:highlight w:val="none"/>
              </w:rPr>
            </w:pPr>
            <w:r>
              <w:rPr>
                <w:rFonts w:hint="eastAsia" w:ascii="宋体" w:hAnsi="宋体"/>
                <w:color w:val="auto"/>
                <w:szCs w:val="21"/>
                <w:highlight w:val="none"/>
              </w:rPr>
            </w:r>
            <w:r/>
          </w:p>
        </w:tc>
      </w:tr>
      <w:tr>
        <w:trPr>
          <w:jc w:val="center"/>
          <w:trHeight w:val="850"/>
        </w:trPr>
        <w:tc>
          <w:tcPr>
            <w:gridSpan w:val="4"/>
            <w:tcW w:w="8558" w:type="dxa"/>
            <w:vAlign w:val="center"/>
            <w:textDirection w:val="lrTb"/>
            <w:noWrap w:val="false"/>
          </w:tcPr>
          <w:p>
            <w:pPr>
              <w:pStyle w:val="832"/>
              <w:ind w:left="0"/>
              <w:spacing w:after="0"/>
              <w:rPr>
                <w:rFonts w:hint="eastAsia" w:ascii="宋体" w:hAnsi="宋体"/>
                <w:color w:val="auto"/>
                <w:szCs w:val="21"/>
                <w:highlight w:val="none"/>
              </w:rPr>
            </w:pPr>
            <w:r>
              <w:rPr>
                <w:rFonts w:hint="eastAsia" w:ascii="宋体" w:hAnsi="宋体"/>
                <w:color w:val="auto"/>
                <w:szCs w:val="21"/>
                <w:highlight w:val="none"/>
              </w:rPr>
              <w:t xml:space="preserve">总价（大写）：金额大写</w:t>
            </w:r>
            <w:r/>
          </w:p>
        </w:tc>
      </w:tr>
    </w:tbl>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本次报价为总价，大小写不一致以大写为准。</w:t>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供应商（公章）：</w:t>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法定代表人或授权代表（签字或盖章）：</w:t>
      </w:r>
      <w:r/>
    </w:p>
    <w:p>
      <w:pPr>
        <w:pStyle w:val="832"/>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年</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月</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日</w:t>
      </w: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p>
    <w:p>
      <w:pPr>
        <w:jc w:val="center"/>
        <w:spacing w:line="480" w:lineRule="exact"/>
        <w:rPr>
          <w:rFonts w:ascii="仿宋" w:hAnsi="仿宋" w:eastAsia="仿宋"/>
          <w:b/>
          <w:color w:val="auto"/>
          <w:sz w:val="28"/>
          <w:szCs w:val="28"/>
          <w:highlight w:val="none"/>
        </w:rPr>
      </w:pPr>
      <w:r>
        <w:rPr>
          <w:rFonts w:hint="eastAsia" w:ascii="宋体" w:hAnsi="宋体"/>
          <w:b/>
          <w:bCs/>
          <w:color w:val="auto"/>
          <w:sz w:val="32"/>
          <w:szCs w:val="32"/>
          <w:highlight w:val="none"/>
        </w:rPr>
        <w:t xml:space="preserve">分项报价明细表</w:t>
      </w:r>
      <w:r/>
    </w:p>
    <w:tbl>
      <w:tblPr>
        <w:tblStyle w:val="645"/>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仿宋"/>
                <w:b/>
                <w:bCs/>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备注：</w:t>
      </w: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）国内运输保险、报关清关（如果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）、开证（如果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）、办理全套免税手续费用（如果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）及其他有关的为完成本项目发生的所有费用，</w:t>
      </w:r>
      <w:r>
        <w:rPr>
          <w:rFonts w:hint="eastAsia" w:ascii="仿宋" w:hAnsi="仿宋" w:eastAsia="仿宋"/>
          <w:b w:val="0"/>
          <w:bCs w:val="0"/>
          <w:color w:val="auto"/>
          <w:sz w:val="24"/>
          <w:szCs w:val="24"/>
          <w:highlight w:val="none"/>
          <w:lang w:eastAsia="zh-CN"/>
        </w:rPr>
        <w:t xml:space="preserve">询价文件</w:t>
      </w:r>
      <w:r>
        <w:rPr>
          <w:rFonts w:hint="eastAsia" w:ascii="仿宋" w:hAnsi="仿宋" w:eastAsia="仿宋"/>
          <w:b w:val="0"/>
          <w:bCs w:val="0"/>
          <w:color w:val="auto"/>
          <w:sz w:val="24"/>
          <w:szCs w:val="24"/>
          <w:highlight w:val="none"/>
        </w:rPr>
        <w:t xml:space="preserve">中另有规定的除外。</w:t>
      </w: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w:t>
      </w:r>
      <w:r>
        <w:rPr>
          <w:rFonts w:hint="eastAsia" w:ascii="仿宋" w:hAnsi="仿宋" w:eastAsia="仿宋" w:cs="Times New Roman"/>
          <w:b w:val="0"/>
          <w:bCs w:val="0"/>
          <w:color w:val="auto"/>
          <w:sz w:val="24"/>
          <w:szCs w:val="24"/>
          <w:highlight w:val="none"/>
        </w:rPr>
        <w:t xml:space="preserve">.“分项报价明细表”</w:t>
      </w:r>
      <w:r>
        <w:rPr>
          <w:rFonts w:hint="eastAsia" w:ascii="仿宋" w:hAnsi="仿宋" w:eastAsia="仿宋"/>
          <w:b w:val="0"/>
          <w:bCs w:val="0"/>
          <w:color w:val="auto"/>
          <w:sz w:val="24"/>
          <w:szCs w:val="24"/>
          <w:highlight w:val="none"/>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3.</w:t>
      </w:r>
      <w:r>
        <w:rPr>
          <w:rFonts w:hint="eastAsia" w:ascii="仿宋" w:hAnsi="仿宋" w:eastAsia="仿宋"/>
          <w:b w:val="0"/>
          <w:bCs w:val="0"/>
          <w:color w:val="auto"/>
          <w:sz w:val="24"/>
          <w:szCs w:val="24"/>
          <w:highlight w:val="none"/>
          <w:lang w:eastAsia="zh-CN"/>
        </w:rPr>
        <w:t xml:space="preserve">供应商</w:t>
      </w:r>
      <w:r>
        <w:rPr>
          <w:rFonts w:hint="eastAsia" w:ascii="仿宋" w:hAnsi="仿宋" w:eastAsia="仿宋"/>
          <w:b w:val="0"/>
          <w:bCs w:val="0"/>
          <w:color w:val="auto"/>
          <w:sz w:val="24"/>
          <w:szCs w:val="24"/>
          <w:highlight w:val="none"/>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供应商</w:t>
      </w:r>
      <w:r>
        <w:rPr>
          <w:rFonts w:hint="eastAsia" w:ascii="宋体" w:hAnsi="宋体"/>
          <w:b/>
          <w:bCs/>
          <w:color w:val="auto"/>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auto"/>
          <w:sz w:val="24"/>
          <w:szCs w:val="28"/>
          <w:highlight w:val="none"/>
        </w:rPr>
      </w:pPr>
      <w:r>
        <w:rPr>
          <w:rFonts w:hint="eastAsia" w:ascii="宋体" w:hAnsi="宋体" w:cs="仿宋"/>
          <w:bCs/>
          <w:color w:val="auto"/>
          <w:sz w:val="24"/>
          <w:szCs w:val="28"/>
          <w:highlight w:val="none"/>
        </w:rPr>
        <w:t xml:space="preserve">我单位参加</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（项目名称），</w:t>
      </w:r>
      <w:r>
        <w:rPr>
          <w:rFonts w:hint="eastAsia" w:ascii="宋体" w:hAnsi="宋体" w:cs="仿宋"/>
          <w:bCs/>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ascii="宋体" w:hAnsi="宋体"/>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auto"/>
          <w:sz w:val="24"/>
          <w:szCs w:val="28"/>
          <w:highlight w:val="none"/>
        </w:rPr>
      </w:pPr>
      <w:r>
        <w:rPr>
          <w:rFonts w:hint="eastAsia" w:ascii="宋体" w:hAnsi="宋体" w:cs="仿宋"/>
          <w:bCs/>
          <w:color w:val="auto"/>
          <w:sz w:val="24"/>
          <w:szCs w:val="28"/>
          <w:highlight w:val="none"/>
        </w:rPr>
        <w:t xml:space="preserve">1.我单位具有独立承担民事责任的能力；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6.我单位满足法律、行政法规规定的其他条件。</w:t>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jc w:val="center"/>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承诺人名称（公章）：</w:t>
      </w:r>
      <w:r/>
    </w:p>
    <w:p>
      <w:pPr>
        <w:jc w:val="right"/>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jc w:val="right"/>
        <w:spacing w:line="480" w:lineRule="exact"/>
        <w:rPr>
          <w:rFonts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日期：</w:t>
      </w:r>
      <w:r>
        <w:rPr>
          <w:rFonts w:hint="eastAsia" w:ascii="宋体" w:hAnsi="宋体" w:cs="仿宋"/>
          <w:bCs/>
          <w:color w:val="auto"/>
          <w:sz w:val="24"/>
          <w:szCs w:val="28"/>
          <w:highlight w:val="none"/>
          <w:u w:val="single"/>
        </w:rPr>
        <w:t xml:space="preserve">   </w:t>
      </w:r>
      <w:r>
        <w:rPr>
          <w:rFonts w:ascii="宋体" w:hAnsi="宋体" w:cs="仿宋"/>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年</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月</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日</w:t>
      </w:r>
      <w:r/>
    </w:p>
    <w:p>
      <w:pPr>
        <w:ind w:firstLine="482"/>
        <w:spacing w:line="480" w:lineRule="exact"/>
        <w:rPr>
          <w:rFonts w:ascii="宋体" w:hAnsi="宋体" w:cs="仿宋"/>
          <w:color w:val="auto"/>
          <w:sz w:val="28"/>
          <w:szCs w:val="28"/>
          <w:highlight w:val="none"/>
        </w:rPr>
      </w:pPr>
      <w:r>
        <w:rPr>
          <w:rFonts w:ascii="宋体" w:hAnsi="宋体" w:cs="仿宋"/>
          <w:color w:val="auto"/>
          <w:sz w:val="28"/>
          <w:szCs w:val="28"/>
          <w:highlight w:val="none"/>
        </w:rPr>
      </w: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872"/>
        <w:ind w:firstLine="602"/>
        <w:rPr>
          <w:rFonts w:hint="eastAsia"/>
          <w:b/>
          <w:color w:val="auto"/>
          <w:highlight w:val="none"/>
        </w:rPr>
      </w:pPr>
      <w:r>
        <w:rPr>
          <w:rFonts w:hint="eastAsia"/>
          <w:b/>
          <w:color w:val="auto"/>
          <w:highlight w:val="none"/>
        </w:rPr>
        <w:t xml:space="preserve">注：提供法定代表人有效期内的身份证复印件</w:t>
      </w:r>
      <w:r>
        <w:rPr>
          <w:rFonts w:hint="eastAsia"/>
          <w:b/>
          <w:color w:val="auto"/>
          <w:highlight w:val="none"/>
        </w:rPr>
        <w:br/>
      </w:r>
      <w:r>
        <w:rPr>
          <w:rFonts w:hint="eastAsia"/>
          <w:b/>
          <w:color w:val="auto"/>
          <w:highlight w:val="none"/>
        </w:rPr>
        <w:br/>
      </w:r>
      <w:r/>
    </w:p>
    <w:p>
      <w:pPr>
        <w:rPr>
          <w:rFonts w:hint="eastAsia"/>
          <w:b/>
          <w:color w:val="auto"/>
          <w:highlight w:val="none"/>
        </w:rPr>
      </w:pPr>
      <w:r>
        <w:rPr>
          <w:rFonts w:hint="eastAsia"/>
          <w:b/>
          <w:color w:val="auto"/>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名称）授权________________（被授权人的姓名）为我方就JSZC-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872"/>
        <w:ind w:firstLine="600"/>
        <w:rPr>
          <w:color w:val="auto"/>
          <w:highlight w:val="none"/>
        </w:rPr>
      </w:pPr>
      <w:r>
        <w:rPr>
          <w:color w:val="auto"/>
          <w:highlight w:val="none"/>
        </w:rPr>
      </w:r>
      <w:r/>
    </w:p>
    <w:p>
      <w:pPr>
        <w:pStyle w:val="872"/>
        <w:ind w:firstLine="602"/>
        <w:rPr>
          <w:rFonts w:hint="eastAsia"/>
          <w:b/>
          <w:color w:val="auto"/>
          <w:highlight w:val="none"/>
        </w:rPr>
      </w:pPr>
      <w:r>
        <w:rPr>
          <w:rFonts w:hint="eastAsia"/>
          <w:b/>
          <w:color w:val="auto"/>
          <w:highlight w:val="none"/>
        </w:rPr>
        <w:t xml:space="preserve">注：提供代理人有效期内的身份证复印件</w:t>
      </w:r>
      <w:r/>
    </w:p>
    <w:p>
      <w:pPr>
        <w:pStyle w:val="872"/>
        <w:ind w:firstLine="602"/>
        <w:rPr>
          <w:rFonts w:hint="eastAsia"/>
          <w:b/>
          <w:color w:val="auto"/>
          <w:highlight w:val="none"/>
        </w:rPr>
      </w:pPr>
      <w:r>
        <w:rPr>
          <w:rFonts w:ascii="仿宋" w:hAnsi="仿宋" w:eastAsia="仿宋" w:cs="Arial"/>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p>
    <w:p>
      <w:pPr>
        <w:pStyle w:val="832"/>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p>
    <w:p>
      <w:pPr>
        <w:pStyle w:val="832"/>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询价响应函</w:t>
      </w:r>
      <w:r/>
    </w:p>
    <w:p>
      <w:pPr>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致：</w:t>
      </w:r>
      <w:r>
        <w:rPr>
          <w:rFonts w:hint="eastAsia" w:ascii="宋体" w:hAnsi="宋体" w:cs="仿宋"/>
          <w:color w:val="auto"/>
          <w:sz w:val="24"/>
          <w:szCs w:val="28"/>
          <w:highlight w:val="none"/>
          <w:lang w:eastAsia="zh-CN"/>
        </w:rPr>
        <w:t xml:space="preserve">南通市教育技术中心</w:t>
      </w:r>
      <w:r>
        <w:rPr>
          <w:rFonts w:hint="eastAsia" w:ascii="宋体" w:hAnsi="宋体" w:cs="仿宋"/>
          <w:color w:val="auto"/>
          <w:sz w:val="24"/>
          <w:szCs w:val="28"/>
          <w:highlight w:val="none"/>
        </w:rPr>
        <w:t xml:space="preserve">：</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根据贵方的</w:t>
      </w:r>
      <w:r>
        <w:rPr>
          <w:rFonts w:ascii="宋体" w:hAnsi="宋体"/>
          <w:bCs/>
          <w:color w:val="auto"/>
          <w:sz w:val="24"/>
          <w:szCs w:val="28"/>
          <w:highlight w:val="none"/>
          <w:u w:val="single"/>
        </w:rPr>
        <w:t xml:space="preserve"> </w:t>
      </w:r>
      <w:r>
        <w:rPr>
          <w:rFonts w:hint="eastAsia" w:ascii="宋体" w:hAnsi="宋体" w:cs="仿宋"/>
          <w:color w:val="auto"/>
          <w:sz w:val="24"/>
          <w:szCs w:val="28"/>
          <w:highlight w:val="none"/>
          <w:u w:val="single"/>
        </w:rPr>
        <w:t xml:space="preserve">（项目编号）</w:t>
      </w:r>
      <w:r>
        <w:rPr>
          <w:rFonts w:hint="eastAsia" w:ascii="宋体" w:hAnsi="宋体"/>
          <w:bCs/>
          <w:color w:val="auto"/>
          <w:sz w:val="24"/>
          <w:szCs w:val="28"/>
          <w:highlight w:val="none"/>
          <w:u w:val="single"/>
        </w:rPr>
        <w:t xml:space="preserve">             </w:t>
      </w:r>
      <w:r>
        <w:rPr>
          <w:rFonts w:ascii="宋体" w:hAnsi="宋体"/>
          <w:color w:val="auto"/>
          <w:sz w:val="24"/>
          <w:szCs w:val="28"/>
          <w:highlight w:val="none"/>
        </w:rPr>
        <w:t xml:space="preserve">_</w:t>
      </w:r>
      <w:r>
        <w:rPr>
          <w:rFonts w:hint="eastAsia" w:ascii="宋体" w:hAnsi="宋体" w:cs="仿宋"/>
          <w:color w:val="auto"/>
          <w:sz w:val="24"/>
          <w:szCs w:val="28"/>
          <w:highlight w:val="none"/>
        </w:rPr>
        <w:t xml:space="preserve">号询价文件，正式授权下述签字人______</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姓名</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据此函，__________签字人兹宣布同意如下：</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5.一旦我方成交</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我方将根据询价文件的规定，严格履行合同的责任和义务</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并保证在询价文件规定的时</w:t>
      </w:r>
      <w:r>
        <w:rPr>
          <w:rFonts w:hint="eastAsia" w:ascii="宋体" w:hAnsi="宋体" w:cs="仿宋"/>
          <w:color w:val="auto"/>
          <w:sz w:val="24"/>
          <w:szCs w:val="28"/>
          <w:highlight w:val="none"/>
          <w:lang w:eastAsia="zh-CN"/>
        </w:rPr>
        <w:t xml:space="preserve">间内</w:t>
      </w:r>
      <w:r>
        <w:rPr>
          <w:rFonts w:hint="eastAsia" w:ascii="宋体" w:hAnsi="宋体" w:cs="仿宋"/>
          <w:color w:val="auto"/>
          <w:sz w:val="24"/>
          <w:szCs w:val="28"/>
          <w:highlight w:val="none"/>
        </w:rPr>
        <w:t xml:space="preserve">完成项目，交付买方验收、使用。</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6.我方与</w:t>
      </w:r>
      <w:r>
        <w:rPr>
          <w:rFonts w:hint="eastAsia" w:ascii="宋体" w:hAnsi="宋体" w:cs="仿宋"/>
          <w:color w:val="auto"/>
          <w:sz w:val="24"/>
          <w:szCs w:val="28"/>
          <w:highlight w:val="none"/>
          <w:lang w:eastAsia="zh-CN"/>
        </w:rPr>
        <w:t xml:space="preserve">本次</w:t>
      </w:r>
      <w:r>
        <w:rPr>
          <w:rFonts w:hint="eastAsia" w:ascii="宋体" w:hAnsi="宋体" w:cs="仿宋"/>
          <w:color w:val="auto"/>
          <w:sz w:val="24"/>
          <w:szCs w:val="28"/>
          <w:highlight w:val="none"/>
        </w:rPr>
        <w:t xml:space="preserve">询价有关的正式通讯地址为：</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地          址：</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邮          编：</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电          话：</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传          真：</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供应商开户行：</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账          号： </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日          期：________年____月____日</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pStyle w:val="832"/>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pStyle w:val="832"/>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p>
    <w:tbl>
      <w:tblPr>
        <w:tblStyle w:val="645"/>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需对技术要求逐条做出明确响应。</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p>
    <w:p>
      <w:pPr>
        <w:pStyle w:val="832"/>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需对商务要求逐条做出明确响应。</w:t>
      </w:r>
      <w:r/>
    </w:p>
    <w:p>
      <w:pPr>
        <w:spacing w:line="480" w:lineRule="exact"/>
        <w:rPr>
          <w:rFonts w:hint="eastAsia" w:ascii="宋体" w:hAnsi="宋体" w:cs="仿宋"/>
          <w:bCs/>
          <w:color w:val="auto"/>
          <w:sz w:val="24"/>
          <w:szCs w:val="28"/>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66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6"/>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666"/>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671"/>
          <w:rFonts w:hint="eastAsia" w:ascii="仿宋" w:hAnsi="仿宋" w:eastAsia="仿宋" w:cs="仿宋"/>
          <w:i w:val="0"/>
          <w:color w:val="auto"/>
          <w:sz w:val="24"/>
          <w:szCs w:val="22"/>
          <w:highlight w:val="none"/>
          <w:u w:val="single"/>
          <w:shd w:val="clear" w:color="auto" w:fill="ffffff"/>
        </w:rPr>
        <w:t xml:space="preserve">（产品名称1）</w:t>
      </w:r>
      <w:r>
        <w:rPr>
          <w:rStyle w:val="671"/>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671"/>
          <w:rFonts w:hint="eastAsia" w:ascii="仿宋" w:hAnsi="仿宋" w:eastAsia="仿宋" w:cs="仿宋"/>
          <w:i w:val="0"/>
          <w:color w:val="auto"/>
          <w:sz w:val="24"/>
          <w:szCs w:val="22"/>
          <w:highlight w:val="none"/>
          <w:u w:val="single"/>
          <w:shd w:val="clear" w:color="auto" w:fill="ffffff"/>
        </w:rPr>
        <w:t xml:space="preserve">（厂名）</w:t>
      </w:r>
      <w:r>
        <w:rPr>
          <w:rStyle w:val="671"/>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671"/>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671"/>
          <w:rFonts w:hint="eastAsia" w:ascii="仿宋" w:hAnsi="仿宋" w:eastAsia="仿宋" w:cs="仿宋"/>
          <w:i w:val="0"/>
          <w:strike/>
          <w:color w:val="auto"/>
          <w:sz w:val="24"/>
          <w:szCs w:val="22"/>
          <w:highlight w:val="none"/>
          <w:u w:val="single"/>
          <w:shd w:val="clear" w:color="auto" w:fill="ffffff"/>
        </w:rPr>
        <w:t xml:space="preserve">（产品名称1）</w:t>
      </w:r>
      <w:r>
        <w:rPr>
          <w:rStyle w:val="671"/>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1"/>
          <w:rFonts w:hint="eastAsia" w:ascii="仿宋" w:hAnsi="仿宋" w:eastAsia="仿宋" w:cs="仿宋"/>
          <w:i w:val="0"/>
          <w:strike/>
          <w:color w:val="auto"/>
          <w:sz w:val="24"/>
          <w:szCs w:val="22"/>
          <w:highlight w:val="none"/>
          <w:u w:val="single"/>
          <w:shd w:val="clear" w:color="auto" w:fill="ffffff"/>
        </w:rPr>
        <w:t xml:space="preserve">（规定比例）</w:t>
      </w:r>
      <w:r>
        <w:rPr>
          <w:rStyle w:val="671"/>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6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1"/>
          <w:rFonts w:hint="eastAsia" w:ascii="仿宋" w:hAnsi="仿宋" w:eastAsia="仿宋" w:cs="仿宋"/>
          <w:i w:val="0"/>
          <w:strike/>
          <w:color w:val="auto"/>
          <w:sz w:val="24"/>
          <w:szCs w:val="22"/>
          <w:highlight w:val="none"/>
          <w:u w:val="single"/>
          <w:shd w:val="clear" w:color="auto" w:fill="ffffff"/>
        </w:rPr>
        <w:t xml:space="preserve">（关键组件）</w:t>
      </w:r>
      <w:r>
        <w:rPr>
          <w:rStyle w:val="671"/>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6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1"/>
          <w:rFonts w:hint="eastAsia" w:ascii="仿宋" w:hAnsi="仿宋" w:eastAsia="仿宋" w:cs="仿宋"/>
          <w:i w:val="0"/>
          <w:strike/>
          <w:color w:val="auto"/>
          <w:sz w:val="24"/>
          <w:szCs w:val="22"/>
          <w:highlight w:val="none"/>
          <w:u w:val="single"/>
          <w:shd w:val="clear" w:color="auto" w:fill="ffffff"/>
        </w:rPr>
        <w:t xml:space="preserve">（关键工序）</w:t>
      </w:r>
      <w:r>
        <w:rPr>
          <w:rStyle w:val="671"/>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666"/>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671"/>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671"/>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671"/>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671"/>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1"/>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671"/>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671"/>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6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1"/>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666"/>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666"/>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666"/>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666"/>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666"/>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44"/>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link w:val="866"/>
    <w:uiPriority w:val="0"/>
    <w:qFormat/>
    <w:pPr>
      <w:jc w:val="both"/>
      <w:widowControl w:val="off"/>
    </w:pPr>
    <w:rPr>
      <w:rFonts w:hint="default" w:ascii="Times New Roman" w:hAnsi="Times New Roman" w:eastAsia="宋体" w:cs="Times New Roman"/>
      <w:sz w:val="21"/>
      <w:lang w:val="en-US" w:eastAsia="zh-CN" w:bidi="ar-SA"/>
    </w:rPr>
  </w:style>
  <w:style w:type="paragraph" w:styleId="635">
    <w:name w:val="Heading 1"/>
    <w:basedOn w:val="634"/>
    <w:next w:val="634"/>
    <w:link w:val="674"/>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75"/>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76"/>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77"/>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78"/>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79"/>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81"/>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82"/>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正文首行缩进 21"/>
    <w:basedOn w:val="647"/>
    <w:uiPriority w:val="0"/>
    <w:qFormat/>
    <w:pPr>
      <w:ind w:left="0" w:firstLine="420"/>
      <w:spacing w:after="0" w:line="360" w:lineRule="auto"/>
    </w:pPr>
    <w:rPr>
      <w:rFonts w:ascii="宋体" w:hAnsi="宋体"/>
      <w:sz w:val="20"/>
      <w:szCs w:val="20"/>
      <w:lang w:val="en-US" w:eastAsia="en-US"/>
    </w:rPr>
  </w:style>
  <w:style w:type="paragraph" w:styleId="647" w:customStyle="1">
    <w:name w:val="正文文本缩进1"/>
    <w:basedOn w:val="634"/>
    <w:next w:val="646"/>
    <w:uiPriority w:val="0"/>
    <w:unhideWhenUsed/>
    <w:qFormat/>
    <w:pPr>
      <w:ind w:left="420"/>
      <w:spacing w:after="120"/>
    </w:pPr>
  </w:style>
  <w:style w:type="paragraph" w:styleId="648">
    <w:name w:val="toc 7"/>
    <w:basedOn w:val="634"/>
    <w:next w:val="634"/>
    <w:uiPriority w:val="39"/>
    <w:unhideWhenUsed/>
    <w:qFormat/>
    <w:pPr>
      <w:ind w:left="1701" w:right="0" w:firstLine="0"/>
      <w:spacing w:after="57"/>
    </w:pPr>
  </w:style>
  <w:style w:type="paragraph" w:styleId="649">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0">
    <w:name w:val="Body Text"/>
    <w:basedOn w:val="634"/>
    <w:next w:val="651"/>
    <w:uiPriority w:val="99"/>
    <w:qFormat/>
    <w:rPr>
      <w:rFonts w:ascii="楷体_GB2312" w:hAnsi="Arial" w:eastAsia="楷体_GB2312"/>
      <w:sz w:val="28"/>
      <w:szCs w:val="28"/>
    </w:rPr>
  </w:style>
  <w:style w:type="paragraph" w:styleId="651" w:customStyle="1">
    <w:name w:val="Default"/>
    <w:next w:val="634"/>
    <w:uiPriority w:val="0"/>
    <w:qFormat/>
    <w:pPr>
      <w:widowControl w:val="off"/>
    </w:pPr>
    <w:rPr>
      <w:rFonts w:hint="default" w:ascii="宋体" w:hAnsi="宋体" w:eastAsia="宋体" w:cs="宋体"/>
      <w:color w:val="000000"/>
      <w:sz w:val="24"/>
      <w:szCs w:val="24"/>
      <w:lang w:val="en-US" w:eastAsia="zh-CN" w:bidi="ar-SA"/>
    </w:rPr>
  </w:style>
  <w:style w:type="paragraph" w:styleId="652">
    <w:name w:val="toc 5"/>
    <w:basedOn w:val="634"/>
    <w:next w:val="634"/>
    <w:uiPriority w:val="39"/>
    <w:unhideWhenUsed/>
    <w:qFormat/>
    <w:pPr>
      <w:ind w:left="1134" w:right="0" w:firstLine="0"/>
      <w:spacing w:after="57"/>
    </w:pPr>
  </w:style>
  <w:style w:type="paragraph" w:styleId="653">
    <w:name w:val="toc 3"/>
    <w:basedOn w:val="634"/>
    <w:next w:val="634"/>
    <w:uiPriority w:val="39"/>
    <w:unhideWhenUsed/>
    <w:qFormat/>
    <w:pPr>
      <w:ind w:left="567" w:right="0" w:firstLine="0"/>
      <w:spacing w:after="57"/>
    </w:pPr>
  </w:style>
  <w:style w:type="paragraph" w:styleId="654">
    <w:name w:val="toc 8"/>
    <w:basedOn w:val="634"/>
    <w:next w:val="634"/>
    <w:uiPriority w:val="39"/>
    <w:unhideWhenUsed/>
    <w:qFormat/>
    <w:pPr>
      <w:ind w:left="1984" w:right="0" w:firstLine="0"/>
      <w:spacing w:after="57"/>
    </w:pPr>
  </w:style>
  <w:style w:type="paragraph" w:styleId="655">
    <w:name w:val="endnote text"/>
    <w:basedOn w:val="634"/>
    <w:link w:val="821"/>
    <w:uiPriority w:val="99"/>
    <w:semiHidden/>
    <w:unhideWhenUsed/>
    <w:qFormat/>
    <w:pPr>
      <w:spacing w:after="0" w:line="240" w:lineRule="auto"/>
    </w:pPr>
    <w:rPr>
      <w:sz w:val="20"/>
    </w:rPr>
  </w:style>
  <w:style w:type="paragraph" w:styleId="656">
    <w:name w:val="Footer"/>
    <w:basedOn w:val="634"/>
    <w:link w:val="694"/>
    <w:uiPriority w:val="99"/>
    <w:unhideWhenUsed/>
    <w:qFormat/>
    <w:pPr>
      <w:spacing w:after="0" w:line="240" w:lineRule="auto"/>
      <w:tabs>
        <w:tab w:val="center" w:pos="7143" w:leader="none"/>
        <w:tab w:val="right" w:pos="14287" w:leader="none"/>
      </w:tabs>
    </w:pPr>
  </w:style>
  <w:style w:type="paragraph" w:styleId="657">
    <w:name w:val="Header"/>
    <w:basedOn w:val="634"/>
    <w:link w:val="692"/>
    <w:uiPriority w:val="99"/>
    <w:unhideWhenUsed/>
    <w:qFormat/>
    <w:pPr>
      <w:spacing w:after="0" w:line="240" w:lineRule="auto"/>
      <w:tabs>
        <w:tab w:val="center" w:pos="7143" w:leader="none"/>
        <w:tab w:val="right" w:pos="14287" w:leader="none"/>
      </w:tabs>
    </w:pPr>
  </w:style>
  <w:style w:type="paragraph" w:styleId="658">
    <w:name w:val="toc 1"/>
    <w:basedOn w:val="634"/>
    <w:next w:val="634"/>
    <w:uiPriority w:val="39"/>
    <w:unhideWhenUsed/>
    <w:qFormat/>
    <w:pPr>
      <w:ind w:left="0" w:right="0" w:firstLine="0"/>
      <w:spacing w:after="57"/>
    </w:pPr>
  </w:style>
  <w:style w:type="paragraph" w:styleId="659">
    <w:name w:val="toc 4"/>
    <w:basedOn w:val="634"/>
    <w:next w:val="634"/>
    <w:uiPriority w:val="39"/>
    <w:unhideWhenUsed/>
    <w:qFormat/>
    <w:pPr>
      <w:ind w:left="850" w:right="0" w:firstLine="0"/>
      <w:spacing w:after="57"/>
    </w:pPr>
  </w:style>
  <w:style w:type="paragraph" w:styleId="660">
    <w:name w:val="Subtitle"/>
    <w:basedOn w:val="634"/>
    <w:next w:val="634"/>
    <w:link w:val="687"/>
    <w:uiPriority w:val="11"/>
    <w:qFormat/>
    <w:pPr>
      <w:spacing w:before="200" w:after="200"/>
    </w:pPr>
    <w:rPr>
      <w:sz w:val="24"/>
      <w:szCs w:val="24"/>
    </w:rPr>
  </w:style>
  <w:style w:type="paragraph" w:styleId="661">
    <w:name w:val="footnote text"/>
    <w:basedOn w:val="634"/>
    <w:link w:val="820"/>
    <w:uiPriority w:val="99"/>
    <w:semiHidden/>
    <w:unhideWhenUsed/>
    <w:qFormat/>
    <w:pPr>
      <w:spacing w:after="40" w:line="240" w:lineRule="auto"/>
    </w:pPr>
    <w:rPr>
      <w:sz w:val="18"/>
    </w:rPr>
  </w:style>
  <w:style w:type="paragraph" w:styleId="662">
    <w:name w:val="toc 6"/>
    <w:basedOn w:val="634"/>
    <w:next w:val="634"/>
    <w:uiPriority w:val="39"/>
    <w:unhideWhenUsed/>
    <w:qFormat/>
    <w:pPr>
      <w:ind w:left="1417" w:right="0" w:firstLine="0"/>
      <w:spacing w:after="57"/>
    </w:pPr>
  </w:style>
  <w:style w:type="paragraph" w:styleId="663">
    <w:name w:val="table of figures"/>
    <w:basedOn w:val="634"/>
    <w:next w:val="634"/>
    <w:uiPriority w:val="99"/>
    <w:unhideWhenUsed/>
    <w:qFormat/>
    <w:pPr>
      <w:spacing w:after="0" w:afterAutospacing="0"/>
    </w:pPr>
  </w:style>
  <w:style w:type="paragraph" w:styleId="664">
    <w:name w:val="toc 2"/>
    <w:basedOn w:val="634"/>
    <w:next w:val="634"/>
    <w:uiPriority w:val="39"/>
    <w:unhideWhenUsed/>
    <w:qFormat/>
    <w:pPr>
      <w:ind w:left="283" w:right="0" w:firstLine="0"/>
      <w:spacing w:after="57"/>
    </w:pPr>
  </w:style>
  <w:style w:type="paragraph" w:styleId="665">
    <w:name w:val="toc 9"/>
    <w:basedOn w:val="634"/>
    <w:next w:val="634"/>
    <w:uiPriority w:val="39"/>
    <w:unhideWhenUsed/>
    <w:qFormat/>
    <w:pPr>
      <w:ind w:left="2268" w:right="0" w:firstLine="0"/>
      <w:spacing w:after="57"/>
    </w:pPr>
  </w:style>
  <w:style w:type="paragraph" w:styleId="666">
    <w:name w:val="Normal (Web)"/>
    <w:basedOn w:val="634"/>
    <w:uiPriority w:val="0"/>
    <w:qFormat/>
    <w:pPr>
      <w:jc w:val="left"/>
      <w:spacing w:beforeAutospacing="1" w:afterAutospacing="1"/>
    </w:pPr>
    <w:rPr>
      <w:sz w:val="24"/>
    </w:rPr>
  </w:style>
  <w:style w:type="paragraph" w:styleId="667">
    <w:name w:val="Title"/>
    <w:basedOn w:val="634"/>
    <w:next w:val="634"/>
    <w:link w:val="686"/>
    <w:uiPriority w:val="10"/>
    <w:qFormat/>
    <w:pPr>
      <w:contextualSpacing/>
      <w:spacing w:before="300" w:after="200"/>
    </w:pPr>
    <w:rPr>
      <w:sz w:val="48"/>
      <w:szCs w:val="48"/>
    </w:rPr>
  </w:style>
  <w:style w:type="table" w:styleId="6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4"/>
    <w:uiPriority w:val="22"/>
    <w:qFormat/>
    <w:rPr>
      <w:b/>
    </w:rPr>
  </w:style>
  <w:style w:type="character" w:styleId="670">
    <w:name w:val="endnote reference"/>
    <w:uiPriority w:val="99"/>
    <w:semiHidden/>
    <w:unhideWhenUsed/>
    <w:qFormat/>
    <w:rPr>
      <w:vertAlign w:val="superscript"/>
    </w:rPr>
  </w:style>
  <w:style w:type="character" w:styleId="671">
    <w:name w:val="Emphasis"/>
    <w:uiPriority w:val="0"/>
    <w:qFormat/>
    <w:rPr>
      <w:i/>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character" w:styleId="674" w:customStyle="1">
    <w:name w:val="Heading 1 Char"/>
    <w:link w:val="635"/>
    <w:uiPriority w:val="9"/>
    <w:qFormat/>
    <w:rPr>
      <w:rFonts w:ascii="Arial" w:hAnsi="Arial" w:eastAsia="Arial" w:cs="Arial"/>
      <w:sz w:val="40"/>
      <w:szCs w:val="40"/>
    </w:rPr>
  </w:style>
  <w:style w:type="character" w:styleId="675" w:customStyle="1">
    <w:name w:val="Heading 2 Char"/>
    <w:link w:val="636"/>
    <w:uiPriority w:val="9"/>
    <w:qFormat/>
    <w:rPr>
      <w:rFonts w:ascii="Arial" w:hAnsi="Arial" w:eastAsia="Arial" w:cs="Arial"/>
      <w:sz w:val="34"/>
    </w:rPr>
  </w:style>
  <w:style w:type="character" w:styleId="676" w:customStyle="1">
    <w:name w:val="Heading 3 Char"/>
    <w:link w:val="637"/>
    <w:uiPriority w:val="9"/>
    <w:qFormat/>
    <w:rPr>
      <w:rFonts w:ascii="Arial" w:hAnsi="Arial" w:eastAsia="Arial" w:cs="Arial"/>
      <w:sz w:val="30"/>
      <w:szCs w:val="30"/>
    </w:rPr>
  </w:style>
  <w:style w:type="character" w:styleId="677" w:customStyle="1">
    <w:name w:val="Heading 4 Char"/>
    <w:link w:val="638"/>
    <w:uiPriority w:val="9"/>
    <w:qFormat/>
    <w:rPr>
      <w:rFonts w:ascii="Arial" w:hAnsi="Arial" w:eastAsia="Arial" w:cs="Arial"/>
      <w:b/>
      <w:bCs/>
      <w:sz w:val="26"/>
      <w:szCs w:val="26"/>
    </w:rPr>
  </w:style>
  <w:style w:type="character" w:styleId="678" w:customStyle="1">
    <w:name w:val="Heading 5 Char"/>
    <w:link w:val="639"/>
    <w:uiPriority w:val="9"/>
    <w:qFormat/>
    <w:rPr>
      <w:rFonts w:ascii="Arial" w:hAnsi="Arial" w:eastAsia="Arial" w:cs="Arial"/>
      <w:b/>
      <w:bCs/>
      <w:sz w:val="24"/>
      <w:szCs w:val="24"/>
    </w:rPr>
  </w:style>
  <w:style w:type="character" w:styleId="679" w:customStyle="1">
    <w:name w:val="Heading 6 Char"/>
    <w:link w:val="640"/>
    <w:uiPriority w:val="9"/>
    <w:qFormat/>
    <w:rPr>
      <w:rFonts w:ascii="Arial" w:hAnsi="Arial" w:eastAsia="Arial" w:cs="Arial"/>
      <w:b/>
      <w:bCs/>
      <w:sz w:val="22"/>
      <w:szCs w:val="22"/>
    </w:rPr>
  </w:style>
  <w:style w:type="character" w:styleId="680" w:customStyle="1">
    <w:name w:val="Heading 7 Char"/>
    <w:link w:val="641"/>
    <w:uiPriority w:val="9"/>
    <w:qFormat/>
    <w:rPr>
      <w:rFonts w:ascii="Arial" w:hAnsi="Arial" w:eastAsia="Arial" w:cs="Arial"/>
      <w:b/>
      <w:bCs/>
      <w:i/>
      <w:iCs/>
      <w:sz w:val="22"/>
      <w:szCs w:val="22"/>
    </w:rPr>
  </w:style>
  <w:style w:type="character" w:styleId="681" w:customStyle="1">
    <w:name w:val="Heading 8 Char"/>
    <w:link w:val="642"/>
    <w:uiPriority w:val="9"/>
    <w:qFormat/>
    <w:rPr>
      <w:rFonts w:ascii="Arial" w:hAnsi="Arial" w:eastAsia="Arial" w:cs="Arial"/>
      <w:i/>
      <w:iCs/>
      <w:sz w:val="22"/>
      <w:szCs w:val="22"/>
    </w:rPr>
  </w:style>
  <w:style w:type="character" w:styleId="682" w:customStyle="1">
    <w:name w:val="Heading 9 Char"/>
    <w:link w:val="643"/>
    <w:uiPriority w:val="9"/>
    <w:qFormat/>
    <w:rPr>
      <w:rFonts w:ascii="Arial" w:hAnsi="Arial" w:eastAsia="Arial" w:cs="Arial"/>
      <w:i/>
      <w:iCs/>
      <w:sz w:val="21"/>
      <w:szCs w:val="21"/>
    </w:rPr>
  </w:style>
  <w:style w:type="paragraph" w:styleId="683">
    <w:name w:val="List Paragraph"/>
    <w:basedOn w:val="634"/>
    <w:next w:val="684"/>
    <w:uiPriority w:val="34"/>
    <w:qFormat/>
    <w:pPr>
      <w:contextualSpacing/>
      <w:ind w:left="720"/>
    </w:pPr>
  </w:style>
  <w:style w:type="paragraph" w:styleId="684" w:customStyle="1">
    <w:name w:val="批注文字1"/>
    <w:basedOn w:val="634"/>
    <w:link w:val="830"/>
    <w:uiPriority w:val="0"/>
    <w:qFormat/>
    <w:pPr>
      <w:jc w:val="left"/>
    </w:pPr>
  </w:style>
  <w:style w:type="paragraph" w:styleId="685">
    <w:name w:val="No Spacing"/>
    <w:uiPriority w:val="1"/>
    <w:qFormat/>
    <w:pPr>
      <w:spacing w:before="0" w:after="0" w:line="240" w:lineRule="auto"/>
    </w:pPr>
    <w:rPr>
      <w:rFonts w:hint="default" w:ascii="Times New Roman" w:hAnsi="Times New Roman" w:eastAsia="宋体" w:cs="Times New Roman"/>
    </w:rPr>
  </w:style>
  <w:style w:type="character" w:styleId="686" w:customStyle="1">
    <w:name w:val="Title Char"/>
    <w:link w:val="667"/>
    <w:uiPriority w:val="10"/>
    <w:qFormat/>
    <w:rPr>
      <w:sz w:val="48"/>
      <w:szCs w:val="48"/>
    </w:rPr>
  </w:style>
  <w:style w:type="character" w:styleId="687" w:customStyle="1">
    <w:name w:val="Subtitle Char"/>
    <w:link w:val="660"/>
    <w:uiPriority w:val="11"/>
    <w:qFormat/>
    <w:rPr>
      <w:sz w:val="24"/>
      <w:szCs w:val="24"/>
    </w:rPr>
  </w:style>
  <w:style w:type="paragraph" w:styleId="688">
    <w:name w:val="Quote"/>
    <w:basedOn w:val="634"/>
    <w:next w:val="634"/>
    <w:link w:val="689"/>
    <w:uiPriority w:val="29"/>
    <w:qFormat/>
    <w:pPr>
      <w:ind w:left="720" w:right="720"/>
    </w:pPr>
    <w:rPr>
      <w:i/>
    </w:rPr>
  </w:style>
  <w:style w:type="character" w:styleId="689" w:customStyle="1">
    <w:name w:val="Quote Char"/>
    <w:link w:val="688"/>
    <w:uiPriority w:val="29"/>
    <w:qFormat/>
    <w:rPr>
      <w:i/>
    </w:rPr>
  </w:style>
  <w:style w:type="paragraph" w:styleId="690">
    <w:name w:val="Intense Quote"/>
    <w:basedOn w:val="634"/>
    <w:next w:val="634"/>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Intense Quote Char"/>
    <w:link w:val="690"/>
    <w:uiPriority w:val="30"/>
    <w:qFormat/>
    <w:rPr>
      <w:i/>
    </w:rPr>
  </w:style>
  <w:style w:type="character" w:styleId="692" w:customStyle="1">
    <w:name w:val="Header Char"/>
    <w:link w:val="657"/>
    <w:uiPriority w:val="99"/>
    <w:qFormat/>
  </w:style>
  <w:style w:type="character" w:styleId="693" w:customStyle="1">
    <w:name w:val="Footer Char"/>
    <w:link w:val="656"/>
    <w:uiPriority w:val="99"/>
    <w:qFormat/>
  </w:style>
  <w:style w:type="character" w:styleId="694" w:customStyle="1">
    <w:name w:val="Caption Char"/>
    <w:link w:val="656"/>
    <w:uiPriority w:val="99"/>
    <w:qFormat/>
  </w:style>
  <w:style w:type="table" w:styleId="6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1"/>
    <w:uiPriority w:val="99"/>
    <w:qFormat/>
    <w:rPr>
      <w:sz w:val="18"/>
    </w:rPr>
  </w:style>
  <w:style w:type="character" w:styleId="821" w:customStyle="1">
    <w:name w:val="Endnote Text Char"/>
    <w:link w:val="655"/>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标题 11"/>
    <w:basedOn w:val="634"/>
    <w:next w:val="634"/>
    <w:link w:val="829"/>
    <w:uiPriority w:val="0"/>
    <w:qFormat/>
    <w:pPr>
      <w:keepLines/>
      <w:keepNext/>
      <w:spacing w:before="340" w:after="330" w:line="578" w:lineRule="auto"/>
      <w:outlineLvl w:val="0"/>
    </w:pPr>
    <w:rPr>
      <w:b/>
      <w:bCs/>
      <w:sz w:val="44"/>
      <w:szCs w:val="44"/>
    </w:rPr>
  </w:style>
  <w:style w:type="paragraph" w:styleId="824" w:customStyle="1">
    <w:name w:val="标题 21"/>
    <w:basedOn w:val="634"/>
    <w:next w:val="634"/>
    <w:uiPriority w:val="0"/>
    <w:qFormat/>
    <w:pPr>
      <w:keepLines/>
      <w:keepNext/>
      <w:spacing w:line="360" w:lineRule="auto"/>
      <w:outlineLvl w:val="1"/>
    </w:pPr>
    <w:rPr>
      <w:rFonts w:ascii="Arial" w:hAnsi="Arial"/>
      <w:b/>
      <w:bCs/>
      <w:sz w:val="24"/>
      <w:szCs w:val="32"/>
    </w:rPr>
  </w:style>
  <w:style w:type="paragraph" w:styleId="825" w:customStyle="1">
    <w:name w:val="标题 41"/>
    <w:basedOn w:val="634"/>
    <w:next w:val="826"/>
    <w:uiPriority w:val="0"/>
    <w:qFormat/>
    <w:pPr>
      <w:jc w:val="center"/>
      <w:keepNext/>
      <w:outlineLvl w:val="3"/>
    </w:pPr>
    <w:rPr>
      <w:rFonts w:eastAsia="新宋体"/>
      <w:sz w:val="30"/>
      <w:szCs w:val="21"/>
    </w:rPr>
  </w:style>
  <w:style w:type="paragraph" w:styleId="826" w:customStyle="1">
    <w:name w:val="正文缩进11"/>
    <w:basedOn w:val="634"/>
    <w:uiPriority w:val="0"/>
    <w:qFormat/>
    <w:pPr>
      <w:ind w:firstLine="420"/>
    </w:pPr>
  </w:style>
  <w:style w:type="character" w:styleId="827" w:customStyle="1">
    <w:name w:val="默认段落字体1"/>
    <w:link w:val="634"/>
    <w:uiPriority w:val="1"/>
    <w:unhideWhenUsed/>
    <w:qFormat/>
  </w:style>
  <w:style w:type="table" w:styleId="828" w:customStyle="1">
    <w:name w:val="普通表格1"/>
    <w:uiPriority w:val="99"/>
    <w:unhideWhenUsed/>
    <w:qFormat/>
    <w:tblPr/>
  </w:style>
  <w:style w:type="character" w:styleId="829" w:customStyle="1">
    <w:name w:val="标题 1 字符"/>
    <w:link w:val="823"/>
    <w:uiPriority w:val="0"/>
    <w:qFormat/>
    <w:rPr>
      <w:rFonts w:ascii="Times New Roman" w:hAnsi="Times New Roman"/>
      <w:b/>
      <w:bCs/>
      <w:sz w:val="44"/>
      <w:szCs w:val="44"/>
    </w:rPr>
  </w:style>
  <w:style w:type="character" w:styleId="830" w:customStyle="1">
    <w:name w:val="批注文字 字符"/>
    <w:link w:val="684"/>
    <w:uiPriority w:val="0"/>
    <w:qFormat/>
    <w:rPr>
      <w:sz w:val="21"/>
    </w:rPr>
  </w:style>
  <w:style w:type="paragraph" w:styleId="831" w:customStyle="1">
    <w:name w:val="正文文本11"/>
    <w:basedOn w:val="634"/>
    <w:next w:val="634"/>
    <w:uiPriority w:val="0"/>
    <w:qFormat/>
    <w:rPr>
      <w:rFonts w:ascii="仿宋_GB2312" w:eastAsia="仿宋_GB2312"/>
      <w:sz w:val="24"/>
    </w:rPr>
  </w:style>
  <w:style w:type="paragraph" w:styleId="832" w:customStyle="1">
    <w:name w:val="正文文本缩进11"/>
    <w:basedOn w:val="634"/>
    <w:next w:val="833"/>
    <w:link w:val="834"/>
    <w:uiPriority w:val="0"/>
    <w:qFormat/>
    <w:pPr>
      <w:ind w:left="420"/>
      <w:spacing w:after="120"/>
    </w:pPr>
  </w:style>
  <w:style w:type="paragraph" w:styleId="833" w:customStyle="1">
    <w:name w:val="寄信人地址1"/>
    <w:basedOn w:val="634"/>
    <w:uiPriority w:val="0"/>
    <w:qFormat/>
    <w:rPr>
      <w:rFonts w:ascii="Arial" w:hAnsi="Arial"/>
    </w:rPr>
  </w:style>
  <w:style w:type="character" w:styleId="834" w:customStyle="1">
    <w:name w:val="正文文本缩进 字符"/>
    <w:link w:val="832"/>
    <w:uiPriority w:val="0"/>
    <w:qFormat/>
    <w:rPr>
      <w:sz w:val="21"/>
    </w:rPr>
  </w:style>
  <w:style w:type="paragraph" w:styleId="835" w:customStyle="1">
    <w:name w:val="索引 41"/>
    <w:basedOn w:val="634"/>
    <w:next w:val="634"/>
    <w:uiPriority w:val="99"/>
    <w:unhideWhenUsed/>
    <w:qFormat/>
    <w:pPr>
      <w:ind w:left="600"/>
    </w:pPr>
  </w:style>
  <w:style w:type="paragraph" w:styleId="836" w:customStyle="1">
    <w:name w:val="纯文本11"/>
    <w:basedOn w:val="634"/>
    <w:uiPriority w:val="0"/>
    <w:qFormat/>
    <w:rPr>
      <w:rFonts w:ascii="宋体" w:hAnsi="Courier New" w:cs="Courier New"/>
      <w:szCs w:val="21"/>
    </w:rPr>
  </w:style>
  <w:style w:type="paragraph" w:styleId="837" w:customStyle="1">
    <w:name w:val="批注框文本1"/>
    <w:basedOn w:val="634"/>
    <w:link w:val="838"/>
    <w:uiPriority w:val="0"/>
    <w:qFormat/>
    <w:rPr>
      <w:sz w:val="18"/>
      <w:szCs w:val="18"/>
    </w:rPr>
  </w:style>
  <w:style w:type="character" w:styleId="838" w:customStyle="1">
    <w:name w:val="批注框文本 字符"/>
    <w:link w:val="837"/>
    <w:uiPriority w:val="0"/>
    <w:qFormat/>
    <w:rPr>
      <w:sz w:val="18"/>
      <w:szCs w:val="18"/>
    </w:rPr>
  </w:style>
  <w:style w:type="paragraph" w:styleId="839" w:customStyle="1">
    <w:name w:val="页脚11"/>
    <w:basedOn w:val="634"/>
    <w:link w:val="840"/>
    <w:uiPriority w:val="99"/>
    <w:qFormat/>
    <w:pPr>
      <w:jc w:val="left"/>
      <w:tabs>
        <w:tab w:val="center" w:pos="4153" w:leader="none"/>
        <w:tab w:val="right" w:pos="8306" w:leader="none"/>
      </w:tabs>
    </w:pPr>
    <w:rPr>
      <w:sz w:val="18"/>
      <w:szCs w:val="18"/>
    </w:rPr>
  </w:style>
  <w:style w:type="character" w:styleId="840" w:customStyle="1">
    <w:name w:val="页脚 字符"/>
    <w:link w:val="839"/>
    <w:uiPriority w:val="99"/>
    <w:qFormat/>
    <w:rPr>
      <w:rFonts w:ascii="Times New Roman" w:hAnsi="Times New Roman" w:eastAsia="宋体" w:cs="Times New Roman"/>
      <w:sz w:val="18"/>
      <w:szCs w:val="18"/>
    </w:rPr>
  </w:style>
  <w:style w:type="paragraph" w:styleId="841" w:customStyle="1">
    <w:name w:val="页眉1"/>
    <w:basedOn w:val="63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2" w:customStyle="1">
    <w:name w:val="目录 11"/>
    <w:basedOn w:val="634"/>
    <w:next w:val="634"/>
    <w:uiPriority w:val="39"/>
    <w:qFormat/>
  </w:style>
  <w:style w:type="paragraph" w:styleId="843" w:customStyle="1">
    <w:name w:val="正文文本缩进 31"/>
    <w:basedOn w:val="634"/>
    <w:uiPriority w:val="0"/>
    <w:qFormat/>
    <w:pPr>
      <w:ind w:left="645" w:firstLine="645"/>
    </w:pPr>
    <w:rPr>
      <w:rFonts w:ascii="Arial" w:hAnsi="Arial" w:eastAsia="仿宋_GB2312"/>
      <w:color w:val="ffff00"/>
      <w:sz w:val="32"/>
      <w:szCs w:val="32"/>
    </w:rPr>
  </w:style>
  <w:style w:type="paragraph" w:styleId="844" w:customStyle="1">
    <w:name w:val="普通(网站)11"/>
    <w:basedOn w:val="634"/>
    <w:uiPriority w:val="99"/>
    <w:unhideWhenUsed/>
    <w:qFormat/>
    <w:pPr>
      <w:jc w:val="left"/>
      <w:spacing w:before="100" w:beforeAutospacing="1" w:after="100" w:afterAutospacing="1"/>
      <w:widowControl/>
    </w:pPr>
    <w:rPr>
      <w:rFonts w:ascii="宋体" w:hAnsi="宋体" w:cs="宋体"/>
      <w:sz w:val="24"/>
      <w:szCs w:val="24"/>
    </w:rPr>
  </w:style>
  <w:style w:type="paragraph" w:styleId="845" w:customStyle="1">
    <w:name w:val="批注主题1"/>
    <w:basedOn w:val="684"/>
    <w:next w:val="684"/>
    <w:link w:val="846"/>
    <w:uiPriority w:val="0"/>
    <w:qFormat/>
    <w:rPr>
      <w:b/>
      <w:bCs/>
    </w:rPr>
  </w:style>
  <w:style w:type="character" w:styleId="846" w:customStyle="1">
    <w:name w:val="批注主题 字符"/>
    <w:link w:val="845"/>
    <w:uiPriority w:val="0"/>
    <w:qFormat/>
    <w:rPr>
      <w:b/>
      <w:bCs/>
      <w:sz w:val="21"/>
    </w:rPr>
  </w:style>
  <w:style w:type="paragraph" w:styleId="847" w:customStyle="1">
    <w:name w:val="正文首行缩进1"/>
    <w:basedOn w:val="831"/>
    <w:link w:val="848"/>
    <w:uiPriority w:val="0"/>
    <w:qFormat/>
    <w:pPr>
      <w:ind w:firstLine="420"/>
      <w:spacing w:after="120"/>
    </w:pPr>
    <w:rPr>
      <w:rFonts w:ascii="Times New Roman" w:eastAsia="宋体"/>
      <w:szCs w:val="24"/>
    </w:rPr>
  </w:style>
  <w:style w:type="character" w:styleId="848" w:customStyle="1">
    <w:name w:val="正文首行缩进 字符"/>
    <w:link w:val="847"/>
    <w:uiPriority w:val="0"/>
    <w:qFormat/>
    <w:rPr>
      <w:sz w:val="24"/>
      <w:szCs w:val="24"/>
    </w:rPr>
  </w:style>
  <w:style w:type="paragraph" w:styleId="849" w:customStyle="1">
    <w:name w:val="正文首行缩进 211"/>
    <w:basedOn w:val="832"/>
    <w:next w:val="843"/>
    <w:uiPriority w:val="0"/>
    <w:qFormat/>
    <w:pPr>
      <w:ind w:left="0" w:firstLine="420"/>
      <w:spacing w:after="0" w:line="360" w:lineRule="auto"/>
    </w:pPr>
    <w:rPr>
      <w:rFonts w:ascii="宋体" w:hAnsi="宋体"/>
      <w:sz w:val="20"/>
      <w:szCs w:val="20"/>
    </w:rPr>
  </w:style>
  <w:style w:type="table" w:styleId="850" w:customStyle="1">
    <w:name w:val="网格型1"/>
    <w:basedOn w:val="828"/>
    <w:uiPriority w:val="39"/>
    <w:qFormat/>
    <w:tblPr/>
  </w:style>
  <w:style w:type="character" w:styleId="851" w:customStyle="1">
    <w:name w:val="要点1"/>
    <w:link w:val="634"/>
    <w:uiPriority w:val="22"/>
    <w:qFormat/>
    <w:rPr>
      <w:b/>
      <w:bCs/>
    </w:rPr>
  </w:style>
  <w:style w:type="character" w:styleId="852" w:customStyle="1">
    <w:name w:val="已访问的超链接1"/>
    <w:link w:val="634"/>
    <w:uiPriority w:val="0"/>
    <w:qFormat/>
    <w:rPr>
      <w:rFonts w:ascii="Times New Roman" w:hAnsi="Times New Roman" w:eastAsia="宋体" w:cs="Times New Roman"/>
      <w:sz w:val="21"/>
      <w:lang w:val="en-US" w:eastAsia="zh-CN" w:bidi="ar-SA"/>
    </w:rPr>
  </w:style>
  <w:style w:type="character" w:styleId="853" w:customStyle="1">
    <w:name w:val="强调1"/>
    <w:link w:val="634"/>
    <w:uiPriority w:val="0"/>
    <w:qFormat/>
    <w:rPr>
      <w:i/>
    </w:rPr>
  </w:style>
  <w:style w:type="character" w:styleId="854" w:customStyle="1">
    <w:name w:val="超链接1"/>
    <w:link w:val="634"/>
    <w:uiPriority w:val="99"/>
    <w:unhideWhenUsed/>
    <w:qFormat/>
    <w:rPr>
      <w:color w:val="0563c1"/>
      <w:u w:val="single"/>
    </w:rPr>
  </w:style>
  <w:style w:type="character" w:styleId="855" w:customStyle="1">
    <w:name w:val="批注引用1"/>
    <w:link w:val="634"/>
    <w:uiPriority w:val="0"/>
    <w:qFormat/>
    <w:rPr>
      <w:sz w:val="21"/>
      <w:szCs w:val="21"/>
    </w:rPr>
  </w:style>
  <w:style w:type="paragraph" w:styleId="856" w:customStyle="1">
    <w:name w:val="普通文字"/>
    <w:basedOn w:val="634"/>
    <w:next w:val="634"/>
    <w:uiPriority w:val="0"/>
    <w:qFormat/>
    <w:rPr>
      <w:rFonts w:ascii="宋体"/>
      <w:sz w:val="24"/>
    </w:rPr>
  </w:style>
  <w:style w:type="paragraph" w:styleId="857" w:customStyle="1">
    <w:name w:val="正文缩进1"/>
    <w:basedOn w:val="634"/>
    <w:uiPriority w:val="0"/>
    <w:qFormat/>
    <w:pPr>
      <w:ind w:firstLine="420"/>
      <w:jc w:val="left"/>
    </w:pPr>
    <w:rPr>
      <w:rFonts w:ascii="宋体" w:hAnsi="Calibri"/>
      <w:sz w:val="24"/>
      <w:szCs w:val="22"/>
    </w:rPr>
  </w:style>
  <w:style w:type="paragraph" w:styleId="858" w:customStyle="1">
    <w:name w:val="索引 11"/>
    <w:basedOn w:val="634"/>
    <w:next w:val="634"/>
    <w:uiPriority w:val="0"/>
    <w:qFormat/>
    <w:pPr>
      <w:spacing w:line="360" w:lineRule="auto"/>
    </w:pPr>
    <w:rPr>
      <w:rFonts w:ascii="仿宋_GB2312" w:eastAsia="仿宋_GB2312"/>
      <w:sz w:val="24"/>
    </w:rPr>
  </w:style>
  <w:style w:type="paragraph" w:styleId="859" w:customStyle="1">
    <w:name w:val="纯文本1"/>
    <w:basedOn w:val="634"/>
    <w:uiPriority w:val="0"/>
    <w:qFormat/>
    <w:rPr>
      <w:rFonts w:ascii="宋体" w:hAnsi="Courier New"/>
      <w:szCs w:val="22"/>
    </w:rPr>
  </w:style>
  <w:style w:type="paragraph" w:styleId="860" w:customStyle="1">
    <w:name w:val="普通(网站)1"/>
    <w:basedOn w:val="634"/>
    <w:uiPriority w:val="99"/>
    <w:qFormat/>
    <w:pPr>
      <w:jc w:val="left"/>
      <w:spacing w:before="100" w:beforeAutospacing="1" w:after="100" w:afterAutospacing="1"/>
    </w:pPr>
    <w:rPr>
      <w:sz w:val="24"/>
    </w:rPr>
  </w:style>
  <w:style w:type="paragraph" w:styleId="861" w:customStyle="1">
    <w:name w:val="正文文本1"/>
    <w:basedOn w:val="634"/>
    <w:next w:val="634"/>
    <w:uiPriority w:val="0"/>
    <w:qFormat/>
    <w:rPr>
      <w:sz w:val="20"/>
    </w:rPr>
  </w:style>
  <w:style w:type="paragraph" w:styleId="862" w:customStyle="1">
    <w:name w:val="正文文本首行缩进"/>
    <w:basedOn w:val="861"/>
    <w:uiPriority w:val="0"/>
    <w:qFormat/>
    <w:pPr>
      <w:ind w:firstLine="420"/>
      <w:spacing w:after="120"/>
      <w:tabs>
        <w:tab w:val="left" w:pos="2020" w:leader="none"/>
        <w:tab w:val="center" w:pos="4535" w:leader="none"/>
      </w:tabs>
    </w:pPr>
    <w:rPr>
      <w:sz w:val="21"/>
    </w:rPr>
  </w:style>
  <w:style w:type="paragraph" w:styleId="863" w:customStyle="1">
    <w:name w:val="纯文本2"/>
    <w:basedOn w:val="634"/>
    <w:uiPriority w:val="0"/>
    <w:qFormat/>
    <w:rPr>
      <w:rFonts w:ascii="宋体" w:hAnsi="Courier New"/>
    </w:rPr>
  </w:style>
  <w:style w:type="paragraph" w:styleId="864" w:customStyle="1">
    <w:name w:val="正文文本 21"/>
    <w:basedOn w:val="634"/>
    <w:uiPriority w:val="0"/>
    <w:qFormat/>
    <w:pPr>
      <w:spacing w:after="120" w:line="480" w:lineRule="auto"/>
    </w:pPr>
    <w:rPr>
      <w:sz w:val="20"/>
    </w:rPr>
  </w:style>
  <w:style w:type="paragraph" w:styleId="865" w:customStyle="1">
    <w:name w:val="页脚1"/>
    <w:basedOn w:val="634"/>
    <w:uiPriority w:val="0"/>
    <w:qFormat/>
    <w:pPr>
      <w:jc w:val="left"/>
      <w:tabs>
        <w:tab w:val="center" w:pos="4153" w:leader="none"/>
        <w:tab w:val="right" w:pos="8306" w:leader="none"/>
      </w:tabs>
    </w:pPr>
    <w:rPr>
      <w:sz w:val="18"/>
    </w:rPr>
  </w:style>
  <w:style w:type="character" w:styleId="866" w:customStyle="1">
    <w:name w:val="custom-tag-placeholder-class"/>
    <w:link w:val="634"/>
    <w:uiPriority w:val="0"/>
    <w:qFormat/>
  </w:style>
  <w:style w:type="paragraph" w:styleId="8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8" w:customStyle="1">
    <w:name w:val="列出段落1"/>
    <w:basedOn w:val="634"/>
    <w:uiPriority w:val="0"/>
    <w:qFormat/>
    <w:pPr>
      <w:ind w:firstLine="420"/>
    </w:pPr>
    <w:rPr>
      <w:szCs w:val="21"/>
    </w:rPr>
  </w:style>
  <w:style w:type="paragraph" w:styleId="869" w:customStyle="1">
    <w:name w:val="标题 111"/>
    <w:basedOn w:val="634"/>
    <w:next w:val="634"/>
    <w:uiPriority w:val="0"/>
    <w:qFormat/>
    <w:pPr>
      <w:keepLines/>
      <w:keepNext/>
      <w:spacing w:before="340" w:after="330" w:line="578" w:lineRule="auto"/>
      <w:outlineLvl w:val="0"/>
    </w:pPr>
    <w:rPr>
      <w:b/>
      <w:bCs/>
      <w:sz w:val="44"/>
      <w:szCs w:val="44"/>
      <w:lang w:val="en-US" w:eastAsia="en-US"/>
    </w:rPr>
  </w:style>
  <w:style w:type="paragraph" w:styleId="870" w:customStyle="1">
    <w:name w:val="普通(网站)2"/>
    <w:basedOn w:val="634"/>
    <w:uiPriority w:val="99"/>
    <w:unhideWhenUsed/>
    <w:qFormat/>
    <w:pPr>
      <w:jc w:val="left"/>
      <w:spacing w:before="100" w:beforeAutospacing="1" w:after="100" w:afterAutospacing="1"/>
      <w:widowControl/>
    </w:pPr>
    <w:rPr>
      <w:rFonts w:ascii="宋体" w:hAnsi="宋体" w:cs="宋体"/>
      <w:sz w:val="24"/>
      <w:szCs w:val="24"/>
    </w:rPr>
  </w:style>
  <w:style w:type="paragraph" w:styleId="871"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872" w:customStyle="1">
    <w:name w:val="正文首行缩进11"/>
    <w:basedOn w:val="831"/>
    <w:uiPriority w:val="0"/>
    <w:qFormat/>
    <w:pPr>
      <w:ind w:firstLine="200"/>
      <w:spacing w:line="360" w:lineRule="auto"/>
    </w:pPr>
    <w:rPr>
      <w:rFonts w:ascii="仿宋_GB2312" w:hAnsi="Times New Roman" w:eastAsia="仿宋_GB2312"/>
      <w:sz w:val="30"/>
      <w:szCs w:val="30"/>
    </w:rPr>
  </w:style>
  <w:style w:type="character" w:styleId="873" w:customStyle="1">
    <w:name w:val="font51"/>
    <w:basedOn w:val="644"/>
    <w:uiPriority w:val="0"/>
    <w:qFormat/>
    <w:rPr>
      <w:rFonts w:hint="eastAsia" w:ascii="宋体" w:hAnsi="宋体" w:eastAsia="宋体" w:cs="宋体"/>
      <w:color w:val="000000"/>
      <w:sz w:val="21"/>
      <w:szCs w:val="21"/>
      <w:u w:val="none"/>
    </w:rPr>
  </w:style>
  <w:style w:type="character" w:styleId="874" w:customStyle="1">
    <w:name w:val="font41"/>
    <w:basedOn w:val="644"/>
    <w:uiPriority w:val="0"/>
    <w:qFormat/>
    <w:rPr>
      <w:rFonts w:hint="eastAsia" w:ascii="宋体" w:hAnsi="宋体" w:eastAsia="宋体" w:cs="宋体"/>
      <w:color w:val="000000"/>
      <w:sz w:val="22"/>
      <w:szCs w:val="22"/>
      <w:u w:val="none"/>
    </w:rPr>
  </w:style>
  <w:style w:type="character" w:styleId="875" w:customStyle="1">
    <w:name w:val="font11"/>
    <w:basedOn w:val="644"/>
    <w:uiPriority w:val="0"/>
    <w:qFormat/>
    <w:rPr>
      <w:rFonts w:hint="eastAsia" w:ascii="宋体" w:hAnsi="宋体" w:eastAsia="宋体" w:cs="宋体"/>
      <w:color w:val="000000"/>
      <w:sz w:val="21"/>
      <w:szCs w:val="21"/>
      <w:u w:val="none"/>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2026-07-23T01:57:42Z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24C45A45895B404B8987FAAFCB5197E0_13</vt:lpwstr>
  </property>
  <property fmtid="{D5CDD505-2E9C-101B-9397-08002B2CF9AE}" pid="4" name="KSOTemplateDocerSaveRecord">
    <vt:lpwstr>eyJoZGlkIjoiMGRkNTk5ZjA5YWZiMjQ4N2FjZjQ2MmExYTFlODRiZjYiLCJ1c2VySWQiOiIxNjU1OTQ5OTkwIn0=</vt:lpwstr>
  </property>
</Properties>
</file>