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8514D">
      <w:pPr>
        <w:spacing w:line="336" w:lineRule="auto"/>
        <w:jc w:val="center"/>
        <w:rPr>
          <w:rFonts w:hint="eastAsia" w:ascii="宋体" w:hAnsi="宋体"/>
          <w:b/>
          <w:bCs/>
          <w:sz w:val="32"/>
          <w:szCs w:val="32"/>
        </w:rPr>
      </w:pPr>
      <w:r>
        <w:rPr>
          <w:rFonts w:hint="eastAsia" w:ascii="宋体" w:hAnsi="宋体"/>
          <w:b/>
          <w:bCs/>
          <w:sz w:val="32"/>
          <w:szCs w:val="32"/>
        </w:rPr>
        <w:t>2026年如东县城区文明创建“微治理”项目编制说明</w:t>
      </w:r>
    </w:p>
    <w:p w14:paraId="6EC3EFAE">
      <w:pPr>
        <w:spacing w:line="336" w:lineRule="auto"/>
        <w:ind w:left="-2" w:leftChars="-1"/>
        <w:rPr>
          <w:rFonts w:hint="eastAsia" w:asciiTheme="minorEastAsia" w:hAnsiTheme="minorEastAsia" w:cstheme="minorEastAsia"/>
          <w:b/>
          <w:sz w:val="24"/>
          <w:szCs w:val="24"/>
        </w:rPr>
      </w:pPr>
      <w:r>
        <w:rPr>
          <w:rFonts w:hint="eastAsia" w:asciiTheme="minorEastAsia" w:hAnsiTheme="minorEastAsia" w:cstheme="minorEastAsia"/>
          <w:b/>
          <w:sz w:val="24"/>
          <w:szCs w:val="24"/>
        </w:rPr>
        <w:t>一、工程概况：</w:t>
      </w:r>
    </w:p>
    <w:p w14:paraId="6DCED7F3">
      <w:pPr>
        <w:spacing w:line="336" w:lineRule="auto"/>
        <w:rPr>
          <w:rFonts w:hint="eastAsia" w:asciiTheme="minorEastAsia" w:hAnsiTheme="minorEastAsia" w:cstheme="minorEastAsia"/>
          <w:szCs w:val="21"/>
        </w:rPr>
      </w:pPr>
      <w:r>
        <w:rPr>
          <w:rFonts w:hint="eastAsia" w:asciiTheme="minorEastAsia" w:hAnsiTheme="minorEastAsia" w:cstheme="minorEastAsia"/>
          <w:szCs w:val="21"/>
        </w:rPr>
        <w:t>本工程位于如东县。</w:t>
      </w:r>
    </w:p>
    <w:p w14:paraId="333F7B4A">
      <w:pPr>
        <w:spacing w:line="336" w:lineRule="auto"/>
        <w:ind w:left="-2" w:leftChars="-1"/>
        <w:rPr>
          <w:rFonts w:hint="eastAsia" w:asciiTheme="minorEastAsia" w:hAnsiTheme="minorEastAsia" w:cstheme="minorEastAsia"/>
          <w:b/>
          <w:sz w:val="24"/>
          <w:szCs w:val="24"/>
        </w:rPr>
      </w:pPr>
      <w:r>
        <w:rPr>
          <w:rFonts w:hint="eastAsia" w:asciiTheme="minorEastAsia" w:hAnsiTheme="minorEastAsia" w:cstheme="minorEastAsia"/>
          <w:b/>
          <w:sz w:val="24"/>
          <w:szCs w:val="24"/>
        </w:rPr>
        <w:t>二、招标范围：</w:t>
      </w:r>
    </w:p>
    <w:p w14:paraId="2569A305">
      <w:pPr>
        <w:spacing w:line="336" w:lineRule="auto"/>
        <w:rPr>
          <w:rFonts w:hint="eastAsia" w:asciiTheme="minorEastAsia" w:hAnsiTheme="minorEastAsia" w:cstheme="minorEastAsia"/>
          <w:szCs w:val="21"/>
        </w:rPr>
      </w:pPr>
      <w:r>
        <w:rPr>
          <w:rFonts w:hint="eastAsia" w:asciiTheme="minorEastAsia" w:hAnsiTheme="minorEastAsia" w:cstheme="minorEastAsia"/>
          <w:szCs w:val="21"/>
          <w:lang w:val="en-US" w:eastAsia="zh-CN"/>
        </w:rPr>
        <w:t>详见招标文件</w:t>
      </w:r>
      <w:r>
        <w:rPr>
          <w:rFonts w:hint="eastAsia" w:asciiTheme="minorEastAsia" w:hAnsiTheme="minorEastAsia" w:cstheme="minorEastAsia"/>
          <w:szCs w:val="21"/>
        </w:rPr>
        <w:t>。</w:t>
      </w:r>
    </w:p>
    <w:p w14:paraId="609FC830">
      <w:pPr>
        <w:spacing w:line="336" w:lineRule="auto"/>
        <w:rPr>
          <w:rFonts w:hint="eastAsia" w:asciiTheme="minorEastAsia" w:hAnsiTheme="minorEastAsia" w:cstheme="minorEastAsia"/>
          <w:b/>
          <w:sz w:val="24"/>
          <w:szCs w:val="24"/>
          <w:highlight w:val="none"/>
        </w:rPr>
      </w:pPr>
      <w:r>
        <w:rPr>
          <w:rFonts w:hint="eastAsia" w:asciiTheme="minorEastAsia" w:hAnsiTheme="minorEastAsia" w:cstheme="minorEastAsia"/>
          <w:b/>
          <w:sz w:val="24"/>
          <w:szCs w:val="24"/>
          <w:highlight w:val="none"/>
        </w:rPr>
        <w:t>三、工程量清单编制依据：</w:t>
      </w:r>
    </w:p>
    <w:p w14:paraId="6CCFBD51">
      <w:pPr>
        <w:tabs>
          <w:tab w:val="left" w:pos="312"/>
          <w:tab w:val="left" w:pos="417"/>
        </w:tabs>
        <w:spacing w:line="336"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1、工程量清单计量依据《建设工程工程量清单计价规范》（GB50500-2013）以及业主提供的</w:t>
      </w:r>
      <w:r>
        <w:rPr>
          <w:rFonts w:hint="eastAsia" w:asciiTheme="minorEastAsia" w:hAnsiTheme="minorEastAsia" w:cstheme="minorEastAsia"/>
          <w:szCs w:val="21"/>
          <w:highlight w:val="none"/>
          <w:lang w:val="en-US" w:eastAsia="zh-CN"/>
        </w:rPr>
        <w:t>方案</w:t>
      </w:r>
      <w:r>
        <w:rPr>
          <w:rFonts w:hint="eastAsia" w:asciiTheme="minorEastAsia" w:hAnsiTheme="minorEastAsia" w:cstheme="minorEastAsia"/>
          <w:szCs w:val="21"/>
          <w:highlight w:val="none"/>
        </w:rPr>
        <w:t>清单。</w:t>
      </w:r>
    </w:p>
    <w:p w14:paraId="1BCBA310">
      <w:pPr>
        <w:tabs>
          <w:tab w:val="left" w:pos="312"/>
          <w:tab w:val="left" w:pos="417"/>
        </w:tabs>
        <w:spacing w:line="288"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rPr>
        <w:t>2、工程量清单计量依据：《房屋建筑与装饰工程工程量计算规范》GB50</w:t>
      </w:r>
      <w:r>
        <w:rPr>
          <w:rFonts w:hint="eastAsia" w:asciiTheme="minorEastAsia" w:hAnsiTheme="minorEastAsia" w:cstheme="minorEastAsia"/>
          <w:szCs w:val="21"/>
          <w:highlight w:val="none"/>
          <w:lang w:val="en-US" w:eastAsia="zh-CN"/>
        </w:rPr>
        <w:t>854</w:t>
      </w:r>
      <w:r>
        <w:rPr>
          <w:rFonts w:hint="eastAsia" w:asciiTheme="minorEastAsia" w:hAnsiTheme="minorEastAsia" w:cstheme="minorEastAsia"/>
          <w:szCs w:val="21"/>
          <w:highlight w:val="none"/>
        </w:rPr>
        <w:t xml:space="preserve">-2013、《通用安装工程工程量计算规范》 GB50856-2013、《市政工程工程量计算规范》GB50857-2013。 </w:t>
      </w:r>
    </w:p>
    <w:p w14:paraId="1AC58101">
      <w:pPr>
        <w:tabs>
          <w:tab w:val="left" w:pos="312"/>
          <w:tab w:val="left" w:pos="417"/>
        </w:tabs>
        <w:spacing w:line="288" w:lineRule="auto"/>
        <w:rPr>
          <w:rFonts w:hint="eastAsia" w:asciiTheme="minorEastAsia" w:hAnsiTheme="minorEastAsia" w:cstheme="minorEastAsia"/>
          <w:szCs w:val="21"/>
          <w:highlight w:val="none"/>
          <w:lang w:val="en-US"/>
        </w:rPr>
      </w:pPr>
      <w:r>
        <w:rPr>
          <w:rFonts w:hint="eastAsia" w:asciiTheme="minorEastAsia" w:hAnsiTheme="minorEastAsia" w:cstheme="minorEastAsia"/>
          <w:szCs w:val="21"/>
          <w:highlight w:val="none"/>
        </w:rPr>
        <w:t>3、本工程计价依据：《江苏省建筑与装饰工程计价定额》2014 版、《江苏省安装工程计价定额》（2014 版）、《江苏省市政工程计价定额》（2014 版）</w:t>
      </w:r>
      <w:r>
        <w:rPr>
          <w:rFonts w:hint="eastAsia" w:asciiTheme="minorEastAsia" w:hAnsiTheme="minorEastAsia" w:cstheme="minorEastAsia"/>
          <w:szCs w:val="21"/>
          <w:highlight w:val="none"/>
          <w:lang w:eastAsia="zh-CN"/>
        </w:rPr>
        <w:t>、</w:t>
      </w:r>
      <w:r>
        <w:rPr>
          <w:rFonts w:hint="eastAsia" w:asciiTheme="minorEastAsia" w:hAnsiTheme="minorEastAsia" w:cstheme="minorEastAsia"/>
          <w:szCs w:val="21"/>
          <w:highlight w:val="none"/>
          <w:lang w:val="en-US" w:eastAsia="zh-CN"/>
        </w:rPr>
        <w:t>《江苏省建设工程费用定额》（2014）、江苏省、南通市现行的计价文件及补充计价规定等。</w:t>
      </w:r>
    </w:p>
    <w:p w14:paraId="7A1827F7">
      <w:pPr>
        <w:tabs>
          <w:tab w:val="left" w:pos="312"/>
          <w:tab w:val="left" w:pos="417"/>
        </w:tabs>
        <w:spacing w:line="288" w:lineRule="auto"/>
        <w:rPr>
          <w:rFonts w:hint="eastAsia" w:asciiTheme="minorEastAsia" w:hAnsiTheme="minorEastAsia" w:cstheme="minorEastAsia"/>
          <w:szCs w:val="21"/>
          <w:highlight w:val="none"/>
        </w:rPr>
      </w:pPr>
      <w:r>
        <w:rPr>
          <w:rFonts w:hint="eastAsia" w:asciiTheme="minorEastAsia" w:hAnsiTheme="minorEastAsia" w:cstheme="minorEastAsia"/>
          <w:szCs w:val="21"/>
          <w:highlight w:val="none"/>
          <w:lang w:val="en-US" w:eastAsia="zh-CN"/>
        </w:rPr>
        <w:t>4、本工程执行省住房城乡建设厅关于建筑业实施营改增后江苏省建设工程计价依据调整的通知（苏建价[2016]154 号），采用一般计税方法，增值税税率执行苏建函（2019）178 号文。</w:t>
      </w:r>
    </w:p>
    <w:p w14:paraId="0BC22F3C">
      <w:pPr>
        <w:tabs>
          <w:tab w:val="left" w:pos="312"/>
          <w:tab w:val="left" w:pos="417"/>
        </w:tabs>
        <w:spacing w:line="288" w:lineRule="auto"/>
        <w:rPr>
          <w:rFonts w:hint="eastAsia" w:asciiTheme="minorEastAsia" w:hAnsiTheme="minorEastAsia" w:cstheme="minorEastAsia"/>
          <w:szCs w:val="21"/>
        </w:rPr>
      </w:pPr>
      <w:r>
        <w:rPr>
          <w:rFonts w:hint="eastAsia" w:asciiTheme="minorEastAsia" w:hAnsiTheme="minorEastAsia" w:cstheme="minorEastAsia"/>
          <w:szCs w:val="21"/>
          <w:lang w:val="en-US" w:eastAsia="zh-CN"/>
        </w:rPr>
        <w:t>5</w:t>
      </w:r>
      <w:r>
        <w:rPr>
          <w:rFonts w:hint="eastAsia" w:asciiTheme="minorEastAsia" w:hAnsiTheme="minorEastAsia" w:cstheme="minorEastAsia"/>
          <w:szCs w:val="21"/>
        </w:rPr>
        <w:t>、材料价格参照《南通建设工程造价信息》（2026年）</w:t>
      </w:r>
      <w:bookmarkStart w:id="0" w:name="_GoBack"/>
      <w:bookmarkEnd w:id="0"/>
      <w:r>
        <w:rPr>
          <w:rFonts w:hint="eastAsia" w:asciiTheme="minorEastAsia" w:hAnsiTheme="minorEastAsia" w:cstheme="minorEastAsia"/>
          <w:szCs w:val="21"/>
        </w:rPr>
        <w:t xml:space="preserve">第2期，信息价上没有的材料价格参照市场价。 </w:t>
      </w:r>
    </w:p>
    <w:p w14:paraId="339AD80E">
      <w:pPr>
        <w:tabs>
          <w:tab w:val="left" w:pos="312"/>
          <w:tab w:val="left" w:pos="417"/>
        </w:tabs>
        <w:spacing w:line="288" w:lineRule="auto"/>
        <w:rPr>
          <w:szCs w:val="21"/>
        </w:rPr>
      </w:pPr>
      <w:r>
        <w:rPr>
          <w:rFonts w:hint="eastAsia" w:asciiTheme="minorEastAsia" w:hAnsiTheme="minorEastAsia" w:cstheme="minorEastAsia"/>
          <w:szCs w:val="21"/>
          <w:lang w:val="en-US" w:eastAsia="zh-CN"/>
        </w:rPr>
        <w:t>6</w:t>
      </w:r>
      <w:r>
        <w:rPr>
          <w:rFonts w:hint="eastAsia" w:asciiTheme="minorEastAsia" w:hAnsiTheme="minorEastAsia" w:cstheme="minorEastAsia"/>
          <w:szCs w:val="21"/>
        </w:rPr>
        <w:t>、人工工资单价执行</w:t>
      </w:r>
      <w:r>
        <w:rPr>
          <w:rFonts w:asciiTheme="minorEastAsia" w:hAnsiTheme="minorEastAsia" w:cstheme="minorEastAsia"/>
          <w:szCs w:val="21"/>
        </w:rPr>
        <w:t>苏建函价〔</w:t>
      </w:r>
      <w:r>
        <w:rPr>
          <w:rFonts w:hint="eastAsia" w:asciiTheme="minorEastAsia" w:hAnsiTheme="minorEastAsia" w:cstheme="minorEastAsia"/>
          <w:szCs w:val="21"/>
        </w:rPr>
        <w:t>2026</w:t>
      </w:r>
      <w:r>
        <w:rPr>
          <w:rFonts w:asciiTheme="minorEastAsia" w:hAnsiTheme="minorEastAsia" w:cstheme="minorEastAsia"/>
          <w:szCs w:val="21"/>
        </w:rPr>
        <w:t>〕</w:t>
      </w:r>
      <w:r>
        <w:rPr>
          <w:rFonts w:hint="eastAsia" w:asciiTheme="minorEastAsia" w:hAnsiTheme="minorEastAsia" w:cstheme="minorEastAsia"/>
          <w:szCs w:val="21"/>
        </w:rPr>
        <w:t>27</w:t>
      </w:r>
      <w:r>
        <w:rPr>
          <w:rFonts w:asciiTheme="minorEastAsia" w:hAnsiTheme="minorEastAsia" w:cstheme="minorEastAsia"/>
          <w:szCs w:val="21"/>
        </w:rPr>
        <w:t>号</w:t>
      </w:r>
      <w:r>
        <w:rPr>
          <w:rFonts w:hint="eastAsia" w:asciiTheme="minorEastAsia" w:hAnsiTheme="minorEastAsia" w:cstheme="minorEastAsia"/>
          <w:szCs w:val="21"/>
        </w:rPr>
        <w:t>文件。</w:t>
      </w:r>
    </w:p>
    <w:p w14:paraId="565F60F5">
      <w:pPr>
        <w:pStyle w:val="15"/>
        <w:numPr>
          <w:ilvl w:val="0"/>
          <w:numId w:val="1"/>
        </w:numPr>
        <w:spacing w:line="336" w:lineRule="auto"/>
        <w:ind w:firstLineChars="0"/>
        <w:rPr>
          <w:rFonts w:hint="eastAsia" w:asciiTheme="minorEastAsia" w:hAnsiTheme="minorEastAsia" w:cstheme="minorEastAsia"/>
          <w:b/>
          <w:sz w:val="24"/>
          <w:szCs w:val="24"/>
        </w:rPr>
      </w:pPr>
      <w:r>
        <w:rPr>
          <w:rFonts w:hint="eastAsia" w:asciiTheme="minorEastAsia" w:hAnsiTheme="minorEastAsia" w:cstheme="minorEastAsia"/>
          <w:b/>
          <w:sz w:val="24"/>
          <w:szCs w:val="24"/>
        </w:rPr>
        <w:t>编制说明</w:t>
      </w:r>
    </w:p>
    <w:p w14:paraId="241788F9">
      <w:pPr>
        <w:numPr>
          <w:ilvl w:val="0"/>
          <w:numId w:val="2"/>
        </w:numPr>
        <w:tabs>
          <w:tab w:val="left" w:pos="312"/>
          <w:tab w:val="left" w:pos="417"/>
        </w:tabs>
        <w:spacing w:line="336" w:lineRule="auto"/>
        <w:rPr>
          <w:rFonts w:hint="eastAsia" w:asciiTheme="minorEastAsia" w:hAnsiTheme="minorEastAsia" w:cstheme="minorEastAsia"/>
          <w:szCs w:val="21"/>
        </w:rPr>
      </w:pPr>
      <w:r>
        <w:rPr>
          <w:rFonts w:hint="eastAsia" w:asciiTheme="minorEastAsia" w:hAnsiTheme="minorEastAsia" w:cstheme="minorEastAsia"/>
          <w:szCs w:val="21"/>
        </w:rPr>
        <w:t>本工程采用预拌砂浆，商品砼。</w:t>
      </w:r>
    </w:p>
    <w:p w14:paraId="35EE7680">
      <w:pPr>
        <w:numPr>
          <w:ilvl w:val="0"/>
          <w:numId w:val="2"/>
        </w:numPr>
        <w:tabs>
          <w:tab w:val="left" w:pos="312"/>
          <w:tab w:val="left" w:pos="417"/>
        </w:tabs>
        <w:spacing w:line="336" w:lineRule="auto"/>
        <w:rPr>
          <w:rFonts w:hint="eastAsia" w:asciiTheme="minorEastAsia" w:hAnsiTheme="minorEastAsia" w:cstheme="minorEastAsia"/>
          <w:szCs w:val="21"/>
        </w:rPr>
      </w:pPr>
      <w:r>
        <w:rPr>
          <w:rFonts w:hint="eastAsia" w:asciiTheme="minorEastAsia" w:hAnsiTheme="minorEastAsia" w:cstheme="minorEastAsia"/>
          <w:szCs w:val="21"/>
        </w:rPr>
        <w:t>施工单位在施工过程要保护原有树木杆件及供电、供水、管网等，如有损坏由施工单位负责赔偿。</w:t>
      </w:r>
    </w:p>
    <w:p w14:paraId="22D0111D">
      <w:pPr>
        <w:numPr>
          <w:ilvl w:val="0"/>
          <w:numId w:val="2"/>
        </w:numPr>
        <w:tabs>
          <w:tab w:val="left" w:pos="312"/>
          <w:tab w:val="left" w:pos="417"/>
        </w:tabs>
        <w:spacing w:line="336" w:lineRule="auto"/>
        <w:rPr>
          <w:rFonts w:hint="eastAsia" w:asciiTheme="minorEastAsia" w:hAnsiTheme="minorEastAsia" w:cstheme="minorEastAsia"/>
          <w:szCs w:val="21"/>
        </w:rPr>
      </w:pPr>
      <w:r>
        <w:rPr>
          <w:rFonts w:hint="eastAsia" w:asciiTheme="minorEastAsia" w:hAnsiTheme="minorEastAsia" w:cstheme="minorEastAsia"/>
          <w:szCs w:val="21"/>
        </w:rPr>
        <w:t>本工程暂列金：无。</w:t>
      </w:r>
    </w:p>
    <w:p w14:paraId="232D3BDC">
      <w:pPr>
        <w:spacing w:line="336" w:lineRule="auto"/>
        <w:rPr>
          <w:rFonts w:hint="eastAsia" w:asciiTheme="minorEastAsia" w:hAnsiTheme="minorEastAsia" w:cstheme="minorEastAsia"/>
          <w:b/>
          <w:szCs w:val="21"/>
        </w:rPr>
      </w:pPr>
      <w:r>
        <w:rPr>
          <w:rFonts w:hint="eastAsia" w:asciiTheme="minorEastAsia" w:hAnsiTheme="minorEastAsia" w:cstheme="minorEastAsia"/>
          <w:b/>
          <w:sz w:val="24"/>
          <w:szCs w:val="24"/>
        </w:rPr>
        <w:t>五</w:t>
      </w:r>
      <w:r>
        <w:rPr>
          <w:rFonts w:hint="eastAsia" w:asciiTheme="minorEastAsia" w:hAnsiTheme="minorEastAsia" w:cstheme="minorEastAsia"/>
          <w:b/>
          <w:sz w:val="24"/>
          <w:szCs w:val="24"/>
          <w:lang w:val="zh-CN"/>
        </w:rPr>
        <w:t>、本工程不可竞争费用项目及其费率见下表：</w:t>
      </w:r>
    </w:p>
    <w:tbl>
      <w:tblPr>
        <w:tblStyle w:val="9"/>
        <w:tblW w:w="4806" w:type="pct"/>
        <w:tblInd w:w="110" w:type="dxa"/>
        <w:tblLayout w:type="autofit"/>
        <w:tblCellMar>
          <w:top w:w="0" w:type="dxa"/>
          <w:left w:w="108" w:type="dxa"/>
          <w:bottom w:w="0" w:type="dxa"/>
          <w:right w:w="108" w:type="dxa"/>
        </w:tblCellMar>
      </w:tblPr>
      <w:tblGrid>
        <w:gridCol w:w="3542"/>
        <w:gridCol w:w="1870"/>
        <w:gridCol w:w="2146"/>
        <w:gridCol w:w="2296"/>
      </w:tblGrid>
      <w:tr w14:paraId="7966985C">
        <w:tblPrEx>
          <w:tblCellMar>
            <w:top w:w="0" w:type="dxa"/>
            <w:left w:w="108" w:type="dxa"/>
            <w:bottom w:w="0" w:type="dxa"/>
            <w:right w:w="108" w:type="dxa"/>
          </w:tblCellMar>
        </w:tblPrEx>
        <w:trPr>
          <w:trHeight w:val="360" w:hRule="atLeast"/>
        </w:trPr>
        <w:tc>
          <w:tcPr>
            <w:tcW w:w="1797" w:type="pct"/>
            <w:vMerge w:val="restart"/>
            <w:tcBorders>
              <w:top w:val="single" w:color="auto" w:sz="4" w:space="0"/>
              <w:left w:val="single" w:color="auto" w:sz="4" w:space="0"/>
              <w:bottom w:val="single" w:color="auto" w:sz="4" w:space="0"/>
              <w:right w:val="single" w:color="auto" w:sz="4" w:space="0"/>
            </w:tcBorders>
            <w:vAlign w:val="center"/>
          </w:tcPr>
          <w:p w14:paraId="195E34DA">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项目</w:t>
            </w:r>
          </w:p>
        </w:tc>
        <w:tc>
          <w:tcPr>
            <w:tcW w:w="3203" w:type="pct"/>
            <w:gridSpan w:val="3"/>
            <w:tcBorders>
              <w:top w:val="single" w:color="auto" w:sz="4" w:space="0"/>
              <w:left w:val="nil"/>
              <w:bottom w:val="single" w:color="auto" w:sz="4" w:space="0"/>
              <w:right w:val="single" w:color="auto" w:sz="4" w:space="0"/>
            </w:tcBorders>
            <w:vAlign w:val="bottom"/>
          </w:tcPr>
          <w:p w14:paraId="4E1E3F13">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费率（%）</w:t>
            </w:r>
          </w:p>
        </w:tc>
      </w:tr>
      <w:tr w14:paraId="73FDFDB8">
        <w:tblPrEx>
          <w:tblCellMar>
            <w:top w:w="0" w:type="dxa"/>
            <w:left w:w="108" w:type="dxa"/>
            <w:bottom w:w="0" w:type="dxa"/>
            <w:right w:w="108" w:type="dxa"/>
          </w:tblCellMar>
        </w:tblPrEx>
        <w:trPr>
          <w:trHeight w:val="240" w:hRule="atLeast"/>
        </w:trPr>
        <w:tc>
          <w:tcPr>
            <w:tcW w:w="1797" w:type="pct"/>
            <w:vMerge w:val="continue"/>
            <w:tcBorders>
              <w:top w:val="single" w:color="auto" w:sz="4" w:space="0"/>
              <w:left w:val="single" w:color="auto" w:sz="4" w:space="0"/>
              <w:bottom w:val="single" w:color="auto" w:sz="4" w:space="0"/>
              <w:right w:val="single" w:color="auto" w:sz="4" w:space="0"/>
            </w:tcBorders>
            <w:vAlign w:val="bottom"/>
          </w:tcPr>
          <w:p w14:paraId="6FF0072B">
            <w:pPr>
              <w:widowControl/>
              <w:spacing w:line="336" w:lineRule="auto"/>
              <w:jc w:val="center"/>
              <w:rPr>
                <w:rFonts w:hint="eastAsia" w:asciiTheme="minorEastAsia" w:hAnsiTheme="minorEastAsia" w:cstheme="minorEastAsia"/>
                <w:color w:val="000000"/>
                <w:kern w:val="0"/>
                <w:szCs w:val="21"/>
              </w:rPr>
            </w:pPr>
          </w:p>
        </w:tc>
        <w:tc>
          <w:tcPr>
            <w:tcW w:w="949" w:type="pct"/>
            <w:tcBorders>
              <w:top w:val="single" w:color="auto" w:sz="4" w:space="0"/>
              <w:left w:val="nil"/>
              <w:bottom w:val="single" w:color="auto" w:sz="4" w:space="0"/>
              <w:right w:val="single" w:color="auto" w:sz="4" w:space="0"/>
            </w:tcBorders>
            <w:vAlign w:val="bottom"/>
          </w:tcPr>
          <w:p w14:paraId="664FDF4D">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安装</w:t>
            </w:r>
          </w:p>
        </w:tc>
        <w:tc>
          <w:tcPr>
            <w:tcW w:w="1089" w:type="pct"/>
            <w:tcBorders>
              <w:top w:val="single" w:color="auto" w:sz="4" w:space="0"/>
              <w:left w:val="single" w:color="auto" w:sz="4" w:space="0"/>
              <w:bottom w:val="single" w:color="auto" w:sz="4" w:space="0"/>
              <w:right w:val="single" w:color="auto" w:sz="4" w:space="0"/>
            </w:tcBorders>
            <w:vAlign w:val="bottom"/>
          </w:tcPr>
          <w:p w14:paraId="21366F5B">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市政</w:t>
            </w:r>
          </w:p>
        </w:tc>
        <w:tc>
          <w:tcPr>
            <w:tcW w:w="1165" w:type="pct"/>
            <w:tcBorders>
              <w:top w:val="single" w:color="auto" w:sz="4" w:space="0"/>
              <w:left w:val="nil"/>
              <w:bottom w:val="single" w:color="auto" w:sz="4" w:space="0"/>
              <w:right w:val="single" w:color="auto" w:sz="4" w:space="0"/>
            </w:tcBorders>
            <w:vAlign w:val="bottom"/>
          </w:tcPr>
          <w:p w14:paraId="405ABC7E">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绿化</w:t>
            </w:r>
          </w:p>
        </w:tc>
      </w:tr>
      <w:tr w14:paraId="76FAD825">
        <w:tblPrEx>
          <w:tblCellMar>
            <w:top w:w="0" w:type="dxa"/>
            <w:left w:w="108" w:type="dxa"/>
            <w:bottom w:w="0" w:type="dxa"/>
            <w:right w:w="108" w:type="dxa"/>
          </w:tblCellMar>
        </w:tblPrEx>
        <w:trPr>
          <w:trHeight w:val="450" w:hRule="atLeast"/>
        </w:trPr>
        <w:tc>
          <w:tcPr>
            <w:tcW w:w="1797" w:type="pct"/>
            <w:tcBorders>
              <w:top w:val="single" w:color="auto" w:sz="4" w:space="0"/>
              <w:left w:val="single" w:color="auto" w:sz="4" w:space="0"/>
              <w:bottom w:val="single" w:color="auto" w:sz="4" w:space="0"/>
              <w:right w:val="single" w:color="auto" w:sz="4" w:space="0"/>
            </w:tcBorders>
            <w:vAlign w:val="bottom"/>
          </w:tcPr>
          <w:p w14:paraId="71FB74C6">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现场安全文明施工费（基本费）</w:t>
            </w:r>
          </w:p>
        </w:tc>
        <w:tc>
          <w:tcPr>
            <w:tcW w:w="949" w:type="pct"/>
            <w:tcBorders>
              <w:top w:val="single" w:color="auto" w:sz="4" w:space="0"/>
              <w:left w:val="single" w:color="auto" w:sz="4" w:space="0"/>
              <w:bottom w:val="single" w:color="auto" w:sz="4" w:space="0"/>
              <w:right w:val="single" w:color="auto" w:sz="4" w:space="0"/>
            </w:tcBorders>
            <w:vAlign w:val="bottom"/>
          </w:tcPr>
          <w:p w14:paraId="56BBD6BA">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c>
          <w:tcPr>
            <w:tcW w:w="1089" w:type="pct"/>
            <w:tcBorders>
              <w:top w:val="single" w:color="auto" w:sz="4" w:space="0"/>
              <w:left w:val="single" w:color="auto" w:sz="4" w:space="0"/>
              <w:bottom w:val="single" w:color="auto" w:sz="4" w:space="0"/>
              <w:right w:val="single" w:color="auto" w:sz="4" w:space="0"/>
            </w:tcBorders>
            <w:vAlign w:val="bottom"/>
          </w:tcPr>
          <w:p w14:paraId="7F296EB7">
            <w:pPr>
              <w:widowControl/>
              <w:spacing w:line="336" w:lineRule="auto"/>
              <w:jc w:val="center"/>
              <w:rPr>
                <w:rFonts w:hint="eastAsia" w:asciiTheme="minorEastAsia" w:hAnsiTheme="minorEastAsia" w:cstheme="minorEastAsia"/>
                <w:color w:val="000000"/>
                <w:kern w:val="0"/>
                <w:szCs w:val="21"/>
              </w:rPr>
            </w:pPr>
            <w:r>
              <w:rPr>
                <w:rFonts w:asciiTheme="minorEastAsia" w:hAnsiTheme="minorEastAsia" w:cstheme="minorEastAsia"/>
                <w:color w:val="000000"/>
                <w:kern w:val="0"/>
                <w:szCs w:val="21"/>
              </w:rPr>
              <w:t>1.5</w:t>
            </w:r>
          </w:p>
        </w:tc>
        <w:tc>
          <w:tcPr>
            <w:tcW w:w="1165" w:type="pct"/>
            <w:tcBorders>
              <w:top w:val="single" w:color="auto" w:sz="4" w:space="0"/>
              <w:left w:val="single" w:color="auto" w:sz="4" w:space="0"/>
              <w:bottom w:val="single" w:color="auto" w:sz="4" w:space="0"/>
              <w:right w:val="single" w:color="auto" w:sz="4" w:space="0"/>
            </w:tcBorders>
            <w:vAlign w:val="bottom"/>
          </w:tcPr>
          <w:p w14:paraId="738957D1">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r>
      <w:tr w14:paraId="31557211">
        <w:tblPrEx>
          <w:tblCellMar>
            <w:top w:w="0" w:type="dxa"/>
            <w:left w:w="108" w:type="dxa"/>
            <w:bottom w:w="0" w:type="dxa"/>
            <w:right w:w="108" w:type="dxa"/>
          </w:tblCellMar>
        </w:tblPrEx>
        <w:trPr>
          <w:trHeight w:val="451" w:hRule="atLeast"/>
        </w:trPr>
        <w:tc>
          <w:tcPr>
            <w:tcW w:w="1797" w:type="pct"/>
            <w:tcBorders>
              <w:top w:val="nil"/>
              <w:left w:val="single" w:color="auto" w:sz="4" w:space="0"/>
              <w:bottom w:val="single" w:color="auto" w:sz="4" w:space="0"/>
              <w:right w:val="single" w:color="auto" w:sz="4" w:space="0"/>
            </w:tcBorders>
            <w:vAlign w:val="bottom"/>
          </w:tcPr>
          <w:p w14:paraId="104300F3">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扬尘污染防治增加费</w:t>
            </w:r>
          </w:p>
        </w:tc>
        <w:tc>
          <w:tcPr>
            <w:tcW w:w="949" w:type="pct"/>
            <w:tcBorders>
              <w:top w:val="nil"/>
              <w:left w:val="single" w:color="auto" w:sz="4" w:space="0"/>
              <w:bottom w:val="single" w:color="auto" w:sz="4" w:space="0"/>
              <w:right w:val="single" w:color="auto" w:sz="4" w:space="0"/>
            </w:tcBorders>
            <w:vAlign w:val="bottom"/>
          </w:tcPr>
          <w:p w14:paraId="75882757">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c>
          <w:tcPr>
            <w:tcW w:w="1089" w:type="pct"/>
            <w:tcBorders>
              <w:top w:val="nil"/>
              <w:left w:val="single" w:color="auto" w:sz="4" w:space="0"/>
              <w:bottom w:val="single" w:color="auto" w:sz="4" w:space="0"/>
              <w:right w:val="single" w:color="auto" w:sz="4" w:space="0"/>
            </w:tcBorders>
            <w:vAlign w:val="bottom"/>
          </w:tcPr>
          <w:p w14:paraId="035A363C">
            <w:pPr>
              <w:widowControl/>
              <w:spacing w:line="336" w:lineRule="auto"/>
              <w:jc w:val="center"/>
              <w:rPr>
                <w:rFonts w:hint="eastAsia" w:asciiTheme="minorEastAsia" w:hAnsiTheme="minorEastAsia" w:cstheme="minorEastAsia"/>
                <w:color w:val="000000"/>
                <w:kern w:val="0"/>
                <w:szCs w:val="21"/>
              </w:rPr>
            </w:pPr>
            <w:r>
              <w:rPr>
                <w:rFonts w:asciiTheme="minorEastAsia" w:hAnsiTheme="minorEastAsia" w:cstheme="minorEastAsia"/>
                <w:color w:val="000000"/>
                <w:kern w:val="0"/>
                <w:szCs w:val="21"/>
              </w:rPr>
              <w:t>0.31</w:t>
            </w:r>
          </w:p>
        </w:tc>
        <w:tc>
          <w:tcPr>
            <w:tcW w:w="1165" w:type="pct"/>
            <w:tcBorders>
              <w:top w:val="nil"/>
              <w:left w:val="single" w:color="auto" w:sz="4" w:space="0"/>
              <w:bottom w:val="single" w:color="auto" w:sz="4" w:space="0"/>
              <w:right w:val="single" w:color="auto" w:sz="4" w:space="0"/>
            </w:tcBorders>
            <w:vAlign w:val="bottom"/>
          </w:tcPr>
          <w:p w14:paraId="36DF5891">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r>
      <w:tr w14:paraId="0D75B93D">
        <w:tblPrEx>
          <w:tblCellMar>
            <w:top w:w="0" w:type="dxa"/>
            <w:left w:w="108" w:type="dxa"/>
            <w:bottom w:w="0" w:type="dxa"/>
            <w:right w:w="108" w:type="dxa"/>
          </w:tblCellMar>
        </w:tblPrEx>
        <w:trPr>
          <w:trHeight w:val="303" w:hRule="atLeast"/>
        </w:trPr>
        <w:tc>
          <w:tcPr>
            <w:tcW w:w="1797" w:type="pct"/>
            <w:tcBorders>
              <w:top w:val="nil"/>
              <w:left w:val="single" w:color="auto" w:sz="4" w:space="0"/>
              <w:bottom w:val="single" w:color="auto" w:sz="4" w:space="0"/>
              <w:right w:val="single" w:color="auto" w:sz="4" w:space="0"/>
            </w:tcBorders>
            <w:vAlign w:val="bottom"/>
          </w:tcPr>
          <w:p w14:paraId="3605C347">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社会保险费</w:t>
            </w:r>
          </w:p>
        </w:tc>
        <w:tc>
          <w:tcPr>
            <w:tcW w:w="949" w:type="pct"/>
            <w:tcBorders>
              <w:top w:val="nil"/>
              <w:left w:val="single" w:color="auto" w:sz="4" w:space="0"/>
              <w:bottom w:val="single" w:color="auto" w:sz="4" w:space="0"/>
              <w:right w:val="single" w:color="auto" w:sz="4" w:space="0"/>
            </w:tcBorders>
            <w:vAlign w:val="bottom"/>
          </w:tcPr>
          <w:p w14:paraId="1621511D">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c>
          <w:tcPr>
            <w:tcW w:w="1089" w:type="pct"/>
            <w:tcBorders>
              <w:top w:val="nil"/>
              <w:left w:val="single" w:color="auto" w:sz="4" w:space="0"/>
              <w:bottom w:val="single" w:color="auto" w:sz="4" w:space="0"/>
              <w:right w:val="single" w:color="auto" w:sz="4" w:space="0"/>
            </w:tcBorders>
            <w:vAlign w:val="bottom"/>
          </w:tcPr>
          <w:p w14:paraId="1731829B">
            <w:pPr>
              <w:widowControl/>
              <w:spacing w:line="336" w:lineRule="auto"/>
              <w:jc w:val="center"/>
              <w:rPr>
                <w:rFonts w:hint="eastAsia" w:asciiTheme="minorEastAsia" w:hAnsiTheme="minorEastAsia" w:cstheme="minorEastAsia"/>
                <w:color w:val="000000"/>
                <w:kern w:val="0"/>
                <w:szCs w:val="21"/>
              </w:rPr>
            </w:pPr>
            <w:r>
              <w:rPr>
                <w:rFonts w:asciiTheme="minorEastAsia" w:hAnsiTheme="minorEastAsia" w:cstheme="minorEastAsia"/>
                <w:color w:val="000000"/>
                <w:kern w:val="0"/>
                <w:szCs w:val="21"/>
              </w:rPr>
              <w:t>2.0</w:t>
            </w:r>
          </w:p>
        </w:tc>
        <w:tc>
          <w:tcPr>
            <w:tcW w:w="1165" w:type="pct"/>
            <w:tcBorders>
              <w:top w:val="nil"/>
              <w:left w:val="single" w:color="auto" w:sz="4" w:space="0"/>
              <w:bottom w:val="single" w:color="auto" w:sz="4" w:space="0"/>
              <w:right w:val="single" w:color="auto" w:sz="4" w:space="0"/>
            </w:tcBorders>
            <w:vAlign w:val="bottom"/>
          </w:tcPr>
          <w:p w14:paraId="616C2935">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r>
      <w:tr w14:paraId="77F3E7B2">
        <w:tblPrEx>
          <w:tblCellMar>
            <w:top w:w="0" w:type="dxa"/>
            <w:left w:w="108" w:type="dxa"/>
            <w:bottom w:w="0" w:type="dxa"/>
            <w:right w:w="108" w:type="dxa"/>
          </w:tblCellMar>
        </w:tblPrEx>
        <w:trPr>
          <w:trHeight w:val="303" w:hRule="atLeast"/>
        </w:trPr>
        <w:tc>
          <w:tcPr>
            <w:tcW w:w="1797" w:type="pct"/>
            <w:tcBorders>
              <w:top w:val="nil"/>
              <w:left w:val="single" w:color="auto" w:sz="4" w:space="0"/>
              <w:bottom w:val="single" w:color="auto" w:sz="4" w:space="0"/>
              <w:right w:val="single" w:color="auto" w:sz="4" w:space="0"/>
            </w:tcBorders>
            <w:vAlign w:val="bottom"/>
          </w:tcPr>
          <w:p w14:paraId="78500A9C">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住房公积金</w:t>
            </w:r>
          </w:p>
        </w:tc>
        <w:tc>
          <w:tcPr>
            <w:tcW w:w="949" w:type="pct"/>
            <w:tcBorders>
              <w:top w:val="nil"/>
              <w:left w:val="single" w:color="auto" w:sz="4" w:space="0"/>
              <w:bottom w:val="single" w:color="auto" w:sz="4" w:space="0"/>
              <w:right w:val="single" w:color="auto" w:sz="4" w:space="0"/>
            </w:tcBorders>
            <w:vAlign w:val="bottom"/>
          </w:tcPr>
          <w:p w14:paraId="31B3FE61">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c>
          <w:tcPr>
            <w:tcW w:w="1089" w:type="pct"/>
            <w:tcBorders>
              <w:top w:val="nil"/>
              <w:left w:val="single" w:color="auto" w:sz="4" w:space="0"/>
              <w:bottom w:val="single" w:color="auto" w:sz="4" w:space="0"/>
              <w:right w:val="single" w:color="auto" w:sz="4" w:space="0"/>
            </w:tcBorders>
            <w:vAlign w:val="bottom"/>
          </w:tcPr>
          <w:p w14:paraId="6132A4E1">
            <w:pPr>
              <w:widowControl/>
              <w:spacing w:line="336" w:lineRule="auto"/>
              <w:jc w:val="center"/>
              <w:rPr>
                <w:rFonts w:hint="eastAsia" w:asciiTheme="minorEastAsia" w:hAnsiTheme="minorEastAsia" w:cstheme="minorEastAsia"/>
                <w:color w:val="000000"/>
                <w:kern w:val="0"/>
                <w:szCs w:val="21"/>
              </w:rPr>
            </w:pPr>
            <w:r>
              <w:rPr>
                <w:rFonts w:asciiTheme="minorEastAsia" w:hAnsiTheme="minorEastAsia" w:cstheme="minorEastAsia"/>
                <w:color w:val="000000"/>
                <w:kern w:val="0"/>
                <w:szCs w:val="21"/>
              </w:rPr>
              <w:t>0.34</w:t>
            </w:r>
          </w:p>
        </w:tc>
        <w:tc>
          <w:tcPr>
            <w:tcW w:w="1165" w:type="pct"/>
            <w:tcBorders>
              <w:top w:val="nil"/>
              <w:left w:val="single" w:color="auto" w:sz="4" w:space="0"/>
              <w:bottom w:val="single" w:color="auto" w:sz="4" w:space="0"/>
              <w:right w:val="single" w:color="auto" w:sz="4" w:space="0"/>
            </w:tcBorders>
            <w:vAlign w:val="bottom"/>
          </w:tcPr>
          <w:p w14:paraId="6EEC3D2D">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r>
      <w:tr w14:paraId="24EFD386">
        <w:tblPrEx>
          <w:tblCellMar>
            <w:top w:w="0" w:type="dxa"/>
            <w:left w:w="108" w:type="dxa"/>
            <w:bottom w:w="0" w:type="dxa"/>
            <w:right w:w="108" w:type="dxa"/>
          </w:tblCellMar>
        </w:tblPrEx>
        <w:trPr>
          <w:trHeight w:val="285" w:hRule="atLeast"/>
        </w:trPr>
        <w:tc>
          <w:tcPr>
            <w:tcW w:w="1797" w:type="pct"/>
            <w:tcBorders>
              <w:top w:val="nil"/>
              <w:left w:val="single" w:color="auto" w:sz="4" w:space="0"/>
              <w:bottom w:val="single" w:color="auto" w:sz="4" w:space="0"/>
              <w:right w:val="single" w:color="auto" w:sz="4" w:space="0"/>
            </w:tcBorders>
            <w:vAlign w:val="bottom"/>
          </w:tcPr>
          <w:p w14:paraId="630C9DB5">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税金</w:t>
            </w:r>
          </w:p>
        </w:tc>
        <w:tc>
          <w:tcPr>
            <w:tcW w:w="3203" w:type="pct"/>
            <w:gridSpan w:val="3"/>
            <w:tcBorders>
              <w:top w:val="nil"/>
              <w:left w:val="nil"/>
              <w:bottom w:val="single" w:color="auto" w:sz="4" w:space="0"/>
              <w:right w:val="single" w:color="auto" w:sz="4" w:space="0"/>
            </w:tcBorders>
            <w:vAlign w:val="bottom"/>
          </w:tcPr>
          <w:p w14:paraId="760B274E">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9</w:t>
            </w:r>
          </w:p>
        </w:tc>
      </w:tr>
    </w:tbl>
    <w:p w14:paraId="1F927CA5">
      <w:pPr>
        <w:spacing w:line="336" w:lineRule="auto"/>
        <w:rPr>
          <w:rFonts w:hint="eastAsia" w:asciiTheme="minorEastAsia" w:hAnsiTheme="minorEastAsia" w:cstheme="minorEastAsia"/>
          <w:b/>
          <w:sz w:val="24"/>
          <w:szCs w:val="24"/>
          <w:lang w:val="zh-CN"/>
        </w:rPr>
      </w:pPr>
      <w:r>
        <w:rPr>
          <w:rFonts w:hint="eastAsia" w:asciiTheme="minorEastAsia" w:hAnsiTheme="minorEastAsia" w:cstheme="minorEastAsia"/>
          <w:b/>
          <w:sz w:val="24"/>
          <w:szCs w:val="24"/>
        </w:rPr>
        <w:t>六、</w:t>
      </w:r>
      <w:r>
        <w:rPr>
          <w:rFonts w:hint="eastAsia" w:asciiTheme="minorEastAsia" w:hAnsiTheme="minorEastAsia" w:cstheme="minorEastAsia"/>
          <w:b/>
          <w:sz w:val="24"/>
          <w:szCs w:val="24"/>
          <w:lang w:val="zh-CN"/>
        </w:rPr>
        <w:t>其他：</w:t>
      </w:r>
    </w:p>
    <w:tbl>
      <w:tblPr>
        <w:tblStyle w:val="9"/>
        <w:tblW w:w="9892" w:type="dxa"/>
        <w:tblInd w:w="93" w:type="dxa"/>
        <w:tblLayout w:type="fixed"/>
        <w:tblCellMar>
          <w:top w:w="0" w:type="dxa"/>
          <w:left w:w="108" w:type="dxa"/>
          <w:bottom w:w="0" w:type="dxa"/>
          <w:right w:w="108" w:type="dxa"/>
        </w:tblCellMar>
      </w:tblPr>
      <w:tblGrid>
        <w:gridCol w:w="3559"/>
        <w:gridCol w:w="1858"/>
        <w:gridCol w:w="2187"/>
        <w:gridCol w:w="2288"/>
      </w:tblGrid>
      <w:tr w14:paraId="2A810BE2">
        <w:tblPrEx>
          <w:tblCellMar>
            <w:top w:w="0" w:type="dxa"/>
            <w:left w:w="108" w:type="dxa"/>
            <w:bottom w:w="0" w:type="dxa"/>
            <w:right w:w="108" w:type="dxa"/>
          </w:tblCellMar>
        </w:tblPrEx>
        <w:trPr>
          <w:trHeight w:val="360" w:hRule="atLeast"/>
        </w:trPr>
        <w:tc>
          <w:tcPr>
            <w:tcW w:w="3559" w:type="dxa"/>
            <w:vMerge w:val="restart"/>
            <w:tcBorders>
              <w:top w:val="single" w:color="auto" w:sz="4" w:space="0"/>
              <w:left w:val="single" w:color="auto" w:sz="4" w:space="0"/>
              <w:bottom w:val="single" w:color="auto" w:sz="4" w:space="0"/>
              <w:right w:val="single" w:color="auto" w:sz="4" w:space="0"/>
            </w:tcBorders>
            <w:vAlign w:val="center"/>
          </w:tcPr>
          <w:p w14:paraId="51C48BEC">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项目</w:t>
            </w:r>
          </w:p>
        </w:tc>
        <w:tc>
          <w:tcPr>
            <w:tcW w:w="6333" w:type="dxa"/>
            <w:gridSpan w:val="3"/>
            <w:tcBorders>
              <w:top w:val="single" w:color="auto" w:sz="4" w:space="0"/>
              <w:left w:val="nil"/>
              <w:bottom w:val="single" w:color="auto" w:sz="4" w:space="0"/>
              <w:right w:val="single" w:color="auto" w:sz="4" w:space="0"/>
            </w:tcBorders>
            <w:vAlign w:val="bottom"/>
          </w:tcPr>
          <w:p w14:paraId="7C38CF99">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费率（%）</w:t>
            </w:r>
          </w:p>
        </w:tc>
      </w:tr>
      <w:tr w14:paraId="75260030">
        <w:tblPrEx>
          <w:tblCellMar>
            <w:top w:w="0" w:type="dxa"/>
            <w:left w:w="108" w:type="dxa"/>
            <w:bottom w:w="0" w:type="dxa"/>
            <w:right w:w="108" w:type="dxa"/>
          </w:tblCellMar>
        </w:tblPrEx>
        <w:trPr>
          <w:trHeight w:val="240" w:hRule="atLeast"/>
        </w:trPr>
        <w:tc>
          <w:tcPr>
            <w:tcW w:w="3559" w:type="dxa"/>
            <w:vMerge w:val="continue"/>
            <w:tcBorders>
              <w:top w:val="single" w:color="auto" w:sz="4" w:space="0"/>
              <w:left w:val="single" w:color="auto" w:sz="4" w:space="0"/>
              <w:bottom w:val="single" w:color="auto" w:sz="4" w:space="0"/>
              <w:right w:val="single" w:color="auto" w:sz="4" w:space="0"/>
            </w:tcBorders>
            <w:vAlign w:val="bottom"/>
          </w:tcPr>
          <w:p w14:paraId="33B194C6">
            <w:pPr>
              <w:widowControl/>
              <w:spacing w:line="336" w:lineRule="auto"/>
              <w:jc w:val="center"/>
              <w:rPr>
                <w:rFonts w:hint="eastAsia" w:asciiTheme="minorEastAsia" w:hAnsiTheme="minorEastAsia" w:cstheme="minorEastAsia"/>
                <w:color w:val="000000"/>
                <w:kern w:val="0"/>
                <w:szCs w:val="21"/>
              </w:rPr>
            </w:pPr>
          </w:p>
        </w:tc>
        <w:tc>
          <w:tcPr>
            <w:tcW w:w="1858" w:type="dxa"/>
            <w:tcBorders>
              <w:top w:val="single" w:color="auto" w:sz="4" w:space="0"/>
              <w:left w:val="nil"/>
              <w:bottom w:val="single" w:color="auto" w:sz="4" w:space="0"/>
              <w:right w:val="single" w:color="auto" w:sz="4" w:space="0"/>
            </w:tcBorders>
            <w:vAlign w:val="bottom"/>
          </w:tcPr>
          <w:p w14:paraId="3EA54832">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安装</w:t>
            </w:r>
          </w:p>
        </w:tc>
        <w:tc>
          <w:tcPr>
            <w:tcW w:w="2187" w:type="dxa"/>
            <w:tcBorders>
              <w:top w:val="single" w:color="auto" w:sz="4" w:space="0"/>
              <w:left w:val="single" w:color="auto" w:sz="4" w:space="0"/>
              <w:bottom w:val="single" w:color="auto" w:sz="4" w:space="0"/>
              <w:right w:val="single" w:color="auto" w:sz="4" w:space="0"/>
            </w:tcBorders>
            <w:vAlign w:val="bottom"/>
          </w:tcPr>
          <w:p w14:paraId="65CF7EF4">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市政</w:t>
            </w:r>
          </w:p>
        </w:tc>
        <w:tc>
          <w:tcPr>
            <w:tcW w:w="2288" w:type="dxa"/>
            <w:tcBorders>
              <w:top w:val="single" w:color="auto" w:sz="4" w:space="0"/>
              <w:left w:val="single" w:color="auto" w:sz="4" w:space="0"/>
              <w:bottom w:val="single" w:color="auto" w:sz="4" w:space="0"/>
              <w:right w:val="single" w:color="auto" w:sz="4" w:space="0"/>
            </w:tcBorders>
            <w:vAlign w:val="bottom"/>
          </w:tcPr>
          <w:p w14:paraId="644639D8">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绿化</w:t>
            </w:r>
          </w:p>
        </w:tc>
      </w:tr>
      <w:tr w14:paraId="51B8E7B6">
        <w:tblPrEx>
          <w:tblCellMar>
            <w:top w:w="0" w:type="dxa"/>
            <w:left w:w="108" w:type="dxa"/>
            <w:bottom w:w="0" w:type="dxa"/>
            <w:right w:w="108" w:type="dxa"/>
          </w:tblCellMar>
        </w:tblPrEx>
        <w:trPr>
          <w:trHeight w:val="450" w:hRule="atLeast"/>
        </w:trPr>
        <w:tc>
          <w:tcPr>
            <w:tcW w:w="3559" w:type="dxa"/>
            <w:tcBorders>
              <w:top w:val="single" w:color="auto" w:sz="4" w:space="0"/>
              <w:left w:val="single" w:color="auto" w:sz="4" w:space="0"/>
              <w:bottom w:val="single" w:color="auto" w:sz="4" w:space="0"/>
              <w:right w:val="single" w:color="auto" w:sz="4" w:space="0"/>
            </w:tcBorders>
            <w:vAlign w:val="center"/>
          </w:tcPr>
          <w:p w14:paraId="4DE220C8">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临时设施费</w:t>
            </w:r>
          </w:p>
        </w:tc>
        <w:tc>
          <w:tcPr>
            <w:tcW w:w="1858" w:type="dxa"/>
            <w:tcBorders>
              <w:top w:val="single" w:color="auto" w:sz="4" w:space="0"/>
              <w:left w:val="single" w:color="auto" w:sz="4" w:space="0"/>
              <w:bottom w:val="single" w:color="auto" w:sz="4" w:space="0"/>
              <w:right w:val="single" w:color="auto" w:sz="4" w:space="0"/>
            </w:tcBorders>
            <w:vAlign w:val="center"/>
          </w:tcPr>
          <w:p w14:paraId="77106F7F">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c>
          <w:tcPr>
            <w:tcW w:w="2187" w:type="dxa"/>
            <w:tcBorders>
              <w:top w:val="single" w:color="auto" w:sz="4" w:space="0"/>
              <w:left w:val="single" w:color="auto" w:sz="4" w:space="0"/>
              <w:bottom w:val="single" w:color="auto" w:sz="4" w:space="0"/>
              <w:right w:val="single" w:color="auto" w:sz="4" w:space="0"/>
            </w:tcBorders>
            <w:vAlign w:val="center"/>
          </w:tcPr>
          <w:p w14:paraId="4C9248FB">
            <w:pPr>
              <w:widowControl/>
              <w:spacing w:line="336" w:lineRule="auto"/>
              <w:jc w:val="center"/>
              <w:rPr>
                <w:rFonts w:hint="eastAsia" w:asciiTheme="minorEastAsia" w:hAnsiTheme="minorEastAsia" w:cstheme="minorEastAsia"/>
                <w:color w:val="000000"/>
                <w:kern w:val="0"/>
                <w:szCs w:val="21"/>
              </w:rPr>
            </w:pPr>
            <w:r>
              <w:rPr>
                <w:rFonts w:asciiTheme="minorEastAsia" w:hAnsiTheme="minorEastAsia" w:cstheme="minorEastAsia"/>
                <w:color w:val="000000"/>
                <w:kern w:val="0"/>
                <w:szCs w:val="21"/>
              </w:rPr>
              <w:t>1.</w:t>
            </w:r>
            <w:r>
              <w:rPr>
                <w:rFonts w:hint="eastAsia" w:asciiTheme="minorEastAsia" w:hAnsiTheme="minorEastAsia" w:cstheme="minorEastAsia"/>
                <w:color w:val="000000"/>
                <w:kern w:val="0"/>
                <w:szCs w:val="21"/>
              </w:rPr>
              <w:t>1</w:t>
            </w:r>
          </w:p>
        </w:tc>
        <w:tc>
          <w:tcPr>
            <w:tcW w:w="2288" w:type="dxa"/>
            <w:tcBorders>
              <w:top w:val="single" w:color="auto" w:sz="4" w:space="0"/>
              <w:left w:val="single" w:color="auto" w:sz="4" w:space="0"/>
              <w:bottom w:val="single" w:color="auto" w:sz="4" w:space="0"/>
              <w:right w:val="single" w:color="auto" w:sz="4" w:space="0"/>
            </w:tcBorders>
            <w:vAlign w:val="center"/>
          </w:tcPr>
          <w:p w14:paraId="2306AA1D">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r>
      <w:tr w14:paraId="06CD6691">
        <w:tblPrEx>
          <w:tblCellMar>
            <w:top w:w="0" w:type="dxa"/>
            <w:left w:w="108" w:type="dxa"/>
            <w:bottom w:w="0" w:type="dxa"/>
            <w:right w:w="108" w:type="dxa"/>
          </w:tblCellMar>
        </w:tblPrEx>
        <w:trPr>
          <w:trHeight w:val="451" w:hRule="atLeast"/>
        </w:trPr>
        <w:tc>
          <w:tcPr>
            <w:tcW w:w="3559" w:type="dxa"/>
            <w:tcBorders>
              <w:top w:val="nil"/>
              <w:left w:val="single" w:color="auto" w:sz="4" w:space="0"/>
              <w:bottom w:val="single" w:color="auto" w:sz="4" w:space="0"/>
              <w:right w:val="single" w:color="auto" w:sz="4" w:space="0"/>
            </w:tcBorders>
            <w:vAlign w:val="center"/>
          </w:tcPr>
          <w:p w14:paraId="3D9E0E67">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建筑工人实名制费用</w:t>
            </w:r>
          </w:p>
        </w:tc>
        <w:tc>
          <w:tcPr>
            <w:tcW w:w="1858" w:type="dxa"/>
            <w:tcBorders>
              <w:top w:val="nil"/>
              <w:left w:val="single" w:color="auto" w:sz="4" w:space="0"/>
              <w:bottom w:val="single" w:color="auto" w:sz="4" w:space="0"/>
              <w:right w:val="single" w:color="auto" w:sz="4" w:space="0"/>
            </w:tcBorders>
            <w:vAlign w:val="center"/>
          </w:tcPr>
          <w:p w14:paraId="739B64B9">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c>
          <w:tcPr>
            <w:tcW w:w="2187" w:type="dxa"/>
            <w:tcBorders>
              <w:top w:val="nil"/>
              <w:left w:val="single" w:color="auto" w:sz="4" w:space="0"/>
              <w:bottom w:val="single" w:color="auto" w:sz="4" w:space="0"/>
              <w:right w:val="single" w:color="auto" w:sz="4" w:space="0"/>
            </w:tcBorders>
            <w:vAlign w:val="center"/>
          </w:tcPr>
          <w:p w14:paraId="2B740F36">
            <w:pPr>
              <w:widowControl/>
              <w:spacing w:line="336" w:lineRule="auto"/>
              <w:jc w:val="center"/>
              <w:rPr>
                <w:rFonts w:hint="eastAsia" w:asciiTheme="minorEastAsia" w:hAnsiTheme="minorEastAsia" w:cstheme="minorEastAsia"/>
                <w:color w:val="000000"/>
                <w:kern w:val="0"/>
                <w:szCs w:val="21"/>
              </w:rPr>
            </w:pPr>
            <w:r>
              <w:rPr>
                <w:rFonts w:asciiTheme="minorEastAsia" w:hAnsiTheme="minorEastAsia" w:cstheme="minorEastAsia"/>
                <w:color w:val="000000"/>
                <w:kern w:val="0"/>
                <w:szCs w:val="21"/>
              </w:rPr>
              <w:t>0.03</w:t>
            </w:r>
          </w:p>
        </w:tc>
        <w:tc>
          <w:tcPr>
            <w:tcW w:w="2288" w:type="dxa"/>
            <w:tcBorders>
              <w:top w:val="nil"/>
              <w:left w:val="single" w:color="auto" w:sz="4" w:space="0"/>
              <w:bottom w:val="single" w:color="auto" w:sz="4" w:space="0"/>
              <w:right w:val="single" w:color="auto" w:sz="4" w:space="0"/>
            </w:tcBorders>
            <w:vAlign w:val="center"/>
          </w:tcPr>
          <w:p w14:paraId="1E7843CA">
            <w:pPr>
              <w:widowControl/>
              <w:spacing w:line="336" w:lineRule="auto"/>
              <w:jc w:val="center"/>
              <w:rPr>
                <w:rFonts w:hint="eastAsia" w:asciiTheme="minorEastAsia" w:hAnsiTheme="minorEastAsia" w:cstheme="minorEastAsia"/>
                <w:color w:val="000000"/>
                <w:kern w:val="0"/>
                <w:szCs w:val="21"/>
              </w:rPr>
            </w:pPr>
            <w:r>
              <w:rPr>
                <w:rFonts w:hint="eastAsia" w:asciiTheme="minorEastAsia" w:hAnsiTheme="minorEastAsia" w:cstheme="minorEastAsia"/>
                <w:color w:val="000000"/>
                <w:kern w:val="0"/>
                <w:szCs w:val="21"/>
              </w:rPr>
              <w:t>/</w:t>
            </w:r>
          </w:p>
        </w:tc>
      </w:tr>
    </w:tbl>
    <w:p w14:paraId="10E47569">
      <w:pPr>
        <w:spacing w:line="336" w:lineRule="auto"/>
        <w:ind w:right="1120"/>
        <w:jc w:val="center"/>
        <w:rPr>
          <w:bCs/>
          <w:sz w:val="28"/>
          <w:szCs w:val="28"/>
        </w:rPr>
      </w:pPr>
      <w:r>
        <w:rPr>
          <w:rFonts w:hint="eastAsia" w:asciiTheme="minorEastAsia" w:hAnsiTheme="minorEastAsia" w:cstheme="minorEastAsia"/>
          <w:b/>
          <w:szCs w:val="21"/>
        </w:rPr>
        <w:t xml:space="preserve">                                                             2026年4月3日</w:t>
      </w:r>
      <w:r>
        <w:rPr>
          <w:rFonts w:hint="eastAsia"/>
          <w:bCs/>
          <w:sz w:val="28"/>
          <w:szCs w:val="28"/>
        </w:rPr>
        <w:t xml:space="preserve">                        </w:t>
      </w:r>
    </w:p>
    <w:sectPr>
      <w:pgSz w:w="11906" w:h="16838"/>
      <w:pgMar w:top="1020" w:right="850" w:bottom="850" w:left="1020" w:header="851" w:footer="992"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3CFB41"/>
    <w:multiLevelType w:val="singleLevel"/>
    <w:tmpl w:val="BD3CFB41"/>
    <w:lvl w:ilvl="0" w:tentative="0">
      <w:start w:val="1"/>
      <w:numFmt w:val="decimal"/>
      <w:suff w:val="nothing"/>
      <w:lvlText w:val="（%1）"/>
      <w:lvlJc w:val="left"/>
    </w:lvl>
  </w:abstractNum>
  <w:abstractNum w:abstractNumId="1">
    <w:nsid w:val="02DD7809"/>
    <w:multiLevelType w:val="multilevel"/>
    <w:tmpl w:val="02DD7809"/>
    <w:lvl w:ilvl="0" w:tentative="0">
      <w:start w:val="4"/>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zZjNiNzE0MGU2ZjBlYTg3NzliZWI2ZjExNTY5MTYifQ=="/>
    <w:docVar w:name="KSO_WPS_MARK_KEY" w:val="93349103-4ac3-497e-b13c-2c2b2aa24fee"/>
  </w:docVars>
  <w:rsids>
    <w:rsidRoot w:val="00CA4914"/>
    <w:rsid w:val="0002023E"/>
    <w:rsid w:val="00044A39"/>
    <w:rsid w:val="00081D53"/>
    <w:rsid w:val="00086E4B"/>
    <w:rsid w:val="000968F2"/>
    <w:rsid w:val="00126686"/>
    <w:rsid w:val="001444D1"/>
    <w:rsid w:val="00146CD6"/>
    <w:rsid w:val="00161D51"/>
    <w:rsid w:val="00173977"/>
    <w:rsid w:val="00182416"/>
    <w:rsid w:val="001A1D97"/>
    <w:rsid w:val="001A738E"/>
    <w:rsid w:val="001C4408"/>
    <w:rsid w:val="001C4837"/>
    <w:rsid w:val="002C29D1"/>
    <w:rsid w:val="002C6F0D"/>
    <w:rsid w:val="002D3251"/>
    <w:rsid w:val="002F1829"/>
    <w:rsid w:val="003037A3"/>
    <w:rsid w:val="003106FF"/>
    <w:rsid w:val="00311601"/>
    <w:rsid w:val="003554A6"/>
    <w:rsid w:val="00356225"/>
    <w:rsid w:val="0036679A"/>
    <w:rsid w:val="003D384D"/>
    <w:rsid w:val="00417712"/>
    <w:rsid w:val="00424C94"/>
    <w:rsid w:val="00431DBD"/>
    <w:rsid w:val="00455175"/>
    <w:rsid w:val="00457E09"/>
    <w:rsid w:val="004649B6"/>
    <w:rsid w:val="00480AE0"/>
    <w:rsid w:val="00492D6E"/>
    <w:rsid w:val="004A506E"/>
    <w:rsid w:val="004E57E3"/>
    <w:rsid w:val="0050645D"/>
    <w:rsid w:val="00523586"/>
    <w:rsid w:val="00575561"/>
    <w:rsid w:val="005A01FB"/>
    <w:rsid w:val="005A346D"/>
    <w:rsid w:val="005D4421"/>
    <w:rsid w:val="005D70BA"/>
    <w:rsid w:val="005E5245"/>
    <w:rsid w:val="005F5E47"/>
    <w:rsid w:val="00610747"/>
    <w:rsid w:val="0061097D"/>
    <w:rsid w:val="006137B7"/>
    <w:rsid w:val="00633F57"/>
    <w:rsid w:val="006344C9"/>
    <w:rsid w:val="00641037"/>
    <w:rsid w:val="00674887"/>
    <w:rsid w:val="006D057C"/>
    <w:rsid w:val="006E6B52"/>
    <w:rsid w:val="00700428"/>
    <w:rsid w:val="00701096"/>
    <w:rsid w:val="007251A5"/>
    <w:rsid w:val="00734E21"/>
    <w:rsid w:val="00737D72"/>
    <w:rsid w:val="007A46A2"/>
    <w:rsid w:val="007E22EB"/>
    <w:rsid w:val="007E2EE5"/>
    <w:rsid w:val="00861ED5"/>
    <w:rsid w:val="008A7A6B"/>
    <w:rsid w:val="008B2C32"/>
    <w:rsid w:val="008B35FA"/>
    <w:rsid w:val="008C3AB7"/>
    <w:rsid w:val="008C63B3"/>
    <w:rsid w:val="008D5E32"/>
    <w:rsid w:val="008F0F6C"/>
    <w:rsid w:val="009450D2"/>
    <w:rsid w:val="00946157"/>
    <w:rsid w:val="009B4286"/>
    <w:rsid w:val="00A13FCA"/>
    <w:rsid w:val="00A57A23"/>
    <w:rsid w:val="00A92B35"/>
    <w:rsid w:val="00AA58AA"/>
    <w:rsid w:val="00AC48E3"/>
    <w:rsid w:val="00B0203A"/>
    <w:rsid w:val="00B050C7"/>
    <w:rsid w:val="00B8191F"/>
    <w:rsid w:val="00BA5C2F"/>
    <w:rsid w:val="00BC7C63"/>
    <w:rsid w:val="00C047B3"/>
    <w:rsid w:val="00C2510D"/>
    <w:rsid w:val="00C3322D"/>
    <w:rsid w:val="00C4522F"/>
    <w:rsid w:val="00C53F98"/>
    <w:rsid w:val="00C56FC6"/>
    <w:rsid w:val="00C61918"/>
    <w:rsid w:val="00C651FC"/>
    <w:rsid w:val="00C74EBF"/>
    <w:rsid w:val="00C95A7B"/>
    <w:rsid w:val="00CA4914"/>
    <w:rsid w:val="00CA4BF2"/>
    <w:rsid w:val="00CB1A1B"/>
    <w:rsid w:val="00CD2E94"/>
    <w:rsid w:val="00D03A58"/>
    <w:rsid w:val="00D074C0"/>
    <w:rsid w:val="00D335FF"/>
    <w:rsid w:val="00D57382"/>
    <w:rsid w:val="00D728A9"/>
    <w:rsid w:val="00D97915"/>
    <w:rsid w:val="00DB2096"/>
    <w:rsid w:val="00EB6A29"/>
    <w:rsid w:val="00ED6768"/>
    <w:rsid w:val="00F32995"/>
    <w:rsid w:val="00F50065"/>
    <w:rsid w:val="00F76EFD"/>
    <w:rsid w:val="00FB3D94"/>
    <w:rsid w:val="00FC29C2"/>
    <w:rsid w:val="00FD1CFF"/>
    <w:rsid w:val="00FE411F"/>
    <w:rsid w:val="00FF1D8B"/>
    <w:rsid w:val="00FF4AE6"/>
    <w:rsid w:val="01247A9A"/>
    <w:rsid w:val="01775999"/>
    <w:rsid w:val="02FF2D2C"/>
    <w:rsid w:val="03443858"/>
    <w:rsid w:val="035C5CD9"/>
    <w:rsid w:val="03801AB1"/>
    <w:rsid w:val="040F519A"/>
    <w:rsid w:val="04BE6689"/>
    <w:rsid w:val="05685A2A"/>
    <w:rsid w:val="058719EC"/>
    <w:rsid w:val="060E7437"/>
    <w:rsid w:val="06172EFD"/>
    <w:rsid w:val="067A5F71"/>
    <w:rsid w:val="072F1862"/>
    <w:rsid w:val="07733A96"/>
    <w:rsid w:val="07781015"/>
    <w:rsid w:val="07C87950"/>
    <w:rsid w:val="07D735D8"/>
    <w:rsid w:val="07E10FA0"/>
    <w:rsid w:val="08B407F7"/>
    <w:rsid w:val="09FB5AE0"/>
    <w:rsid w:val="0B040578"/>
    <w:rsid w:val="0B23179C"/>
    <w:rsid w:val="0C236700"/>
    <w:rsid w:val="0C7B02EA"/>
    <w:rsid w:val="0C8C04C4"/>
    <w:rsid w:val="0C9465C5"/>
    <w:rsid w:val="0CF13986"/>
    <w:rsid w:val="0D395F87"/>
    <w:rsid w:val="0FA55900"/>
    <w:rsid w:val="10330A28"/>
    <w:rsid w:val="10535E93"/>
    <w:rsid w:val="1099707B"/>
    <w:rsid w:val="10E136C3"/>
    <w:rsid w:val="11AF0EF4"/>
    <w:rsid w:val="11BD1C6A"/>
    <w:rsid w:val="12F44B4E"/>
    <w:rsid w:val="133833D9"/>
    <w:rsid w:val="134F3535"/>
    <w:rsid w:val="14C33176"/>
    <w:rsid w:val="15DB071A"/>
    <w:rsid w:val="1659679C"/>
    <w:rsid w:val="16CB1A06"/>
    <w:rsid w:val="18111630"/>
    <w:rsid w:val="187C29FF"/>
    <w:rsid w:val="194B1E5E"/>
    <w:rsid w:val="195D755A"/>
    <w:rsid w:val="199C60F0"/>
    <w:rsid w:val="19C25AD6"/>
    <w:rsid w:val="19D03F18"/>
    <w:rsid w:val="1A75606A"/>
    <w:rsid w:val="1AE94B8D"/>
    <w:rsid w:val="1B006BB8"/>
    <w:rsid w:val="1BFE79E5"/>
    <w:rsid w:val="1D7A6830"/>
    <w:rsid w:val="1E0B5246"/>
    <w:rsid w:val="1E2E28A7"/>
    <w:rsid w:val="1E2E6C41"/>
    <w:rsid w:val="1E434AAD"/>
    <w:rsid w:val="1E6B02DE"/>
    <w:rsid w:val="1E9D7C9C"/>
    <w:rsid w:val="20B41B50"/>
    <w:rsid w:val="20B55884"/>
    <w:rsid w:val="20CA035F"/>
    <w:rsid w:val="21501D3E"/>
    <w:rsid w:val="21CB71C6"/>
    <w:rsid w:val="23560CCA"/>
    <w:rsid w:val="241B126D"/>
    <w:rsid w:val="248574F7"/>
    <w:rsid w:val="24D63195"/>
    <w:rsid w:val="25047004"/>
    <w:rsid w:val="251F62F1"/>
    <w:rsid w:val="266F0CC0"/>
    <w:rsid w:val="26C22966"/>
    <w:rsid w:val="27A315CD"/>
    <w:rsid w:val="280E7B27"/>
    <w:rsid w:val="2850418B"/>
    <w:rsid w:val="285640A9"/>
    <w:rsid w:val="28F667A2"/>
    <w:rsid w:val="29385A89"/>
    <w:rsid w:val="299638D1"/>
    <w:rsid w:val="29B449E4"/>
    <w:rsid w:val="29DA2511"/>
    <w:rsid w:val="29FC4997"/>
    <w:rsid w:val="2AA96C15"/>
    <w:rsid w:val="2BA73B48"/>
    <w:rsid w:val="2C9E3DF4"/>
    <w:rsid w:val="2CF60ED0"/>
    <w:rsid w:val="2D56309C"/>
    <w:rsid w:val="2F0E5950"/>
    <w:rsid w:val="2FDA28CA"/>
    <w:rsid w:val="30AE16ED"/>
    <w:rsid w:val="32BF2D77"/>
    <w:rsid w:val="33300E01"/>
    <w:rsid w:val="33325E43"/>
    <w:rsid w:val="333805AC"/>
    <w:rsid w:val="33FD0D51"/>
    <w:rsid w:val="342542D6"/>
    <w:rsid w:val="343569CA"/>
    <w:rsid w:val="35453DF8"/>
    <w:rsid w:val="36AF4E39"/>
    <w:rsid w:val="37272C9F"/>
    <w:rsid w:val="376B53CA"/>
    <w:rsid w:val="37BA73BD"/>
    <w:rsid w:val="37F17107"/>
    <w:rsid w:val="37FA41ED"/>
    <w:rsid w:val="38725441"/>
    <w:rsid w:val="38832B12"/>
    <w:rsid w:val="398677A6"/>
    <w:rsid w:val="3989771A"/>
    <w:rsid w:val="39E14D8F"/>
    <w:rsid w:val="3A2E0A33"/>
    <w:rsid w:val="3A7822EF"/>
    <w:rsid w:val="3AA20FB4"/>
    <w:rsid w:val="3AA460E5"/>
    <w:rsid w:val="3AED3EB4"/>
    <w:rsid w:val="3C962D03"/>
    <w:rsid w:val="3DEB0EC4"/>
    <w:rsid w:val="3DFA278D"/>
    <w:rsid w:val="3E282C7D"/>
    <w:rsid w:val="3EDE1C03"/>
    <w:rsid w:val="3FF87C37"/>
    <w:rsid w:val="40644F5E"/>
    <w:rsid w:val="406F2C43"/>
    <w:rsid w:val="40D5168B"/>
    <w:rsid w:val="410E1844"/>
    <w:rsid w:val="414F4C8A"/>
    <w:rsid w:val="42BF79F2"/>
    <w:rsid w:val="42D75573"/>
    <w:rsid w:val="43423284"/>
    <w:rsid w:val="43741014"/>
    <w:rsid w:val="44090986"/>
    <w:rsid w:val="441E7674"/>
    <w:rsid w:val="44743BD9"/>
    <w:rsid w:val="448348A3"/>
    <w:rsid w:val="44EA4E9D"/>
    <w:rsid w:val="44F67865"/>
    <w:rsid w:val="450A543B"/>
    <w:rsid w:val="451074C2"/>
    <w:rsid w:val="45841D2B"/>
    <w:rsid w:val="467957CF"/>
    <w:rsid w:val="468A401D"/>
    <w:rsid w:val="469E45A5"/>
    <w:rsid w:val="46B03FF0"/>
    <w:rsid w:val="47322DCD"/>
    <w:rsid w:val="478D666B"/>
    <w:rsid w:val="47D9742E"/>
    <w:rsid w:val="47F73984"/>
    <w:rsid w:val="4A186860"/>
    <w:rsid w:val="4A336D8B"/>
    <w:rsid w:val="4A3948B0"/>
    <w:rsid w:val="4A92296E"/>
    <w:rsid w:val="4A926139"/>
    <w:rsid w:val="4AB31B6B"/>
    <w:rsid w:val="4B752F08"/>
    <w:rsid w:val="4B7C5C7E"/>
    <w:rsid w:val="4B9D2F25"/>
    <w:rsid w:val="4C5737CF"/>
    <w:rsid w:val="4CB95655"/>
    <w:rsid w:val="4D665E71"/>
    <w:rsid w:val="4E566566"/>
    <w:rsid w:val="4E665D51"/>
    <w:rsid w:val="4EA837AF"/>
    <w:rsid w:val="4ECA6411"/>
    <w:rsid w:val="4F370600"/>
    <w:rsid w:val="4F4C066E"/>
    <w:rsid w:val="4F4C3A36"/>
    <w:rsid w:val="511A284F"/>
    <w:rsid w:val="51CF5A1E"/>
    <w:rsid w:val="528B4BC4"/>
    <w:rsid w:val="52D414AC"/>
    <w:rsid w:val="52E273D3"/>
    <w:rsid w:val="530370D8"/>
    <w:rsid w:val="53086830"/>
    <w:rsid w:val="53E10E61"/>
    <w:rsid w:val="55400012"/>
    <w:rsid w:val="55B370A4"/>
    <w:rsid w:val="55EA2726"/>
    <w:rsid w:val="560A28DD"/>
    <w:rsid w:val="56330318"/>
    <w:rsid w:val="57394071"/>
    <w:rsid w:val="57674F85"/>
    <w:rsid w:val="57EA597A"/>
    <w:rsid w:val="580225B1"/>
    <w:rsid w:val="582F5603"/>
    <w:rsid w:val="58C87BEB"/>
    <w:rsid w:val="58F93683"/>
    <w:rsid w:val="593B4339"/>
    <w:rsid w:val="5941413A"/>
    <w:rsid w:val="594B70CB"/>
    <w:rsid w:val="5AAA6F9A"/>
    <w:rsid w:val="5AB71852"/>
    <w:rsid w:val="5AF65449"/>
    <w:rsid w:val="5B464818"/>
    <w:rsid w:val="5C7D3997"/>
    <w:rsid w:val="5CA0784D"/>
    <w:rsid w:val="5CAF1A14"/>
    <w:rsid w:val="5D074862"/>
    <w:rsid w:val="5D5B1470"/>
    <w:rsid w:val="5E261D04"/>
    <w:rsid w:val="5E690998"/>
    <w:rsid w:val="5EA87AF0"/>
    <w:rsid w:val="5EC2181C"/>
    <w:rsid w:val="5F34131D"/>
    <w:rsid w:val="5F5E4899"/>
    <w:rsid w:val="5F8167D9"/>
    <w:rsid w:val="5F97194E"/>
    <w:rsid w:val="5FBD48C1"/>
    <w:rsid w:val="60FC45CC"/>
    <w:rsid w:val="610C4B20"/>
    <w:rsid w:val="61443242"/>
    <w:rsid w:val="61EE1DF7"/>
    <w:rsid w:val="61F324F5"/>
    <w:rsid w:val="62223450"/>
    <w:rsid w:val="623E0378"/>
    <w:rsid w:val="62C30E34"/>
    <w:rsid w:val="65861D37"/>
    <w:rsid w:val="65AB6A03"/>
    <w:rsid w:val="65B4317E"/>
    <w:rsid w:val="65E05075"/>
    <w:rsid w:val="66124AC3"/>
    <w:rsid w:val="662A66B6"/>
    <w:rsid w:val="672779E2"/>
    <w:rsid w:val="67B54042"/>
    <w:rsid w:val="67DA17D2"/>
    <w:rsid w:val="68194C06"/>
    <w:rsid w:val="68407FB5"/>
    <w:rsid w:val="685D2BE1"/>
    <w:rsid w:val="69136D14"/>
    <w:rsid w:val="697F2718"/>
    <w:rsid w:val="69D1180C"/>
    <w:rsid w:val="6C60334E"/>
    <w:rsid w:val="6C8C0F8E"/>
    <w:rsid w:val="6CCF055D"/>
    <w:rsid w:val="6D2C27DC"/>
    <w:rsid w:val="6D6E6A3E"/>
    <w:rsid w:val="6D8931B5"/>
    <w:rsid w:val="6DB4329C"/>
    <w:rsid w:val="6DFD4441"/>
    <w:rsid w:val="6E7003B9"/>
    <w:rsid w:val="6F7E5C0D"/>
    <w:rsid w:val="6FA25BF4"/>
    <w:rsid w:val="6FD14D0B"/>
    <w:rsid w:val="713E4C7E"/>
    <w:rsid w:val="71656A28"/>
    <w:rsid w:val="717C0CCF"/>
    <w:rsid w:val="72233A2B"/>
    <w:rsid w:val="72D03644"/>
    <w:rsid w:val="73005B71"/>
    <w:rsid w:val="73C42B05"/>
    <w:rsid w:val="743778DF"/>
    <w:rsid w:val="743A1F17"/>
    <w:rsid w:val="74855803"/>
    <w:rsid w:val="752169D5"/>
    <w:rsid w:val="770F0011"/>
    <w:rsid w:val="78EA6D41"/>
    <w:rsid w:val="7934714B"/>
    <w:rsid w:val="79B96F3E"/>
    <w:rsid w:val="7A8531FD"/>
    <w:rsid w:val="7C6E6D48"/>
    <w:rsid w:val="7DBA3010"/>
    <w:rsid w:val="7E5120FD"/>
    <w:rsid w:val="7EA61D05"/>
    <w:rsid w:val="7F38263C"/>
    <w:rsid w:val="7F705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adjustRightInd w:val="0"/>
      <w:spacing w:after="60" w:line="360" w:lineRule="atLeast"/>
      <w:ind w:left="72" w:leftChars="30" w:right="30" w:rightChars="30"/>
      <w:jc w:val="center"/>
      <w:textAlignment w:val="baseline"/>
    </w:pPr>
  </w:style>
  <w:style w:type="paragraph" w:customStyle="1" w:styleId="3">
    <w:name w:val="Default"/>
    <w:qFormat/>
    <w:uiPriority w:val="0"/>
    <w:pPr>
      <w:widowControl w:val="0"/>
      <w:autoSpaceDE w:val="0"/>
      <w:autoSpaceDN w:val="0"/>
      <w:adjustRightInd w:val="0"/>
      <w:spacing w:after="200" w:line="276" w:lineRule="auto"/>
    </w:pPr>
    <w:rPr>
      <w:rFonts w:ascii="Times New Roman" w:hAnsi="Times New Roman" w:eastAsia="宋体" w:cs="Calibri"/>
      <w:color w:val="000000"/>
      <w:sz w:val="24"/>
      <w:szCs w:val="24"/>
      <w:lang w:val="en-US" w:eastAsia="zh-CN" w:bidi="ar-SA"/>
    </w:rPr>
  </w:style>
  <w:style w:type="paragraph" w:styleId="4">
    <w:name w:val="Plain Text"/>
    <w:basedOn w:val="1"/>
    <w:qFormat/>
    <w:uiPriority w:val="0"/>
    <w:rPr>
      <w:rFonts w:ascii="宋体" w:hAnsi="Courier New"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spacing w:before="60" w:line="400" w:lineRule="exact"/>
    </w:pPr>
    <w:rPr>
      <w:rFonts w:eastAsia="黑体"/>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character" w:styleId="11">
    <w:name w:val="page number"/>
    <w:basedOn w:val="10"/>
    <w:qFormat/>
    <w:uiPriority w:val="0"/>
  </w:style>
  <w:style w:type="character" w:customStyle="1" w:styleId="12">
    <w:name w:val="页眉 字符"/>
    <w:basedOn w:val="10"/>
    <w:link w:val="6"/>
    <w:semiHidden/>
    <w:qFormat/>
    <w:uiPriority w:val="99"/>
    <w:rPr>
      <w:sz w:val="18"/>
      <w:szCs w:val="18"/>
    </w:rPr>
  </w:style>
  <w:style w:type="character" w:customStyle="1" w:styleId="13">
    <w:name w:val="页脚 字符"/>
    <w:basedOn w:val="10"/>
    <w:link w:val="5"/>
    <w:semiHidden/>
    <w:qFormat/>
    <w:uiPriority w:val="99"/>
    <w:rPr>
      <w:sz w:val="18"/>
      <w:szCs w:val="18"/>
    </w:rPr>
  </w:style>
  <w:style w:type="paragraph" w:customStyle="1" w:styleId="14">
    <w:name w:val="列出段落1"/>
    <w:basedOn w:val="1"/>
    <w:qFormat/>
    <w:uiPriority w:val="34"/>
    <w:pPr>
      <w:ind w:firstLine="420" w:firstLineChars="200"/>
    </w:p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614</Words>
  <Characters>711</Characters>
  <Lines>4</Lines>
  <Paragraphs>1</Paragraphs>
  <TotalTime>0</TotalTime>
  <ScaleCrop>false</ScaleCrop>
  <LinksUpToDate>false</LinksUpToDate>
  <CharactersWithSpaces>804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2015-11-11T01:55:00Z</dcterms:created>
  <dc:creator>xuxf</dc:creator>
  <cp:lastModifiedBy>朱朱</cp:lastModifiedBy>
  <cp:lastPrinted>2018-12-05T06:58:00Z</cp:lastPrinted>
  <dcterms:modified xsi:type="dcterms:W3CDTF">2026-07-28T02:55:58Z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18E4961A316A4870959226CF881DFF0F</vt:lpwstr>
  </property>
  <property fmtid="{D5CDD505-2E9C-101B-9397-08002B2CF9AE}" pid="4" name="KSOTemplateDocerSaveRecord">
    <vt:lpwstr>eyJoZGlkIjoiZDA0NjVkZGUyNjA2NWUyMDYzYjRhMmQ0NWRjOTg1NzYiLCJ1c2VySWQiOiIzNTc0MTkwMzkifQ==</vt:lpwstr>
  </property>
</Properties>
</file>