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hint="eastAsia" w:ascii="宋体" w:hAnsi="宋体"/>
          <w:b/>
          <w:bCs/>
          <w:color w:val="auto"/>
          <w:spacing w:val="80"/>
          <w:sz w:val="64"/>
          <w:highlight w:val="none"/>
        </w:rPr>
      </w:pPr>
      <w:r>
        <w:rPr>
          <w:rFonts w:hint="eastAsia" w:ascii="宋体" w:hAnsi="宋体"/>
          <w:b/>
          <w:bCs/>
          <w:color w:val="auto"/>
          <w:spacing w:val="80"/>
          <w:sz w:val="64"/>
          <w:highlight w:val="none"/>
        </w:rPr>
      </w:r>
      <w:r/>
    </w:p>
    <w:p>
      <w:pPr>
        <w:jc w:val="center"/>
        <w:spacing w:line="720" w:lineRule="exact"/>
        <w:rPr>
          <w:rFonts w:hint="eastAsia" w:ascii="宋体" w:hAnsi="宋体"/>
          <w:color w:val="auto"/>
          <w:sz w:val="56"/>
          <w:highlight w:val="none"/>
        </w:rPr>
      </w:pPr>
      <w:r>
        <w:rPr>
          <w:rFonts w:hint="eastAsia" w:ascii="宋体" w:hAnsi="宋体"/>
          <w:b/>
          <w:bCs/>
          <w:color w:val="auto"/>
          <w:spacing w:val="80"/>
          <w:sz w:val="64"/>
          <w:highlight w:val="none"/>
        </w:rPr>
        <w:t xml:space="preserve">连云港市政府采购</w:t>
      </w:r>
      <w:r/>
    </w:p>
    <w:p>
      <w:pPr>
        <w:jc w:val="center"/>
        <w:spacing w:line="720" w:lineRule="exact"/>
        <w:rPr>
          <w:rFonts w:hint="eastAsia" w:ascii="宋体" w:hAnsi="宋体"/>
          <w:color w:val="auto"/>
          <w:sz w:val="52"/>
          <w:highlight w:val="none"/>
        </w:rPr>
      </w:pPr>
      <w:r>
        <w:rPr>
          <w:rFonts w:hint="eastAsia" w:ascii="宋体" w:hAnsi="宋体"/>
          <w:color w:val="auto"/>
          <w:sz w:val="52"/>
          <w:highlight w:val="none"/>
        </w:rPr>
      </w:r>
      <w:r/>
    </w:p>
    <w:p>
      <w:pPr>
        <w:jc w:val="center"/>
        <w:spacing w:line="360" w:lineRule="auto"/>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 xml:space="preserve">招标文件</w:t>
      </w:r>
      <w:r/>
    </w:p>
    <w:p>
      <w:pPr>
        <w:jc w:val="center"/>
        <w:spacing w:line="720" w:lineRule="exact"/>
        <w:rPr>
          <w:rFonts w:ascii="宋体" w:hAnsi="宋体"/>
          <w:color w:val="auto"/>
          <w:sz w:val="52"/>
          <w:highlight w:val="none"/>
        </w:rPr>
      </w:pPr>
      <w:r>
        <w:rPr>
          <w:rFonts w:ascii="宋体" w:hAnsi="宋体"/>
          <w:color w:val="auto"/>
          <w:sz w:val="52"/>
          <w:highlight w:val="none"/>
        </w:rPr>
      </w:r>
      <w:r/>
    </w:p>
    <w:p>
      <w:pPr>
        <w:jc w:val="center"/>
        <w:spacing w:line="720" w:lineRule="exact"/>
        <w:rPr>
          <w:rFonts w:hint="eastAsia" w:ascii="宋体" w:hAnsi="宋体"/>
          <w:color w:val="auto"/>
          <w:sz w:val="72"/>
          <w:highlight w:val="none"/>
        </w:rPr>
      </w:pPr>
      <w:r>
        <w:rPr>
          <w:rFonts w:hint="eastAsia" w:ascii="宋体" w:hAnsi="宋体"/>
          <w:color w:val="auto"/>
          <w:sz w:val="72"/>
          <w:highlight w:val="none"/>
        </w:rPr>
      </w:r>
      <w:r/>
    </w:p>
    <w:p>
      <w:pPr>
        <w:jc w:val="center"/>
        <w:spacing w:line="720" w:lineRule="exact"/>
        <w:rPr>
          <w:rFonts w:hint="eastAsia" w:ascii="宋体" w:hAnsi="宋体"/>
          <w:color w:val="auto"/>
          <w:sz w:val="72"/>
          <w:highlight w:val="none"/>
        </w:rPr>
      </w:pPr>
      <w:r>
        <w:rPr>
          <w:rFonts w:hint="eastAsia" w:ascii="宋体" w:hAnsi="宋体"/>
          <w:color w:val="auto"/>
          <w:sz w:val="72"/>
          <w:highlight w:val="none"/>
        </w:rPr>
      </w:r>
      <w:r/>
    </w:p>
    <w:p>
      <w:pPr>
        <w:jc w:val="center"/>
        <w:spacing w:line="720" w:lineRule="exact"/>
        <w:rPr>
          <w:rFonts w:hint="eastAsia" w:ascii="宋体" w:hAnsi="宋体"/>
          <w:color w:val="auto"/>
          <w:sz w:val="70"/>
          <w:highlight w:val="none"/>
        </w:rPr>
      </w:pPr>
      <w:r>
        <w:rPr>
          <w:rFonts w:hint="eastAsia" w:ascii="宋体" w:hAnsi="宋体"/>
          <w:color w:val="auto"/>
          <w:sz w:val="70"/>
          <w:highlight w:val="none"/>
        </w:rPr>
      </w:r>
      <w:r/>
    </w:p>
    <w:p>
      <w:pPr>
        <w:ind w:left="840" w:firstLine="613"/>
        <w:rPr>
          <w:rFonts w:hint="eastAsia" w:ascii="宋体" w:hAnsi="宋体" w:eastAsia="宋体"/>
          <w:bCs/>
          <w:color w:val="auto"/>
          <w:sz w:val="32"/>
          <w:szCs w:val="32"/>
          <w:highlight w:val="none"/>
          <w:lang w:val="zh-TW" w:eastAsia="zh-CN"/>
        </w:rPr>
      </w:pPr>
      <w:r>
        <w:rPr>
          <w:rFonts w:hint="eastAsia" w:ascii="宋体" w:hAnsi="宋体"/>
          <w:bCs/>
          <w:color w:val="auto"/>
          <w:sz w:val="32"/>
          <w:szCs w:val="32"/>
          <w:highlight w:val="none"/>
        </w:rPr>
        <w:t xml:space="preserve">标段名称：</w:t>
      </w:r>
      <w:r>
        <w:rPr>
          <w:rFonts w:hint="eastAsia" w:ascii="宋体" w:hAnsi="宋体"/>
          <w:bCs/>
          <w:color w:val="auto"/>
          <w:sz w:val="32"/>
          <w:szCs w:val="32"/>
          <w:highlight w:val="none"/>
          <w:lang w:val="zh-TW" w:eastAsia="zh-CN"/>
        </w:rPr>
        <w:t xml:space="preserve">连云港石化产业基地安全管家服务项目</w:t>
      </w:r>
      <w:r/>
    </w:p>
    <w:p>
      <w:pPr>
        <w:pStyle w:val="1009"/>
        <w:rPr>
          <w:rFonts w:hint="eastAsia"/>
          <w:color w:val="auto"/>
          <w:highlight w:val="none"/>
        </w:rPr>
      </w:pPr>
      <w:r>
        <w:rPr>
          <w:rFonts w:hint="eastAsia"/>
          <w:color w:val="auto"/>
          <w:highlight w:val="none"/>
        </w:rPr>
      </w:r>
      <w:r/>
    </w:p>
    <w:p>
      <w:pPr>
        <w:ind w:left="840" w:firstLine="613"/>
        <w:rPr>
          <w:rFonts w:ascii="宋体" w:hAnsi="宋体" w:eastAsia="宋体"/>
          <w:bCs/>
          <w:color w:val="auto"/>
          <w:sz w:val="32"/>
          <w:szCs w:val="32"/>
          <w:highlight w:val="none"/>
          <w:lang w:val="en-US" w:eastAsia="zh-CN"/>
        </w:rPr>
      </w:pPr>
      <w:r>
        <w:rPr>
          <w:rFonts w:hint="eastAsia" w:ascii="宋体" w:hAnsi="宋体"/>
          <w:bCs/>
          <w:color w:val="auto"/>
          <w:sz w:val="32"/>
          <w:szCs w:val="32"/>
          <w:highlight w:val="none"/>
        </w:rPr>
        <w:t xml:space="preserve">标段编号：</w:t>
      </w:r>
      <w:r>
        <w:rPr>
          <w:rFonts w:hint="eastAsia" w:ascii="宋体" w:hAnsi="宋体" w:eastAsia="宋体" w:cs="Times New Roman"/>
          <w:bCs/>
          <w:color w:val="auto"/>
          <w:sz w:val="32"/>
          <w:szCs w:val="32"/>
          <w:highlight w:val="none"/>
          <w:lang w:val="zh-TW" w:eastAsia="zh-CN"/>
        </w:rPr>
        <w:t xml:space="preserve">JSZC-320700-JSWD-G2026-0030</w:t>
      </w:r>
      <w:r/>
    </w:p>
    <w:p>
      <w:pPr>
        <w:rPr>
          <w:rFonts w:hint="eastAsia" w:ascii="宋体" w:hAnsi="宋体"/>
          <w:color w:val="auto"/>
          <w:highlight w:val="none"/>
        </w:rPr>
      </w:pPr>
      <w:r>
        <w:rPr>
          <w:rFonts w:hint="eastAsia" w:ascii="宋体" w:hAnsi="宋体"/>
          <w:color w:val="auto"/>
          <w:highlight w:val="none"/>
        </w:rPr>
      </w:r>
      <w:r/>
    </w:p>
    <w:p>
      <w:pPr>
        <w:pStyle w:val="937"/>
        <w:ind w:right="-993"/>
        <w:rPr>
          <w:rFonts w:hint="eastAsia" w:hAnsi="宋体"/>
          <w:color w:val="auto"/>
          <w:highlight w:val="none"/>
        </w:rPr>
      </w:pPr>
      <w:r>
        <w:rPr>
          <w:rFonts w:hint="eastAsia" w:hAnsi="宋体"/>
          <w:color w:val="auto"/>
          <w:highlight w:val="none"/>
        </w:rPr>
      </w:r>
      <w:r/>
    </w:p>
    <w:p>
      <w:pPr>
        <w:pStyle w:val="937"/>
        <w:ind w:right="-993"/>
        <w:rPr>
          <w:rFonts w:hint="eastAsia" w:hAnsi="宋体"/>
          <w:color w:val="auto"/>
          <w:highlight w:val="none"/>
        </w:rPr>
      </w:pPr>
      <w:r>
        <w:rPr>
          <w:rFonts w:hint="eastAsia" w:hAnsi="宋体"/>
          <w:color w:val="auto"/>
          <w:highlight w:val="none"/>
        </w:rPr>
      </w:r>
      <w:r/>
    </w:p>
    <w:p>
      <w:pPr>
        <w:pStyle w:val="937"/>
        <w:ind w:right="-993"/>
        <w:rPr>
          <w:rFonts w:hint="eastAsia" w:hAnsi="宋体"/>
          <w:color w:val="auto"/>
          <w:highlight w:val="none"/>
        </w:rPr>
      </w:pPr>
      <w:r>
        <w:rPr>
          <w:rFonts w:hint="eastAsia" w:hAnsi="宋体"/>
          <w:color w:val="auto"/>
          <w:highlight w:val="none"/>
        </w:rPr>
      </w:r>
      <w:r/>
    </w:p>
    <w:p>
      <w:pPr>
        <w:ind w:left="840" w:firstLine="613"/>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   购   人：</w:t>
      </w:r>
      <w:r>
        <w:rPr>
          <w:rFonts w:hint="eastAsia" w:ascii="宋体" w:hAnsi="宋体"/>
          <w:bCs/>
          <w:color w:val="auto"/>
          <w:sz w:val="32"/>
          <w:szCs w:val="32"/>
          <w:highlight w:val="none"/>
          <w:lang w:eastAsia="zh-CN"/>
        </w:rPr>
        <w:t xml:space="preserve">国家东中西区域合作示范区（连云港徐圩新区）应急管理局</w:t>
      </w:r>
      <w:r/>
    </w:p>
    <w:p>
      <w:pPr>
        <w:ind w:left="840" w:firstLine="613"/>
        <w:rPr>
          <w:rFonts w:hint="eastAsia" w:ascii="宋体" w:hAnsi="宋体"/>
          <w:bCs/>
          <w:color w:val="auto"/>
          <w:sz w:val="32"/>
          <w:szCs w:val="32"/>
          <w:highlight w:val="none"/>
        </w:rPr>
      </w:pPr>
      <w:r>
        <w:rPr>
          <w:rFonts w:hint="eastAsia" w:ascii="宋体" w:hAnsi="宋体"/>
          <w:bCs/>
          <w:color w:val="auto"/>
          <w:sz w:val="32"/>
          <w:szCs w:val="32"/>
          <w:highlight w:val="none"/>
        </w:rPr>
        <w:t xml:space="preserve">采购代理机构：江苏万达工程造价事务所有限公司</w:t>
      </w:r>
      <w:r/>
    </w:p>
    <w:p>
      <w:pPr>
        <w:pStyle w:val="1000"/>
        <w:jc w:val="center"/>
        <w:rPr>
          <w:rStyle w:val="972"/>
          <w:rFonts w:hint="eastAsia" w:ascii="宋体" w:hAnsi="宋体" w:cs="宋体"/>
          <w:color w:val="auto"/>
          <w:sz w:val="32"/>
          <w:szCs w:val="32"/>
          <w:highlight w:val="none"/>
          <w:lang w:val="en-US" w:eastAsia="zh-TW"/>
        </w:rPr>
      </w:pPr>
      <w:r>
        <w:rPr>
          <w:rFonts w:hint="eastAsia" w:ascii="宋体" w:hAnsi="宋体" w:cs="宋体"/>
          <w:color w:val="auto"/>
          <w:sz w:val="32"/>
          <w:szCs w:val="32"/>
          <w:highlight w:val="none"/>
          <w:lang w:val="en-US" w:eastAsia="zh-TW"/>
        </w:rPr>
      </w:r>
      <w:r/>
    </w:p>
    <w:p>
      <w:pPr>
        <w:pStyle w:val="1000"/>
        <w:jc w:val="center"/>
        <w:rPr>
          <w:rStyle w:val="972"/>
          <w:rFonts w:ascii="宋体" w:hAnsi="宋体" w:cs="宋体"/>
          <w:color w:val="auto"/>
          <w:sz w:val="32"/>
          <w:szCs w:val="32"/>
          <w:highlight w:val="none"/>
          <w:lang w:val="en-US" w:eastAsia="zh-TW"/>
        </w:rPr>
      </w:pPr>
      <w:r>
        <w:rPr>
          <w:rStyle w:val="972"/>
          <w:rFonts w:hint="eastAsia" w:ascii="宋体" w:hAnsi="宋体" w:cs="宋体"/>
          <w:color w:val="auto"/>
          <w:sz w:val="32"/>
          <w:szCs w:val="32"/>
          <w:highlight w:val="none"/>
          <w:lang w:val="en-US" w:eastAsia="zh-TW"/>
        </w:rPr>
        <w:t xml:space="preserve">202</w:t>
      </w:r>
      <w:r>
        <w:rPr>
          <w:rStyle w:val="972"/>
          <w:rFonts w:hint="eastAsia" w:ascii="宋体" w:hAnsi="宋体" w:cs="宋体"/>
          <w:color w:val="auto"/>
          <w:sz w:val="32"/>
          <w:szCs w:val="32"/>
          <w:highlight w:val="none"/>
          <w:lang w:val="en-US" w:eastAsia="zh-CN"/>
        </w:rPr>
        <w:t xml:space="preserve">6</w:t>
      </w:r>
      <w:r>
        <w:rPr>
          <w:rStyle w:val="972"/>
          <w:rFonts w:hint="eastAsia" w:ascii="宋体" w:hAnsi="宋体" w:cs="宋体"/>
          <w:color w:val="auto"/>
          <w:sz w:val="32"/>
          <w:szCs w:val="32"/>
          <w:highlight w:val="none"/>
          <w:lang w:val="en-US" w:eastAsia="zh-TW"/>
        </w:rPr>
        <w:t xml:space="preserve">年</w:t>
      </w:r>
      <w:r>
        <w:rPr>
          <w:rStyle w:val="972"/>
          <w:rFonts w:hint="eastAsia" w:ascii="宋体" w:hAnsi="宋体" w:cs="宋体"/>
          <w:color w:val="auto"/>
          <w:sz w:val="32"/>
          <w:szCs w:val="32"/>
          <w:highlight w:val="none"/>
          <w:lang w:val="en-US" w:eastAsia="zh-CN"/>
        </w:rPr>
        <w:t xml:space="preserve">7</w:t>
      </w:r>
      <w:r>
        <w:rPr>
          <w:rStyle w:val="972"/>
          <w:rFonts w:hint="eastAsia" w:ascii="宋体" w:hAnsi="宋体" w:cs="宋体"/>
          <w:color w:val="auto"/>
          <w:sz w:val="32"/>
          <w:szCs w:val="32"/>
          <w:highlight w:val="none"/>
          <w:lang w:val="en-US" w:eastAsia="zh-TW"/>
        </w:rPr>
        <w:t xml:space="preserve">月</w:t>
      </w:r>
      <w:r/>
    </w:p>
    <w:p>
      <w:pPr>
        <w:rPr>
          <w:color w:val="auto"/>
          <w:highlight w:val="none"/>
          <w:lang w:val="zh-CN"/>
        </w:rPr>
      </w:pPr>
      <w:r>
        <w:rPr>
          <w:color w:val="auto"/>
          <w:highlight w:val="none"/>
          <w:lang w:val="zh-CN"/>
        </w:rPr>
      </w:r>
      <w:r/>
    </w:p>
    <w:p>
      <w:pPr>
        <w:pStyle w:val="901"/>
        <w:numPr>
          <w:ilvl w:val="0"/>
          <w:numId w:val="0"/>
        </w:numPr>
        <w:keepLines/>
        <w:spacing w:line="360" w:lineRule="auto"/>
        <w:rPr>
          <w:rFonts w:hint="eastAsia" w:ascii="Times New Roman" w:hAnsi="宋体" w:eastAsia="黑体"/>
          <w:color w:val="auto"/>
          <w:sz w:val="36"/>
          <w:szCs w:val="20"/>
          <w:highlight w:val="none"/>
        </w:rPr>
      </w:pPr>
      <w:r/>
      <w:bookmarkStart w:id="0" w:name="_Toc58260780"/>
      <w:r>
        <w:rPr>
          <w:rFonts w:hint="eastAsia" w:ascii="Times New Roman" w:hAnsi="宋体" w:eastAsia="黑体"/>
          <w:color w:val="auto"/>
          <w:sz w:val="36"/>
          <w:szCs w:val="20"/>
          <w:highlight w:val="none"/>
        </w:rPr>
        <w:t xml:space="preserve">目   录</w:t>
      </w:r>
      <w:bookmarkEnd w:id="0"/>
      <w:r/>
      <w:r/>
    </w:p>
    <w:p>
      <w:pPr>
        <w:pStyle w:val="951"/>
        <w:tabs>
          <w:tab w:val="right" w:pos="9344" w:leader="dot"/>
        </w:tabs>
        <w:rPr>
          <w:rFonts w:ascii="Calibri" w:hAnsi="Calibri"/>
          <w:b w:val="0"/>
          <w:bCs w:val="0"/>
          <w:caps w:val="0"/>
          <w:color w:val="auto"/>
          <w:sz w:val="21"/>
          <w:szCs w:val="22"/>
          <w:highlight w:val="none"/>
        </w:rPr>
      </w:pPr>
      <w:r>
        <w:rPr>
          <w:rFonts w:ascii="宋体" w:hAnsi="宋体"/>
          <w:b w:val="0"/>
          <w:color w:val="auto"/>
          <w:highlight w:val="none"/>
        </w:rPr>
        <w:fldChar w:fldCharType="begin"/>
      </w:r>
      <w:r>
        <w:rPr>
          <w:rFonts w:ascii="宋体" w:hAnsi="宋体"/>
          <w:b w:val="0"/>
          <w:color w:val="auto"/>
          <w:highlight w:val="none"/>
        </w:rPr>
        <w:instrText xml:space="preserve"> </w:instrText>
      </w:r>
      <w:r>
        <w:rPr>
          <w:rFonts w:hint="eastAsia" w:ascii="宋体" w:hAnsi="宋体"/>
          <w:b w:val="0"/>
          <w:color w:val="auto"/>
          <w:highlight w:val="none"/>
        </w:rPr>
        <w:instrText xml:space="preserve">TOC \o "1-1" \h \z \u</w:instrText>
      </w:r>
      <w:r>
        <w:rPr>
          <w:rFonts w:ascii="宋体" w:hAnsi="宋体"/>
          <w:b w:val="0"/>
          <w:color w:val="auto"/>
          <w:highlight w:val="none"/>
        </w:rPr>
        <w:instrText xml:space="preserve"> </w:instrText>
      </w:r>
      <w:r>
        <w:rPr>
          <w:rFonts w:ascii="宋体" w:hAnsi="宋体"/>
          <w:b w:val="0"/>
          <w:color w:val="auto"/>
          <w:highlight w:val="none"/>
        </w:rPr>
        <w:fldChar w:fldCharType="separate"/>
      </w: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"_Toc58260781"</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第一部分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_Toc58260781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51"/>
        <w:tabs>
          <w:tab w:val="right" w:pos="9344" w:leader="dot"/>
        </w:tabs>
        <w:rPr>
          <w:rFonts w:ascii="Calibri" w:hAnsi="Calibri"/>
          <w:b w:val="0"/>
          <w:bCs w:val="0"/>
          <w:caps w:val="0"/>
          <w:color w:val="auto"/>
          <w:sz w:val="21"/>
          <w:szCs w:val="22"/>
          <w:highlight w:val="none"/>
        </w:rPr>
      </w:pP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"_Toc58260782"</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第二部分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_Toc58260782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51"/>
        <w:tabs>
          <w:tab w:val="right" w:pos="9344" w:leader="dot"/>
        </w:tabs>
        <w:rPr>
          <w:rFonts w:ascii="Calibri" w:hAnsi="Calibri"/>
          <w:b w:val="0"/>
          <w:bCs w:val="0"/>
          <w:caps w:val="0"/>
          <w:color w:val="auto"/>
          <w:sz w:val="21"/>
          <w:szCs w:val="22"/>
          <w:highlight w:val="none"/>
        </w:rPr>
      </w:pP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"_Toc58260783"</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第三部分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rPr>
        <w:t xml:space="preserve">评标办法</w:t>
      </w:r>
      <w:r>
        <w:rPr>
          <w:color w:val="auto"/>
          <w:highlight w:val="none"/>
        </w:rPr>
        <w:tab/>
      </w:r>
      <w:r>
        <w:rPr>
          <w:color w:val="auto"/>
          <w:highlight w:val="none"/>
        </w:rPr>
        <w:fldChar w:fldCharType="begin"/>
      </w:r>
      <w:r>
        <w:rPr>
          <w:color w:val="auto"/>
          <w:highlight w:val="none"/>
        </w:rPr>
        <w:instrText xml:space="preserve"> PAGEREF _Toc58260783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951"/>
        <w:tabs>
          <w:tab w:val="right" w:pos="9344" w:leader="dot"/>
        </w:tabs>
        <w:rPr>
          <w:rFonts w:ascii="Calibri" w:hAnsi="Calibri"/>
          <w:b w:val="0"/>
          <w:bCs w:val="0"/>
          <w:caps w:val="0"/>
          <w:color w:val="auto"/>
          <w:sz w:val="21"/>
          <w:szCs w:val="22"/>
          <w:highlight w:val="none"/>
        </w:rPr>
      </w:pP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"_Toc58260784"</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第四部分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lang w:eastAsia="zh-CN"/>
        </w:rPr>
        <w:t xml:space="preserve">项目需求</w:t>
      </w:r>
      <w:r>
        <w:rPr>
          <w:color w:val="auto"/>
          <w:highlight w:val="none"/>
        </w:rPr>
        <w:tab/>
      </w:r>
      <w:r>
        <w:rPr>
          <w:color w:val="auto"/>
          <w:highlight w:val="none"/>
        </w:rPr>
        <w:fldChar w:fldCharType="begin"/>
      </w:r>
      <w:r>
        <w:rPr>
          <w:color w:val="auto"/>
          <w:highlight w:val="none"/>
        </w:rPr>
        <w:instrText xml:space="preserve"> PAGEREF _Toc58260784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951"/>
        <w:tabs>
          <w:tab w:val="right" w:pos="9344" w:leader="dot"/>
        </w:tabs>
        <w:rPr>
          <w:rFonts w:ascii="Calibri" w:hAnsi="Calibri"/>
          <w:b w:val="0"/>
          <w:bCs w:val="0"/>
          <w:caps w:val="0"/>
          <w:color w:val="auto"/>
          <w:sz w:val="21"/>
          <w:szCs w:val="22"/>
          <w:highlight w:val="none"/>
        </w:rPr>
      </w:pP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"_Toc58260785"</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第五部分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_Toc58260785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951"/>
        <w:tabs>
          <w:tab w:val="right" w:pos="9344" w:leader="dot"/>
        </w:tabs>
        <w:rPr>
          <w:rFonts w:ascii="Calibri" w:hAnsi="Calibri"/>
          <w:b w:val="0"/>
          <w:bCs w:val="0"/>
          <w:caps w:val="0"/>
          <w:color w:val="auto"/>
          <w:sz w:val="21"/>
          <w:szCs w:val="22"/>
          <w:highlight w:val="none"/>
        </w:rPr>
      </w:pPr>
      <w:r>
        <w:rPr>
          <w:color w:val="auto"/>
          <w:highlight w:val="none"/>
        </w:rPr>
        <w:fldChar w:fldCharType="begin"/>
      </w:r>
      <w:r>
        <w:rPr>
          <w:rStyle w:val="974"/>
          <w:color w:val="auto"/>
          <w:highlight w:val="none"/>
        </w:rPr>
        <w:instrText xml:space="preserve"> </w:instrText>
      </w:r>
      <w:r>
        <w:rPr>
          <w:color w:val="auto"/>
          <w:highlight w:val="none"/>
        </w:rPr>
        <w:instrText xml:space="preserve">HYPERLINK \l "_Toc58260786"</w:instrText>
      </w:r>
      <w:r>
        <w:rPr>
          <w:rStyle w:val="974"/>
          <w:color w:val="auto"/>
          <w:highlight w:val="none"/>
        </w:rPr>
        <w:instrText xml:space="preserve"> </w:instrText>
      </w:r>
      <w:r>
        <w:rPr>
          <w:color w:val="auto"/>
          <w:highlight w:val="none"/>
        </w:rPr>
        <w:fldChar w:fldCharType="separate"/>
      </w:r>
      <w:r>
        <w:rPr>
          <w:rStyle w:val="974"/>
          <w:rFonts w:hint="eastAsia" w:ascii="Times New Roman" w:hAnsi="宋体" w:eastAsia="黑体"/>
          <w:color w:val="auto"/>
          <w:highlight w:val="none"/>
        </w:rPr>
        <w:t xml:space="preserve">第六部分</w:t>
      </w:r>
      <w:r>
        <w:rPr>
          <w:rStyle w:val="974"/>
          <w:rFonts w:ascii="Times New Roman" w:hAnsi="宋体" w:eastAsia="黑体"/>
          <w:color w:val="auto"/>
          <w:highlight w:val="none"/>
        </w:rPr>
        <w:t xml:space="preserve">  </w:t>
      </w:r>
      <w:r>
        <w:rPr>
          <w:rStyle w:val="974"/>
          <w:rFonts w:hint="eastAsia" w:ascii="Times New Roman" w:hAnsi="宋体" w:eastAsia="黑体"/>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_Toc58260786 \h </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rPr>
          <w:rFonts w:ascii="宋体" w:hAnsi="宋体"/>
          <w:color w:val="auto"/>
          <w:sz w:val="24"/>
          <w:highlight w:val="none"/>
        </w:rPr>
      </w:pPr>
      <w:r>
        <w:rPr>
          <w:rFonts w:ascii="宋体" w:hAnsi="宋体"/>
          <w:color w:val="auto"/>
          <w:sz w:val="24"/>
          <w:highlight w:val="none"/>
        </w:rPr>
        <w:fldChar w:fldCharType="end"/>
      </w:r>
      <w:r/>
    </w:p>
    <w:p>
      <w:pPr>
        <w:pStyle w:val="901"/>
        <w:numPr>
          <w:ilvl w:val="0"/>
          <w:numId w:val="0"/>
        </w:numPr>
        <w:keepLines/>
        <w:spacing w:line="360" w:lineRule="auto"/>
        <w:rPr>
          <w:rFonts w:hint="eastAsia" w:ascii="宋体" w:hAnsi="宋体" w:eastAsia="宋体"/>
          <w:color w:val="auto"/>
          <w:highlight w:val="none"/>
        </w:rPr>
      </w:pPr>
      <w:r>
        <w:rPr>
          <w:rFonts w:ascii="宋体" w:hAnsi="宋体"/>
          <w:color w:val="auto"/>
          <w:sz w:val="24"/>
          <w:highlight w:val="none"/>
        </w:rPr>
        <w:br w:type="page" w:clear="all"/>
      </w:r>
      <w:bookmarkStart w:id="1" w:name="_Toc58260781"/>
      <w:r>
        <w:rPr>
          <w:rFonts w:hint="eastAsia" w:ascii="Times New Roman" w:hAnsi="宋体" w:eastAsia="黑体"/>
          <w:color w:val="auto"/>
          <w:sz w:val="36"/>
          <w:szCs w:val="20"/>
          <w:highlight w:val="none"/>
        </w:rPr>
        <w:t xml:space="preserve">第一部分  投标邀请</w:t>
      </w:r>
      <w:bookmarkEnd w:id="1"/>
      <w:r/>
      <w:r/>
    </w:p>
    <w:p>
      <w:pPr>
        <w:ind w:firstLine="420"/>
        <w:rPr>
          <w:rFonts w:hint="eastAsia"/>
          <w:color w:val="auto"/>
          <w:highlight w:val="none"/>
        </w:rPr>
      </w:pPr>
      <w:r>
        <w:rPr>
          <w:rFonts w:hint="eastAsia"/>
          <w:color w:val="auto"/>
          <w:highlight w:val="none"/>
        </w:rPr>
      </w:r>
      <w:r/>
    </w:p>
    <w:tbl>
      <w:tblPr>
        <w:tblStyle w:val="7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0"/>
              <w:spacing w:line="360" w:lineRule="auto"/>
              <w:rPr>
                <w:rFonts w:hint="eastAsia" w:ascii="宋体" w:hAnsi="宋体"/>
                <w:color w:val="auto"/>
                <w:highlight w:val="none"/>
              </w:rPr>
            </w:pPr>
            <w:r>
              <w:rPr>
                <w:rFonts w:hint="eastAsia" w:ascii="宋体" w:hAnsi="宋体"/>
                <w:color w:val="auto"/>
                <w:sz w:val="24"/>
                <w:highlight w:val="none"/>
                <w:u w:val="single"/>
                <w:lang w:val="zh-TW" w:eastAsia="zh-CN"/>
              </w:rPr>
              <w:t xml:space="preserve">连云港石化产业基地安全管家服务项目</w:t>
            </w:r>
            <w:r>
              <w:rPr>
                <w:rFonts w:hint="eastAsia" w:ascii="宋体" w:hAnsi="宋体"/>
                <w:color w:val="auto"/>
                <w:sz w:val="24"/>
                <w:highlight w:val="none"/>
              </w:rPr>
              <w:t xml:space="preserve">招标项目的潜在投标人应在</w:t>
            </w:r>
            <w:r>
              <w:rPr>
                <w:rFonts w:hint="eastAsia" w:ascii="宋体" w:hAnsi="宋体"/>
                <w:color w:val="auto"/>
                <w:sz w:val="24"/>
                <w:highlight w:val="none"/>
                <w:u w:val="single"/>
              </w:rPr>
              <w:t xml:space="preserve">连云港市公共资源电子交易系统</w:t>
            </w:r>
            <w:r>
              <w:rPr>
                <w:rFonts w:hint="eastAsia" w:ascii="宋体" w:hAnsi="宋体"/>
                <w:color w:val="auto"/>
                <w:sz w:val="24"/>
                <w:highlight w:val="none"/>
              </w:rPr>
              <w:t xml:space="preserve">获取招标文件，并于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日上午</w:t>
            </w:r>
            <w:r>
              <w:rPr>
                <w:rFonts w:hint="eastAsia" w:ascii="宋体" w:hAnsi="宋体"/>
                <w:color w:val="auto"/>
                <w:sz w:val="24"/>
                <w:highlight w:val="none"/>
                <w:u w:val="single"/>
                <w:lang w:val="en-US" w:eastAsia="zh-CN"/>
              </w:rPr>
              <w:t xml:space="preserve">9</w:t>
            </w:r>
            <w:r>
              <w:rPr>
                <w:rFonts w:hint="eastAsia" w:ascii="宋体" w:hAnsi="宋体"/>
                <w:color w:val="auto"/>
                <w:sz w:val="24"/>
                <w:highlight w:val="none"/>
                <w:u w:val="single"/>
              </w:rPr>
              <w:t xml:space="preserve">点00分00秒</w:t>
            </w:r>
            <w:r>
              <w:rPr>
                <w:rFonts w:hint="eastAsia" w:ascii="宋体" w:hAnsi="宋体"/>
                <w:color w:val="auto"/>
                <w:sz w:val="24"/>
                <w:highlight w:val="none"/>
              </w:rPr>
              <w:t xml:space="preserve">（北京时间）</w:t>
            </w:r>
            <w:r>
              <w:rPr>
                <w:rFonts w:hint="eastAsia" w:ascii="宋体" w:hAnsi="宋体"/>
                <w:b/>
                <w:bCs/>
                <w:color w:val="auto"/>
                <w:sz w:val="24"/>
                <w:highlight w:val="none"/>
              </w:rPr>
              <w:t xml:space="preserve">前</w:t>
            </w:r>
            <w:r>
              <w:rPr>
                <w:rFonts w:hint="eastAsia" w:ascii="宋体" w:hAnsi="宋体"/>
                <w:b/>
                <w:color w:val="auto"/>
                <w:sz w:val="24"/>
                <w:highlight w:val="none"/>
              </w:rPr>
              <w:t xml:space="preserve">上传电子投标文件并完成签到</w:t>
            </w:r>
            <w:r>
              <w:rPr>
                <w:rFonts w:hint="eastAsia" w:ascii="宋体" w:hAnsi="宋体"/>
                <w:color w:val="auto"/>
                <w:sz w:val="24"/>
                <w:highlight w:val="none"/>
              </w:rPr>
              <w:t xml:space="preserve">。</w:t>
            </w:r>
            <w:r/>
          </w:p>
        </w:tc>
      </w:tr>
    </w:tbl>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一、项目基本情况</w:t>
      </w:r>
      <w:r/>
    </w:p>
    <w:p>
      <w:pPr>
        <w:ind w:firstLine="480"/>
        <w:spacing w:line="360" w:lineRule="auto"/>
        <w:rPr>
          <w:rFonts w:hint="eastAsia" w:ascii="宋体" w:hAnsi="宋体" w:eastAsia="宋体"/>
          <w:color w:val="auto"/>
          <w:sz w:val="24"/>
          <w:highlight w:val="none"/>
          <w:lang w:val="zh-TW" w:eastAsia="zh-CN"/>
        </w:rPr>
      </w:pPr>
      <w:r>
        <w:rPr>
          <w:rFonts w:hint="eastAsia" w:ascii="宋体" w:hAnsi="宋体"/>
          <w:color w:val="auto"/>
          <w:sz w:val="24"/>
          <w:highlight w:val="none"/>
        </w:rPr>
        <w:t xml:space="preserve">标段名称：</w:t>
      </w:r>
      <w:r>
        <w:rPr>
          <w:rFonts w:hint="eastAsia" w:ascii="宋体" w:hAnsi="宋体"/>
          <w:color w:val="auto"/>
          <w:sz w:val="24"/>
          <w:highlight w:val="none"/>
          <w:lang w:val="zh-TW" w:eastAsia="zh-CN"/>
        </w:rPr>
        <w:t xml:space="preserve">连云港石化产业基地安全管家服务项目</w:t>
      </w:r>
      <w:r/>
    </w:p>
    <w:p>
      <w:pPr>
        <w:ind w:firstLine="480"/>
        <w:spacing w:line="360" w:lineRule="auto"/>
        <w:rPr>
          <w:rFonts w:ascii="宋体" w:hAnsi="宋体" w:eastAsia="宋体" w:cs="Times New Roman"/>
          <w:color w:val="auto"/>
          <w:sz w:val="24"/>
          <w:highlight w:val="none"/>
          <w:lang w:val="en-US" w:eastAsia="zh-CN"/>
        </w:rPr>
      </w:pPr>
      <w:r>
        <w:rPr>
          <w:rFonts w:hint="eastAsia" w:ascii="宋体" w:hAnsi="宋体"/>
          <w:color w:val="auto"/>
          <w:sz w:val="24"/>
          <w:highlight w:val="none"/>
        </w:rPr>
        <w:t xml:space="preserve">标段编号：</w:t>
      </w:r>
      <w:r>
        <w:rPr>
          <w:rFonts w:hint="eastAsia" w:ascii="宋体" w:hAnsi="宋体" w:eastAsia="宋体" w:cs="Times New Roman"/>
          <w:color w:val="auto"/>
          <w:sz w:val="24"/>
          <w:highlight w:val="none"/>
          <w:lang w:val="zh-TW" w:eastAsia="zh-CN"/>
        </w:rPr>
        <w:t xml:space="preserve">JSZC-320700-JSWD-G2026-0030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预算金额：人民币</w:t>
      </w:r>
      <w:r>
        <w:rPr>
          <w:rFonts w:hint="eastAsia" w:ascii="宋体" w:hAnsi="宋体"/>
          <w:color w:val="auto"/>
          <w:sz w:val="24"/>
          <w:highlight w:val="none"/>
          <w:lang w:val="en-US" w:eastAsia="zh-CN"/>
        </w:rPr>
        <w:t xml:space="preserve">800</w:t>
      </w:r>
      <w:r>
        <w:rPr>
          <w:rFonts w:hint="eastAsia" w:ascii="宋体" w:hAnsi="宋体"/>
          <w:color w:val="auto"/>
          <w:sz w:val="24"/>
          <w:highlight w:val="none"/>
        </w:rPr>
        <w:t xml:space="preserve">万元，投标报价超过预算金额的投标无效。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采购需求：</w:t>
      </w:r>
      <w:r>
        <w:rPr>
          <w:rFonts w:hint="eastAsia" w:ascii="宋体" w:hAnsi="宋体"/>
          <w:color w:val="auto"/>
          <w:sz w:val="24"/>
          <w:highlight w:val="none"/>
          <w:lang w:eastAsia="zh-CN"/>
        </w:rPr>
        <w:t xml:space="preserve">拟通过聘请第三方专业技术团队，采用“安全管家”服务模式，实时解决石化基地内安全生产、应急救援的实际问题和需求。</w:t>
      </w:r>
      <w:r>
        <w:rPr>
          <w:rFonts w:hint="eastAsia" w:ascii="宋体" w:hAnsi="宋体"/>
          <w:bCs/>
          <w:color w:val="auto"/>
          <w:sz w:val="24"/>
          <w:highlight w:val="none"/>
        </w:rPr>
        <w:t xml:space="preserve">具体详见</w:t>
      </w:r>
      <w:r>
        <w:rPr>
          <w:rFonts w:hint="eastAsia" w:ascii="宋体" w:hAnsi="宋体"/>
          <w:bCs/>
          <w:color w:val="auto"/>
          <w:sz w:val="24"/>
          <w:highlight w:val="none"/>
          <w:lang w:eastAsia="zh-CN"/>
        </w:rPr>
        <w:t xml:space="preserve">项目需求</w:t>
      </w:r>
      <w:r>
        <w:rPr>
          <w:rFonts w:hint="eastAsia" w:ascii="宋体" w:hAnsi="宋体"/>
          <w:color w:val="auto"/>
          <w:sz w:val="24"/>
          <w:highlight w:val="none"/>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对项目需求部分的询问、质疑请与采购人联系，由采购人负责答复。</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合同履行期限（服务时间）：</w:t>
      </w:r>
      <w:r>
        <w:rPr>
          <w:rFonts w:hint="eastAsia" w:ascii="宋体" w:hAnsi="宋体"/>
          <w:color w:val="auto"/>
          <w:sz w:val="24"/>
          <w:highlight w:val="none"/>
          <w:lang w:val="en-US" w:eastAsia="zh-CN"/>
        </w:rPr>
        <w:t xml:space="preserve">2年（自合同签订之日起）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本项目接受联合体投标。</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二、申请人的资格要求</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1.满足《中华人民共和国政府采购法》第二十二条规定，并提供下列材料：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（1）法人或者其他组织的营业执照等证明文件，自然人的身份证明；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（4）具备履行合同所必需的设备和专业技术能力的声明及证明材料；</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（5）参加政府采购活动前三年内在经营活动中没有重大违法记录的书面声明。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2.落实政府采购政策需满</w:t>
      </w:r>
      <w:r>
        <w:rPr>
          <w:rFonts w:hint="eastAsia" w:ascii="宋体" w:hAnsi="宋体"/>
          <w:color w:val="auto"/>
          <w:sz w:val="24"/>
          <w:szCs w:val="28"/>
          <w:highlight w:val="none"/>
        </w:rPr>
        <w:t xml:space="preserve">足的资格要求：</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szCs w:val="28"/>
          <w:highlight w:val="none"/>
        </w:rPr>
        <w:t xml:space="preserve">3.本项目的特定资格要求：</w:t>
      </w:r>
      <w:r>
        <w:rPr>
          <w:rFonts w:hint="eastAsia" w:ascii="宋体" w:hAnsi="宋体"/>
          <w:color w:val="auto"/>
          <w:sz w:val="24"/>
          <w:szCs w:val="28"/>
          <w:highlight w:val="none"/>
          <w:lang w:val="en-US" w:eastAsia="zh-CN"/>
        </w:rPr>
        <w:t xml:space="preserve">/</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4.本项目的其他资格要求：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Arial"/>
          <w:color w:val="auto"/>
          <w:sz w:val="24"/>
          <w:highlight w:val="none"/>
        </w:rPr>
        <w:t xml:space="preserve">本项目</w:t>
      </w:r>
      <w:bookmarkStart w:id="145" w:name="_GoBack"/>
      <w:r/>
      <w:bookmarkEnd w:id="145"/>
      <w:r>
        <w:rPr>
          <w:rFonts w:hint="eastAsia" w:ascii="宋体" w:hAnsi="宋体" w:cs="Arial"/>
          <w:color w:val="auto"/>
          <w:sz w:val="24"/>
          <w:highlight w:val="none"/>
        </w:rPr>
        <w:t xml:space="preserve">接受联合体投标，</w:t>
      </w:r>
      <w:r>
        <w:rPr>
          <w:rFonts w:hint="eastAsia" w:ascii="宋体" w:hAnsi="宋体"/>
          <w:color w:val="auto"/>
          <w:sz w:val="24"/>
          <w:highlight w:val="none"/>
        </w:rPr>
        <w:t xml:space="preserve">中标后不允许分包或转包。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5.法律法规规定的其他条件。</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三、获取招标文件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时间：202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lang w:val="en-US" w:eastAsia="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日至202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月</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rPr>
        <w:t xml:space="preserve">日</w:t>
      </w:r>
      <w:r>
        <w:rPr>
          <w:rFonts w:hint="eastAsia" w:ascii="宋体" w:hAnsi="宋体" w:eastAsia="宋体" w:cs="Times New Roman"/>
          <w:color w:val="auto"/>
          <w:sz w:val="24"/>
          <w:highlight w:val="none"/>
          <w:lang w:val="en-US" w:eastAsia="zh-CN"/>
        </w:rPr>
        <w:t xml:space="preserve">23</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59</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59</w:t>
      </w:r>
      <w:r>
        <w:rPr>
          <w:rFonts w:hint="eastAsia" w:ascii="宋体" w:hAnsi="宋体" w:eastAsia="宋体" w:cs="Times New Roman"/>
          <w:color w:val="auto"/>
          <w:sz w:val="24"/>
          <w:highlight w:val="none"/>
        </w:rPr>
        <w:t xml:space="preserve">止（北京时间）</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2.方式：在“江苏政府采购网”自行免费下载招标文件。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潜在供应商访问电子招标投标交易平台的网络地址和方法：</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①登录http://jszfcg.jsczt.cn/ ，或进入江苏政府采购网，点击“苏采云”进入系统。</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③潜在供应商访问“苏采云”系统的网络地址和方法：“苏采云”系统的网址:http://jszfcg.jsczt.cn/。</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⑤招标文件(后缀名为“.kedt”)、供应商操作手册及政府采购客户端工具可通过“苏采云”系统--已报名项目--报名详情页面内相应链接进行下载。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⑥招标代理机构(采购代理机构)将数据电文形式的招标文件加载至“苏采云”系统，供潜在供应商下载或者查阅。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⑦请潜在投标单位提前安装相应的控件(详见《江苏省政府采购管理交易系统(苏采云)供应商操作手册</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)并使用谷歌浏览器登录“苏采云”系统参与不见面开评标。</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四、提交投标文件截止时间、开标时间和地点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投标文件接收（上传）截止时间：202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年</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月</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日上午</w:t>
      </w:r>
      <w:r>
        <w:rPr>
          <w:rFonts w:hint="eastAsia" w:ascii="宋体" w:hAnsi="宋体" w:eastAsia="宋体" w:cs="Times New Roman"/>
          <w:color w:val="auto"/>
          <w:sz w:val="24"/>
          <w:highlight w:val="none"/>
          <w:lang w:val="en-US" w:eastAsia="zh-CN"/>
        </w:rPr>
        <w:t xml:space="preserve">9</w:t>
      </w:r>
      <w:r>
        <w:rPr>
          <w:rFonts w:hint="eastAsia" w:ascii="宋体" w:hAnsi="宋体" w:eastAsia="宋体" w:cs="Times New Roman"/>
          <w:color w:val="auto"/>
          <w:sz w:val="24"/>
          <w:highlight w:val="none"/>
        </w:rPr>
        <w:t xml:space="preserve">:00:00（北京时间）</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地点：“苏采云”政府采购交易系统网上开标大厅</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五、公告期限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六、其他补充事宜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本</w:t>
      </w:r>
      <w:r>
        <w:rPr>
          <w:rFonts w:hint="eastAsia" w:ascii="宋体" w:hAnsi="宋体"/>
          <w:color w:val="auto"/>
          <w:sz w:val="24"/>
          <w:highlight w:val="none"/>
        </w:rPr>
        <w:t xml:space="preserve">项目</w:t>
      </w:r>
      <w:r>
        <w:rPr>
          <w:rFonts w:ascii="宋体" w:hAnsi="宋体"/>
          <w:color w:val="auto"/>
          <w:sz w:val="24"/>
          <w:highlight w:val="none"/>
        </w:rPr>
        <w:t xml:space="preserve">不收取投标保证金。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2.本招标文件中标注★的款项为实质性响应要求和条件，如不满足将按无效响应处理。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pStyle w:val="902"/>
        <w:numPr>
          <w:ilvl w:val="0"/>
          <w:numId w:val="0"/>
        </w:numPr>
        <w:spacing w:before="156" w:after="156" w:line="360" w:lineRule="auto"/>
        <w:rPr>
          <w:color w:val="auto"/>
          <w:highlight w:val="none"/>
        </w:rPr>
      </w:pPr>
      <w:r>
        <w:rPr>
          <w:rFonts w:hint="eastAsia"/>
          <w:color w:val="auto"/>
          <w:highlight w:val="none"/>
        </w:rPr>
        <w:t xml:space="preserve">七、对本次招标提出询问，请按以下方式联系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360" w:lineRule="auto"/>
        <w:rPr>
          <w:rFonts w:hint="eastAsia" w:hAnsi="宋体" w:eastAsia="宋体" w:cs="宋体"/>
          <w:color w:val="auto"/>
          <w:sz w:val="24"/>
          <w:highlight w:val="none"/>
          <w:lang w:eastAsia="zh-CN"/>
        </w:rPr>
      </w:pPr>
      <w:r>
        <w:rPr>
          <w:rFonts w:hint="eastAsia" w:ascii="宋体" w:hAnsi="宋体"/>
          <w:color w:val="auto"/>
          <w:sz w:val="24"/>
          <w:highlight w:val="none"/>
        </w:rPr>
        <w:t xml:space="preserve">名    称：</w:t>
      </w:r>
      <w:r>
        <w:rPr>
          <w:rFonts w:hint="eastAsia" w:hAnsi="宋体" w:cs="宋体"/>
          <w:color w:val="auto"/>
          <w:sz w:val="24"/>
          <w:highlight w:val="none"/>
          <w:lang w:eastAsia="zh-CN"/>
        </w:rPr>
        <w:t xml:space="preserve">国家东中西区域合作示范区（连云港徐圩新区）应急管理局</w:t>
      </w:r>
      <w:r/>
    </w:p>
    <w:p>
      <w:pPr>
        <w:ind w:firstLine="480"/>
        <w:spacing w:line="360" w:lineRule="auto"/>
        <w:rPr>
          <w:rFonts w:ascii="宋体" w:hAnsi="宋体" w:eastAsia="宋体"/>
          <w:color w:val="auto"/>
          <w:sz w:val="24"/>
          <w:highlight w:val="none"/>
          <w:lang w:val="en-US" w:eastAsia="zh-CN"/>
        </w:rPr>
      </w:pPr>
      <w:r>
        <w:rPr>
          <w:rFonts w:hint="eastAsia" w:ascii="宋体" w:hAnsi="宋体"/>
          <w:color w:val="auto"/>
          <w:sz w:val="24"/>
          <w:highlight w:val="none"/>
        </w:rPr>
        <w:t xml:space="preserve">联系方式：</w:t>
      </w:r>
      <w:r>
        <w:rPr>
          <w:rFonts w:ascii="Times New Roman" w:hAnsi="Times New Roman" w:cs="Times New Roman"/>
          <w:color w:val="auto"/>
          <w:sz w:val="24"/>
          <w:highlight w:val="none"/>
          <w:lang w:val="en-US" w:eastAsia="zh-CN"/>
        </w:rPr>
        <w:t xml:space="preserve">槐</w:t>
      </w:r>
      <w:r>
        <w:rPr>
          <w:rFonts w:ascii="Times New Roman" w:hAnsi="Times New Roman" w:cs="Times New Roman"/>
          <w:color w:val="auto"/>
          <w:sz w:val="24"/>
          <w:highlight w:val="none"/>
          <w:lang w:eastAsia="zh-CN"/>
        </w:rPr>
        <w:t xml:space="preserve">工</w:t>
      </w:r>
      <w:r>
        <w:rPr>
          <w:rFonts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 xml:space="preserve">0518-82250110</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0518-80270305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名    称：江苏万达工程造价事务所有限公司</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地    址：连云港市海州区朝阳东路凤凰国际大厦</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9</w:t>
      </w:r>
      <w:r>
        <w:rPr>
          <w:rFonts w:hint="eastAsia" w:ascii="宋体" w:hAnsi="宋体"/>
          <w:color w:val="auto"/>
          <w:sz w:val="24"/>
          <w:highlight w:val="none"/>
          <w:lang w:eastAsia="zh-CN"/>
        </w:rPr>
        <w:t xml:space="preserve">楼</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联系方式：刘工</w:t>
      </w:r>
      <w:r>
        <w:rPr>
          <w:rFonts w:hint="eastAsia" w:ascii="宋体" w:hAnsi="宋体"/>
          <w:color w:val="auto"/>
          <w:sz w:val="24"/>
          <w:highlight w:val="none"/>
          <w:lang w:eastAsia="zh-CN"/>
        </w:rPr>
        <w:t xml:space="preserve">、狄工</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0518-85838346</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3.项目联系方式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项目联系人：刘工</w:t>
      </w:r>
      <w:r>
        <w:rPr>
          <w:rFonts w:hint="eastAsia" w:ascii="宋体" w:hAnsi="宋体"/>
          <w:color w:val="auto"/>
          <w:sz w:val="24"/>
          <w:highlight w:val="none"/>
          <w:lang w:eastAsia="zh-CN"/>
        </w:rPr>
        <w:t xml:space="preserve">、狄工</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电    话：</w:t>
      </w:r>
      <w:r>
        <w:rPr>
          <w:rFonts w:hint="eastAsia" w:ascii="宋体" w:hAnsi="宋体"/>
          <w:color w:val="auto"/>
          <w:sz w:val="24"/>
          <w:highlight w:val="none"/>
          <w:lang w:eastAsia="zh-CN"/>
        </w:rPr>
        <w:t xml:space="preserve">0518-85838346</w:t>
      </w:r>
      <w:r/>
    </w:p>
    <w:p>
      <w:pPr>
        <w:pStyle w:val="902"/>
        <w:numPr>
          <w:ilvl w:val="0"/>
          <w:numId w:val="0"/>
        </w:numPr>
        <w:spacing w:before="156" w:after="156" w:line="360" w:lineRule="auto"/>
        <w:rPr>
          <w:rFonts w:hint="eastAsia"/>
          <w:color w:val="auto"/>
          <w:highlight w:val="none"/>
        </w:rPr>
      </w:pPr>
      <w:r>
        <w:rPr>
          <w:rFonts w:hint="eastAsia"/>
          <w:color w:val="auto"/>
          <w:highlight w:val="none"/>
        </w:rPr>
        <w:t xml:space="preserve">八、电子招投标说明</w:t>
      </w:r>
      <w:r/>
    </w:p>
    <w:p>
      <w:pPr>
        <w:ind w:firstLine="480"/>
        <w:spacing w:line="560" w:lineRule="exact"/>
        <w:tabs>
          <w:tab w:val="left" w:pos="900" w:leader="none"/>
        </w:tabs>
        <w:rPr>
          <w:rFonts w:hint="eastAsia" w:ascii="宋体" w:hAnsi="宋体"/>
          <w:bCs/>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bCs/>
          <w:color w:val="auto"/>
          <w:sz w:val="24"/>
          <w:highlight w:val="none"/>
        </w:rPr>
        <w:t xml:space="preserve"> 根据省财政厅《关于更换全省政府采购交易系统CA数字证书和电子签章的通知》（苏财购〔2023〕101号），</w:t>
      </w:r>
      <w:r>
        <w:rPr>
          <w:rFonts w:hint="eastAsia" w:ascii="宋体" w:hAnsi="宋体"/>
          <w:color w:val="auto"/>
          <w:sz w:val="24"/>
          <w:highlight w:val="none"/>
        </w:rPr>
        <w:t xml:space="preserve">“苏采云”政府采购交易系统（以下简称苏采云系统）</w:t>
      </w:r>
      <w:r>
        <w:rPr>
          <w:rFonts w:hint="eastAsia" w:ascii="宋体" w:hAnsi="宋体"/>
          <w:bCs/>
          <w:color w:val="auto"/>
          <w:sz w:val="24"/>
          <w:highlight w:val="none"/>
        </w:rPr>
        <w:t xml:space="preserve">的CA数字证书、电子签章已更换为江苏省电子政务证书认证中心CA和方正国际软件（北京）有限公司电子签章。如果投标人通过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bCs/>
          <w:color w:val="auto"/>
          <w:sz w:val="24"/>
          <w:highlight w:val="none"/>
        </w:rPr>
      </w:pPr>
      <w:r>
        <w:rPr>
          <w:rFonts w:hint="eastAsia" w:ascii="宋体" w:hAnsi="宋体"/>
          <w:bCs/>
          <w:color w:val="auto"/>
          <w:sz w:val="24"/>
          <w:highlight w:val="none"/>
        </w:rPr>
        <w:t xml:space="preserve">2. 有关本次招标的事项若存在变动或修改，敬请及时关注在“江苏政府采购网”发布的更正公告。</w:t>
      </w:r>
      <w:r/>
    </w:p>
    <w:p>
      <w:pPr>
        <w:ind w:right="42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江苏万达工程造价事务所有限公司</w:t>
      </w:r>
      <w:r/>
    </w:p>
    <w:p>
      <w:pPr>
        <w:ind w:right="63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p>
    <w:p>
      <w:pPr>
        <w:pStyle w:val="901"/>
        <w:numPr>
          <w:ilvl w:val="0"/>
          <w:numId w:val="0"/>
        </w:numPr>
        <w:keepLines/>
        <w:spacing w:line="360" w:lineRule="auto"/>
        <w:rPr>
          <w:rFonts w:ascii="宋体" w:hAnsi="宋体" w:eastAsia="宋体"/>
          <w:b/>
          <w:bCs/>
          <w:color w:val="auto"/>
          <w:highlight w:val="none"/>
        </w:rPr>
      </w:pPr>
      <w:r>
        <w:rPr>
          <w:rFonts w:ascii="宋体" w:hAnsi="宋体" w:eastAsia="宋体"/>
          <w:color w:val="auto"/>
          <w:highlight w:val="none"/>
        </w:rPr>
        <w:br w:type="page" w:clear="all"/>
      </w:r>
      <w:bookmarkStart w:id="2" w:name="_Toc58260782"/>
      <w:r>
        <w:rPr>
          <w:rFonts w:hint="eastAsia" w:ascii="Times New Roman" w:hAnsi="宋体" w:eastAsia="黑体"/>
          <w:color w:val="auto"/>
          <w:sz w:val="36"/>
          <w:szCs w:val="20"/>
          <w:highlight w:val="none"/>
        </w:rPr>
        <w:t xml:space="preserve">第二部分  投标人须知</w:t>
      </w:r>
      <w:bookmarkEnd w:id="2"/>
      <w:r/>
      <w:r/>
    </w:p>
    <w:p>
      <w:pPr>
        <w:pStyle w:val="1101"/>
        <w:ind w:firstLine="498"/>
        <w:spacing w:before="145" w:after="145" w:line="360" w:lineRule="auto"/>
        <w:rPr>
          <w:rFonts w:hint="eastAsia"/>
          <w:color w:val="auto"/>
          <w:highlight w:val="none"/>
        </w:rPr>
      </w:pPr>
      <w:r/>
      <w:bookmarkStart w:id="3" w:name="_Toc20823275"/>
      <w:r/>
      <w:bookmarkStart w:id="4" w:name="_Toc120614214"/>
      <w:r/>
      <w:bookmarkStart w:id="5" w:name="_Toc513029203"/>
      <w:r/>
      <w:bookmarkStart w:id="6" w:name="_Toc16938519"/>
      <w:r>
        <w:rPr>
          <w:rFonts w:hint="eastAsia"/>
          <w:color w:val="auto"/>
          <w:highlight w:val="none"/>
        </w:rPr>
        <w:t xml:space="preserve">一、总则</w:t>
      </w:r>
      <w:bookmarkEnd w:id="3"/>
      <w:r/>
      <w:bookmarkEnd w:id="4"/>
      <w:r/>
      <w:bookmarkEnd w:id="5"/>
      <w:r/>
      <w:bookmarkEnd w:id="6"/>
      <w:r/>
      <w:r/>
    </w:p>
    <w:p>
      <w:pPr>
        <w:pStyle w:val="1077"/>
        <w:ind w:firstLine="420"/>
        <w:spacing w:before="0" w:after="0" w:line="240" w:lineRule="auto"/>
        <w:rPr>
          <w:rFonts w:hint="eastAsia"/>
          <w:b w:val="0"/>
          <w:bCs w:val="0"/>
          <w:color w:val="auto"/>
          <w:highlight w:val="none"/>
        </w:rPr>
      </w:pPr>
      <w:r/>
      <w:bookmarkStart w:id="7" w:name="_Hlt16619475"/>
      <w:r/>
      <w:bookmarkEnd w:id="7"/>
      <w:r/>
      <w:bookmarkStart w:id="8" w:name="_Toc458694821"/>
      <w:r/>
      <w:bookmarkStart w:id="9" w:name="_Toc20823276"/>
      <w:r/>
      <w:bookmarkStart w:id="10" w:name="_Toc513029204"/>
      <w:r/>
      <w:bookmarkStart w:id="11" w:name="_Toc16938520"/>
      <w:r>
        <w:rPr>
          <w:rFonts w:hint="eastAsia"/>
          <w:b w:val="0"/>
          <w:bCs w:val="0"/>
          <w:color w:val="auto"/>
          <w:highlight w:val="none"/>
        </w:rPr>
        <w:t xml:space="preserve">1</w:t>
      </w:r>
      <w:bookmarkEnd w:id="8"/>
      <w:r>
        <w:rPr>
          <w:rFonts w:hint="eastAsia"/>
          <w:b w:val="0"/>
          <w:bCs w:val="0"/>
          <w:color w:val="auto"/>
          <w:highlight w:val="none"/>
        </w:rPr>
        <w:t xml:space="preserve">、招标方式</w:t>
      </w:r>
      <w:bookmarkEnd w:id="9"/>
      <w:r/>
      <w:bookmarkEnd w:id="10"/>
      <w:r/>
      <w:bookmarkEnd w:id="1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pStyle w:val="1077"/>
        <w:ind w:firstLine="420"/>
        <w:spacing w:before="0" w:after="0" w:line="240" w:lineRule="auto"/>
        <w:rPr>
          <w:rFonts w:hint="eastAsia"/>
          <w:b w:val="0"/>
          <w:bCs w:val="0"/>
          <w:color w:val="auto"/>
          <w:highlight w:val="none"/>
        </w:rPr>
      </w:pPr>
      <w:r/>
      <w:bookmarkStart w:id="12" w:name="_Toc513029205"/>
      <w:r/>
      <w:bookmarkStart w:id="13" w:name="_Toc16938521"/>
      <w:r/>
      <w:bookmarkStart w:id="14" w:name="_Toc20823277"/>
      <w:r>
        <w:rPr>
          <w:rFonts w:hint="eastAsia"/>
          <w:b w:val="0"/>
          <w:bCs w:val="0"/>
          <w:color w:val="auto"/>
          <w:highlight w:val="none"/>
        </w:rPr>
        <w:t xml:space="preserve">2、合格的投标人</w:t>
      </w:r>
      <w:bookmarkEnd w:id="12"/>
      <w:r/>
      <w:bookmarkEnd w:id="13"/>
      <w:r/>
      <w:bookmarkEnd w:id="14"/>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2.1满足招标公告中供应商的资格要求的规定。</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2.2 满足本文件实质性要求和条件的规定。</w:t>
      </w:r>
      <w:r/>
    </w:p>
    <w:p>
      <w:pPr>
        <w:pStyle w:val="1077"/>
        <w:ind w:firstLine="420"/>
        <w:spacing w:before="0" w:after="0" w:line="240" w:lineRule="auto"/>
        <w:rPr>
          <w:rFonts w:hint="eastAsia"/>
          <w:b w:val="0"/>
          <w:bCs w:val="0"/>
          <w:color w:val="auto"/>
          <w:highlight w:val="none"/>
        </w:rPr>
      </w:pPr>
      <w:r/>
      <w:bookmarkStart w:id="15" w:name="_Toc20823278"/>
      <w:r/>
      <w:bookmarkStart w:id="16" w:name="_Toc16938522"/>
      <w:r/>
      <w:bookmarkStart w:id="17" w:name="_Toc513029206"/>
      <w:r>
        <w:rPr>
          <w:rFonts w:hint="eastAsia"/>
          <w:b w:val="0"/>
          <w:bCs w:val="0"/>
          <w:color w:val="auto"/>
          <w:highlight w:val="none"/>
        </w:rPr>
        <w:t xml:space="preserve">3、适用法律</w:t>
      </w:r>
      <w:bookmarkEnd w:id="15"/>
      <w:r/>
      <w:bookmarkEnd w:id="16"/>
      <w:r/>
      <w:bookmarkEnd w:id="17"/>
      <w:r/>
      <w:r/>
    </w:p>
    <w:p>
      <w:pPr>
        <w:ind w:firstLine="420"/>
        <w:spacing w:line="4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77"/>
        <w:ind w:firstLine="420"/>
        <w:spacing w:before="0" w:after="0" w:line="240" w:lineRule="auto"/>
        <w:rPr>
          <w:rFonts w:hint="eastAsia"/>
          <w:b w:val="0"/>
          <w:bCs w:val="0"/>
          <w:color w:val="auto"/>
          <w:highlight w:val="none"/>
        </w:rPr>
      </w:pPr>
      <w:r/>
      <w:bookmarkStart w:id="18" w:name="_Toc513029207"/>
      <w:r/>
      <w:bookmarkStart w:id="19" w:name="_Toc16938523"/>
      <w:r/>
      <w:bookmarkStart w:id="20" w:name="_Toc462564067"/>
      <w:r/>
      <w:bookmarkStart w:id="21" w:name="_Toc20823279"/>
      <w:r>
        <w:rPr>
          <w:rFonts w:hint="eastAsia"/>
          <w:b w:val="0"/>
          <w:bCs w:val="0"/>
          <w:color w:val="auto"/>
          <w:highlight w:val="none"/>
        </w:rPr>
        <w:t xml:space="preserve">4、投标费用</w:t>
      </w:r>
      <w:bookmarkEnd w:id="18"/>
      <w:r/>
      <w:bookmarkEnd w:id="19"/>
      <w:r/>
      <w:bookmarkEnd w:id="20"/>
      <w:r/>
      <w:bookmarkEnd w:id="2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投标人应自行承担所有与参加投标有关的费用，无论投标过程中的做法和结果如何，江苏万达工程造价事务所有限公司（以下简称代理公司）在任何情况下均无义务和责任承担这些费用。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w:t>
      </w:r>
      <w:r>
        <w:rPr>
          <w:rFonts w:hint="eastAsia" w:ascii="宋体" w:hAnsi="宋体"/>
          <w:color w:val="auto"/>
          <w:sz w:val="24"/>
          <w:highlight w:val="none"/>
          <w:lang w:val="en-US" w:eastAsia="zh-CN"/>
        </w:rPr>
        <w:t xml:space="preserve"> </w:t>
      </w:r>
      <w:r>
        <w:rPr>
          <w:rFonts w:hint="eastAsia" w:ascii="宋体" w:hAnsi="宋体" w:eastAsia="宋体" w:cs="Times New Roman"/>
          <w:color w:val="auto"/>
          <w:sz w:val="24"/>
          <w:highlight w:val="none"/>
        </w:rPr>
        <w:t xml:space="preserve">中标服务费按</w:t>
      </w:r>
      <w:r>
        <w:rPr>
          <w:rFonts w:hint="eastAsia" w:ascii="宋体" w:hAnsi="宋体" w:eastAsia="宋体" w:cs="Times New Roman"/>
          <w:color w:val="auto"/>
          <w:sz w:val="24"/>
          <w:highlight w:val="none"/>
          <w:lang w:val="en-US" w:eastAsia="zh-CN"/>
        </w:rPr>
        <w:t xml:space="preserve">关于印发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江苏省招标代理服务收费的指导意见</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的通知（苏招协[2022]002）</w:t>
      </w:r>
      <w:r>
        <w:rPr>
          <w:rFonts w:hint="eastAsia" w:ascii="宋体" w:hAnsi="宋体" w:eastAsia="宋体" w:cs="Times New Roman"/>
          <w:color w:val="auto"/>
          <w:sz w:val="24"/>
          <w:highlight w:val="none"/>
        </w:rPr>
        <w:t xml:space="preserve">计价标准</w:t>
      </w:r>
      <w:r>
        <w:rPr>
          <w:rFonts w:hint="eastAsia" w:ascii="宋体" w:hAnsi="宋体" w:eastAsia="宋体" w:cs="Times New Roman"/>
          <w:color w:val="auto"/>
          <w:sz w:val="24"/>
          <w:highlight w:val="none"/>
          <w:lang w:val="en-US" w:eastAsia="zh-CN"/>
        </w:rPr>
        <w:t xml:space="preserve">的50%收取。</w:t>
      </w:r>
      <w:r>
        <w:rPr>
          <w:rFonts w:hint="eastAsia" w:ascii="宋体" w:hAnsi="宋体" w:cs="宋体"/>
          <w:color w:val="auto"/>
          <w:sz w:val="24"/>
          <w:highlight w:val="none"/>
        </w:rPr>
        <w:t xml:space="preserve">由中标人领取中标通知书时一次性付清并承担。投标单位在投标报价时应综合考虑以上费用，但不得单列。</w:t>
      </w:r>
      <w:r/>
    </w:p>
    <w:p>
      <w:pPr>
        <w:pStyle w:val="1077"/>
        <w:ind w:firstLine="602"/>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 xml:space="preserve">5、</w:t>
      </w:r>
      <w:r>
        <w:rPr>
          <w:rFonts w:hint="eastAsia" w:ascii="黑体" w:hAnsi="宋体"/>
          <w:b w:val="0"/>
          <w:bCs w:val="0"/>
          <w:color w:val="auto"/>
          <w:highlight w:val="none"/>
        </w:rPr>
        <w:t xml:space="preserve">招标文件的约束力</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投标人一旦参加本项目采购活动，即被认为接受了本招标文件的规定和约束。</w:t>
      </w:r>
      <w:r/>
    </w:p>
    <w:p>
      <w:pPr>
        <w:pStyle w:val="1101"/>
        <w:ind w:firstLine="321"/>
        <w:spacing w:before="145" w:after="145" w:line="360" w:lineRule="auto"/>
        <w:rPr>
          <w:rFonts w:hint="eastAsia"/>
          <w:color w:val="auto"/>
          <w:highlight w:val="none"/>
        </w:rPr>
      </w:pPr>
      <w:r/>
      <w:bookmarkStart w:id="22" w:name="_Toc120614215"/>
      <w:r/>
      <w:bookmarkStart w:id="23" w:name="_Toc16938525"/>
      <w:r/>
      <w:bookmarkStart w:id="24" w:name="_Toc513029209"/>
      <w:r/>
      <w:bookmarkStart w:id="25" w:name="_Toc20823281"/>
      <w:r>
        <w:rPr>
          <w:rFonts w:hint="eastAsia"/>
          <w:color w:val="auto"/>
          <w:highlight w:val="none"/>
        </w:rPr>
        <w:t xml:space="preserve">二、招标文件</w:t>
      </w:r>
      <w:bookmarkEnd w:id="22"/>
      <w:r/>
      <w:bookmarkEnd w:id="23"/>
      <w:r/>
      <w:bookmarkEnd w:id="24"/>
      <w:r/>
      <w:bookmarkEnd w:id="25"/>
      <w:r/>
      <w:r/>
    </w:p>
    <w:p>
      <w:pPr>
        <w:pStyle w:val="1077"/>
        <w:ind w:firstLine="420"/>
        <w:spacing w:before="0" w:after="0" w:line="240" w:lineRule="auto"/>
        <w:rPr>
          <w:rFonts w:hint="eastAsia"/>
          <w:b w:val="0"/>
          <w:bCs w:val="0"/>
          <w:color w:val="auto"/>
          <w:highlight w:val="none"/>
        </w:rPr>
      </w:pPr>
      <w:r/>
      <w:bookmarkStart w:id="26" w:name="_Toc513029210"/>
      <w:r/>
      <w:bookmarkStart w:id="27" w:name="_Toc20823282"/>
      <w:r/>
      <w:bookmarkStart w:id="28" w:name="_Toc16938526"/>
      <w:r>
        <w:rPr>
          <w:rFonts w:hint="eastAsia"/>
          <w:b w:val="0"/>
          <w:bCs w:val="0"/>
          <w:color w:val="auto"/>
          <w:highlight w:val="none"/>
        </w:rPr>
        <w:t xml:space="preserve">6、招标文件构成</w:t>
      </w:r>
      <w:bookmarkEnd w:id="26"/>
      <w:r/>
      <w:bookmarkEnd w:id="27"/>
      <w:r/>
      <w:bookmarkEnd w:id="2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招标文件由以下部分组成：</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（1）投标邀请</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（2）投标人须知</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（3）合同文本</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（4）采购需求</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（5）评标方法与评标标准</w:t>
      </w:r>
      <w:r/>
    </w:p>
    <w:p>
      <w:pPr>
        <w:ind w:firstLine="480"/>
        <w:spacing w:line="48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（6）投标文件格式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请仔细检查招标文件是否齐全，如有缺漏请立即与代理公司联系解决。</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7"/>
        <w:ind w:firstLine="560"/>
        <w:spacing w:before="0" w:after="0" w:line="240" w:lineRule="auto"/>
        <w:rPr>
          <w:rFonts w:hint="eastAsia"/>
          <w:b w:val="0"/>
          <w:bCs w:val="0"/>
          <w:color w:val="auto"/>
          <w:highlight w:val="none"/>
        </w:rPr>
      </w:pPr>
      <w:r/>
      <w:bookmarkStart w:id="29" w:name="_Toc513029211"/>
      <w:r/>
      <w:bookmarkStart w:id="30" w:name="_Toc16938527"/>
      <w:r/>
      <w:bookmarkStart w:id="31" w:name="_Toc462564070"/>
      <w:r/>
      <w:bookmarkStart w:id="32" w:name="_Toc20823283"/>
      <w:r>
        <w:rPr>
          <w:rFonts w:hint="eastAsia"/>
          <w:b w:val="0"/>
          <w:bCs w:val="0"/>
          <w:color w:val="auto"/>
          <w:highlight w:val="none"/>
        </w:rPr>
        <w:t xml:space="preserve">7、招标文件的澄清</w:t>
      </w:r>
      <w:bookmarkEnd w:id="29"/>
      <w:r/>
      <w:bookmarkEnd w:id="30"/>
      <w:r/>
      <w:bookmarkEnd w:id="31"/>
      <w:r/>
      <w:bookmarkEnd w:id="32"/>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highlight w:val="none"/>
        </w:rPr>
        <w:t xml:space="preserve">十日</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按招标公告中的通讯地址，以书面形式通知代理公司。</w:t>
      </w:r>
      <w:r/>
    </w:p>
    <w:p>
      <w:pPr>
        <w:pStyle w:val="1077"/>
        <w:ind w:firstLine="560"/>
        <w:spacing w:before="0" w:after="0" w:line="240" w:lineRule="auto"/>
        <w:rPr>
          <w:rFonts w:hint="eastAsia"/>
          <w:b w:val="0"/>
          <w:bCs w:val="0"/>
          <w:color w:val="auto"/>
          <w:highlight w:val="none"/>
        </w:rPr>
      </w:pPr>
      <w:r/>
      <w:bookmarkStart w:id="33" w:name="_Toc513029212"/>
      <w:r/>
      <w:bookmarkStart w:id="34" w:name="_Toc462564071"/>
      <w:r/>
      <w:bookmarkStart w:id="35" w:name="_Toc20823284"/>
      <w:r/>
      <w:bookmarkStart w:id="36" w:name="_Toc16938528"/>
      <w:r>
        <w:rPr>
          <w:rFonts w:hint="eastAsia"/>
          <w:b w:val="0"/>
          <w:bCs w:val="0"/>
          <w:color w:val="auto"/>
          <w:highlight w:val="none"/>
        </w:rPr>
        <w:t xml:space="preserve">8、招标文件的修改</w:t>
      </w:r>
      <w:bookmarkEnd w:id="33"/>
      <w:r/>
      <w:bookmarkEnd w:id="34"/>
      <w:r/>
      <w:bookmarkEnd w:id="35"/>
      <w:r/>
      <w:bookmarkEnd w:id="36"/>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 xml:space="preserve">前</w:t>
      </w:r>
      <w:r>
        <w:rPr>
          <w:rFonts w:hint="eastAsia" w:ascii="宋体" w:hAnsi="宋体"/>
          <w:color w:val="auto"/>
          <w:sz w:val="24"/>
          <w:highlight w:val="none"/>
        </w:rPr>
        <w:t xml:space="preserve">，代理公司可以对招标文件进行修改。</w:t>
      </w:r>
      <w:r/>
    </w:p>
    <w:p>
      <w:pPr>
        <w:ind w:firstLine="480"/>
        <w:spacing w:line="500" w:lineRule="exact"/>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 xml:space="preserve">代理公司有权按照法定的要求推迟投标截止日期和开标日期。</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 xml:space="preserve">招标文件的修改将在江苏政府采购网公布，补充文件将作为招标文件的组成部分，并对投标人具有约束力。</w:t>
      </w:r>
      <w:r/>
    </w:p>
    <w:p>
      <w:pPr>
        <w:pStyle w:val="1101"/>
        <w:ind w:firstLine="482"/>
        <w:spacing w:before="145" w:after="145" w:line="360" w:lineRule="auto"/>
        <w:rPr>
          <w:rFonts w:hint="eastAsia"/>
          <w:color w:val="auto"/>
          <w:highlight w:val="none"/>
        </w:rPr>
      </w:pPr>
      <w:r/>
      <w:bookmarkStart w:id="37" w:name="_Toc16938529"/>
      <w:r/>
      <w:bookmarkStart w:id="38" w:name="_Toc462564072"/>
      <w:r/>
      <w:bookmarkStart w:id="39" w:name="_Toc513029213"/>
      <w:r/>
      <w:bookmarkStart w:id="40" w:name="_Toc20823285"/>
      <w:r/>
      <w:bookmarkStart w:id="41" w:name="_Toc120614216"/>
      <w:r>
        <w:rPr>
          <w:rFonts w:hint="eastAsia"/>
          <w:color w:val="auto"/>
          <w:highlight w:val="none"/>
        </w:rPr>
        <w:t xml:space="preserve">三、投标文件的编制</w:t>
      </w:r>
      <w:bookmarkEnd w:id="37"/>
      <w:r/>
      <w:bookmarkEnd w:id="38"/>
      <w:r/>
      <w:bookmarkEnd w:id="39"/>
      <w:r/>
      <w:bookmarkEnd w:id="40"/>
      <w:r/>
      <w:bookmarkEnd w:id="41"/>
      <w:r/>
      <w:r/>
    </w:p>
    <w:p>
      <w:pPr>
        <w:pStyle w:val="1077"/>
        <w:ind w:firstLine="560"/>
        <w:spacing w:before="0" w:after="0" w:line="240" w:lineRule="auto"/>
        <w:rPr>
          <w:rFonts w:hint="eastAsia"/>
          <w:bCs w:val="0"/>
          <w:color w:val="auto"/>
          <w:highlight w:val="none"/>
        </w:rPr>
      </w:pPr>
      <w:r/>
      <w:bookmarkStart w:id="42" w:name="_Toc20823286"/>
      <w:r/>
      <w:bookmarkStart w:id="43" w:name="_Toc16938530"/>
      <w:r/>
      <w:bookmarkStart w:id="44" w:name="_Toc513029214"/>
      <w:r/>
      <w:bookmarkStart w:id="45" w:name="_Toc462564073"/>
      <w:r>
        <w:rPr>
          <w:rFonts w:hint="eastAsia"/>
          <w:b w:val="0"/>
          <w:bCs w:val="0"/>
          <w:color w:val="auto"/>
          <w:highlight w:val="none"/>
        </w:rPr>
        <w:t xml:space="preserve">9、投标文件的语言及度量衡单位</w:t>
      </w:r>
      <w:bookmarkEnd w:id="42"/>
      <w:r/>
      <w:bookmarkEnd w:id="43"/>
      <w:r/>
      <w:bookmarkEnd w:id="44"/>
      <w:r/>
      <w:bookmarkEnd w:id="45"/>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投标人提交的投标文件以及投标人与代理公司就有关投标的所有来往通知、函件和文件均应使用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 除技术性能另有规定外，投标文件所使用的度量衡单位，均须采用国家法定计量单位。</w:t>
      </w:r>
      <w:r/>
    </w:p>
    <w:p>
      <w:pPr>
        <w:pStyle w:val="1077"/>
        <w:ind w:firstLine="420"/>
        <w:spacing w:before="0" w:after="0" w:line="240" w:lineRule="auto"/>
        <w:rPr>
          <w:rFonts w:hint="eastAsia"/>
          <w:b w:val="0"/>
          <w:bCs w:val="0"/>
          <w:color w:val="auto"/>
          <w:highlight w:val="none"/>
        </w:rPr>
      </w:pPr>
      <w:r/>
      <w:bookmarkStart w:id="46" w:name="_Toc16938531"/>
      <w:r/>
      <w:bookmarkStart w:id="47" w:name="_Toc20823287"/>
      <w:r/>
      <w:bookmarkStart w:id="48" w:name="_Toc462564074"/>
      <w:r/>
      <w:bookmarkStart w:id="49" w:name="_Toc513029215"/>
      <w:r>
        <w:rPr>
          <w:rFonts w:hint="eastAsia"/>
          <w:b w:val="0"/>
          <w:bCs w:val="0"/>
          <w:color w:val="auto"/>
          <w:highlight w:val="none"/>
        </w:rPr>
        <w:t xml:space="preserve">10、投标文件构成</w:t>
      </w:r>
      <w:bookmarkEnd w:id="46"/>
      <w:r/>
      <w:bookmarkEnd w:id="47"/>
      <w:r/>
      <w:bookmarkEnd w:id="48"/>
      <w:r/>
      <w:bookmarkEnd w:id="49"/>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如标书制作工具中格式和内容与“江苏政府采购网”发布的招标文件不一致，请以“江苏政府采购网”发布的招标文件为准。</w:t>
      </w:r>
      <w:r/>
    </w:p>
    <w:p>
      <w:pPr>
        <w:pStyle w:val="1077"/>
        <w:ind w:firstLine="420"/>
        <w:spacing w:before="0" w:after="0" w:line="240" w:lineRule="auto"/>
        <w:rPr>
          <w:rFonts w:hint="eastAsia"/>
          <w:b w:val="0"/>
          <w:bCs w:val="0"/>
          <w:color w:val="auto"/>
          <w:highlight w:val="none"/>
        </w:rPr>
      </w:pPr>
      <w:r/>
      <w:bookmarkStart w:id="50" w:name="_Hlt26954838"/>
      <w:r/>
      <w:bookmarkEnd w:id="50"/>
      <w:r/>
      <w:bookmarkStart w:id="51" w:name="_Hlt26668975"/>
      <w:r/>
      <w:bookmarkEnd w:id="51"/>
      <w:r/>
      <w:bookmarkStart w:id="52" w:name="_Hlt26670360"/>
      <w:r/>
      <w:bookmarkEnd w:id="52"/>
      <w:r/>
      <w:bookmarkStart w:id="53" w:name="_Toc14577357"/>
      <w:r/>
      <w:bookmarkStart w:id="54" w:name="_Toc49090509"/>
      <w:r/>
      <w:bookmarkStart w:id="55" w:name="_Toc14577354"/>
      <w:r/>
      <w:bookmarkStart w:id="56" w:name="_Toc513029216"/>
      <w:r/>
      <w:bookmarkStart w:id="57" w:name="_Toc513029219"/>
      <w:r/>
      <w:bookmarkStart w:id="58" w:name="_Toc49090507"/>
      <w:r>
        <w:rPr>
          <w:rFonts w:hint="eastAsia"/>
          <w:b w:val="0"/>
          <w:bCs w:val="0"/>
          <w:color w:val="auto"/>
          <w:highlight w:val="none"/>
        </w:rPr>
        <w:t xml:space="preserve">11、证明投标人及投标标的符合招标文件规定的文件</w:t>
      </w:r>
      <w:bookmarkEnd w:id="53"/>
      <w:r/>
      <w:bookmarkEnd w:id="54"/>
      <w:r/>
      <w:bookmarkEnd w:id="55"/>
      <w:r/>
      <w:bookmarkEnd w:id="56"/>
      <w:r/>
      <w:bookmarkEnd w:id="57"/>
      <w:r/>
      <w:bookmarkEnd w:id="58"/>
      <w:r/>
      <w:r/>
    </w:p>
    <w:p>
      <w:pPr>
        <w:spacing w:line="480" w:lineRule="exact"/>
        <w:rPr>
          <w:rFonts w:hint="eastAsia" w:ascii="宋体" w:hAnsi="宋体"/>
          <w:color w:val="auto"/>
          <w:sz w:val="24"/>
          <w:highlight w:val="none"/>
        </w:rPr>
      </w:pPr>
      <w:r/>
      <w:bookmarkStart w:id="59" w:name="_Toc14577355"/>
      <w:r/>
      <w:bookmarkStart w:id="60" w:name="_Toc49090508"/>
      <w:r>
        <w:rPr>
          <w:rFonts w:hint="eastAsia" w:ascii="宋体" w:hAnsi="宋体"/>
          <w:color w:val="auto"/>
          <w:sz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11.2招标文件对证明文件无明确形式要求的，证明文件可以以文字资料、图纸和数据等形式提交。</w:t>
      </w:r>
      <w:r/>
    </w:p>
    <w:p>
      <w:pPr>
        <w:pStyle w:val="1077"/>
        <w:ind w:firstLine="420"/>
        <w:spacing w:before="0" w:after="0" w:line="240" w:lineRule="auto"/>
        <w:rPr>
          <w:rFonts w:hint="eastAsia"/>
          <w:b w:val="0"/>
          <w:bCs w:val="0"/>
          <w:color w:val="auto"/>
          <w:highlight w:val="none"/>
        </w:rPr>
      </w:pPr>
      <w:r>
        <w:rPr>
          <w:rFonts w:hint="eastAsia"/>
          <w:b w:val="0"/>
          <w:bCs w:val="0"/>
          <w:color w:val="auto"/>
          <w:highlight w:val="none"/>
        </w:rPr>
        <w:t xml:space="preserve">12、投标分项报价</w:t>
      </w:r>
      <w:bookmarkEnd w:id="59"/>
      <w:r/>
      <w:bookmarkStart w:id="61" w:name="_Hlt26670373"/>
      <w:r/>
      <w:bookmarkEnd w:id="61"/>
      <w:r>
        <w:rPr>
          <w:rFonts w:hint="eastAsia"/>
          <w:b w:val="0"/>
          <w:bCs w:val="0"/>
          <w:color w:val="auto"/>
          <w:highlight w:val="none"/>
        </w:rPr>
        <w:t xml:space="preserve">表</w:t>
      </w:r>
      <w:bookmarkEnd w:id="60"/>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投</w:t>
      </w:r>
      <w:bookmarkStart w:id="62" w:name="_Hlt26954840"/>
      <w:r/>
      <w:bookmarkEnd w:id="62"/>
      <w:r>
        <w:rPr>
          <w:rFonts w:hint="eastAsia" w:ascii="宋体" w:hAnsi="宋体"/>
          <w:color w:val="auto"/>
          <w:sz w:val="24"/>
          <w:highlight w:val="none"/>
        </w:rPr>
        <w:t xml:space="preserve">标人应按照招标文件规定格式填报投标分项报价表</w:t>
      </w:r>
      <w:bookmarkStart w:id="63" w:name="_Hlt26670399"/>
      <w:r/>
      <w:bookmarkEnd w:id="63"/>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77"/>
        <w:ind w:firstLine="420"/>
        <w:spacing w:before="0" w:after="0" w:line="240" w:lineRule="auto"/>
        <w:rPr>
          <w:rFonts w:hint="eastAsia"/>
          <w:b w:val="0"/>
          <w:bCs w:val="0"/>
          <w:color w:val="auto"/>
          <w:highlight w:val="none"/>
        </w:rPr>
      </w:pPr>
      <w:r/>
      <w:bookmarkStart w:id="64" w:name="_Hlt26670482"/>
      <w:r/>
      <w:bookmarkEnd w:id="64"/>
      <w:r/>
      <w:bookmarkStart w:id="65" w:name="_Hlt26954848"/>
      <w:r/>
      <w:bookmarkEnd w:id="65"/>
      <w:r/>
      <w:bookmarkStart w:id="66" w:name="_Hlt26668983"/>
      <w:r/>
      <w:bookmarkEnd w:id="66"/>
      <w:r/>
      <w:bookmarkStart w:id="67" w:name="_Hlt26954731"/>
      <w:r/>
      <w:bookmarkEnd w:id="67"/>
      <w:r/>
      <w:bookmarkStart w:id="68" w:name="_Hlt26954846"/>
      <w:r/>
      <w:bookmarkEnd w:id="68"/>
      <w:r/>
      <w:bookmarkStart w:id="69" w:name="_Hlt26670486"/>
      <w:r/>
      <w:bookmarkEnd w:id="69"/>
      <w:r/>
      <w:bookmarkStart w:id="70" w:name="_Hlt26954842"/>
      <w:r/>
      <w:bookmarkEnd w:id="70"/>
      <w:r/>
      <w:bookmarkStart w:id="71" w:name="_Hlt26954844"/>
      <w:r/>
      <w:bookmarkEnd w:id="71"/>
      <w:r/>
      <w:bookmarkStart w:id="72" w:name="_Hlt26670403"/>
      <w:r/>
      <w:bookmarkEnd w:id="72"/>
      <w:r/>
      <w:bookmarkStart w:id="73" w:name="_Hlt26670425"/>
      <w:r/>
      <w:bookmarkEnd w:id="73"/>
      <w:r>
        <w:rPr>
          <w:rFonts w:hint="eastAsia"/>
          <w:b w:val="0"/>
          <w:bCs w:val="0"/>
          <w:color w:val="auto"/>
          <w:highlight w:val="none"/>
        </w:rPr>
        <w:t xml:space="preserve">13、技术要求响应及偏离表、商务要求响应及偏离表</w:t>
      </w:r>
      <w:r/>
    </w:p>
    <w:p>
      <w:pPr>
        <w:ind w:firstLine="480"/>
        <w:spacing w:line="500" w:lineRule="exact"/>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1077"/>
        <w:ind w:firstLine="420"/>
        <w:spacing w:before="0" w:after="0" w:line="240" w:lineRule="auto"/>
        <w:rPr>
          <w:rFonts w:hint="eastAsia"/>
          <w:b w:val="0"/>
          <w:bCs w:val="0"/>
          <w:color w:val="auto"/>
          <w:highlight w:val="none"/>
        </w:rPr>
      </w:pPr>
      <w:r/>
      <w:bookmarkStart w:id="74" w:name="_Toc49090510"/>
      <w:r/>
      <w:bookmarkStart w:id="75" w:name="_Toc14577359"/>
      <w:r>
        <w:rPr>
          <w:rFonts w:hint="eastAsia"/>
          <w:b w:val="0"/>
          <w:bCs w:val="0"/>
          <w:color w:val="auto"/>
          <w:highlight w:val="none"/>
        </w:rPr>
        <w:t xml:space="preserve">14、投标函和开标一览表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14.1</w:t>
      </w:r>
      <w:r>
        <w:rPr>
          <w:rFonts w:hint="eastAsia" w:ascii="宋体" w:hAnsi="宋体"/>
          <w:color w:val="auto"/>
          <w:sz w:val="24"/>
          <w:highlight w:val="none"/>
        </w:rPr>
        <w:t xml:space="preserve"> 投标人应按照招标文件中提供的格式完整、正确填写投标函、开标一览表。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 xml:space="preserve">开标一览表中的投标总报价应与投标分项报价表中的投标总报价一致，如不一致，</w:t>
      </w:r>
      <w:r>
        <w:rPr>
          <w:rFonts w:hint="eastAsia" w:ascii="宋体" w:hAnsi="宋体"/>
          <w:color w:val="auto"/>
          <w:sz w:val="24"/>
          <w:highlight w:val="none"/>
        </w:rPr>
        <w:t xml:space="preserve">不作为无效投标处理</w:t>
      </w:r>
      <w:r>
        <w:rPr>
          <w:rFonts w:hint="eastAsia" w:ascii="宋体" w:hAnsi="宋体"/>
          <w:bCs/>
          <w:color w:val="auto"/>
          <w:sz w:val="24"/>
          <w:highlight w:val="none"/>
        </w:rPr>
        <w:t xml:space="preserve">，但评标时按开标一览表中价格为准</w:t>
      </w:r>
      <w:r>
        <w:rPr>
          <w:rFonts w:hint="eastAsia" w:ascii="宋体" w:hAnsi="宋体"/>
          <w:b/>
          <w:bCs/>
          <w:color w:val="auto"/>
          <w:sz w:val="24"/>
          <w:highlight w:val="none"/>
        </w:rPr>
        <w:t xml:space="preserve">。</w:t>
      </w:r>
      <w:bookmarkEnd w:id="74"/>
      <w:r/>
      <w:bookmarkEnd w:id="75"/>
      <w:r/>
      <w:r/>
    </w:p>
    <w:p>
      <w:pPr>
        <w:pStyle w:val="1077"/>
        <w:ind w:firstLine="420"/>
        <w:spacing w:before="0" w:after="0" w:line="240" w:lineRule="auto"/>
        <w:rPr>
          <w:rFonts w:hint="eastAsia"/>
          <w:b w:val="0"/>
          <w:bCs w:val="0"/>
          <w:color w:val="auto"/>
          <w:highlight w:val="none"/>
        </w:rPr>
      </w:pPr>
      <w:r/>
      <w:bookmarkStart w:id="76" w:name="_Hlt26954734"/>
      <w:r/>
      <w:bookmarkEnd w:id="76"/>
      <w:r/>
      <w:bookmarkStart w:id="77" w:name="_Hlt26670489"/>
      <w:r/>
      <w:bookmarkEnd w:id="77"/>
      <w:r/>
      <w:bookmarkStart w:id="78" w:name="_Hlt26954850"/>
      <w:r/>
      <w:bookmarkEnd w:id="78"/>
      <w:r/>
      <w:bookmarkStart w:id="79" w:name="_Toc14577360"/>
      <w:r/>
      <w:bookmarkStart w:id="80" w:name="_Toc49090511"/>
      <w:r>
        <w:rPr>
          <w:rFonts w:hint="eastAsia"/>
          <w:b w:val="0"/>
          <w:bCs w:val="0"/>
          <w:color w:val="auto"/>
          <w:highlight w:val="none"/>
        </w:rPr>
        <w:t xml:space="preserve">15、投标有效期</w:t>
      </w:r>
      <w:bookmarkEnd w:id="79"/>
      <w:r/>
      <w:bookmarkEnd w:id="80"/>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 投标有效期为代理公司规定的开标之日后</w:t>
      </w:r>
      <w:r>
        <w:rPr>
          <w:rFonts w:hint="eastAsia" w:ascii="仿宋_GB2312" w:hAnsi="仿宋_GB2312"/>
          <w:b/>
          <w:color w:val="auto"/>
          <w:sz w:val="24"/>
          <w:highlight w:val="none"/>
          <w:u w:val="single"/>
        </w:rPr>
        <w:t xml:space="preserve">六十（60）天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77"/>
        <w:ind w:firstLine="420"/>
        <w:spacing w:before="0" w:after="0" w:line="240" w:lineRule="auto"/>
        <w:rPr>
          <w:rFonts w:hint="eastAsia"/>
          <w:b w:val="0"/>
          <w:bCs w:val="0"/>
          <w:color w:val="auto"/>
          <w:highlight w:val="none"/>
        </w:rPr>
      </w:pPr>
      <w:r>
        <w:rPr>
          <w:rFonts w:hint="eastAsia"/>
          <w:b w:val="0"/>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101"/>
        <w:ind w:firstLine="482"/>
        <w:spacing w:before="145" w:after="145" w:line="360" w:lineRule="auto"/>
        <w:rPr>
          <w:rFonts w:hint="eastAsia"/>
          <w:color w:val="auto"/>
          <w:highlight w:val="none"/>
        </w:rPr>
      </w:pPr>
      <w:r/>
      <w:bookmarkStart w:id="81" w:name="_Hlt26954852"/>
      <w:r/>
      <w:bookmarkEnd w:id="81"/>
      <w:r/>
      <w:bookmarkStart w:id="82" w:name="_Hlt26954739"/>
      <w:r/>
      <w:bookmarkEnd w:id="82"/>
      <w:r/>
      <w:bookmarkStart w:id="83" w:name="_Toc513029224"/>
      <w:r/>
      <w:bookmarkStart w:id="84" w:name="_Toc16938540"/>
      <w:r/>
      <w:bookmarkStart w:id="85" w:name="_Toc20823296"/>
      <w:r/>
      <w:bookmarkStart w:id="86" w:name="_Toc120614217"/>
      <w:r>
        <w:rPr>
          <w:rFonts w:hint="eastAsia"/>
          <w:color w:val="auto"/>
          <w:highlight w:val="none"/>
        </w:rPr>
        <w:t xml:space="preserve">四、投标文件的递交</w:t>
      </w:r>
      <w:bookmarkEnd w:id="83"/>
      <w:r/>
      <w:bookmarkEnd w:id="84"/>
      <w:r/>
      <w:bookmarkEnd w:id="85"/>
      <w:r/>
      <w:bookmarkEnd w:id="86"/>
      <w:r/>
      <w:r/>
    </w:p>
    <w:p>
      <w:pPr>
        <w:pStyle w:val="1077"/>
        <w:ind w:firstLine="560"/>
        <w:spacing w:before="0" w:after="0" w:line="240" w:lineRule="auto"/>
        <w:rPr>
          <w:rFonts w:hint="eastAsia" w:ascii="黑体"/>
          <w:b w:val="0"/>
          <w:bCs w:val="0"/>
          <w:color w:val="auto"/>
          <w:highlight w:val="none"/>
        </w:rPr>
      </w:pPr>
      <w:r/>
      <w:bookmarkStart w:id="87" w:name="_Toc16938541"/>
      <w:r/>
      <w:bookmarkStart w:id="88" w:name="_Toc20823297"/>
      <w:r/>
      <w:bookmarkStart w:id="89" w:name="_Toc513029225"/>
      <w:r/>
      <w:bookmarkStart w:id="90" w:name="_Toc462564084"/>
      <w:r>
        <w:rPr>
          <w:rFonts w:hint="eastAsia"/>
          <w:b w:val="0"/>
          <w:bCs w:val="0"/>
          <w:color w:val="auto"/>
          <w:highlight w:val="none"/>
        </w:rPr>
        <w:t xml:space="preserve">17、</w:t>
      </w:r>
      <w:r>
        <w:rPr>
          <w:rFonts w:hint="eastAsia" w:ascii="黑体"/>
          <w:b w:val="0"/>
          <w:bCs w:val="0"/>
          <w:color w:val="auto"/>
          <w:highlight w:val="none"/>
        </w:rPr>
        <w:t xml:space="preserve">投标文件</w:t>
      </w:r>
      <w:bookmarkEnd w:id="87"/>
      <w:r/>
      <w:bookmarkEnd w:id="88"/>
      <w:r/>
      <w:bookmarkEnd w:id="89"/>
      <w:r/>
      <w:bookmarkEnd w:id="90"/>
      <w:r>
        <w:rPr>
          <w:rFonts w:hint="eastAsia" w:ascii="黑体"/>
          <w:b w:val="0"/>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 电子投标文件的递交</w:t>
      </w:r>
      <w:r/>
    </w:p>
    <w:p>
      <w:pPr>
        <w:pStyle w:val="1033"/>
        <w:ind w:left="525"/>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1" w:name="_Toc16938542"/>
      <w:r/>
      <w:bookmarkStart w:id="92" w:name="_Toc513029226"/>
      <w:r/>
      <w:bookmarkStart w:id="93" w:name="_Toc20823298"/>
      <w:r/>
      <w:r/>
    </w:p>
    <w:p>
      <w:pPr>
        <w:pStyle w:val="1077"/>
        <w:ind w:firstLine="420"/>
        <w:rPr>
          <w:rFonts w:hint="eastAsia"/>
          <w:b w:val="0"/>
          <w:color w:val="auto"/>
          <w:highlight w:val="none"/>
        </w:rPr>
      </w:pPr>
      <w:r>
        <w:rPr>
          <w:rFonts w:hint="eastAsia"/>
          <w:b w:val="0"/>
          <w:color w:val="auto"/>
          <w:highlight w:val="none"/>
        </w:rPr>
        <w:t xml:space="preserve">18、投标截止</w:t>
      </w:r>
      <w:bookmarkEnd w:id="91"/>
      <w:r/>
      <w:bookmarkEnd w:id="92"/>
      <w:r/>
      <w:bookmarkEnd w:id="93"/>
      <w:r>
        <w:rPr>
          <w:rFonts w:hint="eastAsia"/>
          <w:b w:val="0"/>
          <w:color w:val="auto"/>
          <w:highlight w:val="none"/>
        </w:rPr>
        <w:t xml:space="preserve">时间</w:t>
      </w:r>
      <w:r/>
    </w:p>
    <w:p>
      <w:pPr>
        <w:ind w:firstLine="480"/>
        <w:spacing w:line="500" w:lineRule="exact"/>
        <w:rPr>
          <w:rFonts w:hint="eastAsia" w:ascii="宋体" w:hAnsi="宋体"/>
          <w:bCs/>
          <w:iCs/>
          <w:color w:val="auto"/>
          <w:sz w:val="24"/>
          <w:highlight w:val="none"/>
          <w:u w:val="single"/>
        </w:rPr>
      </w:pPr>
      <w:r>
        <w:rPr>
          <w:rFonts w:hint="eastAsia" w:ascii="宋体" w:hAnsi="宋体"/>
          <w:iCs/>
          <w:color w:val="auto"/>
          <w:sz w:val="24"/>
          <w:highlight w:val="none"/>
          <w:u w:val="single"/>
        </w:rPr>
        <w:t xml:space="preserve">18.1</w:t>
      </w:r>
      <w:r>
        <w:rPr>
          <w:rFonts w:hint="eastAsia" w:ascii="宋体" w:hAnsi="宋体"/>
          <w:bCs/>
          <w:iCs/>
          <w:color w:val="auto"/>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 代理公司可以按照规定，通过修改招标文件酌情延长投标截止时间，在此情况下，投标人的所有权利和义务以及投标人受制的截止时间均应以延长后新的截止时间为准。</w:t>
      </w:r>
      <w:r/>
    </w:p>
    <w:p>
      <w:pPr>
        <w:pStyle w:val="1077"/>
        <w:ind w:firstLine="420"/>
        <w:spacing w:before="0" w:after="0" w:line="240" w:lineRule="auto"/>
        <w:rPr>
          <w:rFonts w:hint="eastAsia"/>
          <w:b w:val="0"/>
          <w:bCs w:val="0"/>
          <w:color w:val="auto"/>
          <w:highlight w:val="none"/>
        </w:rPr>
      </w:pPr>
      <w:r/>
      <w:bookmarkStart w:id="94" w:name="_Toc20823299"/>
      <w:r/>
      <w:bookmarkStart w:id="95" w:name="_Toc16938543"/>
      <w:r/>
      <w:bookmarkStart w:id="96" w:name="_Toc513029227"/>
      <w:r>
        <w:rPr>
          <w:rFonts w:hint="eastAsia"/>
          <w:b w:val="0"/>
          <w:bCs w:val="0"/>
          <w:color w:val="auto"/>
          <w:highlight w:val="none"/>
        </w:rPr>
        <w:t xml:space="preserve">19、投标文件</w:t>
      </w:r>
      <w:bookmarkEnd w:id="94"/>
      <w:r/>
      <w:bookmarkEnd w:id="95"/>
      <w:r/>
      <w:bookmarkEnd w:id="96"/>
      <w:r>
        <w:rPr>
          <w:rFonts w:hint="eastAsia"/>
          <w:b w:val="0"/>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代理公司拒绝接收在其规定的投标截止时间后上传的任何投标文件。</w:t>
      </w:r>
      <w:r/>
    </w:p>
    <w:p>
      <w:pPr>
        <w:pStyle w:val="1077"/>
        <w:ind w:firstLine="420"/>
        <w:spacing w:before="0" w:after="0" w:line="240" w:lineRule="auto"/>
        <w:rPr>
          <w:rFonts w:hint="eastAsia"/>
          <w:b w:val="0"/>
          <w:bCs w:val="0"/>
          <w:color w:val="auto"/>
          <w:highlight w:val="none"/>
        </w:rPr>
      </w:pPr>
      <w:r/>
      <w:bookmarkStart w:id="97" w:name="_Toc513029228"/>
      <w:r/>
      <w:bookmarkStart w:id="98" w:name="_Toc16938544"/>
      <w:r/>
      <w:bookmarkStart w:id="99" w:name="_Toc20823300"/>
      <w:r>
        <w:rPr>
          <w:rFonts w:hint="eastAsia"/>
          <w:b w:val="0"/>
          <w:bCs w:val="0"/>
          <w:color w:val="auto"/>
          <w:highlight w:val="none"/>
        </w:rPr>
        <w:t xml:space="preserve">20、投标文件的撤回和修改</w:t>
      </w:r>
      <w:bookmarkEnd w:id="97"/>
      <w:r/>
      <w:bookmarkEnd w:id="98"/>
      <w:r/>
      <w:bookmarkEnd w:id="99"/>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20.1 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21.1.1 电子投标文件的撤回</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21.1.</w:t>
      </w:r>
      <w:r>
        <w:rPr>
          <w:rFonts w:ascii="宋体" w:hAnsi="宋体"/>
          <w:color w:val="auto"/>
          <w:sz w:val="24"/>
          <w:highlight w:val="none"/>
        </w:rPr>
        <w:t xml:space="preserve">2</w:t>
      </w:r>
      <w:r>
        <w:rPr>
          <w:rFonts w:hint="eastAsia" w:ascii="宋体" w:hAnsi="宋体"/>
          <w:color w:val="auto"/>
          <w:sz w:val="24"/>
          <w:highlight w:val="none"/>
        </w:rPr>
        <w:t xml:space="preserve"> 投标人撤回电子投标文件，则认为其不再参与本项目投标活动。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 投标文件的修改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 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 在投标截止时间至招标文件中规定的投标有效期满之间的这段时间内，投标人不得撤回其投标。  </w:t>
      </w:r>
      <w:r/>
    </w:p>
    <w:p>
      <w:pPr>
        <w:pStyle w:val="1101"/>
        <w:ind w:firstLine="482"/>
        <w:spacing w:before="145" w:after="145" w:line="360" w:lineRule="auto"/>
        <w:rPr>
          <w:rFonts w:hint="eastAsia"/>
          <w:color w:val="auto"/>
          <w:highlight w:val="none"/>
        </w:rPr>
      </w:pPr>
      <w:r/>
      <w:bookmarkStart w:id="100" w:name="_Toc513029229"/>
      <w:r/>
      <w:bookmarkStart w:id="101" w:name="_Toc120614218"/>
      <w:r/>
      <w:bookmarkStart w:id="102" w:name="_Toc20823301"/>
      <w:r/>
      <w:bookmarkStart w:id="103" w:name="_Toc16938545"/>
      <w:r>
        <w:rPr>
          <w:rFonts w:hint="eastAsia"/>
          <w:color w:val="auto"/>
          <w:highlight w:val="none"/>
        </w:rPr>
        <w:t xml:space="preserve">五、开标与评标</w:t>
      </w:r>
      <w:bookmarkEnd w:id="100"/>
      <w:r/>
      <w:bookmarkEnd w:id="101"/>
      <w:r/>
      <w:bookmarkEnd w:id="102"/>
      <w:r/>
      <w:bookmarkEnd w:id="103"/>
      <w:r/>
      <w:r/>
    </w:p>
    <w:p>
      <w:pPr>
        <w:pStyle w:val="1077"/>
        <w:ind w:firstLine="420"/>
        <w:spacing w:before="0" w:after="0" w:line="240" w:lineRule="auto"/>
        <w:rPr>
          <w:rFonts w:hint="eastAsia"/>
          <w:b w:val="0"/>
          <w:bCs w:val="0"/>
          <w:color w:val="auto"/>
          <w:highlight w:val="none"/>
        </w:rPr>
      </w:pPr>
      <w:r/>
      <w:bookmarkStart w:id="104" w:name="_Toc16938546"/>
      <w:r/>
      <w:bookmarkStart w:id="105" w:name="_Toc513029230"/>
      <w:r/>
      <w:bookmarkStart w:id="106" w:name="_Toc20823302"/>
      <w:r>
        <w:rPr>
          <w:rFonts w:hint="eastAsia"/>
          <w:b w:val="0"/>
          <w:bCs w:val="0"/>
          <w:color w:val="auto"/>
          <w:highlight w:val="none"/>
        </w:rPr>
        <w:t xml:space="preserve">21、开标</w:t>
      </w:r>
      <w:bookmarkEnd w:id="104"/>
      <w:r/>
      <w:bookmarkEnd w:id="105"/>
      <w:r/>
      <w:bookmarkEnd w:id="106"/>
      <w:r/>
      <w:r/>
    </w:p>
    <w:p>
      <w:pPr>
        <w:ind w:firstLine="360"/>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 代理公司将在招标公告中规定的时间和地点组织公开开标</w:t>
      </w:r>
      <w:r>
        <w:rPr>
          <w:rFonts w:hint="eastAsia" w:ascii="宋体" w:hAnsi="宋体"/>
          <w:color w:val="auto"/>
          <w:sz w:val="24"/>
          <w:highlight w:val="none"/>
        </w:rPr>
        <w:t xml:space="preserve">。投标人应当按照《操作手册》规定，</w:t>
      </w:r>
      <w:r>
        <w:rPr>
          <w:rFonts w:ascii="宋体" w:hAnsi="宋体"/>
          <w:color w:val="auto"/>
          <w:sz w:val="24"/>
          <w:highlight w:val="none"/>
        </w:rPr>
        <w:t xml:space="preserve">参加开标活动</w:t>
      </w:r>
      <w:r>
        <w:rPr>
          <w:rFonts w:hint="eastAsia" w:ascii="宋体" w:hAnsi="宋体"/>
          <w:color w:val="auto"/>
          <w:sz w:val="24"/>
          <w:highlight w:val="none"/>
        </w:rPr>
        <w:t xml:space="preserve">和在苏采云系统规定的时间内对投标文件进行解密。</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21.2</w:t>
      </w:r>
      <w:r>
        <w:rPr>
          <w:rFonts w:hint="eastAsia" w:ascii="宋体" w:hAnsi="宋体"/>
          <w:color w:val="auto"/>
          <w:sz w:val="24"/>
          <w:highlight w:val="none"/>
        </w:rPr>
        <w:t xml:space="preserve">开标仪式由代理公司组织。苏采云系统将自动对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 苏采云系统中《开标记录表》宣布后5分钟内未提出的，视同认可开标结果。</w:t>
      </w:r>
      <w:r/>
    </w:p>
    <w:p>
      <w:pPr>
        <w:pStyle w:val="1077"/>
        <w:ind w:firstLine="420"/>
        <w:spacing w:before="0" w:after="0" w:line="240" w:lineRule="auto"/>
        <w:rPr>
          <w:rFonts w:hint="eastAsia"/>
          <w:b w:val="0"/>
          <w:bCs w:val="0"/>
          <w:color w:val="auto"/>
          <w:highlight w:val="none"/>
        </w:rPr>
      </w:pPr>
      <w:r/>
      <w:bookmarkStart w:id="107" w:name="_Toc20823303"/>
      <w:r/>
      <w:bookmarkStart w:id="108" w:name="_Toc513029231"/>
      <w:r/>
      <w:bookmarkStart w:id="109" w:name="_Toc16938547"/>
      <w:r>
        <w:rPr>
          <w:rFonts w:hint="eastAsia"/>
          <w:b w:val="0"/>
          <w:bCs w:val="0"/>
          <w:color w:val="auto"/>
          <w:highlight w:val="none"/>
        </w:rPr>
        <w:t xml:space="preserve">22、评标委员会</w:t>
      </w:r>
      <w:r/>
    </w:p>
    <w:p>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22.1</w:t>
      </w:r>
      <w:r>
        <w:rPr>
          <w:rFonts w:hint="eastAsia" w:ascii="宋体" w:hAnsi="宋体"/>
          <w:b/>
          <w:color w:val="auto"/>
          <w:sz w:val="24"/>
          <w:highlight w:val="none"/>
        </w:rPr>
        <w:t xml:space="preserve"> </w:t>
      </w:r>
      <w:r>
        <w:rPr>
          <w:rFonts w:hint="eastAsia" w:ascii="宋体" w:hAnsi="宋体"/>
          <w:color w:val="auto"/>
          <w:sz w:val="24"/>
          <w:highlight w:val="none"/>
        </w:rPr>
        <w:t xml:space="preserve">开标后，代理公司将立即组织评标委员会（以下简称评委会）进行评标。</w:t>
      </w:r>
      <w:r/>
    </w:p>
    <w:p>
      <w:pPr>
        <w:spacing w:line="48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22.3评委会独立工作，负责评审所有投标文件并确定中标侯选人。</w:t>
      </w:r>
      <w:r/>
    </w:p>
    <w:p>
      <w:pPr>
        <w:pStyle w:val="1077"/>
        <w:ind w:firstLine="420"/>
        <w:spacing w:before="0" w:after="0" w:line="240" w:lineRule="auto"/>
        <w:rPr>
          <w:rFonts w:hint="eastAsia" w:ascii="黑体"/>
          <w:b w:val="0"/>
          <w:bCs w:val="0"/>
          <w:color w:val="auto"/>
          <w:highlight w:val="none"/>
        </w:rPr>
      </w:pPr>
      <w:r>
        <w:rPr>
          <w:rFonts w:hint="eastAsia" w:ascii="黑体"/>
          <w:b w:val="0"/>
          <w:bCs w:val="0"/>
          <w:color w:val="auto"/>
          <w:highlight w:val="none"/>
        </w:rPr>
        <w:t xml:space="preserve">23、评标过程的保密与公正</w:t>
      </w:r>
      <w:bookmarkEnd w:id="107"/>
      <w:r/>
      <w:bookmarkEnd w:id="108"/>
      <w:r/>
      <w:bookmarkEnd w:id="109"/>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凡是与审查、澄清、评价和比较投标的有关资料以及授标建议等，采购人、评委、代理公司均不得向投标人或与评标无关的其他人员透露。</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23.2在评标过程中，投标人不得以任何行为影响评标过程，否则其投标文件将被作为无效投标文件。</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23.</w:t>
      </w:r>
      <w:r>
        <w:rPr>
          <w:rFonts w:ascii="宋体" w:hAnsi="宋体"/>
          <w:color w:val="auto"/>
          <w:sz w:val="24"/>
          <w:highlight w:val="none"/>
        </w:rPr>
        <w:t xml:space="preserve">3</w:t>
      </w:r>
      <w:r>
        <w:rPr>
          <w:rFonts w:hint="eastAsia" w:ascii="宋体" w:hAnsi="宋体"/>
          <w:color w:val="auto"/>
          <w:sz w:val="24"/>
          <w:highlight w:val="none"/>
        </w:rPr>
        <w:t xml:space="preserve"> 代理公司和评标委员会不向未中标的投标人解释未中标原因，也不公布评标过程中的相关细节。</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23.4 采用综合评分法的项目，未中标的投标人可于中标结果公告期限届满之日起通过苏采云系统查看自己的评审得分及排序情况。</w:t>
      </w:r>
      <w:r/>
    </w:p>
    <w:p>
      <w:pPr>
        <w:pStyle w:val="1077"/>
        <w:ind w:firstLine="420"/>
        <w:spacing w:before="0" w:after="0" w:line="240" w:lineRule="auto"/>
        <w:rPr>
          <w:rFonts w:hint="eastAsia"/>
          <w:b w:val="0"/>
          <w:bCs w:val="0"/>
          <w:color w:val="auto"/>
          <w:highlight w:val="none"/>
        </w:rPr>
      </w:pPr>
      <w:r/>
      <w:bookmarkStart w:id="110" w:name="_Toc16938548"/>
      <w:r/>
      <w:bookmarkStart w:id="111" w:name="_Toc513029232"/>
      <w:r/>
      <w:bookmarkStart w:id="112" w:name="_Toc20823304"/>
      <w:r>
        <w:rPr>
          <w:rFonts w:hint="eastAsia"/>
          <w:b w:val="0"/>
          <w:bCs w:val="0"/>
          <w:color w:val="auto"/>
          <w:highlight w:val="none"/>
        </w:rPr>
        <w:t xml:space="preserve">24、投标文件的澄清</w:t>
      </w:r>
      <w:bookmarkEnd w:id="110"/>
      <w:r/>
      <w:bookmarkEnd w:id="111"/>
      <w:r/>
      <w:bookmarkEnd w:id="112"/>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w:t>
      </w:r>
      <w:r>
        <w:rPr>
          <w:rFonts w:ascii="宋体" w:hAnsi="宋体"/>
          <w:color w:val="auto"/>
          <w:sz w:val="24"/>
          <w:highlight w:val="none"/>
        </w:rPr>
        <w:t xml:space="preserve">1</w:t>
      </w:r>
      <w:r>
        <w:rPr>
          <w:rFonts w:hint="eastAsia" w:ascii="宋体" w:hAnsi="宋体"/>
          <w:color w:val="auto"/>
          <w:sz w:val="24"/>
          <w:highlight w:val="none"/>
        </w:rPr>
        <w:t xml:space="preserve">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 xml:space="preserve">，有权要求投标人作出必要的澄清、说明或者补正。</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评标</w:t>
      </w:r>
      <w:r>
        <w:rPr>
          <w:rFonts w:ascii="宋体" w:hAnsi="宋体"/>
          <w:color w:val="auto"/>
          <w:sz w:val="24"/>
          <w:highlight w:val="none"/>
        </w:rPr>
        <w:t xml:space="preserve">委员会并非对每个投标人都做澄清要求</w:t>
      </w:r>
      <w:r>
        <w:rPr>
          <w:rFonts w:hint="eastAsia" w:ascii="宋体" w:hAnsi="宋体"/>
          <w:color w:val="auto"/>
          <w:sz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    24.3 接到评委会澄清、说明和补正要求的投标人如未按规定</w:t>
      </w:r>
      <w:r>
        <w:rPr>
          <w:rFonts w:hint="eastAsia" w:ascii="宋体" w:hAnsi="宋体"/>
          <w:color w:val="auto"/>
          <w:sz w:val="24"/>
          <w:highlight w:val="none"/>
          <w:lang w:val="en-US" w:eastAsia="zh-CN"/>
        </w:rPr>
        <w:t xml:space="preserve">做</w:t>
      </w:r>
      <w:r>
        <w:rPr>
          <w:rFonts w:hint="eastAsia" w:ascii="宋体" w:hAnsi="宋体"/>
          <w:color w:val="auto"/>
          <w:sz w:val="24"/>
          <w:highlight w:val="none"/>
          <w:lang w:eastAsia="zh-CN"/>
        </w:rPr>
        <w:t xml:space="preserve">出</w:t>
      </w:r>
      <w:r>
        <w:rPr>
          <w:rFonts w:hint="eastAsia" w:ascii="宋体" w:hAnsi="宋体"/>
          <w:color w:val="auto"/>
          <w:sz w:val="24"/>
          <w:highlight w:val="none"/>
        </w:rPr>
        <w:t xml:space="preserve">澄清、说明和补正，其风险由投标人自行承担。</w:t>
      </w:r>
      <w:r/>
    </w:p>
    <w:p>
      <w:pPr>
        <w:pStyle w:val="1077"/>
        <w:ind w:firstLine="420"/>
        <w:spacing w:before="0" w:after="0" w:line="240" w:lineRule="auto"/>
        <w:rPr>
          <w:rFonts w:hint="eastAsia"/>
          <w:b w:val="0"/>
          <w:bCs w:val="0"/>
          <w:color w:val="auto"/>
          <w:highlight w:val="none"/>
        </w:rPr>
      </w:pPr>
      <w:r/>
      <w:bookmarkStart w:id="113" w:name="_Toc513029233"/>
      <w:r/>
      <w:bookmarkStart w:id="114" w:name="_Toc16938549"/>
      <w:r/>
      <w:bookmarkStart w:id="115" w:name="_Toc20823305"/>
      <w:r>
        <w:rPr>
          <w:rFonts w:hint="eastAsia"/>
          <w:b w:val="0"/>
          <w:bCs w:val="0"/>
          <w:color w:val="auto"/>
          <w:highlight w:val="none"/>
        </w:rPr>
        <w:t xml:space="preserve">25、对投标文件的初审</w:t>
      </w:r>
      <w:bookmarkEnd w:id="113"/>
      <w:r/>
      <w:bookmarkEnd w:id="114"/>
      <w:r/>
      <w:bookmarkEnd w:id="115"/>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采购人在进行资格性审查的同时，将在“信用中国”网站（www.creditchina.gov.cn）查询投标人的信用记录，以确定投标人是否具备投标资格</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查询结果留存并归档。</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 未通过资格审查或符合性审查的投标人，代理公司将在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w:t>
      </w:r>
      <w:r>
        <w:rPr>
          <w:rFonts w:hint="eastAsia" w:ascii="宋体" w:hAnsi="宋体"/>
          <w:bCs/>
          <w:color w:val="auto"/>
          <w:sz w:val="24"/>
          <w:highlight w:val="none"/>
        </w:rPr>
        <w:t xml:space="preserve">代理公司</w:t>
      </w:r>
      <w:r>
        <w:rPr>
          <w:rFonts w:ascii="宋体" w:hAnsi="宋体"/>
          <w:bCs/>
          <w:color w:val="auto"/>
          <w:sz w:val="24"/>
          <w:highlight w:val="none"/>
        </w:rPr>
        <w:t xml:space="preserve">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46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color w:val="auto"/>
          <w:sz w:val="24"/>
          <w:highlight w:val="none"/>
        </w:rPr>
        <w:t xml:space="preserve"> </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ind w:firstLine="420"/>
        <w:spacing w:line="460" w:lineRule="exact"/>
        <w:rPr>
          <w:rFonts w:hint="eastAsia" w:ascii="宋体" w:hAnsi="宋体"/>
          <w:color w:val="auto"/>
          <w:sz w:val="24"/>
          <w:highlight w:val="none"/>
        </w:rPr>
      </w:pPr>
      <w:r/>
      <w:bookmarkStart w:id="116" w:name="_Toc16938550"/>
      <w:r/>
      <w:bookmarkStart w:id="117" w:name="_Toc20823306"/>
      <w:r/>
      <w:bookmarkStart w:id="118" w:name="_Toc513029234"/>
      <w:r>
        <w:rPr>
          <w:rFonts w:hint="eastAsia" w:ascii="宋体" w:hAnsi="宋体"/>
          <w:color w:val="auto"/>
          <w:sz w:val="24"/>
          <w:highlight w:val="none"/>
        </w:rPr>
        <w:t xml:space="preserve">25.6投标人在开、评标全过程中应保持通讯畅通，及时登录苏采云系统查阅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并安排专人与代理公司及评标委员会联系。</w:t>
      </w:r>
      <w:r/>
    </w:p>
    <w:p>
      <w:pPr>
        <w:pStyle w:val="1077"/>
        <w:ind w:firstLine="420"/>
        <w:spacing w:before="0" w:after="0" w:line="240" w:lineRule="auto"/>
        <w:rPr>
          <w:rFonts w:hint="eastAsia"/>
          <w:b w:val="0"/>
          <w:bCs w:val="0"/>
          <w:color w:val="auto"/>
          <w:highlight w:val="none"/>
        </w:rPr>
      </w:pPr>
      <w:r>
        <w:rPr>
          <w:rFonts w:hint="eastAsia"/>
          <w:b w:val="0"/>
          <w:bCs w:val="0"/>
          <w:color w:val="auto"/>
          <w:highlight w:val="none"/>
        </w:rPr>
        <w:t xml:space="preserve">26、</w:t>
      </w:r>
      <w:bookmarkEnd w:id="116"/>
      <w:r/>
      <w:bookmarkEnd w:id="117"/>
      <w:r/>
      <w:bookmarkEnd w:id="118"/>
      <w:r>
        <w:rPr>
          <w:rFonts w:hint="eastAsia"/>
          <w:b w:val="0"/>
          <w:bCs w:val="0"/>
          <w:color w:val="auto"/>
          <w:highlight w:val="none"/>
        </w:rPr>
        <w:t xml:space="preserve">无效投标条款和废标条款</w:t>
      </w:r>
      <w:r/>
    </w:p>
    <w:p>
      <w:pPr>
        <w:ind w:left="479"/>
        <w:spacing w:line="440" w:lineRule="exact"/>
        <w:rPr>
          <w:rFonts w:hint="eastAsia" w:ascii="宋体" w:hAnsi="宋体"/>
          <w:bCs/>
          <w:color w:val="auto"/>
          <w:sz w:val="24"/>
          <w:highlight w:val="none"/>
        </w:rPr>
      </w:pPr>
      <w:r/>
      <w:bookmarkStart w:id="119" w:name="_Toc513029235"/>
      <w:r/>
      <w:bookmarkStart w:id="120" w:name="_Toc16938551"/>
      <w:r/>
      <w:bookmarkStart w:id="121" w:name="_Toc20823307"/>
      <w:r>
        <w:rPr>
          <w:rFonts w:hint="eastAsia" w:ascii="宋体" w:hAnsi="宋体"/>
          <w:bCs/>
          <w:color w:val="auto"/>
          <w:sz w:val="24"/>
          <w:highlight w:val="none"/>
        </w:rPr>
        <w:t xml:space="preserve">26.1无效投标条款</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 投标人在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规定的时间内未成功解密电子投标文件的。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26.1.2 投标人未按照招标文件要求上传电子投标文件的。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26.1.3同一投标人提交两个（含两个）以上不同的投标报价的。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26.1.4投标人不具备招标文件中规定资格要求的。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26.1.5投标人的报价超过了采购预算或最高限价的。</w:t>
      </w:r>
      <w:r/>
    </w:p>
    <w:p>
      <w:pPr>
        <w:ind w:firstLine="480"/>
        <w:spacing w:line="440" w:lineRule="exact"/>
        <w:rPr>
          <w:rFonts w:hint="eastAsia" w:ascii="宋体" w:hAnsi="宋体"/>
          <w:bCs/>
          <w:i/>
          <w:color w:val="auto"/>
          <w:sz w:val="24"/>
          <w:highlight w:val="none"/>
          <w:u w:val="single"/>
        </w:rPr>
      </w:pPr>
      <w:r>
        <w:rPr>
          <w:rFonts w:hint="eastAsia" w:ascii="宋体" w:hAnsi="宋体"/>
          <w:bCs/>
          <w:color w:val="auto"/>
          <w:sz w:val="24"/>
          <w:highlight w:val="none"/>
        </w:rPr>
        <w:t xml:space="preserve">26.1.6未通过符合性审查的。</w:t>
      </w:r>
      <w:r/>
    </w:p>
    <w:p>
      <w:pPr>
        <w:ind w:firstLine="36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26.1.7不符合招标文件中规定的实质性要求和条件的（本招标文件中加★部分为实质性要求和条件）。</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26.1.9 投标文件含有采购人不能接受的附加条件的。</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26.1.10（一）评审过程中出现下列情形之一的，评审委员会应当启动异常低价投标（响应）审查程序：</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1.投标(响应)报价低于全部通过符合性审查供应商投标(响应)报价平均值</w:t>
      </w:r>
      <w:r>
        <w:rPr>
          <w:rFonts w:hint="eastAsia" w:ascii="宋体" w:hAnsi="宋体"/>
          <w:bCs/>
          <w:color w:val="auto"/>
          <w:sz w:val="24"/>
          <w:highlight w:val="none"/>
          <w:lang w:val="en-US" w:eastAsia="zh-CN"/>
        </w:rPr>
        <w:t xml:space="preserve">50</w:t>
      </w:r>
      <w:r>
        <w:rPr>
          <w:rFonts w:hint="eastAsia" w:ascii="宋体" w:hAnsi="宋体"/>
          <w:bCs/>
          <w:color w:val="auto"/>
          <w:sz w:val="24"/>
          <w:highlight w:val="none"/>
        </w:rPr>
        <w:t xml:space="preserve">%的，即投标(响应)报价&lt;全部通过符合性审查供应商投标(响应)报价平均值X</w:t>
      </w:r>
      <w:r>
        <w:rPr>
          <w:rFonts w:hint="eastAsia" w:ascii="宋体" w:hAnsi="宋体"/>
          <w:bCs/>
          <w:color w:val="auto"/>
          <w:sz w:val="24"/>
          <w:highlight w:val="none"/>
          <w:lang w:val="en-US" w:eastAsia="zh-CN"/>
        </w:rPr>
        <w:t xml:space="preserve">50</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2.投标(响应)报价低于通过符合性审查的次低报价供应商投标(响应)报价</w:t>
      </w:r>
      <w:r>
        <w:rPr>
          <w:rFonts w:hint="eastAsia" w:ascii="宋体" w:hAnsi="宋体"/>
          <w:bCs/>
          <w:color w:val="auto"/>
          <w:sz w:val="24"/>
          <w:highlight w:val="none"/>
          <w:lang w:val="en-US" w:eastAsia="zh-CN"/>
        </w:rPr>
        <w:t xml:space="preserve">50</w:t>
      </w:r>
      <w:r>
        <w:rPr>
          <w:rFonts w:hint="eastAsia" w:ascii="宋体" w:hAnsi="宋体"/>
          <w:bCs/>
          <w:color w:val="auto"/>
          <w:sz w:val="24"/>
          <w:highlight w:val="none"/>
        </w:rPr>
        <w:t xml:space="preserve">%的，即投标(响应)报价〈通过符合性审查的次低报价供应商投标(响应)报价X</w:t>
      </w:r>
      <w:r>
        <w:rPr>
          <w:rFonts w:hint="eastAsia" w:ascii="宋体" w:hAnsi="宋体"/>
          <w:bCs/>
          <w:color w:val="auto"/>
          <w:sz w:val="24"/>
          <w:highlight w:val="none"/>
          <w:lang w:val="en-US" w:eastAsia="zh-CN"/>
        </w:rPr>
        <w:t xml:space="preserve">50</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3.投标(响应)报价低于采购项目最高限价</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5%的，即投标(响应)报价&lt;采购项目最高限价X</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5%；</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4.评审委员会基于专业判断，认为供应商报价过低，有可能影响产品质量或者不能诚信履约的其他情形。</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二)评审委员会启动异常低价投标(响应)审查后，属于前述第1项至第4项情形的，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26.1.11 投标文件未按照招标文件要求加盖CA</w:t>
      </w:r>
      <w:r>
        <w:rPr>
          <w:rFonts w:ascii="宋体" w:hAnsi="宋体"/>
          <w:bCs/>
          <w:color w:val="auto"/>
          <w:sz w:val="24"/>
          <w:highlight w:val="none"/>
        </w:rPr>
        <w:t xml:space="preserve">电子公章的</w:t>
      </w:r>
      <w:r>
        <w:rPr>
          <w:rFonts w:hint="eastAsia" w:ascii="宋体" w:hAnsi="宋体"/>
          <w:bCs/>
          <w:color w:val="auto"/>
          <w:sz w:val="24"/>
          <w:highlight w:val="none"/>
        </w:rPr>
        <w:t xml:space="preserve">。</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26.1.12其他法律、法规及本招标文件规定的属无效投标的情形。</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44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color w:val="auto"/>
          <w:sz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rFonts w:ascii="宋体" w:hAnsi="宋体"/>
          <w:bCs/>
          <w:color w:val="auto"/>
          <w:sz w:val="24"/>
          <w:highlight w:val="none"/>
        </w:rPr>
        <w:t xml:space="preserve">。</w:t>
      </w:r>
      <w:r/>
    </w:p>
    <w:p>
      <w:pPr>
        <w:ind w:left="479"/>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101"/>
        <w:ind w:firstLine="482"/>
        <w:spacing w:before="145" w:after="145" w:line="360" w:lineRule="auto"/>
        <w:rPr>
          <w:rFonts w:hint="eastAsia"/>
          <w:color w:val="auto"/>
          <w:highlight w:val="none"/>
        </w:rPr>
      </w:pPr>
      <w:r/>
      <w:bookmarkStart w:id="122" w:name="_Toc120614219"/>
      <w:r>
        <w:rPr>
          <w:rFonts w:hint="eastAsia"/>
          <w:color w:val="auto"/>
          <w:highlight w:val="none"/>
        </w:rPr>
        <w:t xml:space="preserve">六、</w:t>
      </w:r>
      <w:bookmarkEnd w:id="119"/>
      <w:r/>
      <w:bookmarkEnd w:id="120"/>
      <w:r/>
      <w:bookmarkEnd w:id="121"/>
      <w:r>
        <w:rPr>
          <w:rFonts w:hint="eastAsia"/>
          <w:color w:val="auto"/>
          <w:highlight w:val="none"/>
        </w:rPr>
        <w:t xml:space="preserve">定标</w:t>
      </w:r>
      <w:bookmarkEnd w:id="122"/>
      <w:r/>
      <w:r/>
    </w:p>
    <w:p>
      <w:pPr>
        <w:pStyle w:val="1077"/>
        <w:ind w:firstLine="600"/>
        <w:spacing w:before="0" w:after="0" w:line="240" w:lineRule="auto"/>
        <w:rPr>
          <w:rFonts w:hint="eastAsia" w:ascii="黑体" w:hAnsi="宋体" w:cs="Times New Roman"/>
          <w:b w:val="0"/>
          <w:color w:val="auto"/>
          <w:sz w:val="30"/>
          <w:szCs w:val="30"/>
          <w:highlight w:val="none"/>
        </w:rPr>
      </w:pPr>
      <w:r/>
      <w:bookmarkStart w:id="123" w:name="_Toc513029238"/>
      <w:r/>
      <w:bookmarkStart w:id="124" w:name="_Toc20823310"/>
      <w:r/>
      <w:bookmarkStart w:id="125" w:name="_Toc16938554"/>
      <w:r>
        <w:rPr>
          <w:rFonts w:hint="eastAsia" w:ascii="黑体" w:hAnsi="宋体" w:cs="Times New Roman"/>
          <w:b w:val="0"/>
          <w:color w:val="auto"/>
          <w:sz w:val="30"/>
          <w:szCs w:val="30"/>
          <w:highlight w:val="none"/>
        </w:rPr>
        <w:t xml:space="preserve">27、</w:t>
      </w:r>
      <w:bookmarkEnd w:id="123"/>
      <w:r>
        <w:rPr>
          <w:rFonts w:hint="eastAsia" w:ascii="黑体" w:hAnsi="宋体" w:cs="Times New Roman"/>
          <w:b w:val="0"/>
          <w:color w:val="auto"/>
          <w:sz w:val="30"/>
          <w:szCs w:val="30"/>
          <w:highlight w:val="none"/>
        </w:rPr>
        <w:t xml:space="preserve">确定</w:t>
      </w:r>
      <w:bookmarkEnd w:id="124"/>
      <w:r/>
      <w:bookmarkEnd w:id="125"/>
      <w:r>
        <w:rPr>
          <w:rFonts w:hint="eastAsia" w:ascii="黑体" w:hAnsi="宋体" w:cs="Times New Roman"/>
          <w:b w:val="0"/>
          <w:color w:val="auto"/>
          <w:sz w:val="30"/>
          <w:szCs w:val="30"/>
          <w:highlight w:val="none"/>
        </w:rPr>
        <w:t xml:space="preserve">中标单位</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27.2 采购人应根据评委会推荐的中标候选人确定中标人。</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27.3 </w:t>
      </w:r>
      <w:r>
        <w:rPr>
          <w:rFonts w:hint="eastAsia" w:ascii="宋体" w:hAnsi="宋体"/>
          <w:color w:val="auto"/>
          <w:sz w:val="24"/>
          <w:highlight w:val="none"/>
        </w:rPr>
        <w:t xml:space="preserve">代理公司将在“江苏政府采购网”发布中标公告，公告期限为1个工作日。</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  若有充分证据证明，中标人出现下列情况之一的，一经查实，将被取消中标资格：</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27.4.1提供虚假材料谋取中标的。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27.4.2向采购人、代理公司行贿或者提供其他不正当利益的。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27.4.3属于本文件规定的无效条件，但在评标过程中又未被评委会发现的。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27.4.4与采购人或者其他供应商恶意串通的。</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27.4.5采取不正当手段诋毁、排挤其他供应商的。</w:t>
      </w:r>
      <w:r/>
    </w:p>
    <w:p>
      <w:pPr>
        <w:ind w:firstLine="480"/>
        <w:spacing w:line="480" w:lineRule="exact"/>
        <w:rPr>
          <w:rFonts w:ascii="宋体" w:hAnsi="宋体"/>
          <w:color w:val="auto"/>
          <w:sz w:val="24"/>
          <w:highlight w:val="none"/>
        </w:rPr>
      </w:pPr>
      <w:r/>
      <w:bookmarkStart w:id="126" w:name="_Toc200451960"/>
      <w:r>
        <w:rPr>
          <w:rFonts w:hint="eastAsia" w:ascii="宋体" w:hAnsi="宋体"/>
          <w:color w:val="auto"/>
          <w:sz w:val="24"/>
          <w:highlight w:val="none"/>
        </w:rPr>
        <w:t xml:space="preserve">27.5 </w:t>
      </w: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27.5.1不同投标人的投标文件由同一单位或者个人编制。</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27.5.2不同投标人委托同一单位或者个人办理投标事宜。</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27.5.3 不同投标人的投标文件载明的项目管理成员或者联系人员为同一人。</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27.5.4不同投标人的投标文件异常一致或者投标报价呈规律性差异。</w:t>
      </w:r>
      <w:r/>
    </w:p>
    <w:p>
      <w:pPr>
        <w:pStyle w:val="1077"/>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28、质疑处理</w:t>
      </w:r>
      <w:bookmarkEnd w:id="126"/>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r/>
    </w:p>
    <w:p>
      <w:pPr>
        <w:ind w:firstLine="480"/>
        <w:spacing w:line="480" w:lineRule="exact"/>
        <w:rPr>
          <w:rFonts w:hint="eastAsia" w:hAnsi="宋体" w:cs="宋体"/>
          <w:color w:val="auto"/>
          <w:sz w:val="24"/>
          <w:highlight w:val="none"/>
        </w:rPr>
      </w:pPr>
      <w:r>
        <w:rPr>
          <w:rFonts w:hint="eastAsia" w:ascii="宋体" w:hAnsi="宋体"/>
          <w:color w:val="auto"/>
          <w:sz w:val="24"/>
          <w:highlight w:val="none"/>
        </w:rPr>
        <w:t xml:space="preserve">28.2.1</w:t>
      </w:r>
      <w:r>
        <w:rPr>
          <w:rFonts w:hAnsi="宋体" w:cs="宋体"/>
          <w:color w:val="auto"/>
          <w:sz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color w:val="auto"/>
          <w:sz w:val="24"/>
          <w:highlight w:val="none"/>
        </w:rPr>
      </w:pPr>
      <w:r>
        <w:rPr>
          <w:rFonts w:hint="eastAsia" w:ascii="宋体" w:hAnsi="宋体"/>
          <w:color w:val="auto"/>
          <w:sz w:val="24"/>
          <w:highlight w:val="none"/>
        </w:rPr>
        <w:t xml:space="preserve">28.2.2</w:t>
      </w:r>
      <w:r>
        <w:rPr>
          <w:rFonts w:hAnsi="宋体" w:cs="宋体"/>
          <w:color w:val="auto"/>
          <w:sz w:val="24"/>
          <w:highlight w:val="none"/>
        </w:rPr>
        <w:t xml:space="preserve">对采购过程提出质疑的，为各采购程序环节结束之日；</w:t>
      </w:r>
      <w:r/>
    </w:p>
    <w:p>
      <w:pPr>
        <w:ind w:firstLine="480"/>
        <w:spacing w:line="480" w:lineRule="exact"/>
        <w:rPr>
          <w:rFonts w:hint="eastAsia" w:hAnsi="宋体" w:cs="宋体"/>
          <w:color w:val="auto"/>
          <w:sz w:val="24"/>
          <w:highlight w:val="none"/>
        </w:rPr>
      </w:pPr>
      <w:r>
        <w:rPr>
          <w:rFonts w:hint="eastAsia" w:ascii="宋体" w:hAnsi="宋体"/>
          <w:color w:val="auto"/>
          <w:sz w:val="24"/>
          <w:highlight w:val="none"/>
        </w:rPr>
        <w:t xml:space="preserve">28.2.3</w:t>
      </w:r>
      <w:r>
        <w:rPr>
          <w:rFonts w:hAnsi="宋体" w:cs="宋体"/>
          <w:color w:val="auto"/>
          <w:sz w:val="24"/>
          <w:highlight w:val="none"/>
        </w:rPr>
        <w:t xml:space="preserve">对中标或者成交结果提出质疑的，为中标或者成交结果公告期限届满之日。</w:t>
      </w:r>
      <w:r/>
    </w:p>
    <w:p>
      <w:pPr>
        <w:ind w:firstLine="480"/>
        <w:spacing w:line="480" w:lineRule="exact"/>
        <w:rPr>
          <w:rFonts w:hint="eastAsia" w:hAnsi="宋体" w:cs="宋体"/>
          <w:color w:val="auto"/>
          <w:sz w:val="24"/>
          <w:highlight w:val="none"/>
        </w:rPr>
      </w:pPr>
      <w:r>
        <w:rPr>
          <w:rFonts w:hint="eastAsia" w:hAnsi="宋体" w:cs="宋体"/>
          <w:color w:val="auto"/>
          <w:sz w:val="24"/>
          <w:highlight w:val="none"/>
        </w:rPr>
        <w:t xml:space="preserve">供应商应当在法定质疑期内一次性提出针对同一采购程序环节的质疑。供应商如在法定期限内对同一采购程序环节提出多次质疑的，代理公司、</w:t>
      </w:r>
      <w:r>
        <w:rPr>
          <w:rFonts w:hAnsi="宋体" w:cs="宋体"/>
          <w:color w:val="auto"/>
          <w:sz w:val="24"/>
          <w:highlight w:val="none"/>
        </w:rPr>
        <w:t xml:space="preserve">采购人</w:t>
      </w:r>
      <w:r>
        <w:rPr>
          <w:rFonts w:hint="eastAsia" w:hAnsi="宋体" w:cs="宋体"/>
          <w:color w:val="auto"/>
          <w:sz w:val="24"/>
          <w:highlight w:val="none"/>
        </w:rPr>
        <w:t xml:space="preserve">将只对供应商第一次质疑作出答复。</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28.3质疑函必须按照《质疑函范本》要求的格式和内容进行填写。供应商如组成联合体参加投标，则《质疑函范本》中要求签字、盖章、加盖公章之处，联合体各方均须按要求签字、盖章、加盖公章。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color w:val="auto"/>
          <w:sz w:val="24"/>
          <w:highlight w:val="none"/>
        </w:rPr>
      </w:pPr>
      <w:r>
        <w:rPr>
          <w:rFonts w:hint="eastAsia" w:ascii="宋体" w:hAnsi="宋体"/>
          <w:color w:val="auto"/>
          <w:sz w:val="24"/>
          <w:highlight w:val="none"/>
        </w:rPr>
        <w:t xml:space="preserve">28.4供应商（含</w:t>
      </w:r>
      <w:r>
        <w:rPr>
          <w:rFonts w:ascii="宋体" w:hAnsi="宋体"/>
          <w:color w:val="auto"/>
          <w:sz w:val="24"/>
          <w:highlight w:val="none"/>
        </w:rPr>
        <w:t xml:space="preserve">潜在供应商）</w:t>
      </w:r>
      <w:r>
        <w:rPr>
          <w:rFonts w:hint="eastAsia" w:ascii="宋体" w:hAnsi="宋体"/>
          <w:color w:val="auto"/>
          <w:sz w:val="24"/>
          <w:highlight w:val="none"/>
        </w:rPr>
        <w:t xml:space="preserve">对</w:t>
      </w:r>
      <w:r>
        <w:rPr>
          <w:rFonts w:ascii="宋体" w:hAnsi="宋体"/>
          <w:color w:val="auto"/>
          <w:sz w:val="24"/>
          <w:highlight w:val="none"/>
        </w:rPr>
        <w:t xml:space="preserve">采购方式、</w:t>
      </w:r>
      <w:r>
        <w:rPr>
          <w:rFonts w:hint="eastAsia" w:ascii="宋体" w:hAnsi="宋体"/>
          <w:color w:val="auto"/>
          <w:sz w:val="24"/>
          <w:highlight w:val="none"/>
        </w:rPr>
        <w:t xml:space="preserve">采购</w:t>
      </w:r>
      <w:r>
        <w:rPr>
          <w:rFonts w:ascii="宋体" w:hAnsi="宋体"/>
          <w:color w:val="auto"/>
          <w:sz w:val="24"/>
          <w:highlight w:val="none"/>
        </w:rPr>
        <w:t xml:space="preserve">需求、</w:t>
      </w:r>
      <w:r>
        <w:rPr>
          <w:rFonts w:hint="eastAsia" w:ascii="宋体" w:hAnsi="宋体"/>
          <w:color w:val="auto"/>
          <w:sz w:val="24"/>
          <w:highlight w:val="none"/>
        </w:rPr>
        <w:t xml:space="preserve">供应商</w:t>
      </w:r>
      <w:r>
        <w:rPr>
          <w:rFonts w:ascii="宋体" w:hAnsi="宋体"/>
          <w:color w:val="auto"/>
          <w:sz w:val="24"/>
          <w:highlight w:val="none"/>
        </w:rPr>
        <w:t xml:space="preserve">资格条件</w:t>
      </w:r>
      <w:r>
        <w:rPr>
          <w:rFonts w:hint="eastAsia" w:ascii="宋体" w:hAnsi="宋体"/>
          <w:color w:val="auto"/>
          <w:sz w:val="24"/>
          <w:highlight w:val="none"/>
        </w:rPr>
        <w:t xml:space="preserve">及</w:t>
      </w:r>
      <w:r>
        <w:rPr>
          <w:rFonts w:ascii="宋体" w:hAnsi="宋体"/>
          <w:color w:val="auto"/>
          <w:sz w:val="24"/>
          <w:highlight w:val="none"/>
        </w:rPr>
        <w:t xml:space="preserve">审查结果、</w:t>
      </w:r>
      <w:r>
        <w:rPr>
          <w:rFonts w:hint="eastAsia" w:ascii="宋体" w:hAnsi="宋体"/>
          <w:color w:val="auto"/>
          <w:sz w:val="24"/>
          <w:highlight w:val="none"/>
        </w:rPr>
        <w:t xml:space="preserve">评标方法</w:t>
      </w:r>
      <w:r>
        <w:rPr>
          <w:rFonts w:ascii="宋体" w:hAnsi="宋体"/>
          <w:color w:val="auto"/>
          <w:sz w:val="24"/>
          <w:highlight w:val="none"/>
        </w:rPr>
        <w:t xml:space="preserve">和评标标准、合同文本</w:t>
      </w:r>
      <w:r>
        <w:rPr>
          <w:rFonts w:hint="eastAsia" w:ascii="宋体" w:hAnsi="宋体"/>
          <w:color w:val="auto"/>
          <w:sz w:val="24"/>
          <w:highlight w:val="none"/>
        </w:rPr>
        <w:t xml:space="preserve">的</w:t>
      </w:r>
      <w:r>
        <w:rPr>
          <w:rFonts w:ascii="宋体" w:hAnsi="宋体"/>
          <w:color w:val="auto"/>
          <w:sz w:val="24"/>
          <w:highlight w:val="none"/>
        </w:rPr>
        <w:t xml:space="preserve">询问</w:t>
      </w:r>
      <w:r>
        <w:rPr>
          <w:rFonts w:hint="eastAsia" w:ascii="宋体" w:hAnsi="宋体"/>
          <w:color w:val="auto"/>
          <w:sz w:val="24"/>
          <w:highlight w:val="none"/>
        </w:rPr>
        <w:t xml:space="preserve">、质疑</w:t>
      </w:r>
      <w:r>
        <w:rPr>
          <w:rFonts w:ascii="宋体" w:hAnsi="宋体"/>
          <w:color w:val="auto"/>
          <w:sz w:val="24"/>
          <w:highlight w:val="none"/>
        </w:rPr>
        <w:t xml:space="preserve">请向采购人提出，由采购人负责答复。</w:t>
      </w:r>
      <w:r>
        <w:rPr>
          <w:rFonts w:hint="eastAsia" w:ascii="宋体" w:hAnsi="宋体"/>
          <w:color w:val="auto"/>
          <w:sz w:val="24"/>
          <w:highlight w:val="none"/>
        </w:rPr>
        <w:t xml:space="preserve">供应商对除</w:t>
      </w:r>
      <w:r>
        <w:rPr>
          <w:rFonts w:ascii="宋体" w:hAnsi="宋体"/>
          <w:color w:val="auto"/>
          <w:sz w:val="24"/>
          <w:highlight w:val="none"/>
        </w:rPr>
        <w:t xml:space="preserve">上述事项以外其他事项</w:t>
      </w:r>
      <w:r>
        <w:rPr>
          <w:rFonts w:hint="eastAsia" w:ascii="宋体" w:hAnsi="宋体"/>
          <w:color w:val="auto"/>
          <w:sz w:val="24"/>
          <w:highlight w:val="none"/>
        </w:rPr>
        <w:t xml:space="preserve">的询问</w:t>
      </w:r>
      <w:r>
        <w:rPr>
          <w:rFonts w:ascii="宋体" w:hAnsi="宋体"/>
          <w:color w:val="auto"/>
          <w:sz w:val="24"/>
          <w:highlight w:val="none"/>
        </w:rPr>
        <w:t xml:space="preserve">、质疑请向</w:t>
      </w:r>
      <w:r>
        <w:rPr>
          <w:rFonts w:hint="eastAsia" w:ascii="宋体" w:hAnsi="宋体"/>
          <w:color w:val="auto"/>
          <w:sz w:val="24"/>
          <w:highlight w:val="none"/>
        </w:rPr>
        <w:t xml:space="preserve">代理公司</w:t>
      </w:r>
      <w:r>
        <w:rPr>
          <w:rFonts w:ascii="宋体" w:hAnsi="宋体"/>
          <w:color w:val="auto"/>
          <w:sz w:val="24"/>
          <w:highlight w:val="none"/>
        </w:rPr>
        <w:t xml:space="preserve">提出，由</w:t>
      </w:r>
      <w:r>
        <w:rPr>
          <w:rFonts w:hint="eastAsia" w:ascii="宋体" w:hAnsi="宋体"/>
          <w:color w:val="auto"/>
          <w:sz w:val="24"/>
          <w:highlight w:val="none"/>
        </w:rPr>
        <w:t xml:space="preserve">代理公司负责</w:t>
      </w:r>
      <w:r>
        <w:rPr>
          <w:rFonts w:ascii="宋体" w:hAnsi="宋体"/>
          <w:color w:val="auto"/>
          <w:sz w:val="24"/>
          <w:highlight w:val="none"/>
        </w:rPr>
        <w:t xml:space="preserve">答复。</w:t>
      </w:r>
      <w:r/>
    </w:p>
    <w:p>
      <w:pPr>
        <w:ind w:firstLine="482"/>
        <w:spacing w:line="480" w:lineRule="exact"/>
        <w:rPr>
          <w:rFonts w:hint="eastAsia" w:ascii="宋体" w:hAnsi="宋体"/>
          <w:b/>
          <w:color w:val="auto"/>
          <w:sz w:val="24"/>
          <w:highlight w:val="none"/>
        </w:rPr>
      </w:pPr>
      <w:r>
        <w:rPr>
          <w:rFonts w:hint="eastAsia" w:ascii="宋体" w:hAnsi="宋体"/>
          <w:color w:val="auto"/>
          <w:sz w:val="24"/>
          <w:highlight w:val="none"/>
        </w:rPr>
        <w:t xml:space="preserve">供应商（含</w:t>
      </w:r>
      <w:r>
        <w:rPr>
          <w:rFonts w:ascii="宋体" w:hAnsi="宋体"/>
          <w:color w:val="auto"/>
          <w:sz w:val="24"/>
          <w:highlight w:val="none"/>
        </w:rPr>
        <w:t xml:space="preserve">潜在供应商）</w:t>
      </w:r>
      <w:r>
        <w:rPr>
          <w:rFonts w:hint="eastAsia" w:ascii="宋体" w:hAnsi="宋体"/>
          <w:color w:val="auto"/>
          <w:sz w:val="24"/>
          <w:highlight w:val="none"/>
        </w:rPr>
        <w:t xml:space="preserve">对与</w:t>
      </w:r>
      <w:r>
        <w:rPr>
          <w:rFonts w:ascii="宋体" w:hAnsi="宋体"/>
          <w:color w:val="auto"/>
          <w:sz w:val="24"/>
          <w:highlight w:val="none"/>
        </w:rPr>
        <w:t xml:space="preserve">本项目</w:t>
      </w:r>
      <w:r>
        <w:rPr>
          <w:rFonts w:hint="eastAsia" w:ascii="宋体" w:hAnsi="宋体"/>
          <w:color w:val="auto"/>
          <w:sz w:val="24"/>
          <w:highlight w:val="none"/>
        </w:rPr>
        <w:t xml:space="preserve">有关的</w:t>
      </w:r>
      <w:r>
        <w:rPr>
          <w:rFonts w:ascii="宋体" w:hAnsi="宋体"/>
          <w:color w:val="auto"/>
          <w:sz w:val="24"/>
          <w:highlight w:val="none"/>
        </w:rPr>
        <w:t xml:space="preserve">所有询问、质疑</w:t>
      </w:r>
      <w:r>
        <w:rPr>
          <w:rFonts w:hint="eastAsia" w:ascii="宋体" w:hAnsi="宋体"/>
          <w:color w:val="auto"/>
          <w:sz w:val="24"/>
          <w:highlight w:val="none"/>
        </w:rPr>
        <w:t xml:space="preserve">均</w:t>
      </w:r>
      <w:r>
        <w:rPr>
          <w:rFonts w:ascii="宋体" w:hAnsi="宋体"/>
          <w:color w:val="auto"/>
          <w:sz w:val="24"/>
          <w:highlight w:val="none"/>
        </w:rPr>
        <w:t xml:space="preserve">请向采购人提出，由采购人负责答复。</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代理公司及采购人只接收以纸质原件形式送达的质疑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建议供应商尽量通过邮寄方式提交质疑（采购人和代理公司不接受未填写快递运单的快件）。</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代理机构质疑接收联系地址：连云港市海州区朝阳东路凤凰国际大厦19层1919室，联系电话：15061306882。采购人质疑接收人及联系方式见招标文件第一章。</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 以下情形的质疑不予受理</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28.5.1 内容不符合《政府采购质疑和投诉办法》第十二条规定的质疑。</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28.5.2 超出政府采购法定期限的质疑。</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28.5.3 以传真、电子邮件等方式递交的非原件形式的质疑。</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color w:val="auto"/>
          <w:sz w:val="24"/>
          <w:highlight w:val="none"/>
        </w:rPr>
      </w:pPr>
      <w:r>
        <w:rPr>
          <w:rFonts w:hint="eastAsia" w:ascii="宋体" w:hAnsi="宋体"/>
          <w:color w:val="auto"/>
          <w:sz w:val="24"/>
          <w:highlight w:val="none"/>
        </w:rPr>
        <w:t xml:space="preserve">28.6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1077"/>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29、中标通知书</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29.l</w:t>
      </w:r>
      <w:r>
        <w:rPr>
          <w:rFonts w:hint="eastAsia" w:ascii="宋体" w:hAnsi="宋体"/>
          <w:b/>
          <w:color w:val="auto"/>
          <w:sz w:val="24"/>
          <w:highlight w:val="none"/>
        </w:rPr>
        <w:t xml:space="preserve"> </w:t>
      </w:r>
      <w:r>
        <w:rPr>
          <w:rFonts w:hint="eastAsia" w:ascii="宋体" w:hAnsi="宋体"/>
          <w:color w:val="auto"/>
          <w:sz w:val="24"/>
          <w:highlight w:val="none"/>
        </w:rPr>
        <w:t xml:space="preserve">中标结果确定后，代理公司将向中标人发出中标通知书。请中标人在中标结果公告届满之日起30日内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因未及时下载而造成的不利后果由中标人自行承担。</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2</w:t>
      </w:r>
      <w:r>
        <w:rPr>
          <w:rFonts w:hint="eastAsia" w:ascii="宋体" w:hAnsi="宋体"/>
          <w:color w:val="auto"/>
          <w:sz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101"/>
        <w:spacing w:before="145" w:after="145" w:line="360" w:lineRule="auto"/>
        <w:rPr>
          <w:rFonts w:hint="eastAsia"/>
          <w:color w:val="auto"/>
          <w:highlight w:val="none"/>
        </w:rPr>
      </w:pPr>
      <w:r/>
      <w:bookmarkStart w:id="127" w:name="_Toc20823308"/>
      <w:r/>
      <w:bookmarkStart w:id="128" w:name="_Toc513029236"/>
      <w:r/>
      <w:bookmarkStart w:id="129" w:name="_Toc16938552"/>
      <w:r/>
      <w:bookmarkStart w:id="130" w:name="_Toc120614220"/>
      <w:r>
        <w:rPr>
          <w:rFonts w:hint="eastAsia"/>
          <w:color w:val="auto"/>
          <w:highlight w:val="none"/>
        </w:rPr>
        <w:t xml:space="preserve">七、授予合同</w:t>
      </w:r>
      <w:bookmarkEnd w:id="127"/>
      <w:r/>
      <w:bookmarkEnd w:id="128"/>
      <w:r/>
      <w:bookmarkEnd w:id="129"/>
      <w:r/>
      <w:bookmarkEnd w:id="130"/>
      <w:r/>
      <w:r/>
    </w:p>
    <w:p>
      <w:pPr>
        <w:pStyle w:val="1077"/>
        <w:ind w:firstLine="600"/>
        <w:spacing w:before="0" w:after="0" w:line="240" w:lineRule="auto"/>
        <w:rPr>
          <w:rFonts w:hint="eastAsia" w:ascii="黑体" w:hAnsi="宋体" w:cs="Times New Roman"/>
          <w:b w:val="0"/>
          <w:color w:val="auto"/>
          <w:sz w:val="30"/>
          <w:szCs w:val="30"/>
          <w:highlight w:val="none"/>
        </w:rPr>
      </w:pPr>
      <w:r/>
      <w:bookmarkStart w:id="131" w:name="_Toc16938553"/>
      <w:r/>
      <w:bookmarkStart w:id="132" w:name="_Toc513029237"/>
      <w:r/>
      <w:bookmarkStart w:id="133" w:name="_Toc20823309"/>
      <w:r>
        <w:rPr>
          <w:rFonts w:hint="eastAsia" w:ascii="黑体" w:hAnsi="宋体" w:cs="Times New Roman"/>
          <w:b w:val="0"/>
          <w:color w:val="auto"/>
          <w:sz w:val="30"/>
          <w:szCs w:val="30"/>
          <w:highlight w:val="none"/>
        </w:rPr>
        <w:t xml:space="preserve">30. 签订合同</w:t>
      </w:r>
      <w:r/>
    </w:p>
    <w:p>
      <w:pPr>
        <w:ind w:firstLine="600"/>
        <w:spacing w:line="480" w:lineRule="exact"/>
        <w:rPr>
          <w:rFonts w:hint="eastAsia" w:ascii="宋体" w:hAnsi="宋体"/>
          <w:color w:val="auto"/>
          <w:sz w:val="24"/>
          <w:highlight w:val="none"/>
        </w:rPr>
      </w:pPr>
      <w:r>
        <w:rPr>
          <w:rFonts w:hint="eastAsia" w:ascii="宋体" w:hAnsi="宋体"/>
          <w:bCs/>
          <w:color w:val="auto"/>
          <w:sz w:val="24"/>
          <w:highlight w:val="none"/>
        </w:rPr>
        <w:t xml:space="preserve">30</w:t>
      </w:r>
      <w:r>
        <w:rPr>
          <w:rFonts w:hint="eastAsia" w:ascii="宋体" w:hAnsi="宋体"/>
          <w:color w:val="auto"/>
          <w:sz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30.2</w:t>
      </w:r>
      <w:r>
        <w:rPr>
          <w:rFonts w:hint="eastAsia" w:ascii="宋体" w:hAnsi="宋体"/>
          <w:b/>
          <w:color w:val="auto"/>
          <w:sz w:val="24"/>
          <w:highlight w:val="none"/>
        </w:rPr>
        <w:t xml:space="preserve"> </w:t>
      </w:r>
      <w:r>
        <w:rPr>
          <w:rFonts w:hint="eastAsia" w:ascii="宋体" w:hAnsi="宋体"/>
          <w:color w:val="auto"/>
          <w:sz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color w:val="auto"/>
          <w:sz w:val="24"/>
          <w:highlight w:val="none"/>
        </w:rPr>
      </w:pPr>
      <w:r>
        <w:rPr>
          <w:rFonts w:hint="eastAsia" w:ascii="宋体" w:hAnsi="宋体"/>
          <w:color w:val="auto"/>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1077"/>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31、服务（包含与服务相关的货物）的追加</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1"/>
      <w:r/>
      <w:bookmarkEnd w:id="132"/>
      <w:r/>
      <w:bookmarkEnd w:id="133"/>
      <w:r/>
      <w:r/>
    </w:p>
    <w:p>
      <w:pPr>
        <w:pStyle w:val="1077"/>
        <w:ind w:firstLine="600"/>
        <w:spacing w:before="0" w:after="0" w:line="240" w:lineRule="auto"/>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32、政府采购履约资金扶持政策</w:t>
      </w:r>
      <w:r/>
    </w:p>
    <w:p>
      <w:pPr>
        <w:pStyle w:val="1078"/>
        <w:rPr>
          <w:rFonts w:hint="eastAsia"/>
          <w:color w:val="auto"/>
          <w:highlight w:val="none"/>
        </w:rPr>
      </w:pPr>
      <w:r>
        <w:rPr>
          <w:rFonts w:hint="eastAsia" w:ascii="宋体" w:hAnsi="宋体"/>
          <w:bCs/>
          <w:color w:val="auto"/>
          <w:sz w:val="24"/>
          <w:highlight w:val="none"/>
        </w:rPr>
        <w:t xml:space="preserve">中标人可凭政府采购合同办理融资贷款，详情请见江苏政府采购网“政采贷”专栏。</w:t>
      </w:r>
      <w:r/>
    </w:p>
    <w:p>
      <w:pPr>
        <w:pStyle w:val="1077"/>
        <w:ind w:firstLine="600"/>
        <w:spacing w:before="0" w:after="0" w:line="240" w:lineRule="auto"/>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 xml:space="preserve">33、政策功能</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价格给予扣除标准：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Times New Roman" w:hAnsi="Times New Roman" w:eastAsia="宋体" w:cs="Times New Roman"/>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Times New Roman"/>
          <w:color w:val="auto"/>
          <w:sz w:val="24"/>
          <w:szCs w:val="24"/>
          <w:highlight w:val="none"/>
          <w:u w:val="single"/>
        </w:rPr>
        <w:t xml:space="preserve">10</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的扣除，用扣除后的价格参与评审（供应商提供的货物既有中小企业制造货物，也有大型企业制造货物的，不享受该扶持政策）：</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本项目价格扣除计算方法如下：参与报价得分计算的价格＝投标人的投标报价-小型企业、微型企业、监狱企业、残疾人福利性单位的投标报价×</w:t>
      </w:r>
      <w:r>
        <w:rPr>
          <w:rFonts w:hint="eastAsia" w:ascii="宋体" w:hAnsi="宋体" w:eastAsia="宋体" w:cs="Times New Roman"/>
          <w:color w:val="auto"/>
          <w:sz w:val="24"/>
          <w:szCs w:val="24"/>
          <w:highlight w:val="none"/>
          <w:u w:val="single"/>
        </w:rPr>
        <w:t xml:space="preserve">10</w:t>
      </w:r>
      <w:r>
        <w:rPr>
          <w:rFonts w:hint="eastAsia" w:ascii="宋体" w:hAnsi="宋体"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参加政府采购活动的供应商享受价格评审优惠的应当提供的材料：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 供应商提供的货物全部由小型企业、微型企业制造的，提供《中小企业声明函》（第四章“投标文件格式”）。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供应商为残疾人福利性单位的，符合财库〔2017〕141号文件规定条件的残疾人福利性单位视同小型、微型企业，提供《残疾人福利性单位声明函》（第六部分“投标文件格式”）。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供应商为监狱企业的，提供省级以上监狱管理局、戒毒管理局（含新疆生产建设兵团）出具的属于监狱企业的证明文件。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根据《财政</w:t>
      </w:r>
      <w:r>
        <w:rPr>
          <w:rFonts w:hint="eastAsia" w:ascii="宋体" w:hAnsi="宋体"/>
          <w:color w:val="auto"/>
          <w:sz w:val="24"/>
          <w:highlight w:val="none"/>
        </w:rPr>
        <w:t xml:space="preserve">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color w:val="auto"/>
          <w:sz w:val="24"/>
          <w:highlight w:val="none"/>
        </w:rPr>
      </w:pPr>
      <w:r>
        <w:rPr>
          <w:rFonts w:hint="eastAsia"/>
          <w:color w:val="auto"/>
          <w:sz w:val="24"/>
          <w:highlight w:val="none"/>
        </w:rPr>
        <w:t xml:space="preserve">33.</w:t>
      </w:r>
      <w:r>
        <w:rPr>
          <w:rFonts w:hint="eastAsia"/>
          <w:color w:val="auto"/>
          <w:sz w:val="24"/>
          <w:highlight w:val="none"/>
          <w:lang w:val="en-US" w:eastAsia="zh-CN"/>
        </w:rPr>
        <w:t xml:space="preserve">9</w:t>
      </w:r>
      <w:r>
        <w:rPr>
          <w:rFonts w:hint="eastAsia"/>
          <w:color w:val="auto"/>
          <w:sz w:val="24"/>
          <w:highlight w:val="none"/>
        </w:rPr>
        <w:t xml:space="preserve">坚持绿色发展：</w:t>
      </w:r>
      <w:r/>
    </w:p>
    <w:p>
      <w:pPr>
        <w:ind w:firstLine="480"/>
        <w:spacing w:line="360" w:lineRule="auto"/>
        <w:rPr>
          <w:rFonts w:hint="eastAsia"/>
          <w:color w:val="auto"/>
          <w:sz w:val="24"/>
          <w:highlight w:val="none"/>
        </w:rPr>
      </w:pPr>
      <w:r>
        <w:rPr>
          <w:rFonts w:hint="eastAsia"/>
          <w:color w:val="auto"/>
          <w:sz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center"/>
        <w:spacing w:line="360" w:lineRule="auto"/>
        <w:rPr>
          <w:rFonts w:hAnsi="宋体"/>
          <w:b/>
          <w:color w:val="auto"/>
          <w:sz w:val="36"/>
          <w:highlight w:val="none"/>
        </w:rPr>
      </w:pPr>
      <w:r>
        <w:rPr>
          <w:rFonts w:hint="eastAsia" w:ascii="Times New Roman" w:eastAsia="宋体"/>
          <w:color w:val="auto"/>
          <w:sz w:val="24"/>
          <w:highlight w:val="none"/>
        </w:rPr>
        <w:t xml:space="preserve">33.</w:t>
      </w:r>
      <w:r>
        <w:rPr>
          <w:rFonts w:hint="eastAsia" w:ascii="Times New Roman" w:eastAsia="宋体"/>
          <w:color w:val="auto"/>
          <w:sz w:val="24"/>
          <w:highlight w:val="none"/>
          <w:lang w:val="en-US" w:eastAsia="zh-CN"/>
        </w:rPr>
        <w:t xml:space="preserve">10</w:t>
      </w:r>
      <w:r>
        <w:rPr>
          <w:rFonts w:hint="eastAsia" w:ascii="Times New Roman" w:eastAsia="宋体"/>
          <w:color w:val="auto"/>
          <w:sz w:val="24"/>
          <w:highlight w:val="none"/>
        </w:rPr>
        <w:t xml:space="preserve">政府采购项目执行《财政部 生态环境部 工业和信息化部关于印发&lt;绿色数据中心政府采购需求标准（试行）&gt;的通知》（财库〔2023〕7 号）相关要求。</w:t>
      </w:r>
      <w:r>
        <w:rPr>
          <w:rFonts w:ascii="宋体" w:hAnsi="宋体" w:eastAsia="宋体" w:cs="宋体"/>
          <w:color w:val="auto"/>
          <w:sz w:val="24"/>
          <w:highlight w:val="none"/>
        </w:rPr>
        <w:br w:type="page" w:clear="all"/>
      </w:r>
      <w:bookmarkStart w:id="134" w:name="_Toc58260783"/>
      <w:r/>
      <w:bookmarkStart w:id="135" w:name="_Toc493497032"/>
      <w:r>
        <w:rPr>
          <w:rFonts w:hint="eastAsia" w:ascii="Times New Roman" w:hAnsi="宋体" w:eastAsia="黑体"/>
          <w:color w:val="auto"/>
          <w:sz w:val="36"/>
          <w:szCs w:val="20"/>
          <w:highlight w:val="none"/>
        </w:rPr>
        <w:t xml:space="preserve">第三部分  评标办法</w:t>
      </w:r>
      <w:bookmarkEnd w:id="134"/>
      <w:r/>
      <w:bookmarkEnd w:id="135"/>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3、总得分 = 价格分 + 商务技术分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 xml:space="preserve">综合评分法</w:t>
      </w:r>
      <w:r/>
    </w:p>
    <w:p>
      <w:pPr>
        <w:ind w:left="420"/>
        <w:spacing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1.价格分：10分</w:t>
      </w:r>
      <w:r/>
    </w:p>
    <w:p>
      <w:pPr>
        <w:ind w:firstLine="42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采用低价优先法计算，即满足招标文件要求且投标价格最低的投标报价为评标基准价，其价格分为满分。其他投标人的价格分统一按照下列公式计算：</w:t>
      </w:r>
      <w:r/>
    </w:p>
    <w:p>
      <w:pPr>
        <w:ind w:firstLine="420"/>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投标报价得分=（评标基准价/投标报价） X 10分。</w:t>
      </w:r>
      <w:r/>
    </w:p>
    <w:p>
      <w:pPr>
        <w:ind w:firstLine="420"/>
        <w:spacing w:line="400" w:lineRule="exac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评标过程中，不得去掉报价中的最高报价和最低报价。</w:t>
      </w:r>
      <w:r/>
    </w:p>
    <w:p>
      <w:pPr>
        <w:numPr>
          <w:ilvl w:val="0"/>
          <w:numId w:val="4"/>
        </w:numPr>
        <w:ind w:left="420"/>
        <w:spacing w:line="400" w:lineRule="exac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商务技术分：90分</w:t>
      </w:r>
      <w:r/>
    </w:p>
    <w:p>
      <w:pPr>
        <w:numPr>
          <w:ilvl w:val="0"/>
          <w:numId w:val="0"/>
        </w:numPr>
        <w:jc w:val="both"/>
        <w:spacing w:line="400" w:lineRule="exact"/>
        <w:widowControl w:val="off"/>
        <w:tabs>
          <w:tab w:val="left" w:pos="312" w:leader="none"/>
        </w:tabs>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numPr>
          <w:ilvl w:val="0"/>
          <w:numId w:val="0"/>
        </w:numPr>
        <w:jc w:val="both"/>
        <w:spacing w:line="400" w:lineRule="exact"/>
        <w:widowControl w:val="off"/>
        <w:tabs>
          <w:tab w:val="left" w:pos="312" w:leader="none"/>
        </w:tabs>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numPr>
          <w:ilvl w:val="0"/>
          <w:numId w:val="0"/>
        </w:numPr>
        <w:jc w:val="both"/>
        <w:spacing w:line="400" w:lineRule="exact"/>
        <w:widowControl w:val="off"/>
        <w:tabs>
          <w:tab w:val="left" w:pos="312" w:leader="none"/>
        </w:tabs>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numPr>
          <w:ilvl w:val="0"/>
          <w:numId w:val="0"/>
        </w:numPr>
        <w:jc w:val="both"/>
        <w:spacing w:line="400" w:lineRule="exact"/>
        <w:widowControl w:val="off"/>
        <w:tabs>
          <w:tab w:val="left" w:pos="312" w:leader="none"/>
        </w:tabs>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bl>
      <w:tblPr>
        <w:tblStyle w:val="723"/>
        <w:tblW w:w="9295" w:type="dxa"/>
        <w:jc w:val="center"/>
        <w:tblLayout w:type="fixed"/>
        <w:tblCellMar>
          <w:left w:w="0" w:type="dxa"/>
          <w:top w:w="0" w:type="dxa"/>
          <w:right w:w="0" w:type="dxa"/>
          <w:bottom w:w="0" w:type="dxa"/>
        </w:tblCellMar>
        <w:tblLook w:val="04A0" w:firstRow="1" w:lastRow="0" w:firstColumn="1" w:lastColumn="0" w:noHBand="0" w:noVBand="1"/>
      </w:tblPr>
      <w:tblGrid>
        <w:gridCol w:w="540"/>
        <w:gridCol w:w="886"/>
        <w:gridCol w:w="1018"/>
        <w:gridCol w:w="6851"/>
      </w:tblGrid>
      <w:tr>
        <w:trPr>
          <w:jc w:val="center"/>
          <w:trHeight w:val="2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评审内容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评分标准</w:t>
            </w:r>
            <w:r/>
          </w:p>
        </w:tc>
      </w:tr>
      <w:tr>
        <w:trPr>
          <w:jc w:val="center"/>
          <w:trHeight w:val="28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restart"/>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restart"/>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技术部分（4</w:t>
            </w:r>
            <w:r>
              <w:rPr>
                <w:rFonts w:hint="eastAsia"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对本项目的需求理解（10分）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jc w:val="left"/>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投标人对项目需求响应程度，对项目情况的了解与熟悉程度，包括对园区布局、企业特点等以及对本项目的理解和重难点情况进行分析阐述，内容包含但不限于本项目全面理解分析、工作实施方案的重点、难点分析及应对措施的合理性、有效性、针对性情况。</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阐述完善全面、科学合理，理解程度透彻、全面、深刻的，得10分；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阐述较全面、理解较透彻、较深刻的，得7分；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阐述一般且有缺陷，合理性一般的，得 5分；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阐述差的得3分。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未见阐述不得分。</w:t>
            </w:r>
            <w:r/>
          </w:p>
        </w:tc>
      </w:tr>
      <w:tr>
        <w:trPr>
          <w:jc w:val="center"/>
          <w:trHeight w:val="28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项目实施整体方案（10分）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jc w:val="left"/>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针对本项目提出实施过程整体服务方案，包括但不限于对项目理解程度、政策把握、实施方案、工作分解、人员配备等；</w:t>
            </w:r>
            <w:r>
              <w:rPr>
                <w:rFonts w:hint="default" w:ascii="Times New Roman" w:hAnsi="Times New Roman" w:eastAsia="宋体" w:cs="Times New Roman"/>
                <w:color w:val="auto"/>
                <w:szCs w:val="21"/>
                <w:highlight w:val="none"/>
                <w:lang w:val="en-US" w:eastAsia="zh-CN"/>
              </w:rPr>
              <w:t xml:space="preserve">重点考察过程安全管理体系诊断提升、建设项目准入咨询和关键环节把关、智慧化监管场景应用、专项治理和“三警”支撑、安全风险研判等内容。</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实施过程中对项目理解程度深刻、政策把握精准、整体服务方案内容详细，实施方案、工作分解、人员配备合理的，得10分；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实施过程中对项目理解程度较深刻、政策把握正确、整体服务方案内容较详细，实施方案、工作分解、人员配备较合理的，得7分；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实施过程中对项目理解程度一般、政策把握基本正确、整体服务方案内容基本详细，实施方案、工作分解、人员配备一般的，得3分；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未见阐述不得分。</w:t>
            </w:r>
            <w:r/>
          </w:p>
        </w:tc>
      </w:tr>
      <w:tr>
        <w:trPr>
          <w:jc w:val="cente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进度保障服务方案（10分）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jc w:val="left"/>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供应商提供的整体实施方案中工作</w:t>
            </w:r>
            <w:r>
              <w:rPr>
                <w:rFonts w:hint="eastAsia" w:ascii="Times New Roman" w:hAnsi="Times New Roman" w:cs="Times New Roman"/>
                <w:color w:val="auto"/>
                <w:szCs w:val="21"/>
                <w:highlight w:val="none"/>
                <w:lang w:val="en-US" w:eastAsia="zh-CN"/>
              </w:rPr>
              <w:t xml:space="preserve">时间、</w:t>
            </w:r>
            <w:r>
              <w:rPr>
                <w:rFonts w:hint="default" w:ascii="Times New Roman" w:hAnsi="Times New Roman" w:cs="Times New Roman"/>
                <w:color w:val="auto"/>
                <w:szCs w:val="21"/>
                <w:highlight w:val="none"/>
                <w:lang w:val="en-US" w:eastAsia="zh-CN"/>
              </w:rPr>
              <w:t xml:space="preserve">进度计划的安排要求说明科学性、合理性、有效性、紧密程度等情况。</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实施方案中工作时间</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进度计划的安排科学性、合理性、有效性、紧密程度好的，得10分；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实施方案中工作时间</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进度计划的安排科学性、合理性、有效性、紧密程度较好的，得7分；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实施方案中工作时间</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进度计划的安排科学性、合理性、有效性、紧密程度较一般的，得3分。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未见阐述不得分。</w:t>
            </w:r>
            <w:r/>
          </w:p>
        </w:tc>
      </w:tr>
      <w:tr>
        <w:trPr>
          <w:cantSplit/>
          <w:jc w:val="cente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vMerge w:val="restart"/>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质量体系保障服务（10分）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vMerge w:val="restart"/>
            <w:textDirection w:val="lrTb"/>
            <w:noWrap w:val="false"/>
          </w:tcPr>
          <w:p>
            <w:pPr>
              <w:jc w:val="left"/>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对本项目实施过程中投标人的质量保证体系及措施进行综合评分。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质量保证体系及措施合理，与本项目贴合的，得10分；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质量保证体系及措施较合理，与本项目较为贴合的，得7分；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质量保证体系及措施一般的，得3分；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未见阐述不得分。</w:t>
            </w:r>
            <w:r/>
          </w:p>
        </w:tc>
      </w:tr>
      <w:tr>
        <w:trPr>
          <w:jc w:val="center"/>
          <w:trHeight w:val="43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restart"/>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restart"/>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拟投入人员配备（2</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vMerge w:val="restart"/>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numPr>
                <w:ilvl w:val="0"/>
                <w:numId w:val="0"/>
              </w:numPr>
              <w:jc w:val="left"/>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cs="Times New Roman"/>
                <w:color w:val="auto"/>
                <w:szCs w:val="21"/>
                <w:highlight w:val="none"/>
                <w:lang w:val="en-US" w:eastAsia="zh-CN"/>
              </w:rPr>
              <w:t xml:space="preserve">人员数量</w:t>
            </w:r>
            <w:r>
              <w:rPr>
                <w:rFonts w:hint="default" w:ascii="Times New Roman" w:hAnsi="Times New Roman" w:cs="Times New Roman"/>
                <w:color w:val="auto"/>
                <w:szCs w:val="21"/>
                <w:highlight w:val="none"/>
                <w:lang w:val="en-US" w:eastAsia="zh-CN"/>
              </w:rPr>
              <w:t xml:space="preserve">：项目组成员人数</w:t>
            </w:r>
            <w:r>
              <w:rPr>
                <w:rFonts w:hint="eastAsia" w:ascii="Times New Roman" w:hAnsi="Times New Roman" w:cs="Times New Roman"/>
                <w:color w:val="auto"/>
                <w:szCs w:val="21"/>
                <w:highlight w:val="none"/>
                <w:lang w:val="en-US" w:eastAsia="zh-CN"/>
              </w:rPr>
              <w:t xml:space="preserve">不低于5人，满足5人得4分；在5人基础上，每增加1人，加0.5分，本项最高不超过</w:t>
            </w:r>
            <w:r>
              <w:rPr>
                <w:rFonts w:hint="default" w:ascii="Times New Roman" w:hAnsi="Times New Roman" w:cs="Times New Roman"/>
                <w:color w:val="auto"/>
                <w:szCs w:val="21"/>
                <w:highlight w:val="none"/>
                <w:lang w:val="en-US" w:eastAsia="zh-CN"/>
              </w:rPr>
              <w:t xml:space="preserve">5分</w:t>
            </w:r>
            <w:r>
              <w:rPr>
                <w:rFonts w:hint="eastAsia" w:ascii="Times New Roman" w:hAnsi="Times New Roman" w:cs="Times New Roman"/>
                <w:color w:val="auto"/>
                <w:szCs w:val="21"/>
                <w:highlight w:val="none"/>
                <w:lang w:val="en-US" w:eastAsia="zh-CN"/>
              </w:rPr>
              <w:t xml:space="preserve">。</w:t>
            </w:r>
            <w:r/>
          </w:p>
          <w:p>
            <w:pPr>
              <w:numPr>
                <w:ilvl w:val="0"/>
                <w:numId w:val="0"/>
              </w:numPr>
              <w:jc w:val="left"/>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Cs w:val="21"/>
                <w:highlight w:val="none"/>
                <w:lang w:val="en-US" w:eastAsia="zh-CN"/>
              </w:rPr>
              <w:t xml:space="preserve">专业</w:t>
            </w:r>
            <w:r>
              <w:rPr>
                <w:rFonts w:hint="eastAsia" w:ascii="Times New Roman" w:hAnsi="Times New Roman" w:eastAsia="宋体" w:cs="Times New Roman"/>
                <w:color w:val="auto"/>
                <w:szCs w:val="21"/>
                <w:highlight w:val="none"/>
                <w:lang w:val="en-US" w:eastAsia="zh-CN"/>
              </w:rPr>
              <w:t xml:space="preserve">结构</w:t>
            </w:r>
            <w:r>
              <w:rPr>
                <w:rFonts w:hint="default" w:ascii="Times New Roman" w:hAnsi="Times New Roman" w:eastAsia="宋体" w:cs="Times New Roman"/>
                <w:color w:val="auto"/>
                <w:szCs w:val="21"/>
                <w:highlight w:val="none"/>
                <w:lang w:val="en-US" w:eastAsia="zh-CN"/>
              </w:rPr>
              <w:t xml:space="preserve">：项目</w:t>
            </w:r>
            <w:r>
              <w:rPr>
                <w:rFonts w:hint="default" w:ascii="Times New Roman" w:hAnsi="Times New Roman" w:cs="Times New Roman"/>
                <w:color w:val="auto"/>
                <w:szCs w:val="21"/>
                <w:highlight w:val="none"/>
                <w:lang w:val="en-US" w:eastAsia="zh-CN"/>
              </w:rPr>
              <w:t xml:space="preserve">组成员专业</w:t>
            </w:r>
            <w:r>
              <w:rPr>
                <w:rFonts w:hint="eastAsia" w:ascii="Times New Roman" w:hAnsi="Times New Roman" w:cs="Times New Roman"/>
                <w:color w:val="auto"/>
                <w:szCs w:val="21"/>
                <w:highlight w:val="none"/>
                <w:lang w:val="en-US" w:eastAsia="zh-CN"/>
              </w:rPr>
              <w:t xml:space="preserve">应</w:t>
            </w:r>
            <w:r>
              <w:rPr>
                <w:rFonts w:hint="default" w:ascii="Times New Roman" w:hAnsi="Times New Roman" w:cs="Times New Roman"/>
                <w:color w:val="auto"/>
                <w:szCs w:val="21"/>
                <w:highlight w:val="none"/>
                <w:lang w:val="en-US" w:eastAsia="zh-CN"/>
              </w:rPr>
              <w:t xml:space="preserve">涵盖化工安全管理、工艺、设备、电气、仪表、消防</w:t>
            </w:r>
            <w:r>
              <w:rPr>
                <w:rFonts w:hint="eastAsia" w:ascii="Times New Roman" w:hAnsi="Times New Roman" w:cs="Times New Roman"/>
                <w:color w:val="auto"/>
                <w:szCs w:val="21"/>
                <w:highlight w:val="none"/>
                <w:lang w:val="en-US" w:eastAsia="zh-CN"/>
              </w:rPr>
              <w:t xml:space="preserve">等领域</w:t>
            </w:r>
            <w:r>
              <w:rPr>
                <w:rFonts w:hint="default" w:ascii="Times New Roman" w:hAnsi="Times New Roman" w:cs="Times New Roman"/>
                <w:color w:val="auto"/>
                <w:szCs w:val="21"/>
                <w:highlight w:val="none"/>
                <w:lang w:val="en-US" w:eastAsia="zh-CN"/>
              </w:rPr>
              <w:t xml:space="preserve">。全部满足得</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lang w:val="en-US" w:eastAsia="zh-CN"/>
              </w:rPr>
              <w:t xml:space="preserve">分，少一专业扣</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分，扣完为止。专业以学历证书或职业证书为准。</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3、</w:t>
            </w:r>
            <w:r>
              <w:rPr>
                <w:rFonts w:hint="eastAsia" w:ascii="Times New Roman" w:hAnsi="Times New Roman" w:cs="Times New Roman"/>
                <w:strike w:val="0"/>
                <w:color w:val="auto"/>
                <w:szCs w:val="21"/>
                <w:highlight w:val="none"/>
                <w:lang w:val="en-US" w:eastAsia="zh-CN"/>
              </w:rPr>
              <w:t xml:space="preserve">学历背景：</w:t>
            </w:r>
            <w:r>
              <w:rPr>
                <w:rFonts w:hint="default" w:ascii="Times New Roman" w:hAnsi="Times New Roman" w:eastAsia="宋体" w:cs="Times New Roman"/>
                <w:color w:val="auto"/>
                <w:szCs w:val="21"/>
                <w:highlight w:val="none"/>
                <w:lang w:val="en-US" w:eastAsia="zh-CN"/>
              </w:rPr>
              <w:t xml:space="preserve">拟派项目负责人及工艺、仪表</w:t>
            </w:r>
            <w:r>
              <w:rPr>
                <w:rFonts w:hint="eastAsia" w:ascii="Times New Roman" w:hAnsi="Times New Roman" w:eastAsia="宋体" w:cs="Times New Roman"/>
                <w:color w:val="auto"/>
                <w:szCs w:val="21"/>
                <w:highlight w:val="none"/>
                <w:lang w:val="en-US" w:eastAsia="zh-CN"/>
              </w:rPr>
              <w:t xml:space="preserve">、设备</w:t>
            </w:r>
            <w:r>
              <w:rPr>
                <w:rFonts w:hint="default" w:ascii="Times New Roman" w:hAnsi="Times New Roman" w:eastAsia="宋体" w:cs="Times New Roman"/>
                <w:color w:val="auto"/>
                <w:szCs w:val="21"/>
                <w:highlight w:val="none"/>
                <w:lang w:val="en-US" w:eastAsia="zh-CN"/>
              </w:rPr>
              <w:t xml:space="preserve">等核心技术岗位人员具有相关专业本科及以上学历的，本项</w:t>
            </w:r>
            <w:r>
              <w:rPr>
                <w:rFonts w:hint="eastAsia" w:ascii="Times New Roman" w:hAnsi="Times New Roman" w:eastAsia="宋体" w:cs="Times New Roman"/>
                <w:color w:val="auto"/>
                <w:szCs w:val="21"/>
                <w:highlight w:val="none"/>
                <w:lang w:val="en-US" w:eastAsia="zh-CN"/>
              </w:rPr>
              <w:t xml:space="preserve">满分2</w:t>
            </w:r>
            <w:r>
              <w:rPr>
                <w:rFonts w:hint="default" w:ascii="Times New Roman" w:hAnsi="Times New Roman" w:eastAsia="宋体" w:cs="Times New Roman"/>
                <w:color w:val="auto"/>
                <w:szCs w:val="21"/>
                <w:highlight w:val="none"/>
                <w:lang w:val="en-US" w:eastAsia="zh-CN"/>
              </w:rPr>
              <w:t xml:space="preserve">分</w:t>
            </w:r>
            <w:r>
              <w:rPr>
                <w:rFonts w:hint="eastAsia" w:ascii="Times New Roman" w:hAnsi="Times New Roman" w:eastAsia="宋体"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每</w:t>
            </w:r>
            <w:r>
              <w:rPr>
                <w:rFonts w:hint="eastAsia" w:ascii="Times New Roman" w:hAnsi="Times New Roman" w:eastAsia="宋体" w:cs="Times New Roman"/>
                <w:color w:val="auto"/>
                <w:szCs w:val="21"/>
                <w:highlight w:val="none"/>
                <w:lang w:val="en-US" w:eastAsia="zh-CN"/>
              </w:rPr>
              <w:t xml:space="preserve">少</w:t>
            </w:r>
            <w:r>
              <w:rPr>
                <w:rFonts w:hint="default" w:ascii="Times New Roman" w:hAnsi="Times New Roman" w:eastAsia="宋体" w:cs="Times New Roman"/>
                <w:color w:val="auto"/>
                <w:szCs w:val="21"/>
                <w:highlight w:val="none"/>
                <w:lang w:val="en-US" w:eastAsia="zh-CN"/>
              </w:rPr>
              <w:t xml:space="preserve">1人</w:t>
            </w:r>
            <w:r>
              <w:rPr>
                <w:rFonts w:hint="eastAsia" w:ascii="Times New Roman" w:hAnsi="Times New Roman" w:eastAsia="宋体" w:cs="Times New Roman"/>
                <w:color w:val="auto"/>
                <w:szCs w:val="21"/>
                <w:highlight w:val="none"/>
                <w:lang w:val="en-US" w:eastAsia="zh-CN"/>
              </w:rPr>
              <w:t xml:space="preserve">扣</w:t>
            </w:r>
            <w:r>
              <w:rPr>
                <w:rFonts w:hint="default" w:ascii="Times New Roman" w:hAnsi="Times New Roman" w:eastAsia="宋体" w:cs="Times New Roman"/>
                <w:color w:val="auto"/>
                <w:szCs w:val="21"/>
                <w:highlight w:val="none"/>
                <w:lang w:val="en-US" w:eastAsia="zh-CN"/>
              </w:rPr>
              <w:t xml:space="preserve">0.5分，</w:t>
            </w:r>
            <w:r>
              <w:rPr>
                <w:rFonts w:hint="eastAsia"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4、</w:t>
            </w:r>
            <w:r>
              <w:rPr>
                <w:rFonts w:hint="eastAsia" w:ascii="Times New Roman" w:hAnsi="Times New Roman" w:cs="Times New Roman"/>
                <w:color w:val="auto"/>
                <w:szCs w:val="21"/>
                <w:highlight w:val="none"/>
                <w:lang w:val="en-US" w:eastAsia="zh-CN"/>
              </w:rPr>
              <w:t xml:space="preserve">职称：拟派</w:t>
            </w:r>
            <w:r>
              <w:rPr>
                <w:rFonts w:hint="default" w:ascii="Times New Roman" w:hAnsi="Times New Roman" w:eastAsia="宋体" w:cs="Times New Roman"/>
                <w:color w:val="auto"/>
                <w:szCs w:val="21"/>
                <w:highlight w:val="none"/>
                <w:lang w:val="en-US" w:eastAsia="zh-CN"/>
              </w:rPr>
              <w:t xml:space="preserve">项目</w:t>
            </w:r>
            <w:r>
              <w:rPr>
                <w:rFonts w:hint="default" w:ascii="Times New Roman" w:hAnsi="Times New Roman" w:cs="Times New Roman"/>
                <w:color w:val="auto"/>
                <w:szCs w:val="21"/>
                <w:highlight w:val="none"/>
                <w:lang w:val="en-US" w:eastAsia="zh-CN"/>
              </w:rPr>
              <w:t xml:space="preserve">组成员</w:t>
            </w:r>
            <w:r>
              <w:rPr>
                <w:rFonts w:hint="eastAsia" w:ascii="Times New Roman" w:hAnsi="Times New Roman" w:cs="Times New Roman"/>
                <w:color w:val="auto"/>
                <w:szCs w:val="21"/>
                <w:highlight w:val="none"/>
                <w:lang w:val="en-US" w:eastAsia="zh-CN"/>
              </w:rPr>
              <w:t xml:space="preserve">应取得化工类</w:t>
            </w:r>
            <w:r>
              <w:rPr>
                <w:rFonts w:hint="eastAsia" w:ascii="Times New Roman" w:hAnsi="Times New Roman" w:eastAsia="宋体" w:cs="Times New Roman"/>
                <w:color w:val="auto"/>
                <w:szCs w:val="21"/>
                <w:highlight w:val="none"/>
                <w:lang w:val="en-US" w:eastAsia="zh-CN"/>
              </w:rPr>
              <w:t xml:space="preserve">注册安全工程师证书、</w:t>
            </w:r>
            <w:r>
              <w:rPr>
                <w:rFonts w:hint="default" w:ascii="Times New Roman" w:hAnsi="Times New Roman" w:cs="Times New Roman"/>
                <w:color w:val="auto"/>
                <w:szCs w:val="21"/>
                <w:highlight w:val="none"/>
                <w:lang w:val="en-US" w:eastAsia="zh-CN"/>
              </w:rPr>
              <w:t xml:space="preserve">高级</w:t>
            </w:r>
            <w:r>
              <w:rPr>
                <w:rFonts w:hint="eastAsia" w:ascii="Times New Roman" w:hAnsi="Times New Roman" w:cs="Times New Roman"/>
                <w:color w:val="auto"/>
                <w:szCs w:val="21"/>
                <w:highlight w:val="none"/>
                <w:lang w:val="en-US" w:eastAsia="zh-CN"/>
              </w:rPr>
              <w:t xml:space="preserve">工</w:t>
            </w:r>
            <w:r>
              <w:rPr>
                <w:rFonts w:hint="eastAsia" w:ascii="Times New Roman" w:hAnsi="Times New Roman" w:eastAsia="宋体" w:cs="Times New Roman"/>
                <w:color w:val="auto"/>
                <w:szCs w:val="21"/>
                <w:highlight w:val="none"/>
                <w:lang w:val="en-US" w:eastAsia="zh-CN"/>
              </w:rPr>
              <w:t xml:space="preserve">程师</w:t>
            </w:r>
            <w:r>
              <w:rPr>
                <w:rFonts w:hint="default" w:ascii="Times New Roman" w:hAnsi="Times New Roman" w:eastAsia="宋体" w:cs="Times New Roman"/>
                <w:color w:val="auto"/>
                <w:szCs w:val="21"/>
                <w:highlight w:val="none"/>
                <w:lang w:val="en-US" w:eastAsia="zh-CN"/>
              </w:rPr>
              <w:t xml:space="preserve">及以上职称，</w:t>
            </w:r>
            <w:r>
              <w:rPr>
                <w:rFonts w:hint="default" w:ascii="Times New Roman" w:hAnsi="Times New Roman" w:cs="Times New Roman"/>
                <w:color w:val="auto"/>
                <w:szCs w:val="21"/>
                <w:highlight w:val="none"/>
                <w:lang w:val="en-US" w:eastAsia="zh-CN"/>
              </w:rPr>
              <w:t xml:space="preserve">本项满分为5分</w:t>
            </w:r>
            <w:r>
              <w:rPr>
                <w:rFonts w:hint="eastAsia" w:ascii="Times New Roman" w:hAnsi="Times New Roman" w:cs="Times New Roman"/>
                <w:color w:val="auto"/>
                <w:szCs w:val="21"/>
                <w:highlight w:val="none"/>
                <w:lang w:val="en-US" w:eastAsia="zh-CN"/>
              </w:rPr>
              <w:t xml:space="preserve">。每少一个化工类</w:t>
            </w:r>
            <w:r>
              <w:rPr>
                <w:rFonts w:hint="eastAsia" w:ascii="Times New Roman" w:hAnsi="Times New Roman" w:eastAsia="宋体" w:cs="Times New Roman"/>
                <w:color w:val="auto"/>
                <w:szCs w:val="21"/>
                <w:highlight w:val="none"/>
                <w:lang w:val="en-US" w:eastAsia="zh-CN"/>
              </w:rPr>
              <w:t xml:space="preserve">注册安全工程师</w:t>
            </w:r>
            <w:r>
              <w:rPr>
                <w:rFonts w:hint="default" w:ascii="Times New Roman" w:hAnsi="Times New Roman" w:eastAsia="宋体" w:cs="Times New Roman"/>
                <w:color w:val="auto"/>
                <w:szCs w:val="21"/>
                <w:highlight w:val="none"/>
                <w:lang w:val="en-US" w:eastAsia="zh-CN"/>
              </w:rPr>
              <w:t xml:space="preserve">职业资格证书</w:t>
            </w:r>
            <w:r>
              <w:rPr>
                <w:rFonts w:hint="eastAsia" w:ascii="Times New Roman" w:hAnsi="Times New Roman" w:eastAsia="宋体"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扣</w:t>
            </w:r>
            <w:r>
              <w:rPr>
                <w:rFonts w:hint="eastAsia" w:ascii="Times New Roman" w:hAnsi="Times New Roman" w:cs="Times New Roman"/>
                <w:color w:val="auto"/>
                <w:szCs w:val="21"/>
                <w:highlight w:val="none"/>
                <w:lang w:val="en-US" w:eastAsia="zh-CN"/>
              </w:rPr>
              <w:t xml:space="preserve">0.5</w:t>
            </w:r>
            <w:r>
              <w:rPr>
                <w:rFonts w:hint="default" w:ascii="Times New Roman" w:hAnsi="Times New Roman" w:cs="Times New Roman"/>
                <w:color w:val="auto"/>
                <w:szCs w:val="21"/>
                <w:highlight w:val="none"/>
                <w:lang w:val="en-US" w:eastAsia="zh-CN"/>
              </w:rPr>
              <w:t xml:space="preserve">分</w:t>
            </w:r>
            <w:r>
              <w:rPr>
                <w:rFonts w:hint="eastAsia" w:ascii="Times New Roman" w:hAnsi="Times New Roman" w:cs="Times New Roman"/>
                <w:color w:val="auto"/>
                <w:szCs w:val="21"/>
                <w:highlight w:val="none"/>
                <w:lang w:val="en-US" w:eastAsia="zh-CN"/>
              </w:rPr>
              <w:t xml:space="preserve">；每</w:t>
            </w:r>
            <w:r>
              <w:rPr>
                <w:rFonts w:hint="default" w:ascii="Times New Roman" w:hAnsi="Times New Roman" w:cs="Times New Roman"/>
                <w:color w:val="auto"/>
                <w:szCs w:val="21"/>
                <w:highlight w:val="none"/>
                <w:lang w:val="en-US" w:eastAsia="zh-CN"/>
              </w:rPr>
              <w:t xml:space="preserve">少一个高级</w:t>
            </w:r>
            <w:r>
              <w:rPr>
                <w:rFonts w:hint="eastAsia" w:ascii="Times New Roman" w:hAnsi="Times New Roman" w:cs="Times New Roman"/>
                <w:color w:val="auto"/>
                <w:szCs w:val="21"/>
                <w:highlight w:val="none"/>
                <w:lang w:val="en-US" w:eastAsia="zh-CN"/>
              </w:rPr>
              <w:t xml:space="preserve">工</w:t>
            </w:r>
            <w:r>
              <w:rPr>
                <w:rFonts w:hint="eastAsia" w:ascii="Times New Roman" w:hAnsi="Times New Roman" w:eastAsia="宋体" w:cs="Times New Roman"/>
                <w:color w:val="auto"/>
                <w:szCs w:val="21"/>
                <w:highlight w:val="none"/>
                <w:lang w:val="en-US" w:eastAsia="zh-CN"/>
              </w:rPr>
              <w:t xml:space="preserve">程师</w:t>
            </w:r>
            <w:r>
              <w:rPr>
                <w:rFonts w:hint="default" w:ascii="Times New Roman" w:hAnsi="Times New Roman" w:eastAsia="宋体" w:cs="Times New Roman"/>
                <w:color w:val="auto"/>
                <w:szCs w:val="21"/>
                <w:highlight w:val="none"/>
                <w:lang w:val="en-US" w:eastAsia="zh-CN"/>
              </w:rPr>
              <w:t xml:space="preserve">及以上职称</w:t>
            </w:r>
            <w:r>
              <w:rPr>
                <w:rFonts w:hint="eastAsia" w:ascii="Times New Roman" w:hAnsi="Times New Roman" w:eastAsia="宋体" w:cs="Times New Roman"/>
                <w:color w:val="auto"/>
                <w:szCs w:val="21"/>
                <w:highlight w:val="none"/>
                <w:lang w:val="en-US" w:eastAsia="zh-CN"/>
              </w:rPr>
              <w:t xml:space="preserve">证书</w:t>
            </w:r>
            <w:r>
              <w:rPr>
                <w:rFonts w:hint="default" w:ascii="Times New Roman" w:hAnsi="Times New Roman" w:cs="Times New Roman"/>
                <w:color w:val="auto"/>
                <w:szCs w:val="21"/>
                <w:highlight w:val="none"/>
                <w:lang w:val="en-US" w:eastAsia="zh-CN"/>
              </w:rPr>
              <w:t xml:space="preserve">，扣1分</w:t>
            </w:r>
            <w:r>
              <w:rPr>
                <w:rFonts w:hint="eastAsia" w:ascii="Times New Roman" w:hAnsi="Times New Roman" w:cs="Times New Roman"/>
                <w:color w:val="auto"/>
                <w:szCs w:val="21"/>
                <w:highlight w:val="none"/>
                <w:lang w:val="en-US" w:eastAsia="zh-CN"/>
              </w:rPr>
              <w:t xml:space="preserve">；</w:t>
            </w:r>
            <w:r>
              <w:rPr>
                <w:rFonts w:hint="default" w:ascii="Times New Roman" w:hAnsi="Times New Roman" w:cs="Times New Roman"/>
                <w:color w:val="auto"/>
                <w:szCs w:val="21"/>
                <w:highlight w:val="none"/>
                <w:lang w:val="en-US" w:eastAsia="zh-CN"/>
              </w:rPr>
              <w:t xml:space="preserve">扣完为止。</w:t>
            </w:r>
            <w:r>
              <w:rPr>
                <w:rFonts w:hint="default" w:ascii="Times New Roman" w:hAnsi="Times New Roman" w:cs="Times New Roman"/>
                <w:color w:val="auto"/>
                <w:szCs w:val="21"/>
                <w:highlight w:val="none"/>
                <w:lang w:val="en-US" w:eastAsia="zh-CN"/>
              </w:rPr>
              <w:br/>
            </w:r>
            <w:r>
              <w:rPr>
                <w:rFonts w:hint="default" w:ascii="Times New Roman" w:hAnsi="Times New Roman" w:cs="Times New Roman"/>
                <w:color w:val="auto"/>
                <w:szCs w:val="21"/>
                <w:highlight w:val="none"/>
                <w:lang w:val="en-US" w:eastAsia="zh-CN"/>
              </w:rPr>
              <w:t xml:space="preserve">5、</w:t>
            </w:r>
            <w:r>
              <w:rPr>
                <w:rFonts w:hint="eastAsia" w:ascii="Times New Roman" w:hAnsi="Times New Roman" w:cs="Times New Roman"/>
                <w:color w:val="auto"/>
                <w:szCs w:val="21"/>
                <w:highlight w:val="none"/>
                <w:lang w:val="en-US" w:eastAsia="zh-CN"/>
              </w:rPr>
              <w:t xml:space="preserve">工作经验：拟派</w:t>
            </w:r>
            <w:r>
              <w:rPr>
                <w:rFonts w:hint="default" w:ascii="Times New Roman" w:hAnsi="Times New Roman" w:cs="Times New Roman"/>
                <w:color w:val="auto"/>
                <w:szCs w:val="21"/>
                <w:highlight w:val="none"/>
                <w:lang w:val="en-US" w:eastAsia="zh-CN"/>
              </w:rPr>
              <w:t xml:space="preserve">项目</w:t>
            </w:r>
            <w:r>
              <w:rPr>
                <w:rFonts w:hint="eastAsia" w:ascii="Times New Roman" w:hAnsi="Times New Roman" w:cs="Times New Roman"/>
                <w:color w:val="auto"/>
                <w:szCs w:val="21"/>
                <w:highlight w:val="none"/>
                <w:lang w:val="en-US" w:eastAsia="zh-CN"/>
              </w:rPr>
              <w:t xml:space="preserve">组成员应有</w:t>
            </w:r>
            <w:r>
              <w:rPr>
                <w:rFonts w:hint="default" w:ascii="Times New Roman" w:hAnsi="Times New Roman" w:cs="Times New Roman"/>
                <w:color w:val="auto"/>
                <w:szCs w:val="21"/>
                <w:highlight w:val="none"/>
                <w:lang w:val="en-US" w:eastAsia="zh-CN"/>
              </w:rPr>
              <w:t xml:space="preserve">10年及以上大中型石油化工企业</w:t>
            </w:r>
            <w:r>
              <w:rPr>
                <w:rFonts w:hint="eastAsia" w:ascii="Times New Roman" w:hAnsi="Times New Roman" w:cs="Times New Roman"/>
                <w:color w:val="auto"/>
                <w:szCs w:val="21"/>
                <w:highlight w:val="none"/>
                <w:lang w:val="en-US" w:eastAsia="zh-CN"/>
              </w:rPr>
              <w:t xml:space="preserve">工作经历，应</w:t>
            </w:r>
            <w:r>
              <w:rPr>
                <w:rFonts w:hint="default" w:ascii="Times New Roman" w:hAnsi="Times New Roman" w:cs="Times New Roman"/>
                <w:color w:val="auto"/>
                <w:szCs w:val="21"/>
                <w:highlight w:val="none"/>
                <w:lang w:val="en-US" w:eastAsia="zh-CN"/>
              </w:rPr>
              <w:t xml:space="preserve">参加过</w:t>
            </w:r>
            <w:r>
              <w:rPr>
                <w:rFonts w:hint="eastAsia" w:ascii="Times New Roman" w:hAnsi="Times New Roman" w:cs="Times New Roman"/>
                <w:color w:val="auto"/>
                <w:szCs w:val="21"/>
                <w:highlight w:val="none"/>
                <w:lang w:val="en-US" w:eastAsia="zh-CN"/>
              </w:rPr>
              <w:t xml:space="preserve">部级</w:t>
            </w:r>
            <w:r>
              <w:rPr>
                <w:rFonts w:hint="default" w:ascii="Times New Roman" w:hAnsi="Times New Roman" w:cs="Times New Roman"/>
                <w:color w:val="auto"/>
                <w:szCs w:val="21"/>
                <w:highlight w:val="none"/>
                <w:lang w:val="en-US" w:eastAsia="zh-CN"/>
              </w:rPr>
              <w:t xml:space="preserve">重点县专家</w:t>
            </w:r>
            <w:r>
              <w:rPr>
                <w:rFonts w:hint="eastAsia" w:ascii="Times New Roman" w:hAnsi="Times New Roman" w:cs="Times New Roman"/>
                <w:color w:val="auto"/>
                <w:szCs w:val="21"/>
                <w:highlight w:val="none"/>
                <w:lang w:val="en-US" w:eastAsia="zh-CN"/>
              </w:rPr>
              <w:t xml:space="preserve">指导</w:t>
            </w:r>
            <w:r>
              <w:rPr>
                <w:rFonts w:hint="default" w:ascii="Times New Roman" w:hAnsi="Times New Roman" w:cs="Times New Roman"/>
                <w:color w:val="auto"/>
                <w:szCs w:val="21"/>
                <w:highlight w:val="none"/>
                <w:lang w:val="en-US" w:eastAsia="zh-CN"/>
              </w:rPr>
              <w:t xml:space="preserve">服务</w:t>
            </w:r>
            <w:r>
              <w:rPr>
                <w:rFonts w:hint="eastAsia" w:ascii="Times New Roman" w:hAnsi="Times New Roman" w:cs="Times New Roman"/>
                <w:color w:val="auto"/>
                <w:szCs w:val="21"/>
                <w:highlight w:val="none"/>
                <w:lang w:val="en-US" w:eastAsia="zh-CN"/>
              </w:rPr>
              <w:t xml:space="preserve">或高危细分领域专项检查工作</w:t>
            </w:r>
            <w:r>
              <w:rPr>
                <w:rFonts w:hint="default" w:ascii="Times New Roman" w:hAnsi="Times New Roman" w:cs="Times New Roman"/>
                <w:color w:val="auto"/>
                <w:szCs w:val="21"/>
                <w:highlight w:val="none"/>
                <w:lang w:val="en-US" w:eastAsia="zh-CN"/>
              </w:rPr>
              <w:t xml:space="preserve">，每提供1</w:t>
            </w:r>
            <w:r>
              <w:rPr>
                <w:rFonts w:hint="eastAsia" w:ascii="Times New Roman" w:hAnsi="Times New Roman" w:cs="Times New Roman"/>
                <w:color w:val="auto"/>
                <w:szCs w:val="21"/>
                <w:highlight w:val="none"/>
                <w:lang w:val="en-US" w:eastAsia="zh-CN"/>
              </w:rPr>
              <w:t xml:space="preserve">人</w:t>
            </w:r>
            <w:r>
              <w:rPr>
                <w:rFonts w:hint="default" w:ascii="Times New Roman" w:hAnsi="Times New Roman" w:cs="Times New Roman"/>
                <w:color w:val="auto"/>
                <w:szCs w:val="21"/>
                <w:highlight w:val="none"/>
                <w:lang w:val="en-US" w:eastAsia="zh-CN"/>
              </w:rPr>
              <w:t xml:space="preserve">有效证明得1分，最高</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lang w:val="en-US" w:eastAsia="zh-CN"/>
              </w:rPr>
              <w:t xml:space="preserve">分。</w:t>
            </w:r>
            <w:r>
              <w:rPr>
                <w:rFonts w:hint="default" w:ascii="Times New Roman" w:hAnsi="Times New Roman" w:cs="Times New Roman"/>
                <w:color w:val="auto"/>
                <w:szCs w:val="21"/>
                <w:highlight w:val="none"/>
                <w:lang w:val="en-US" w:eastAsia="zh-CN"/>
              </w:rPr>
              <w:br/>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cs="Times New Roman"/>
                <w:color w:val="auto"/>
                <w:szCs w:val="21"/>
                <w:highlight w:val="none"/>
                <w:lang w:val="en-US" w:eastAsia="zh-CN"/>
              </w:rPr>
              <w:t xml:space="preserve">、</w:t>
            </w:r>
            <w:r>
              <w:rPr>
                <w:rFonts w:hint="eastAsia" w:ascii="Times New Roman" w:hAnsi="Times New Roman" w:cs="Times New Roman"/>
                <w:color w:val="auto"/>
                <w:szCs w:val="21"/>
                <w:highlight w:val="none"/>
                <w:lang w:val="en-US" w:eastAsia="zh-CN"/>
              </w:rPr>
              <w:t xml:space="preserve">其他资质：</w:t>
            </w:r>
            <w:r>
              <w:rPr>
                <w:rFonts w:hint="default" w:ascii="Times New Roman" w:hAnsi="Times New Roman" w:cs="Times New Roman"/>
                <w:color w:val="auto"/>
                <w:szCs w:val="21"/>
                <w:highlight w:val="none"/>
                <w:lang w:val="en-US" w:eastAsia="zh-CN"/>
              </w:rPr>
              <w:t xml:space="preserve">拟派项目组成员中，提供HAZOP主席合格证书，提供一个得1分；提供HAZOP专业合格证书，提供1个得0.5分，本项最高得2分。</w:t>
            </w:r>
            <w:r/>
          </w:p>
        </w:tc>
      </w:tr>
      <w:tr>
        <w:trPr>
          <w:jc w:val="center"/>
          <w:trHeight w:val="8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注：</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须提供拟投入本项目团队成员学历证书，HAZOP分析专家需提供HAZOP主席证书及主持过大型装置HAZOP分析相关证明材料或HAZOP专业合格证书，注册证书或职称证书或注册证书原件复印件加盖公章，工作年限证明材料，参与国家级检查相关佐证材料，省级专家及以上（含国家级行业协会专家）证明材料。（上传至投标文件中）。</w:t>
            </w:r>
            <w:r/>
          </w:p>
          <w:p>
            <w:pPr>
              <w:numPr>
                <w:ilvl w:val="0"/>
                <w:numId w:val="0"/>
              </w:numP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2.人员要求：</w:t>
            </w:r>
            <w:r>
              <w:rPr>
                <w:rFonts w:hint="default" w:ascii="Times New Roman" w:hAnsi="Times New Roman" w:eastAsia="宋体" w:cs="Times New Roman"/>
                <w:color w:val="auto"/>
                <w:szCs w:val="21"/>
                <w:highlight w:val="none"/>
                <w:lang w:val="en-US" w:eastAsia="zh-CN"/>
              </w:rPr>
              <w:t xml:space="preserve">项目组成员</w:t>
            </w:r>
            <w:r>
              <w:rPr>
                <w:rFonts w:hint="eastAsia" w:ascii="Times New Roman" w:hAnsi="Times New Roman" w:eastAsia="宋体" w:cs="Times New Roman"/>
                <w:color w:val="auto"/>
                <w:szCs w:val="21"/>
                <w:highlight w:val="none"/>
                <w:lang w:val="en-US" w:eastAsia="zh-CN"/>
              </w:rPr>
              <w:t xml:space="preserve">数量底数为5人，该5名专家要求为高水平专家，按上述第2至第7条评分标准进行评分。在此5人基础上，新增人员</w:t>
            </w:r>
            <w:r>
              <w:rPr>
                <w:rFonts w:hint="default" w:ascii="Times New Roman" w:hAnsi="Times New Roman" w:eastAsia="宋体" w:cs="Times New Roman"/>
                <w:color w:val="auto"/>
                <w:szCs w:val="21"/>
                <w:highlight w:val="none"/>
                <w:lang w:val="en-US" w:eastAsia="zh-CN"/>
              </w:rPr>
              <w:t xml:space="preserve">应具有化学或化工或安全等相关专业中级以上职称或取得注册安全工程师资格</w:t>
            </w:r>
            <w:r>
              <w:rPr>
                <w:rFonts w:hint="eastAsia" w:ascii="Times New Roman" w:hAnsi="Times New Roman" w:eastAsia="宋体" w:cs="Times New Roman"/>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且近5年参与过同类危险化学品第三方安全监管技术服务等相关项目。</w:t>
            </w:r>
            <w:r/>
          </w:p>
        </w:tc>
      </w:tr>
      <w:tr>
        <w:trPr>
          <w:jc w:val="center"/>
          <w:trHeight w:val="12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restart"/>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restart"/>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类似项目业绩（1</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ind w:firstLine="420"/>
              <w:keepLines w:val="0"/>
              <w:keepNext w:val="0"/>
              <w:pageBreakBefore w:val="0"/>
              <w:spacing w:line="400" w:lineRule="atLeast"/>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5</w:t>
            </w:r>
            <w:r>
              <w:rPr>
                <w:rFonts w:hint="default" w:ascii="Times New Roman" w:hAnsi="Times New Roman" w:eastAsia="宋体"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投标人自202</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val="en-US" w:eastAsia="zh-CN"/>
              </w:rPr>
              <w:t xml:space="preserve">年1月1日至今（以合同签订日期为准），承担化工园区常驻化工安全服务项目的，且每个项目合同期限不少于1年，提供一份得1分；本项最高得</w:t>
            </w:r>
            <w:r>
              <w:rPr>
                <w:rFonts w:hint="eastAsia" w:ascii="Times New Roman" w:hAnsi="Times New Roman" w:cs="Times New Roman"/>
                <w:color w:val="auto"/>
                <w:szCs w:val="21"/>
                <w:highlight w:val="none"/>
                <w:lang w:val="en-US" w:eastAsia="zh-CN"/>
              </w:rPr>
              <w:t xml:space="preserve">5</w:t>
            </w:r>
            <w:r>
              <w:rPr>
                <w:rFonts w:hint="default" w:ascii="Times New Roman" w:hAnsi="Times New Roman" w:cs="Times New Roman"/>
                <w:color w:val="auto"/>
                <w:szCs w:val="21"/>
                <w:highlight w:val="none"/>
                <w:lang w:val="en-US" w:eastAsia="zh-CN"/>
              </w:rPr>
              <w:t xml:space="preserve">分。（不包括单一企业服务项目</w:t>
            </w:r>
            <w:r>
              <w:rPr>
                <w:rFonts w:hint="default" w:ascii="Times New Roman" w:hAnsi="Times New Roman" w:eastAsia="宋体" w:cs="Times New Roman"/>
                <w:color w:val="auto"/>
                <w:szCs w:val="21"/>
                <w:highlight w:val="none"/>
                <w:lang w:val="en-US" w:eastAsia="zh-CN"/>
              </w:rPr>
              <w:t xml:space="preserve">。同一个化工园区的只计取一次）</w:t>
            </w:r>
            <w:r/>
          </w:p>
        </w:tc>
      </w:tr>
      <w:tr>
        <w:trPr>
          <w:jc w:val="center"/>
          <w:trHeight w:val="9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ind w:firstLine="420"/>
              <w:keepLines w:val="0"/>
              <w:keepNext w:val="0"/>
              <w:pageBreakBefore w:val="0"/>
              <w:spacing w:line="400" w:lineRule="atLeast"/>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投标人自202</w:t>
            </w:r>
            <w:r>
              <w:rPr>
                <w:rFonts w:hint="eastAsia" w:ascii="Times New Roman" w:hAnsi="Times New Roman" w:cs="Times New Roman"/>
                <w:color w:val="auto"/>
                <w:szCs w:val="21"/>
                <w:highlight w:val="none"/>
                <w:lang w:val="en-US" w:eastAsia="zh-CN"/>
              </w:rPr>
              <w:t xml:space="preserve">0</w:t>
            </w:r>
            <w:r>
              <w:rPr>
                <w:rFonts w:hint="default" w:ascii="Times New Roman" w:hAnsi="Times New Roman" w:cs="Times New Roman"/>
                <w:color w:val="auto"/>
                <w:szCs w:val="21"/>
                <w:highlight w:val="none"/>
                <w:lang w:val="en-US" w:eastAsia="zh-CN"/>
              </w:rPr>
              <w:t xml:space="preserve">年1月1日至今（以合同签订日期为准），承担危险化学品从业单位安全生产标准化服务，提供一份危险化学品企业安全生产一级标准化服务合同的得1分，本小项最高得</w:t>
            </w:r>
            <w:r>
              <w:rPr>
                <w:rFonts w:hint="eastAsia" w:ascii="Times New Roman" w:hAnsi="Times New Roman" w:cs="Times New Roman"/>
                <w:color w:val="auto"/>
                <w:szCs w:val="21"/>
                <w:highlight w:val="none"/>
                <w:lang w:val="en-US" w:eastAsia="zh-CN"/>
              </w:rPr>
              <w:t xml:space="preserve">4</w:t>
            </w:r>
            <w:r>
              <w:rPr>
                <w:rFonts w:hint="default" w:ascii="Times New Roman" w:hAnsi="Times New Roman" w:cs="Times New Roman"/>
                <w:color w:val="auto"/>
                <w:szCs w:val="21"/>
                <w:highlight w:val="none"/>
                <w:lang w:val="en-US" w:eastAsia="zh-CN"/>
              </w:rPr>
              <w:t xml:space="preserve">分。</w:t>
            </w:r>
            <w:r/>
          </w:p>
        </w:tc>
      </w:tr>
      <w:tr>
        <w:trPr>
          <w:jc w:val="center"/>
          <w:trHeight w:val="9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ind w:firstLine="420"/>
              <w:keepLines w:val="0"/>
              <w:keepNext w:val="0"/>
              <w:pageBreakBefore w:val="0"/>
              <w:spacing w:line="400" w:lineRule="atLeast"/>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投标人自202</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val="en-US" w:eastAsia="zh-CN"/>
              </w:rPr>
              <w:t xml:space="preserve">年1月1日至今（以合同签订日期为准），承担过大型石化企业HAZOP或LOPA或SIL项目的，每提供一个得1分，本项最高得4分。</w:t>
            </w:r>
            <w:r/>
          </w:p>
        </w:tc>
      </w:tr>
      <w:tr>
        <w:trPr>
          <w:jc w:val="center"/>
          <w:trHeight w:val="10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投标人自2023年1月1日至今（以合同签订日期为准），承担过化工园区区域安全风险评估项目类似业绩的，每提供一个得</w:t>
            </w:r>
            <w:r>
              <w:rPr>
                <w:rFonts w:hint="eastAsia" w:ascii="Times New Roman" w:hAnsi="Times New Roman" w:cs="Times New Roman"/>
                <w:color w:val="auto"/>
                <w:szCs w:val="21"/>
                <w:highlight w:val="none"/>
                <w:lang w:val="en-US" w:eastAsia="zh-CN"/>
              </w:rPr>
              <w:t xml:space="preserve">0.5</w:t>
            </w:r>
            <w:r>
              <w:rPr>
                <w:rFonts w:hint="default" w:ascii="Times New Roman" w:hAnsi="Times New Roman" w:cs="Times New Roman"/>
                <w:color w:val="auto"/>
                <w:szCs w:val="21"/>
                <w:highlight w:val="none"/>
                <w:lang w:val="en-US" w:eastAsia="zh-CN"/>
              </w:rPr>
              <w:t xml:space="preserve">分，本项最高得</w:t>
            </w:r>
            <w:r>
              <w:rPr>
                <w:rFonts w:hint="eastAsia"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val="en-US" w:eastAsia="zh-CN"/>
              </w:rPr>
              <w:t xml:space="preserve">分。</w:t>
            </w:r>
            <w:r/>
          </w:p>
        </w:tc>
      </w:tr>
      <w:tr>
        <w:trPr>
          <w:jc w:val="center"/>
          <w:trHeight w:val="18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9" w:type="dxa"/>
            <w:vAlign w:val="center"/>
            <w:textDirection w:val="lrTb"/>
            <w:noWrap w:val="false"/>
          </w:tcPr>
          <w:p>
            <w:pPr>
              <w:keepLines w:val="0"/>
              <w:keepNext w:val="0"/>
              <w:pageBreakBefore w:val="0"/>
              <w:spacing w:line="400" w:lineRule="atLeast"/>
              <w:widowControl/>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 xml:space="preserve">注：</w:t>
            </w:r>
            <w:r>
              <w:rPr>
                <w:rFonts w:hint="default" w:ascii="Times New Roman" w:hAnsi="Times New Roman" w:cs="Times New Roman"/>
                <w:color w:val="auto"/>
                <w:highlight w:val="none"/>
                <w:lang w:val="en-US" w:eastAsia="zh-CN"/>
              </w:rPr>
              <w:br/>
            </w:r>
            <w:r>
              <w:rPr>
                <w:rFonts w:hint="default" w:ascii="Times New Roman" w:hAnsi="Times New Roman" w:cs="Times New Roman"/>
                <w:color w:val="auto"/>
                <w:highlight w:val="none"/>
                <w:lang w:val="en-US" w:eastAsia="zh-CN"/>
              </w:rPr>
              <w:t xml:space="preserve">（1）投标人需在投标文件中提供业绩合同原件扫描上传于投标文件中；提供的业绩相关证明必须真实，如发现提供虚假资料，将取消其投标资格并追究相应责任。</w:t>
            </w:r>
            <w:r>
              <w:rPr>
                <w:rFonts w:hint="default" w:ascii="Times New Roman" w:hAnsi="Times New Roman" w:cs="Times New Roman"/>
                <w:color w:val="auto"/>
                <w:highlight w:val="none"/>
                <w:lang w:val="en-US" w:eastAsia="zh-CN"/>
              </w:rPr>
              <w:br/>
            </w:r>
            <w:r>
              <w:rPr>
                <w:rFonts w:hint="default" w:ascii="Times New Roman" w:hAnsi="Times New Roman" w:cs="Times New Roman"/>
                <w:color w:val="auto"/>
                <w:highlight w:val="none"/>
                <w:lang w:val="en-US" w:eastAsia="zh-CN"/>
              </w:rPr>
              <w:t xml:space="preserve">（2）合同必须能清晰的表明类似业绩的投标人名称、工程规模、工程内容、合同价款、时间及项目负责人等需要明示的内容。若提供的合同不能明示，则需提供建设单位书面证明文件，证明文件上需加盖建设单位公章，否则不予认可。</w:t>
            </w:r>
            <w:r/>
          </w:p>
        </w:tc>
      </w:tr>
      <w:tr>
        <w:trPr>
          <w:jc w:val="center"/>
          <w:trHeight w:val="17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管理体系认证（2分）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提供质量管理体系认证、环境管理体系认证、职业健康安全管理体系认证以上任一体系认证得0.5分，本项最高得1分。</w:t>
            </w:r>
            <w:r/>
          </w:p>
          <w:p>
            <w:pPr>
              <w:keepLines w:val="0"/>
              <w:keepNext w:val="0"/>
              <w:pageBreakBefore w:val="0"/>
              <w:spacing w:line="400" w:lineRule="atLeast"/>
              <w:widowControl/>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提供危险化学品企业一级安全生产标准化评审资质得1分，本项最高得1分。</w:t>
            </w:r>
            <w:r/>
          </w:p>
          <w:p>
            <w:pPr>
              <w:pStyle w:val="1009"/>
              <w:keepLines w:val="0"/>
              <w:keepNext w:val="0"/>
              <w:pageBreakBefore w:val="0"/>
              <w:spacing w:line="400" w:lineRule="atLeast"/>
              <w:widowControl/>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val="en-US" w:eastAsia="zh-CN"/>
              </w:rPr>
              <w:t xml:space="preserve">注：须提供有效的相关证书原件复印件加盖公章上传至投标文件中。时间以奖项发证时间为准。</w:t>
            </w:r>
            <w:r/>
          </w:p>
        </w:tc>
      </w:tr>
      <w:tr>
        <w:trPr>
          <w:jc w:val="center"/>
          <w:trHeight w:val="7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restart"/>
            <w:textDirection w:val="lrTb"/>
            <w:noWrap w:val="false"/>
          </w:tcPr>
          <w:p>
            <w:pPr>
              <w:jc w:val="center"/>
              <w:keepLines w:val="0"/>
              <w:keepNext w:val="0"/>
              <w:pageBreakBefore w:val="0"/>
              <w:spacing w:line="400" w:lineRule="atLeast"/>
              <w:widowControl/>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restart"/>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安全领域技术能力（8分）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vMerge w:val="restart"/>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202</w:t>
            </w:r>
            <w:r>
              <w:rPr>
                <w:rFonts w:hint="eastAsia"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val="en-US" w:eastAsia="zh-CN"/>
              </w:rPr>
              <w:t xml:space="preserve">年1月1日以来（以标准实行日期为准）投标人参与过编制的安全领域的国家标准、行业标准，每有一项得1分。本项最多得8分。</w:t>
            </w:r>
            <w:r/>
          </w:p>
        </w:tc>
      </w:tr>
      <w:tr>
        <w:trPr>
          <w:jc w:val="center"/>
          <w:trHeight w:val="40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6"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8" w:type="dxa"/>
            <w:vAlign w:val="center"/>
            <w:vMerge w:val="continue"/>
            <w:textDirection w:val="lrTb"/>
            <w:noWrap w:val="false"/>
          </w:tcPr>
          <w:p>
            <w:pPr>
              <w:ind w:firstLine="420"/>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51" w:type="dxa"/>
            <w:vAlign w:val="center"/>
            <w:textDirection w:val="lrTb"/>
            <w:noWrap w:val="false"/>
          </w:tcPr>
          <w:p>
            <w:pPr>
              <w:keepLines w:val="0"/>
              <w:keepNext w:val="0"/>
              <w:pageBreakBefore w:val="0"/>
              <w:spacing w:line="40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注：须提供有效的标准复印件加盖公章上传至投标文件中。</w:t>
            </w:r>
            <w:r/>
          </w:p>
        </w:tc>
      </w:tr>
    </w:tbl>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62"/>
        <w:jc w:val="center"/>
        <w:spacing w:line="360" w:lineRule="auto"/>
        <w:tabs>
          <w:tab w:val="left" w:pos="720"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01"/>
        <w:numPr>
          <w:ilvl w:val="0"/>
          <w:numId w:val="5"/>
        </w:numPr>
        <w:jc w:val="center"/>
        <w:keepLines/>
        <w:spacing w:line="360" w:lineRule="auto"/>
        <w:rPr>
          <w:rFonts w:hint="eastAsia" w:ascii="Times New Roman" w:hAnsi="宋体" w:eastAsia="黑体"/>
          <w:color w:val="auto"/>
          <w:sz w:val="36"/>
          <w:szCs w:val="20"/>
          <w:highlight w:val="none"/>
          <w:lang w:eastAsia="zh-CN"/>
        </w:rPr>
      </w:pPr>
      <w:r/>
      <w:bookmarkStart w:id="136" w:name="_Toc58260784"/>
      <w:r>
        <w:rPr>
          <w:rFonts w:hint="eastAsia" w:ascii="Times New Roman" w:hAnsi="宋体" w:eastAsia="黑体"/>
          <w:color w:val="auto"/>
          <w:sz w:val="36"/>
          <w:szCs w:val="20"/>
          <w:highlight w:val="none"/>
        </w:rPr>
        <w:t xml:space="preserve"> </w:t>
      </w:r>
      <w:bookmarkEnd w:id="136"/>
      <w:r>
        <w:rPr>
          <w:rFonts w:hint="eastAsia" w:ascii="Times New Roman" w:hAnsi="宋体" w:eastAsia="黑体"/>
          <w:color w:val="auto"/>
          <w:sz w:val="36"/>
          <w:szCs w:val="20"/>
          <w:highlight w:val="none"/>
          <w:lang w:eastAsia="zh-CN"/>
        </w:rPr>
        <w:t xml:space="preserve">项目需求</w:t>
      </w:r>
      <w:r/>
    </w:p>
    <w:p>
      <w:pPr>
        <w:numPr>
          <w:ilvl w:val="0"/>
          <w:numId w:val="0"/>
        </w:numPr>
        <w:jc w:val="center"/>
        <w:rPr>
          <w:rFonts w:hint="default" w:ascii="Times New Roman" w:hAnsi="Times New Roman" w:eastAsia="黑体" w:cs="Times New Roman"/>
          <w:color w:val="auto"/>
          <w:sz w:val="36"/>
          <w:szCs w:val="20"/>
          <w:highlight w:val="none"/>
          <w:lang w:val="en-US" w:eastAsia="zh-CN" w:bidi="ar-SA"/>
        </w:rPr>
      </w:pPr>
      <w:r/>
      <w:bookmarkStart w:id="137" w:name="_Toc58260785"/>
      <w:r>
        <w:rPr>
          <w:rFonts w:hint="default" w:ascii="Times New Roman" w:hAnsi="Times New Roman" w:eastAsia="黑体" w:cs="Times New Roman"/>
          <w:color w:val="auto"/>
          <w:sz w:val="36"/>
          <w:szCs w:val="20"/>
          <w:highlight w:val="none"/>
          <w:lang w:val="en-US" w:eastAsia="zh-CN" w:bidi="ar-SA"/>
        </w:rPr>
        <w:t xml:space="preserve">连云港石化产业基地安全管家服务项目需求</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为</w:t>
      </w:r>
      <w:r>
        <w:rPr>
          <w:rFonts w:hint="default" w:ascii="Times New Roman" w:hAnsi="Times New Roman" w:eastAsia="宋体" w:cs="Times New Roman"/>
          <w:bCs/>
          <w:color w:val="auto"/>
          <w:sz w:val="24"/>
          <w:szCs w:val="24"/>
          <w:highlight w:val="none"/>
          <w:lang w:val="en-US" w:eastAsia="zh-CN"/>
        </w:rPr>
        <w:t xml:space="preserve">深入</w:t>
      </w:r>
      <w:r>
        <w:rPr>
          <w:rFonts w:hint="default" w:ascii="Times New Roman" w:hAnsi="Times New Roman" w:eastAsia="宋体" w:cs="Times New Roman"/>
          <w:bCs/>
          <w:color w:val="auto"/>
          <w:sz w:val="24"/>
          <w:szCs w:val="24"/>
          <w:highlight w:val="none"/>
        </w:rPr>
        <w:t xml:space="preserve">贯彻落实</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lang w:val="en-US" w:eastAsia="zh-CN"/>
        </w:rPr>
        <w:t xml:space="preserve">中华人民共和国危险化学品安全法</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《连云港石化产业基地高质量发展条例》等</w:t>
      </w:r>
      <w:r>
        <w:rPr>
          <w:rFonts w:hint="default" w:ascii="Times New Roman" w:hAnsi="Times New Roman" w:eastAsia="宋体" w:cs="Times New Roman"/>
          <w:bCs/>
          <w:color w:val="auto"/>
          <w:sz w:val="24"/>
          <w:szCs w:val="24"/>
          <w:highlight w:val="none"/>
          <w:lang w:val="en-US" w:eastAsia="zh-CN"/>
        </w:rPr>
        <w:t xml:space="preserve">法律法规要求</w:t>
      </w:r>
      <w:r>
        <w:rPr>
          <w:rFonts w:hint="default" w:ascii="Times New Roman" w:hAnsi="Times New Roman" w:eastAsia="宋体" w:cs="Times New Roman"/>
          <w:bCs/>
          <w:color w:val="auto"/>
          <w:sz w:val="24"/>
          <w:szCs w:val="24"/>
          <w:highlight w:val="none"/>
        </w:rPr>
        <w:t xml:space="preserve">，紧扣安全生产治本攻坚三年行动、安全生产“六化”建设、危险化学品领域“一件事”全链条治理等</w:t>
      </w:r>
      <w:r>
        <w:rPr>
          <w:rFonts w:hint="default" w:ascii="Times New Roman" w:hAnsi="Times New Roman" w:eastAsia="宋体" w:cs="Times New Roman"/>
          <w:bCs/>
          <w:color w:val="auto"/>
          <w:sz w:val="24"/>
          <w:szCs w:val="24"/>
          <w:highlight w:val="none"/>
          <w:lang w:val="en-US" w:eastAsia="zh-CN"/>
        </w:rPr>
        <w:t xml:space="preserve">工作</w:t>
      </w:r>
      <w:r>
        <w:rPr>
          <w:rFonts w:hint="default" w:ascii="Times New Roman" w:hAnsi="Times New Roman" w:eastAsia="宋体" w:cs="Times New Roman"/>
          <w:bCs/>
          <w:color w:val="auto"/>
          <w:sz w:val="24"/>
          <w:szCs w:val="24"/>
          <w:highlight w:val="none"/>
        </w:rPr>
        <w:t xml:space="preserve">部署，进一步提升连云港石化产业基地</w:t>
      </w:r>
      <w:r>
        <w:rPr>
          <w:rFonts w:hint="default" w:ascii="Times New Roman" w:hAnsi="Times New Roman" w:eastAsia="宋体" w:cs="Times New Roman"/>
          <w:bCs/>
          <w:color w:val="auto"/>
          <w:sz w:val="24"/>
          <w:szCs w:val="24"/>
          <w:highlight w:val="none"/>
          <w:lang w:val="en-US" w:eastAsia="zh-CN"/>
        </w:rPr>
        <w:t xml:space="preserve">安全治理水平</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拟通过</w:t>
      </w:r>
      <w:r>
        <w:rPr>
          <w:rFonts w:hint="default" w:ascii="Times New Roman" w:hAnsi="Times New Roman" w:eastAsia="宋体" w:cs="Times New Roman"/>
          <w:bCs/>
          <w:color w:val="auto"/>
          <w:sz w:val="24"/>
          <w:szCs w:val="24"/>
          <w:highlight w:val="none"/>
          <w:lang w:val="en-US" w:eastAsia="zh-CN"/>
        </w:rPr>
        <w:t xml:space="preserve">公开招标</w:t>
      </w:r>
      <w:r>
        <w:rPr>
          <w:rFonts w:hint="default" w:ascii="Times New Roman" w:hAnsi="Times New Roman" w:eastAsia="宋体" w:cs="Times New Roman"/>
          <w:bCs/>
          <w:color w:val="auto"/>
          <w:sz w:val="24"/>
          <w:szCs w:val="24"/>
          <w:highlight w:val="none"/>
        </w:rPr>
        <w:t xml:space="preserve">聘请高水平第三方专业技术团队，采取常驻服务模式，为新区危险化学品安全监管、项目安全准入把关、企业过程安全管理提升、智慧化监管场景建设、应急处置支撑等提供全过程、专业化技术服务。</w:t>
      </w:r>
      <w:r/>
    </w:p>
    <w:p>
      <w:pPr>
        <w:numPr>
          <w:ilvl w:val="0"/>
          <w:numId w:val="0"/>
        </w:numPr>
        <w:ind w:firstLine="480"/>
        <w:keepLines w:val="0"/>
        <w:keepNext w:val="0"/>
        <w:pageBreakBefore w:val="0"/>
        <w:spacing w:line="560" w:lineRule="exact"/>
        <w:rPr>
          <w:rFonts w:hint="default" w:ascii="Times New Roman" w:hAnsi="Times New Roman" w:eastAsia="黑体" w:cs="Times New Roman"/>
          <w:bCs/>
          <w:color w:val="auto"/>
          <w:sz w:val="24"/>
          <w:szCs w:val="24"/>
          <w:highlight w:val="none"/>
          <w:lang w:val="en-US" w:eastAsia="zh-CN" w:bidi="ar-SA"/>
        </w:rPr>
        <w:outlineLvl w:val="0"/>
      </w:pPr>
      <w:r>
        <w:rPr>
          <w:rFonts w:hint="eastAsia" w:ascii="Times New Roman" w:hAnsi="Times New Roman" w:eastAsia="黑体" w:cs="Times New Roman"/>
          <w:bCs/>
          <w:color w:val="auto"/>
          <w:sz w:val="24"/>
          <w:szCs w:val="24"/>
          <w:highlight w:val="none"/>
          <w:lang w:val="en-US" w:eastAsia="zh-CN" w:bidi="ar-SA"/>
        </w:rPr>
        <w:t xml:space="preserve">一、</w:t>
      </w:r>
      <w:r>
        <w:rPr>
          <w:rFonts w:hint="default" w:ascii="Times New Roman" w:hAnsi="Times New Roman" w:eastAsia="黑体" w:cs="Times New Roman"/>
          <w:bCs/>
          <w:color w:val="auto"/>
          <w:sz w:val="24"/>
          <w:szCs w:val="24"/>
          <w:highlight w:val="none"/>
          <w:lang w:val="en-US" w:eastAsia="zh-CN" w:bidi="ar-SA"/>
        </w:rPr>
        <w:t xml:space="preserve">服务期限和范围</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（一）服务期限</w:t>
      </w:r>
      <w:r/>
    </w:p>
    <w:p>
      <w:pPr>
        <w:ind w:firstLine="480"/>
        <w:keepLines w:val="0"/>
        <w:keepNext w:val="0"/>
        <w:pageBreakBefore w:val="0"/>
        <w:spacing w:line="560" w:lineRule="exact"/>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自合同签订</w:t>
      </w:r>
      <w:r>
        <w:rPr>
          <w:rFonts w:hint="default" w:ascii="Times New Roman" w:hAnsi="Times New Roman" w:eastAsia="宋体" w:cs="Times New Roman"/>
          <w:bCs/>
          <w:color w:val="auto"/>
          <w:sz w:val="24"/>
          <w:szCs w:val="24"/>
          <w:highlight w:val="none"/>
          <w:lang w:val="en-US" w:eastAsia="zh-CN"/>
        </w:rPr>
        <w:t xml:space="preserve">之日</w:t>
      </w:r>
      <w:r>
        <w:rPr>
          <w:rFonts w:hint="default" w:ascii="Times New Roman" w:hAnsi="Times New Roman" w:eastAsia="宋体" w:cs="Times New Roman"/>
          <w:bCs/>
          <w:color w:val="auto"/>
          <w:sz w:val="24"/>
          <w:szCs w:val="24"/>
          <w:highlight w:val="none"/>
        </w:rPr>
        <w:t xml:space="preserve">起，服务</w:t>
      </w:r>
      <w:r>
        <w:rPr>
          <w:rFonts w:hint="default" w:ascii="Times New Roman" w:hAnsi="Times New Roman" w:eastAsia="宋体" w:cs="Times New Roman"/>
          <w:bCs/>
          <w:color w:val="auto"/>
          <w:sz w:val="24"/>
          <w:szCs w:val="24"/>
          <w:highlight w:val="none"/>
          <w:lang w:val="en-US" w:eastAsia="zh-CN"/>
        </w:rPr>
        <w:t xml:space="preserve">期2年</w:t>
      </w:r>
      <w:r>
        <w:rPr>
          <w:rFonts w:hint="default" w:ascii="Times New Roman" w:hAnsi="Times New Roman" w:eastAsia="宋体" w:cs="Times New Roman"/>
          <w:bCs/>
          <w:color w:val="auto"/>
          <w:sz w:val="24"/>
          <w:szCs w:val="24"/>
          <w:highlight w:val="none"/>
        </w:rPr>
        <w:t xml:space="preserve">。</w:t>
      </w:r>
      <w:r/>
    </w:p>
    <w:p>
      <w:pPr>
        <w:ind w:firstLine="480"/>
        <w:keepLines w:val="0"/>
        <w:keepNext w:val="0"/>
        <w:pageBreakBefore w:val="0"/>
        <w:spacing w:line="560" w:lineRule="exact"/>
        <w:widowControl/>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Cs/>
          <w:color w:val="auto"/>
          <w:sz w:val="24"/>
          <w:szCs w:val="24"/>
          <w:highlight w:val="none"/>
        </w:rPr>
        <w:t xml:space="preserve">（二）服务范围</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派驻不少于5人的专家团队常驻</w:t>
      </w:r>
      <w:r>
        <w:rPr>
          <w:rFonts w:hint="default" w:ascii="Times New Roman" w:hAnsi="Times New Roman" w:eastAsia="宋体" w:cs="Times New Roman"/>
          <w:bCs/>
          <w:color w:val="auto"/>
          <w:sz w:val="24"/>
          <w:szCs w:val="24"/>
          <w:highlight w:val="none"/>
          <w:lang w:val="en-US" w:eastAsia="zh-CN"/>
        </w:rPr>
        <w:t xml:space="preserve">徐圩</w:t>
      </w:r>
      <w:r>
        <w:rPr>
          <w:rFonts w:hint="default" w:ascii="Times New Roman" w:hAnsi="Times New Roman" w:eastAsia="宋体" w:cs="Times New Roman"/>
          <w:bCs/>
          <w:color w:val="auto"/>
          <w:sz w:val="24"/>
          <w:szCs w:val="24"/>
          <w:highlight w:val="none"/>
        </w:rPr>
        <w:t xml:space="preserve">新区</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全面融入</w:t>
      </w:r>
      <w:r>
        <w:rPr>
          <w:rFonts w:hint="default" w:ascii="Times New Roman" w:hAnsi="Times New Roman" w:eastAsia="宋体" w:cs="Times New Roman"/>
          <w:bCs/>
          <w:color w:val="auto"/>
          <w:sz w:val="24"/>
          <w:szCs w:val="24"/>
          <w:highlight w:val="none"/>
          <w:lang w:val="en-US" w:eastAsia="zh-CN"/>
        </w:rPr>
        <w:t xml:space="preserve">连云港</w:t>
      </w:r>
      <w:r>
        <w:rPr>
          <w:rFonts w:hint="default" w:ascii="Times New Roman" w:hAnsi="Times New Roman" w:eastAsia="宋体" w:cs="Times New Roman"/>
          <w:bCs/>
          <w:color w:val="auto"/>
          <w:sz w:val="24"/>
          <w:szCs w:val="24"/>
          <w:highlight w:val="none"/>
        </w:rPr>
        <w:t xml:space="preserve">石化</w:t>
      </w:r>
      <w:r>
        <w:rPr>
          <w:rFonts w:hint="default" w:ascii="Times New Roman" w:hAnsi="Times New Roman" w:eastAsia="宋体" w:cs="Times New Roman"/>
          <w:bCs/>
          <w:color w:val="auto"/>
          <w:sz w:val="24"/>
          <w:szCs w:val="24"/>
          <w:highlight w:val="none"/>
          <w:lang w:val="en-US" w:eastAsia="zh-CN"/>
        </w:rPr>
        <w:t xml:space="preserve">产业</w:t>
      </w:r>
      <w:r>
        <w:rPr>
          <w:rFonts w:hint="default" w:ascii="Times New Roman" w:hAnsi="Times New Roman" w:eastAsia="宋体" w:cs="Times New Roman"/>
          <w:bCs/>
          <w:color w:val="auto"/>
          <w:sz w:val="24"/>
          <w:szCs w:val="24"/>
          <w:highlight w:val="none"/>
        </w:rPr>
        <w:t xml:space="preserve">基地</w:t>
      </w:r>
      <w:r>
        <w:rPr>
          <w:rFonts w:hint="default" w:ascii="Times New Roman" w:hAnsi="Times New Roman" w:eastAsia="宋体" w:cs="Times New Roman"/>
          <w:bCs/>
          <w:color w:val="auto"/>
          <w:sz w:val="24"/>
          <w:szCs w:val="24"/>
          <w:highlight w:val="none"/>
          <w:lang w:val="en-US" w:eastAsia="zh-CN"/>
        </w:rPr>
        <w:t xml:space="preserve">危化品</w:t>
      </w:r>
      <w:r>
        <w:rPr>
          <w:rFonts w:hint="default" w:ascii="Times New Roman" w:hAnsi="Times New Roman" w:eastAsia="宋体" w:cs="Times New Roman"/>
          <w:bCs/>
          <w:color w:val="auto"/>
          <w:sz w:val="24"/>
          <w:szCs w:val="24"/>
          <w:highlight w:val="none"/>
        </w:rPr>
        <w:t xml:space="preserve">安全监管各环节，围绕过程安全管理体系提升、建设项目源头风险防控、智慧化监管场景建设</w:t>
      </w:r>
      <w:r>
        <w:rPr>
          <w:rFonts w:hint="default" w:ascii="Times New Roman" w:hAnsi="Times New Roman" w:eastAsia="宋体" w:cs="Times New Roman"/>
          <w:bCs/>
          <w:color w:val="auto"/>
          <w:sz w:val="24"/>
          <w:szCs w:val="24"/>
          <w:highlight w:val="none"/>
          <w:lang w:val="en-US" w:eastAsia="zh-CN"/>
        </w:rPr>
        <w:t xml:space="preserve">应用</w:t>
      </w:r>
      <w:r>
        <w:rPr>
          <w:rFonts w:hint="default" w:ascii="Times New Roman" w:hAnsi="Times New Roman" w:eastAsia="宋体" w:cs="Times New Roman"/>
          <w:bCs/>
          <w:color w:val="auto"/>
          <w:sz w:val="24"/>
          <w:szCs w:val="24"/>
          <w:highlight w:val="none"/>
        </w:rPr>
        <w:t xml:space="preserve">、重点领域专项治理、应急处置支撑、监管能力提升等方面提供专业技术服务，协助新区加快构建更加精准、高效、穿透的危化品安全监管体系，推动形成具有徐圩特色的园区安全治理模式和技术成果。</w:t>
      </w:r>
      <w:r/>
    </w:p>
    <w:p>
      <w:pPr>
        <w:numPr>
          <w:ilvl w:val="0"/>
          <w:numId w:val="0"/>
        </w:numPr>
        <w:ind w:firstLine="480"/>
        <w:keepLines w:val="0"/>
        <w:keepNext w:val="0"/>
        <w:pageBreakBefore w:val="0"/>
        <w:spacing w:line="560" w:lineRule="exact"/>
        <w:rPr>
          <w:rFonts w:hint="default" w:ascii="Times New Roman" w:hAnsi="Times New Roman" w:eastAsia="黑体" w:cs="Times New Roman"/>
          <w:bCs/>
          <w:color w:val="auto"/>
          <w:sz w:val="24"/>
          <w:szCs w:val="24"/>
          <w:highlight w:val="none"/>
          <w:lang w:val="en-US" w:eastAsia="zh-CN" w:bidi="ar-SA"/>
        </w:rPr>
        <w:outlineLvl w:val="0"/>
      </w:pPr>
      <w:r>
        <w:rPr>
          <w:rFonts w:hint="default" w:ascii="Times New Roman" w:hAnsi="Times New Roman" w:eastAsia="黑体" w:cs="Times New Roman"/>
          <w:bCs/>
          <w:color w:val="auto"/>
          <w:sz w:val="24"/>
          <w:szCs w:val="24"/>
          <w:highlight w:val="none"/>
          <w:lang w:val="en-US" w:eastAsia="zh-CN" w:bidi="ar-SA"/>
        </w:rPr>
        <w:t xml:space="preserve">二、项目服务内容</w:t>
      </w:r>
      <w:r/>
    </w:p>
    <w:p>
      <w:pPr>
        <w:numPr>
          <w:ilvl w:val="0"/>
          <w:numId w:val="0"/>
        </w:num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lang w:val="en-US" w:eastAsia="zh-CN" w:bidi="ar-SA"/>
        </w:rPr>
        <w:t xml:space="preserve">（一）</w:t>
      </w:r>
      <w:r>
        <w:rPr>
          <w:rFonts w:hint="default" w:ascii="Times New Roman" w:hAnsi="Times New Roman" w:eastAsia="宋体" w:cs="Times New Roman"/>
          <w:bCs/>
          <w:color w:val="auto"/>
          <w:sz w:val="24"/>
          <w:szCs w:val="24"/>
          <w:highlight w:val="none"/>
        </w:rPr>
        <w:t xml:space="preserve">重点工作</w:t>
      </w:r>
      <w:r/>
    </w:p>
    <w:p>
      <w:pPr>
        <w:pStyle w:val="1009"/>
        <w:ind w:firstLine="482"/>
        <w:jc w:val="both"/>
        <w:keepLines w:val="0"/>
        <w:keepNext w:val="0"/>
        <w:pageBreakBefore w:val="0"/>
        <w:spacing w:line="560" w:lineRule="exact"/>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rPr>
        <w:t xml:space="preserve">1.开展过程安全管理体系穿透式诊断提升</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围绕危化品企业安全主体责任落实和过程安全管理体系建设要求，结合新区企业装置规模大、连续化生产程度高、工艺链条长、关联风险复杂等特点，对已投产危化品企业开展过程安全管理体系穿透式诊断。重点围绕工艺纪律执行、设备完整性管理、仪表及联锁管理、开停车及异常工况处置、特殊作业和承包商管理、人员能力等关键要素，深入查找企业在制度设计、责任传导、现场执行等方面存在的深层次问题，形成诊断报告和问题清单，分企业编制“一企一策”提升方案，推动企业建立更加契合实际、有效运行的过程安全管理体系。</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合同期内，对新区已投产危化品企业实现诊断全覆盖，并结合诊断情况对重点企业开展复核评估，推动整改措施落实落地。</w:t>
      </w:r>
      <w:r>
        <w:rPr>
          <w:rFonts w:hint="eastAsia" w:ascii="Times New Roman" w:hAnsi="Times New Roman" w:eastAsia="宋体" w:cs="Times New Roman"/>
          <w:bCs/>
          <w:color w:val="auto"/>
          <w:sz w:val="24"/>
          <w:szCs w:val="24"/>
          <w:highlight w:val="none"/>
          <w:lang w:val="en-US" w:eastAsia="zh-CN"/>
        </w:rPr>
        <w:t xml:space="preserve">对安全管理水平落后的企业，组织开展专项驻厂帮扶提升，补齐园区安全管理的短板。</w:t>
      </w:r>
      <w:r>
        <w:rPr>
          <w:rFonts w:hint="default" w:ascii="Times New Roman" w:hAnsi="Times New Roman" w:eastAsia="宋体" w:cs="Times New Roman"/>
          <w:bCs/>
          <w:color w:val="auto"/>
          <w:sz w:val="24"/>
          <w:szCs w:val="24"/>
          <w:highlight w:val="none"/>
        </w:rPr>
        <w:t xml:space="preserve">结合企业基础条件和行业代表性，选择基础较好、示范带动作用较强的企业开展重点培育，推动形成一批过程安全管理体系建设示范企业。</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围绕本质安全提升需要，对重点监管工艺在役装置的HAZOP分析报告质量、联锁设置、自动化控制逻辑、工艺变更后风险再验证等内容开展专项诊断，推动企业将HAZOP分析成果转化为工艺优化、联锁完善、报警治理和风险防控措施，提升企业本质安全水平。</w:t>
      </w:r>
      <w:r/>
    </w:p>
    <w:p>
      <w:pPr>
        <w:ind w:firstLine="482"/>
        <w:keepLines w:val="0"/>
        <w:keepNext w:val="0"/>
        <w:pageBreakBefore w:val="0"/>
        <w:spacing w:line="560" w:lineRule="exact"/>
        <w:rPr>
          <w:rFonts w:hint="default" w:ascii="Times New Roman" w:hAnsi="Times New Roman" w:eastAsia="宋体" w:cs="Times New Roman"/>
          <w:color w:val="auto"/>
          <w:sz w:val="24"/>
          <w:szCs w:val="24"/>
          <w:highlight w:val="none"/>
        </w:rPr>
        <w:outlineLvl w:val="0"/>
      </w:pPr>
      <w:r>
        <w:rPr>
          <w:rFonts w:hint="default" w:ascii="Times New Roman" w:hAnsi="Times New Roman" w:eastAsia="宋体" w:cs="Times New Roman"/>
          <w:b/>
          <w:bCs/>
          <w:color w:val="auto"/>
          <w:sz w:val="24"/>
          <w:szCs w:val="24"/>
          <w:highlight w:val="none"/>
        </w:rPr>
        <w:t xml:space="preserve">2.加强建设项目和重点环节源头风险防控</w:t>
      </w:r>
      <w:r/>
    </w:p>
    <w:p>
      <w:pPr>
        <w:pStyle w:val="1009"/>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围绕新区危化品建设项目准入和全过程风险防控需要，对拟</w:t>
      </w:r>
      <w:r>
        <w:rPr>
          <w:rFonts w:hint="default" w:ascii="Times New Roman" w:hAnsi="Times New Roman" w:eastAsia="宋体" w:cs="Times New Roman"/>
          <w:bCs/>
          <w:color w:val="auto"/>
          <w:sz w:val="24"/>
          <w:szCs w:val="24"/>
          <w:highlight w:val="none"/>
          <w:lang w:val="en-US" w:eastAsia="zh-CN"/>
        </w:rPr>
        <w:t xml:space="preserve">入园</w:t>
      </w:r>
      <w:r>
        <w:rPr>
          <w:rFonts w:hint="default" w:ascii="Times New Roman" w:hAnsi="Times New Roman" w:eastAsia="宋体" w:cs="Times New Roman"/>
          <w:bCs/>
          <w:color w:val="auto"/>
          <w:sz w:val="24"/>
          <w:szCs w:val="24"/>
          <w:highlight w:val="none"/>
        </w:rPr>
        <w:t xml:space="preserve">项目</w:t>
      </w:r>
      <w:r>
        <w:rPr>
          <w:rFonts w:hint="default" w:ascii="Times New Roman" w:hAnsi="Times New Roman" w:eastAsia="宋体" w:cs="Times New Roman"/>
          <w:bCs/>
          <w:color w:val="auto"/>
          <w:sz w:val="24"/>
          <w:szCs w:val="24"/>
          <w:highlight w:val="none"/>
          <w:lang w:val="en-US" w:eastAsia="zh-CN"/>
        </w:rPr>
        <w:t xml:space="preserve">及现有企业</w:t>
      </w:r>
      <w:r>
        <w:rPr>
          <w:rFonts w:hint="default" w:ascii="Times New Roman" w:hAnsi="Times New Roman" w:eastAsia="宋体" w:cs="Times New Roman"/>
          <w:bCs/>
          <w:color w:val="auto"/>
          <w:sz w:val="24"/>
          <w:szCs w:val="24"/>
          <w:highlight w:val="none"/>
        </w:rPr>
        <w:t xml:space="preserve">新建、改建、扩建项目开展安全准入技术咨询服务。重点从项目选址布局、工艺技术成熟度、物料危险性、自动化控制水平等方面进行综合分析，审阅项目可行性研究报告及相关资料，提出项目安全准入咨询意见，为新区项目招引、项目决策和风险研判提供技术支撑。</w:t>
      </w:r>
      <w:r/>
    </w:p>
    <w:p>
      <w:pPr>
        <w:pStyle w:val="1009"/>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针对危化品建设项目试生产、装置开停车、停工检维修后复产复工等高风险环节，组织具有同类装置经验的高水平专家开展现场指导服务，</w:t>
      </w:r>
      <w:r>
        <w:rPr>
          <w:rFonts w:hint="default" w:ascii="Times New Roman" w:hAnsi="Times New Roman" w:eastAsia="宋体" w:cs="Times New Roman"/>
          <w:color w:val="auto"/>
          <w:sz w:val="24"/>
          <w:szCs w:val="24"/>
          <w:highlight w:val="none"/>
          <w:lang w:val="en-US" w:eastAsia="zh-CN"/>
        </w:rPr>
        <w:t xml:space="preserve">出具专家</w:t>
      </w:r>
      <w:r>
        <w:rPr>
          <w:rFonts w:hint="eastAsia" w:ascii="Times New Roman" w:hAnsi="Times New Roman" w:eastAsia="宋体" w:cs="Times New Roman"/>
          <w:color w:val="auto"/>
          <w:sz w:val="24"/>
          <w:szCs w:val="24"/>
          <w:highlight w:val="none"/>
          <w:lang w:val="en-US" w:eastAsia="zh-CN"/>
        </w:rPr>
        <w:t xml:space="preserve">论证</w:t>
      </w:r>
      <w:r>
        <w:rPr>
          <w:rFonts w:hint="default" w:ascii="Times New Roman" w:hAnsi="Times New Roman" w:eastAsia="宋体" w:cs="Times New Roman"/>
          <w:color w:val="auto"/>
          <w:sz w:val="24"/>
          <w:szCs w:val="24"/>
          <w:highlight w:val="none"/>
          <w:lang w:val="en-US" w:eastAsia="zh-CN"/>
        </w:rPr>
        <w:t xml:space="preserve">意见，</w:t>
      </w:r>
      <w:r>
        <w:rPr>
          <w:rFonts w:hint="default" w:ascii="Times New Roman" w:hAnsi="Times New Roman" w:eastAsia="宋体" w:cs="Times New Roman"/>
          <w:bCs/>
          <w:color w:val="auto"/>
          <w:sz w:val="24"/>
          <w:szCs w:val="24"/>
          <w:highlight w:val="none"/>
        </w:rPr>
        <w:t xml:space="preserve">形成问题隐患和风险管控建议清单，并及时跟踪复核整改落实情况。</w:t>
      </w:r>
      <w:r/>
    </w:p>
    <w:p>
      <w:pPr>
        <w:pStyle w:val="1009"/>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对长周期停车后重启、重大技改后恢复运行</w:t>
      </w:r>
      <w:r>
        <w:rPr>
          <w:rFonts w:hint="default" w:ascii="Times New Roman" w:hAnsi="Times New Roman" w:eastAsia="宋体" w:cs="Times New Roman"/>
          <w:bCs/>
          <w:color w:val="auto"/>
          <w:sz w:val="24"/>
          <w:szCs w:val="24"/>
          <w:highlight w:val="none"/>
          <w:lang w:val="en-US" w:eastAsia="zh-CN"/>
        </w:rPr>
        <w:t xml:space="preserve">等重点</w:t>
      </w:r>
      <w:r>
        <w:rPr>
          <w:rFonts w:hint="default" w:ascii="Times New Roman" w:hAnsi="Times New Roman" w:eastAsia="宋体" w:cs="Times New Roman"/>
          <w:bCs/>
          <w:color w:val="auto"/>
          <w:sz w:val="24"/>
          <w:szCs w:val="24"/>
          <w:highlight w:val="none"/>
        </w:rPr>
        <w:t xml:space="preserve">装置，结合实际需要开展专项风险研判，为新区加强关键节点安全把关提供技术支撑。</w:t>
      </w:r>
      <w:r/>
    </w:p>
    <w:p>
      <w:pPr>
        <w:pStyle w:val="1009"/>
        <w:ind w:firstLine="482"/>
        <w:jc w:val="both"/>
        <w:keepLines w:val="0"/>
        <w:keepNext w:val="0"/>
        <w:pageBreakBefore w:val="0"/>
        <w:spacing w:line="560" w:lineRule="exact"/>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rPr>
        <w:t xml:space="preserve">3.</w:t>
      </w:r>
      <w:r>
        <w:rPr>
          <w:rFonts w:hint="default" w:ascii="Times New Roman" w:hAnsi="Times New Roman" w:eastAsia="宋体" w:cs="Times New Roman"/>
          <w:b/>
          <w:bCs w:val="0"/>
          <w:color w:val="auto"/>
          <w:sz w:val="24"/>
          <w:szCs w:val="24"/>
          <w:highlight w:val="none"/>
          <w:lang w:val="en-US" w:eastAsia="zh-CN" w:bidi="ar-SA"/>
        </w:rPr>
        <w:t xml:space="preserve">深化智慧化监管场景建设和实战应用</w:t>
      </w:r>
      <w:r/>
    </w:p>
    <w:p>
      <w:pPr>
        <w:pStyle w:val="1009"/>
        <w:numPr>
          <w:ilvl w:val="0"/>
          <w:numId w:val="0"/>
        </w:numPr>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根据新区危化品安全监管数字化、智能化转型需要，协助推进智慧化监管场景建设和实战应用，推动监管工作由事后处置向事前预警转变、由线下检查向线上线下融合转变。重点围绕关键设备运行监测、异常工况识别预警、特殊作业智慧化监管、承包商全过程管控、重大危险源线上巡查、报警及联锁异常分析等方面，研究提出场景建设需求、模型优化建议和应用评价意见，推动提升监管平台实战化、实用化水平。</w:t>
      </w:r>
      <w:r/>
    </w:p>
    <w:p>
      <w:pPr>
        <w:pStyle w:val="1009"/>
        <w:numPr>
          <w:ilvl w:val="0"/>
          <w:numId w:val="0"/>
        </w:numPr>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结合新区监管实际，协助梳理各类智慧监管场景在数据接入、规则设置、预警推送、现场核查、问题闭环等方面存在的短板，提出针对性优化建议，推动形成智慧化监管应用体系。</w:t>
      </w:r>
      <w:r/>
    </w:p>
    <w:p>
      <w:pPr>
        <w:pStyle w:val="1009"/>
        <w:numPr>
          <w:ilvl w:val="0"/>
          <w:numId w:val="0"/>
        </w:numPr>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（二）</w:t>
      </w:r>
      <w:r>
        <w:rPr>
          <w:rFonts w:hint="default" w:ascii="Times New Roman" w:hAnsi="Times New Roman" w:eastAsia="宋体" w:cs="Times New Roman"/>
          <w:bCs/>
          <w:color w:val="auto"/>
          <w:sz w:val="24"/>
          <w:szCs w:val="24"/>
          <w:highlight w:val="none"/>
        </w:rPr>
        <w:t xml:space="preserve">常规性工作</w:t>
      </w:r>
      <w:r/>
    </w:p>
    <w:p>
      <w:pPr>
        <w:pStyle w:val="1009"/>
        <w:ind w:firstLine="482"/>
        <w:jc w:val="both"/>
        <w:keepLines w:val="0"/>
        <w:keepNext w:val="0"/>
        <w:pageBreakBefore w:val="0"/>
        <w:spacing w:line="560" w:lineRule="exact"/>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bCs/>
          <w:color w:val="auto"/>
          <w:sz w:val="24"/>
          <w:szCs w:val="24"/>
          <w:highlight w:val="none"/>
          <w:lang w:val="zh-CN"/>
        </w:rPr>
        <w:t xml:space="preserve">1.派驻专家团队长期驻点坐班</w:t>
      </w:r>
      <w:r/>
    </w:p>
    <w:p>
      <w:pPr>
        <w:pStyle w:val="1009"/>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派遣</w:t>
      </w:r>
      <w:r>
        <w:rPr>
          <w:rFonts w:hint="default" w:ascii="Times New Roman" w:hAnsi="Times New Roman" w:eastAsia="宋体" w:cs="Times New Roman"/>
          <w:bCs/>
          <w:color w:val="auto"/>
          <w:sz w:val="24"/>
          <w:szCs w:val="24"/>
          <w:highlight w:val="none"/>
          <w:lang w:val="en-US" w:eastAsia="zh-CN"/>
        </w:rPr>
        <w:t xml:space="preserve">不少于</w:t>
      </w:r>
      <w:r>
        <w:rPr>
          <w:rFonts w:hint="default" w:ascii="Times New Roman" w:hAnsi="Times New Roman" w:eastAsia="宋体" w:cs="Times New Roman"/>
          <w:bCs/>
          <w:color w:val="auto"/>
          <w:sz w:val="24"/>
          <w:szCs w:val="24"/>
          <w:highlight w:val="none"/>
        </w:rPr>
        <w:t xml:space="preserve">5名专业技术人员在徐圩新区长期驻点坐班</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专业涵盖化工安全管理、工艺、设备、电气、仪表、消防等相关</w:t>
      </w:r>
      <w:r>
        <w:rPr>
          <w:rFonts w:hint="default" w:ascii="Times New Roman" w:hAnsi="Times New Roman" w:eastAsia="宋体" w:cs="Times New Roman"/>
          <w:bCs/>
          <w:color w:val="auto"/>
          <w:sz w:val="24"/>
          <w:szCs w:val="24"/>
          <w:highlight w:val="none"/>
          <w:lang w:val="en-US" w:eastAsia="zh-CN"/>
        </w:rPr>
        <w:t xml:space="preserve">领域</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lang w:val="en-US" w:eastAsia="zh-CN"/>
        </w:rPr>
        <w:t xml:space="preserve">其中至少配备</w:t>
      </w:r>
      <w:r>
        <w:rPr>
          <w:rFonts w:hint="default" w:ascii="Times New Roman" w:hAnsi="Times New Roman" w:eastAsia="宋体" w:cs="Times New Roman"/>
          <w:bCs/>
          <w:color w:val="auto"/>
          <w:sz w:val="24"/>
          <w:szCs w:val="24"/>
          <w:highlight w:val="none"/>
        </w:rPr>
        <w:t xml:space="preserve">1名精通HAZOP</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lang w:val="en-US" w:eastAsia="zh-CN"/>
        </w:rPr>
        <w:t xml:space="preserve">LOPA等工艺安全分析方法</w:t>
      </w:r>
      <w:r>
        <w:rPr>
          <w:rFonts w:hint="default" w:ascii="Times New Roman" w:hAnsi="Times New Roman" w:eastAsia="宋体" w:cs="Times New Roman"/>
          <w:bCs/>
          <w:color w:val="auto"/>
          <w:sz w:val="24"/>
          <w:szCs w:val="24"/>
          <w:highlight w:val="none"/>
        </w:rPr>
        <w:t xml:space="preserve">的专家，1名熟悉大型石化装置试生产、开停车及异常工况处置的专家，1名熟悉特殊作业、承包商管理及直接作业环节安全管理的专家</w:t>
      </w:r>
      <w:r>
        <w:rPr>
          <w:rFonts w:hint="eastAsia" w:ascii="Times New Roman" w:hAnsi="Times New Roman" w:eastAsia="宋体" w:cs="Times New Roman"/>
          <w:bCs/>
          <w:color w:val="auto"/>
          <w:sz w:val="24"/>
          <w:szCs w:val="24"/>
          <w:highlight w:val="none"/>
          <w:lang w:eastAsia="zh-CN"/>
        </w:rPr>
        <w:t xml:space="preserve">，确保满足新区危化品安全监管重点工作需要。</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派驻专家应具备与本项目相适应的专业背景</w:t>
      </w:r>
      <w:r>
        <w:rPr>
          <w:rFonts w:hint="eastAsia" w:ascii="Times New Roman" w:hAnsi="Times New Roman" w:eastAsia="宋体" w:cs="Times New Roman"/>
          <w:bCs/>
          <w:color w:val="auto"/>
          <w:sz w:val="24"/>
          <w:szCs w:val="24"/>
          <w:highlight w:val="none"/>
          <w:lang w:val="en-US" w:eastAsia="zh-CN"/>
        </w:rPr>
        <w:t xml:space="preserve">，</w:t>
      </w:r>
      <w:r>
        <w:rPr>
          <w:rFonts w:hint="default" w:ascii="Times New Roman" w:hAnsi="Times New Roman" w:eastAsia="宋体" w:cs="Times New Roman"/>
          <w:bCs/>
          <w:color w:val="auto"/>
          <w:sz w:val="24"/>
          <w:szCs w:val="24"/>
          <w:highlight w:val="none"/>
          <w:lang w:val="en-US" w:eastAsia="zh-CN"/>
        </w:rPr>
        <w:t xml:space="preserve">项目负责人及工艺</w:t>
      </w:r>
      <w:r>
        <w:rPr>
          <w:rFonts w:hint="eastAsia" w:ascii="Times New Roman" w:hAnsi="Times New Roman" w:eastAsia="宋体" w:cs="Times New Roman"/>
          <w:bCs/>
          <w:color w:val="auto"/>
          <w:sz w:val="24"/>
          <w:szCs w:val="24"/>
          <w:highlight w:val="none"/>
          <w:lang w:val="en-US" w:eastAsia="zh-CN"/>
        </w:rPr>
        <w:t xml:space="preserve">、</w:t>
      </w:r>
      <w:r>
        <w:rPr>
          <w:rFonts w:hint="default" w:ascii="Times New Roman" w:hAnsi="Times New Roman" w:eastAsia="宋体" w:cs="Times New Roman"/>
          <w:bCs/>
          <w:color w:val="auto"/>
          <w:sz w:val="24"/>
          <w:szCs w:val="24"/>
          <w:highlight w:val="none"/>
          <w:lang w:val="en-US" w:eastAsia="zh-CN"/>
        </w:rPr>
        <w:t xml:space="preserve">安全</w:t>
      </w:r>
      <w:r>
        <w:rPr>
          <w:rFonts w:hint="eastAsia" w:ascii="Times New Roman" w:hAnsi="Times New Roman" w:eastAsia="宋体" w:cs="Times New Roman"/>
          <w:bCs/>
          <w:color w:val="auto"/>
          <w:sz w:val="24"/>
          <w:szCs w:val="24"/>
          <w:highlight w:val="none"/>
          <w:lang w:val="en-US" w:eastAsia="zh-CN"/>
        </w:rPr>
        <w:t xml:space="preserve">、仪表设备</w:t>
      </w:r>
      <w:r>
        <w:rPr>
          <w:rFonts w:hint="default" w:ascii="Times New Roman" w:hAnsi="Times New Roman" w:eastAsia="宋体" w:cs="Times New Roman"/>
          <w:bCs/>
          <w:color w:val="auto"/>
          <w:sz w:val="24"/>
          <w:szCs w:val="24"/>
          <w:highlight w:val="none"/>
          <w:lang w:val="en-US" w:eastAsia="zh-CN"/>
        </w:rPr>
        <w:t xml:space="preserve">等核心岗位的专家，应具有相关专业</w:t>
      </w:r>
      <w:r>
        <w:rPr>
          <w:rFonts w:hint="eastAsia" w:ascii="Times New Roman" w:hAnsi="Times New Roman" w:eastAsia="宋体" w:cs="Times New Roman"/>
          <w:bCs/>
          <w:color w:val="auto"/>
          <w:sz w:val="24"/>
          <w:szCs w:val="24"/>
          <w:highlight w:val="none"/>
          <w:lang w:val="en-US" w:eastAsia="zh-CN"/>
        </w:rPr>
        <w:t xml:space="preserve">本科及以上学历</w:t>
      </w:r>
      <w:r>
        <w:rPr>
          <w:rFonts w:hint="default" w:ascii="Times New Roman" w:hAnsi="Times New Roman" w:eastAsia="宋体" w:cs="Times New Roman"/>
          <w:bCs/>
          <w:color w:val="auto"/>
          <w:sz w:val="24"/>
          <w:szCs w:val="24"/>
          <w:highlight w:val="none"/>
          <w:lang w:val="en-US" w:eastAsia="zh-CN"/>
        </w:rPr>
        <w:t xml:space="preserve">，具备</w:t>
      </w:r>
      <w:r>
        <w:rPr>
          <w:rFonts w:hint="eastAsia" w:ascii="Times New Roman" w:hAnsi="Times New Roman" w:eastAsia="宋体" w:cs="Times New Roman"/>
          <w:bCs/>
          <w:color w:val="auto"/>
          <w:sz w:val="24"/>
          <w:szCs w:val="24"/>
          <w:highlight w:val="none"/>
          <w:lang w:val="en-US" w:eastAsia="zh-CN"/>
        </w:rPr>
        <w:t xml:space="preserve">化工类</w:t>
      </w:r>
      <w:r>
        <w:rPr>
          <w:rFonts w:hint="default" w:ascii="Times New Roman" w:hAnsi="Times New Roman" w:eastAsia="宋体" w:cs="Times New Roman"/>
          <w:bCs/>
          <w:color w:val="auto"/>
          <w:sz w:val="24"/>
          <w:szCs w:val="24"/>
          <w:highlight w:val="none"/>
          <w:lang w:val="en-US" w:eastAsia="zh-CN"/>
        </w:rPr>
        <w:t xml:space="preserve">注册安全工程师、高级工程师等相关执业资格或专业技术职称，具有</w:t>
      </w:r>
      <w:r>
        <w:rPr>
          <w:rFonts w:hint="eastAsia" w:ascii="Times New Roman" w:hAnsi="Times New Roman" w:eastAsia="宋体" w:cs="Times New Roman"/>
          <w:bCs/>
          <w:color w:val="auto"/>
          <w:sz w:val="24"/>
          <w:szCs w:val="24"/>
          <w:highlight w:val="none"/>
          <w:lang w:val="en-US" w:eastAsia="zh-CN"/>
        </w:rPr>
        <w:t xml:space="preserve">10年以上</w:t>
      </w:r>
      <w:r>
        <w:rPr>
          <w:rFonts w:hint="default" w:ascii="Times New Roman" w:hAnsi="Times New Roman" w:eastAsia="宋体" w:cs="Times New Roman"/>
          <w:bCs/>
          <w:color w:val="auto"/>
          <w:sz w:val="24"/>
          <w:szCs w:val="24"/>
          <w:highlight w:val="none"/>
          <w:lang w:val="en-US" w:eastAsia="zh-CN"/>
        </w:rPr>
        <w:t xml:space="preserve">大型石油化工企业安全</w:t>
      </w:r>
      <w:r>
        <w:rPr>
          <w:rFonts w:hint="eastAsia" w:ascii="Times New Roman" w:hAnsi="Times New Roman" w:eastAsia="宋体" w:cs="Times New Roman"/>
          <w:bCs/>
          <w:color w:val="auto"/>
          <w:sz w:val="24"/>
          <w:szCs w:val="24"/>
          <w:highlight w:val="none"/>
          <w:lang w:val="en-US" w:eastAsia="zh-CN"/>
        </w:rPr>
        <w:t xml:space="preserve">生产</w:t>
      </w:r>
      <w:r>
        <w:rPr>
          <w:rFonts w:hint="default" w:ascii="Times New Roman" w:hAnsi="Times New Roman" w:eastAsia="宋体" w:cs="Times New Roman"/>
          <w:bCs/>
          <w:color w:val="auto"/>
          <w:sz w:val="24"/>
          <w:szCs w:val="24"/>
          <w:highlight w:val="none"/>
          <w:lang w:val="en-US" w:eastAsia="zh-CN"/>
        </w:rPr>
        <w:t xml:space="preserve">管理相关经验。</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除常驻专家外，建立与项目相匹配的高水平专家支撑机制，根据新区重点工作需要，及时调配具有高危细分领域治理、重点县专家指导服务、重大项目试生产、重点装置风险研判、事故事件调查复盘等经验的专家提供技术支持。</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2.深化重点领域专项治理</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围绕重大事故隐患、高危细分领域、特殊作业、承包商管理、设备带“病”运行、异常工况、重大危险源、屡查屡犯问题等重点事项，制定年度专项治理计划，每月至少确定1项重点专题开展专项排查、穿透检查或“回头看”，形成专项检查方案、问题清单、整改建议和复核意见。</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对重复发生、反复整改不到位、跨企业普遍存在的问题，深挖制度、责任、培训、考核、作业组织等方面根因，提出系统性整改措施和治理建议，推动问题由“点上整改”向“面上治理”转变。</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3.开展“三警”服务支撑</w:t>
      </w:r>
      <w:r/>
    </w:p>
    <w:p>
      <w:pPr>
        <w:ind w:firstLine="480"/>
        <w:keepLines w:val="0"/>
        <w:keepNext w:val="0"/>
        <w:pageBreakBefore w:val="0"/>
        <w:spacing w:line="56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围绕警醒、警戒、警示“三警”机制落实，结合外地事故信息、园区监管重点和企业实际情况，及时开展事故信息收集研判，提出警醒提示，督促企业举一反三开展类比排查。根据前期研判情况，分类制定排查重点和检查指南，协助新区组织开展警戒性排查检查，推动隐患整改和风险防控措施落实。</w:t>
      </w:r>
      <w:r/>
    </w:p>
    <w:p>
      <w:pPr>
        <w:ind w:firstLine="480"/>
        <w:keepLines w:val="0"/>
        <w:keepNext w:val="0"/>
        <w:pageBreakBefore w:val="0"/>
        <w:spacing w:line="560" w:lineRule="exact"/>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围绕典型事故、园区内异常事件、未遂事件、非计划停车、报警联锁异常等情况，及时开展警示复盘和案例分析，提出防范措施建议，形成警示案例或专题材料，为新区强化事故警示教育和提升风险防控能力提供技术支撑。</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开展常规性安全检查技术</w:t>
      </w:r>
      <w:r>
        <w:rPr>
          <w:rFonts w:hint="default" w:ascii="Times New Roman" w:hAnsi="Times New Roman" w:eastAsia="宋体" w:cs="Times New Roman"/>
          <w:b/>
          <w:bCs/>
          <w:color w:val="auto"/>
          <w:sz w:val="24"/>
          <w:szCs w:val="24"/>
          <w:highlight w:val="none"/>
          <w:lang w:val="en-US" w:eastAsia="zh-CN"/>
        </w:rPr>
        <w:t xml:space="preserve">支撑</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 xml:space="preserve">驻点专家根据新区应急管理部门工作安排，配合开展年度执法检查、</w:t>
      </w:r>
      <w:r>
        <w:rPr>
          <w:rFonts w:hint="default" w:ascii="Times New Roman" w:hAnsi="Times New Roman" w:eastAsia="宋体" w:cs="Times New Roman"/>
          <w:bCs/>
          <w:strike w:val="0"/>
          <w:color w:val="auto"/>
          <w:sz w:val="24"/>
          <w:szCs w:val="24"/>
          <w:highlight w:val="none"/>
        </w:rPr>
        <w:t xml:space="preserve">安全许可换证现场核查</w:t>
      </w:r>
      <w:r>
        <w:rPr>
          <w:rFonts w:hint="default" w:ascii="Times New Roman" w:hAnsi="Times New Roman" w:eastAsia="宋体" w:cs="Times New Roman"/>
          <w:bCs/>
          <w:color w:val="auto"/>
          <w:sz w:val="24"/>
          <w:szCs w:val="24"/>
          <w:highlight w:val="none"/>
        </w:rPr>
        <w:t xml:space="preserve">、临时性安全检查巡查等工作</w:t>
      </w:r>
      <w:r>
        <w:rPr>
          <w:rFonts w:hint="default" w:ascii="Times New Roman" w:hAnsi="Times New Roman" w:eastAsia="宋体" w:cs="Times New Roman"/>
          <w:bCs/>
          <w:color w:val="auto"/>
          <w:sz w:val="24"/>
          <w:szCs w:val="24"/>
          <w:highlight w:val="none"/>
          <w:lang w:eastAsia="zh-CN"/>
        </w:rPr>
        <w:t xml:space="preserve">，为监管人员提供专业技术支撑和现场指导。</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配合监管人员对上级部门检查交办的问题隐患整改情况进行复核，对整改质量不高、整改措施不实、同类问题反复出现的情形提出进一步处理建议。</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rPr>
        <w:t xml:space="preserve">.提供安全风险形势分析研判</w:t>
      </w:r>
      <w:r>
        <w:rPr>
          <w:rFonts w:hint="default" w:ascii="Times New Roman" w:hAnsi="Times New Roman" w:eastAsia="宋体" w:cs="Times New Roman"/>
          <w:b/>
          <w:bCs/>
          <w:color w:val="auto"/>
          <w:sz w:val="24"/>
          <w:szCs w:val="24"/>
          <w:highlight w:val="none"/>
          <w:lang w:val="en-US" w:eastAsia="zh-CN"/>
        </w:rPr>
        <w:t xml:space="preserve">服务</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 xml:space="preserve">结合检查发现的突出风险、线上监测预警信息、生产装置运行状态、同行业领域生产安全事故、季节性风险等，每季度开展1次园区安全风险形势分析研判，形成风险清单</w:t>
      </w:r>
      <w:r>
        <w:rPr>
          <w:rFonts w:hint="default" w:ascii="Times New Roman" w:hAnsi="Times New Roman" w:eastAsia="宋体" w:cs="Times New Roman"/>
          <w:bCs/>
          <w:color w:val="auto"/>
          <w:sz w:val="24"/>
          <w:szCs w:val="24"/>
          <w:highlight w:val="none"/>
          <w:lang w:val="en-US" w:eastAsia="zh-CN"/>
        </w:rPr>
        <w:t xml:space="preserve">及</w:t>
      </w:r>
      <w:r>
        <w:rPr>
          <w:rFonts w:hint="default" w:ascii="Times New Roman" w:hAnsi="Times New Roman" w:eastAsia="宋体" w:cs="Times New Roman"/>
          <w:bCs/>
          <w:color w:val="auto"/>
          <w:sz w:val="24"/>
          <w:szCs w:val="24"/>
          <w:highlight w:val="none"/>
        </w:rPr>
        <w:t xml:space="preserve">重点事项管控建议，为新区党工委、管委会和监管部门决策提供参考</w:t>
      </w:r>
      <w:r>
        <w:rPr>
          <w:rFonts w:hint="default" w:ascii="Times New Roman" w:hAnsi="Times New Roman" w:eastAsia="宋体" w:cs="Times New Roman"/>
          <w:bCs/>
          <w:color w:val="auto"/>
          <w:sz w:val="24"/>
          <w:szCs w:val="24"/>
          <w:highlight w:val="none"/>
          <w:lang w:eastAsia="zh-CN"/>
        </w:rPr>
        <w:t xml:space="preserve">。</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每半年对检查发现的问题隐患</w:t>
      </w:r>
      <w:r>
        <w:rPr>
          <w:rFonts w:hint="default" w:ascii="Times New Roman" w:hAnsi="Times New Roman" w:eastAsia="宋体" w:cs="Times New Roman"/>
          <w:bCs/>
          <w:color w:val="auto"/>
          <w:sz w:val="24"/>
          <w:szCs w:val="24"/>
          <w:highlight w:val="none"/>
          <w:lang w:val="en-US" w:eastAsia="zh-CN"/>
        </w:rPr>
        <w:t xml:space="preserve">开展</w:t>
      </w:r>
      <w:r>
        <w:rPr>
          <w:rFonts w:hint="default" w:ascii="Times New Roman" w:hAnsi="Times New Roman" w:eastAsia="宋体" w:cs="Times New Roman"/>
          <w:bCs/>
          <w:color w:val="auto"/>
          <w:sz w:val="24"/>
          <w:szCs w:val="24"/>
          <w:highlight w:val="none"/>
        </w:rPr>
        <w:t xml:space="preserve">总结分析，形成危化品企业安全运行分析报告，梳理至少2项共性、突出问题，提出有针对性、可操作的整改提升建议。</w:t>
      </w:r>
      <w:r/>
    </w:p>
    <w:p>
      <w:pPr>
        <w:ind w:firstLine="482"/>
        <w:keepLines w:val="0"/>
        <w:keepNext w:val="0"/>
        <w:pageBreakBefore w:val="0"/>
        <w:spacing w:line="560" w:lineRule="exact"/>
        <w:widowControl/>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color w:val="auto"/>
          <w:sz w:val="24"/>
          <w:szCs w:val="24"/>
          <w:highlight w:val="none"/>
          <w:lang w:val="en-US" w:eastAsia="zh-CN"/>
        </w:rPr>
        <w:t xml:space="preserve">6</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zh-CN"/>
        </w:rPr>
        <w:t xml:space="preserve">指导开展应急演练和应急能力提升</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每年指导新区开展不少于1次</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双盲</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应急演练和其他综合性、专项性应急演练，重点检验企业先期处置、园区联动响应、专业救援协同、信息报送、应急资源调度和现场指挥能力。</w:t>
      </w:r>
      <w:r>
        <w:rPr>
          <w:rFonts w:hint="default" w:ascii="Times New Roman" w:hAnsi="Times New Roman" w:eastAsia="宋体" w:cs="Times New Roman"/>
          <w:bCs/>
          <w:color w:val="auto"/>
          <w:sz w:val="24"/>
          <w:szCs w:val="24"/>
          <w:highlight w:val="none"/>
          <w:lang w:eastAsia="zh-CN"/>
        </w:rPr>
        <w:t xml:space="preserve">参与</w:t>
      </w:r>
      <w:r>
        <w:rPr>
          <w:rFonts w:hint="default" w:ascii="Times New Roman" w:hAnsi="Times New Roman" w:eastAsia="宋体" w:cs="Times New Roman"/>
          <w:bCs/>
          <w:color w:val="auto"/>
          <w:sz w:val="24"/>
          <w:szCs w:val="24"/>
          <w:highlight w:val="none"/>
        </w:rPr>
        <w:t xml:space="preserve">危化品企业</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双盲</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应急演练的现场评估，指出存在问题，形成问题清单和改进建议，督促企业提升演练质量和实战能力。</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结合演练评估和实际应急处置情况，对新区综合应急预案、专项预案、企业预案衔接、应急队伍建设、物资装备保障、联动响应机制等提出优化建议。</w:t>
      </w:r>
      <w:r/>
    </w:p>
    <w:p>
      <w:pPr>
        <w:pStyle w:val="1009"/>
        <w:ind w:firstLine="480"/>
        <w:jc w:val="both"/>
        <w:keepLines w:val="0"/>
        <w:keepNext w:val="0"/>
        <w:pageBreakBefore w:val="0"/>
        <w:spacing w:line="560" w:lineRule="exact"/>
        <w:rPr>
          <w:rFonts w:hint="eastAsia" w:ascii="Times New Roman" w:hAnsi="Times New Roman" w:eastAsia="宋体" w:cs="Times New Roman"/>
          <w:bCs/>
          <w:strike w:val="0"/>
          <w:color w:val="auto"/>
          <w:sz w:val="24"/>
          <w:szCs w:val="24"/>
          <w:highlight w:val="none"/>
          <w:lang w:val="en-US" w:eastAsia="zh-CN"/>
        </w:rPr>
      </w:pPr>
      <w:r>
        <w:rPr>
          <w:rFonts w:hint="default" w:ascii="Times New Roman" w:hAnsi="Times New Roman" w:eastAsia="宋体" w:cs="Times New Roman"/>
          <w:bCs/>
          <w:strike w:val="0"/>
          <w:color w:val="auto"/>
          <w:sz w:val="24"/>
          <w:szCs w:val="24"/>
          <w:highlight w:val="none"/>
          <w:lang w:val="en-US" w:eastAsia="zh-CN"/>
        </w:rPr>
        <w:t xml:space="preserve">根据园区需要</w:t>
      </w:r>
      <w:r>
        <w:rPr>
          <w:rFonts w:hint="eastAsia" w:ascii="Times New Roman" w:hAnsi="Times New Roman" w:eastAsia="宋体" w:cs="Times New Roman"/>
          <w:bCs/>
          <w:strike w:val="0"/>
          <w:color w:val="auto"/>
          <w:sz w:val="24"/>
          <w:szCs w:val="24"/>
          <w:highlight w:val="none"/>
          <w:lang w:val="en-US" w:eastAsia="zh-CN"/>
        </w:rPr>
        <w:t xml:space="preserve">，</w:t>
      </w:r>
      <w:r>
        <w:rPr>
          <w:rFonts w:hint="default" w:ascii="Times New Roman" w:hAnsi="Times New Roman" w:eastAsia="宋体" w:cs="Times New Roman"/>
          <w:bCs/>
          <w:strike w:val="0"/>
          <w:color w:val="auto"/>
          <w:sz w:val="24"/>
          <w:szCs w:val="24"/>
          <w:highlight w:val="none"/>
          <w:lang w:val="en-US" w:eastAsia="zh-CN"/>
        </w:rPr>
        <w:t xml:space="preserve">每年组织应急救援方面专家开展园区应急物资和应急能力</w:t>
      </w:r>
      <w:r>
        <w:rPr>
          <w:rFonts w:hint="eastAsia" w:ascii="Times New Roman" w:hAnsi="Times New Roman" w:eastAsia="宋体" w:cs="Times New Roman"/>
          <w:bCs/>
          <w:strike w:val="0"/>
          <w:color w:val="auto"/>
          <w:sz w:val="24"/>
          <w:szCs w:val="24"/>
          <w:highlight w:val="none"/>
          <w:lang w:val="en-US" w:eastAsia="zh-CN"/>
        </w:rPr>
        <w:t xml:space="preserve">检查和</w:t>
      </w:r>
      <w:r>
        <w:rPr>
          <w:rFonts w:hint="default" w:ascii="Times New Roman" w:hAnsi="Times New Roman" w:eastAsia="宋体" w:cs="Times New Roman"/>
          <w:bCs/>
          <w:strike w:val="0"/>
          <w:color w:val="auto"/>
          <w:sz w:val="24"/>
          <w:szCs w:val="24"/>
          <w:highlight w:val="none"/>
          <w:lang w:val="en-US" w:eastAsia="zh-CN"/>
        </w:rPr>
        <w:t xml:space="preserve">评估。</w:t>
      </w:r>
      <w:r/>
    </w:p>
    <w:p>
      <w:pPr>
        <w:ind w:firstLine="482"/>
        <w:keepLines w:val="0"/>
        <w:keepNext w:val="0"/>
        <w:pageBreakBefore w:val="0"/>
        <w:spacing w:line="560" w:lineRule="exact"/>
        <w:widowControl/>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bCs/>
          <w:color w:val="auto"/>
          <w:sz w:val="24"/>
          <w:szCs w:val="24"/>
          <w:highlight w:val="none"/>
          <w:lang w:val="en-US" w:eastAsia="zh-CN"/>
        </w:rPr>
        <w:t xml:space="preserve">7</w:t>
      </w:r>
      <w:r>
        <w:rPr>
          <w:rFonts w:hint="default" w:ascii="Times New Roman" w:hAnsi="Times New Roman" w:eastAsia="宋体" w:cs="Times New Roman"/>
          <w:b/>
          <w:bCs/>
          <w:color w:val="auto"/>
          <w:sz w:val="24"/>
          <w:szCs w:val="24"/>
          <w:highlight w:val="none"/>
          <w:lang w:val="zh-CN"/>
        </w:rPr>
        <w:t xml:space="preserve">.开展培训交流和本土化专家队伍培养</w:t>
      </w:r>
      <w:r/>
    </w:p>
    <w:p>
      <w:pPr>
        <w:pStyle w:val="1009"/>
        <w:ind w:firstLine="480"/>
        <w:jc w:val="both"/>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围绕新区监管需求和企业实际，针对监管人员和企业重点岗位人员，分层分类制定培训计划和培训大纲，围绕过程安全管理、特殊作业和承包商管理、异常工况处置、事故调查复盘、智慧化监管应用、新法律法规和标准规范解读等内容，每年组织不少于5次</w:t>
      </w:r>
      <w:r>
        <w:rPr>
          <w:rFonts w:hint="default" w:ascii="Times New Roman" w:hAnsi="Times New Roman" w:eastAsia="宋体" w:cs="Times New Roman"/>
          <w:bCs/>
          <w:color w:val="auto"/>
          <w:sz w:val="24"/>
          <w:szCs w:val="24"/>
          <w:highlight w:val="none"/>
          <w:lang w:val="en-US" w:eastAsia="zh-CN"/>
        </w:rPr>
        <w:t xml:space="preserve">综合</w:t>
      </w:r>
      <w:r>
        <w:rPr>
          <w:rFonts w:hint="default" w:ascii="Times New Roman" w:hAnsi="Times New Roman" w:eastAsia="宋体" w:cs="Times New Roman"/>
          <w:bCs/>
          <w:color w:val="auto"/>
          <w:sz w:val="24"/>
          <w:szCs w:val="24"/>
          <w:highlight w:val="none"/>
        </w:rPr>
        <w:t xml:space="preserve">培训</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lang w:val="en-US" w:eastAsia="zh-CN"/>
        </w:rPr>
        <w:t xml:space="preserve">每家企业至少开展1次差异化培训</w:t>
      </w:r>
      <w:r>
        <w:rPr>
          <w:rFonts w:hint="default" w:ascii="Times New Roman" w:hAnsi="Times New Roman" w:eastAsia="宋体" w:cs="Times New Roman"/>
          <w:bCs/>
          <w:color w:val="auto"/>
          <w:sz w:val="24"/>
          <w:szCs w:val="24"/>
          <w:highlight w:val="none"/>
        </w:rPr>
        <w:t xml:space="preserve">。</w:t>
      </w:r>
      <w:r/>
    </w:p>
    <w:p>
      <w:pPr>
        <w:pStyle w:val="1009"/>
        <w:ind w:firstLine="480"/>
        <w:jc w:val="both"/>
        <w:keepLines w:val="0"/>
        <w:keepNext w:val="0"/>
        <w:pageBreakBefore w:val="0"/>
        <w:spacing w:line="560" w:lineRule="exact"/>
        <w:rPr>
          <w:rFonts w:hint="default" w:ascii="Times New Roman" w:hAnsi="Times New Roman" w:eastAsia="宋体" w:cs="Times New Roman"/>
          <w:bCs/>
          <w:strike w:val="0"/>
          <w:color w:val="auto"/>
          <w:sz w:val="24"/>
          <w:szCs w:val="24"/>
          <w:highlight w:val="none"/>
          <w:lang w:val="en-US" w:eastAsia="zh-CN"/>
        </w:rPr>
      </w:pPr>
      <w:r>
        <w:rPr>
          <w:rFonts w:hint="default" w:ascii="Times New Roman" w:hAnsi="Times New Roman" w:eastAsia="宋体" w:cs="Times New Roman"/>
          <w:bCs/>
          <w:strike w:val="0"/>
          <w:color w:val="auto"/>
          <w:sz w:val="24"/>
          <w:szCs w:val="24"/>
          <w:highlight w:val="none"/>
          <w:lang w:val="en-US" w:eastAsia="zh-CN"/>
        </w:rPr>
        <w:t xml:space="preserve">建立“带教式”培养机制，通过联合检查、案例复盘、专题研讨、驻点跟学等方式，帮助企业培养一批熟悉工艺、设备、仪表和安全管理要求的本土化专家骨干，持续提升企业安全管理能力。</w:t>
      </w:r>
      <w:r/>
    </w:p>
    <w:p>
      <w:pPr>
        <w:pStyle w:val="1009"/>
        <w:ind w:firstLine="480"/>
        <w:jc w:val="both"/>
        <w:keepLines w:val="0"/>
        <w:keepNext w:val="0"/>
        <w:pageBreakBefore w:val="0"/>
        <w:spacing w:line="560" w:lineRule="exact"/>
        <w:rPr>
          <w:rFonts w:hint="default" w:ascii="Times New Roman" w:hAnsi="Times New Roman" w:eastAsia="宋体" w:cs="Times New Roman"/>
          <w:bCs/>
          <w:strike w:val="0"/>
          <w:color w:val="auto"/>
          <w:sz w:val="24"/>
          <w:szCs w:val="24"/>
          <w:highlight w:val="none"/>
          <w:lang w:val="en-US" w:eastAsia="zh-CN"/>
        </w:rPr>
      </w:pPr>
      <w:r>
        <w:rPr>
          <w:rFonts w:hint="default" w:ascii="Times New Roman" w:hAnsi="Times New Roman" w:eastAsia="宋体" w:cs="Times New Roman"/>
          <w:bCs/>
          <w:strike w:val="0"/>
          <w:color w:val="auto"/>
          <w:sz w:val="24"/>
          <w:szCs w:val="24"/>
          <w:highlight w:val="none"/>
          <w:lang w:val="en-US" w:eastAsia="zh-CN"/>
        </w:rPr>
        <w:t xml:space="preserve">每半年收集汇编国内先进化工园区和标杆企业在过程安全管理、风险防控、数字化监管、应急管理等方面的典型经验做法，形成专题资料，供新区学习借鉴。根据需要，组织监管人员和有关企业赴国内先进园区、标杆企业开展对标交流学习。</w:t>
      </w:r>
      <w:r/>
    </w:p>
    <w:p>
      <w:pPr>
        <w:pStyle w:val="1009"/>
        <w:ind w:firstLine="480"/>
        <w:jc w:val="both"/>
        <w:keepLines w:val="0"/>
        <w:keepNext w:val="0"/>
        <w:pageBreakBefore w:val="0"/>
        <w:spacing w:line="560" w:lineRule="exact"/>
        <w:rPr>
          <w:rFonts w:hint="default" w:ascii="Times New Roman" w:hAnsi="Times New Roman" w:eastAsia="宋体" w:cs="Times New Roman"/>
          <w:bCs/>
          <w:strike w:val="0"/>
          <w:color w:val="auto"/>
          <w:sz w:val="24"/>
          <w:szCs w:val="24"/>
          <w:highlight w:val="none"/>
          <w:lang w:val="en-US" w:eastAsia="zh-CN"/>
        </w:rPr>
      </w:pPr>
      <w:r>
        <w:rPr>
          <w:rFonts w:hint="default" w:ascii="Times New Roman" w:hAnsi="Times New Roman" w:eastAsia="宋体" w:cs="Times New Roman"/>
          <w:bCs/>
          <w:strike w:val="0"/>
          <w:color w:val="auto"/>
          <w:sz w:val="24"/>
          <w:szCs w:val="24"/>
          <w:highlight w:val="none"/>
          <w:lang w:val="en-US" w:eastAsia="zh-CN"/>
        </w:rPr>
        <w:t xml:space="preserve">深化监管人员传帮带培养，提升监管人员</w:t>
      </w:r>
      <w:r>
        <w:rPr>
          <w:rFonts w:hint="eastAsia" w:ascii="Times New Roman" w:hAnsi="Times New Roman" w:eastAsia="宋体" w:cs="Times New Roman"/>
          <w:bCs/>
          <w:strike w:val="0"/>
          <w:color w:val="auto"/>
          <w:sz w:val="24"/>
          <w:szCs w:val="24"/>
          <w:highlight w:val="none"/>
          <w:lang w:val="en-US" w:eastAsia="zh-CN"/>
        </w:rPr>
        <w:t xml:space="preserve">安全监管</w:t>
      </w:r>
      <w:r>
        <w:rPr>
          <w:rFonts w:hint="default" w:ascii="Times New Roman" w:hAnsi="Times New Roman" w:eastAsia="宋体" w:cs="Times New Roman"/>
          <w:bCs/>
          <w:strike w:val="0"/>
          <w:color w:val="auto"/>
          <w:sz w:val="24"/>
          <w:szCs w:val="24"/>
          <w:highlight w:val="none"/>
          <w:lang w:val="en-US" w:eastAsia="zh-CN"/>
        </w:rPr>
        <w:t xml:space="preserve">专业履职水平。</w:t>
      </w:r>
      <w:r/>
    </w:p>
    <w:p>
      <w:pPr>
        <w:ind w:firstLine="482"/>
        <w:keepLines w:val="0"/>
        <w:keepNext w:val="0"/>
        <w:pageBreakBefore w:val="0"/>
        <w:spacing w:line="560" w:lineRule="exact"/>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8</w:t>
      </w:r>
      <w:r>
        <w:rPr>
          <w:rFonts w:hint="default" w:ascii="Times New Roman" w:hAnsi="Times New Roman" w:eastAsia="宋体" w:cs="Times New Roman"/>
          <w:b/>
          <w:bCs/>
          <w:color w:val="auto"/>
          <w:sz w:val="24"/>
          <w:szCs w:val="24"/>
          <w:highlight w:val="none"/>
        </w:rPr>
        <w:t xml:space="preserve">.协助开展日常值守和重点时段值班值守</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lang w:val="en-US" w:eastAsia="zh-CN"/>
        </w:rPr>
        <w:t xml:space="preserve">应</w:t>
      </w:r>
      <w:r>
        <w:rPr>
          <w:rFonts w:hint="default" w:ascii="Times New Roman" w:hAnsi="Times New Roman" w:eastAsia="宋体" w:cs="Times New Roman"/>
          <w:bCs/>
          <w:color w:val="auto"/>
          <w:sz w:val="24"/>
          <w:szCs w:val="24"/>
          <w:highlight w:val="none"/>
        </w:rPr>
        <w:t xml:space="preserve">安排不少于</w:t>
      </w:r>
      <w:r>
        <w:rPr>
          <w:rFonts w:hint="default" w:ascii="Times New Roman" w:hAnsi="Times New Roman" w:eastAsia="宋体" w:cs="Times New Roman"/>
          <w:bCs/>
          <w:color w:val="auto"/>
          <w:sz w:val="24"/>
          <w:szCs w:val="24"/>
          <w:highlight w:val="none"/>
          <w:lang w:val="en-US" w:eastAsia="zh-CN"/>
        </w:rPr>
        <w:t xml:space="preserve">2名</w:t>
      </w:r>
      <w:r>
        <w:rPr>
          <w:rFonts w:hint="default" w:ascii="Times New Roman" w:hAnsi="Times New Roman" w:eastAsia="宋体" w:cs="Times New Roman"/>
          <w:bCs/>
          <w:color w:val="auto"/>
          <w:sz w:val="24"/>
          <w:szCs w:val="24"/>
          <w:highlight w:val="none"/>
        </w:rPr>
        <w:t xml:space="preserve">专业技术人员在岗值班值守</w:t>
      </w:r>
      <w:r>
        <w:rPr>
          <w:rFonts w:hint="default" w:ascii="Times New Roman" w:hAnsi="Times New Roman" w:eastAsia="宋体"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lang w:val="en-US" w:eastAsia="zh-CN"/>
        </w:rPr>
        <w:t xml:space="preserve">参与园区</w:t>
      </w:r>
      <w:r>
        <w:rPr>
          <w:rFonts w:hint="default" w:ascii="Times New Roman" w:hAnsi="Times New Roman" w:eastAsia="宋体" w:cs="Times New Roman"/>
          <w:bCs/>
          <w:color w:val="auto"/>
          <w:sz w:val="24"/>
          <w:szCs w:val="24"/>
          <w:highlight w:val="none"/>
        </w:rPr>
        <w:t xml:space="preserve">每日安全运行信息研判、重点风险提醒、突发情况会商和现场技术支撑。</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在法定节假日、恶劣天气、重大活动、装置集中检维修等重点时段，</w:t>
      </w:r>
      <w:r>
        <w:rPr>
          <w:rFonts w:hint="default" w:ascii="Times New Roman" w:hAnsi="Times New Roman" w:eastAsia="宋体" w:cs="Times New Roman"/>
          <w:bCs/>
          <w:color w:val="auto"/>
          <w:sz w:val="24"/>
          <w:szCs w:val="24"/>
          <w:highlight w:val="none"/>
          <w:lang w:val="en-US" w:eastAsia="zh-CN"/>
        </w:rPr>
        <w:t xml:space="preserve">配合招标人</w:t>
      </w:r>
      <w:r>
        <w:rPr>
          <w:rFonts w:hint="default" w:ascii="Times New Roman" w:hAnsi="Times New Roman" w:eastAsia="宋体" w:cs="Times New Roman"/>
          <w:bCs/>
          <w:color w:val="auto"/>
          <w:sz w:val="24"/>
          <w:szCs w:val="24"/>
          <w:highlight w:val="none"/>
        </w:rPr>
        <w:t xml:space="preserve">安排专家在岗值守或备勤，协助新区开展重点时段安全巡查，做好突发事件应急处置准备。</w:t>
      </w:r>
      <w:r/>
    </w:p>
    <w:p>
      <w:pPr>
        <w:ind w:firstLine="482"/>
        <w:keepLines w:val="0"/>
        <w:keepNext w:val="0"/>
        <w:pageBreakBefore w:val="0"/>
        <w:spacing w:line="560" w:lineRule="exact"/>
        <w:rPr>
          <w:rFonts w:hint="default" w:ascii="Times New Roman" w:hAnsi="Times New Roman" w:eastAsia="宋体" w:cs="Times New Roman"/>
          <w:b/>
          <w:bCs w:val="0"/>
          <w:color w:val="auto"/>
          <w:sz w:val="24"/>
          <w:szCs w:val="24"/>
          <w:highlight w:val="none"/>
          <w:lang w:val="en-US" w:eastAsia="zh-CN"/>
        </w:rPr>
        <w:outlineLvl w:val="0"/>
      </w:pPr>
      <w:r>
        <w:rPr>
          <w:rFonts w:hint="default" w:ascii="Times New Roman" w:hAnsi="Times New Roman" w:eastAsia="宋体" w:cs="Times New Roman"/>
          <w:b/>
          <w:bCs w:val="0"/>
          <w:color w:val="auto"/>
          <w:sz w:val="24"/>
          <w:szCs w:val="24"/>
          <w:highlight w:val="none"/>
          <w:lang w:val="en-US" w:eastAsia="zh-CN"/>
        </w:rPr>
        <w:t xml:space="preserve">9.开展园区层面安全治理机制研究和综合支撑</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rPr>
        <w:outlineLvl w:val="0"/>
      </w:pPr>
      <w:r>
        <w:rPr>
          <w:rFonts w:hint="default" w:ascii="Times New Roman" w:hAnsi="Times New Roman" w:eastAsia="宋体" w:cs="Times New Roman"/>
          <w:bCs/>
          <w:color w:val="auto"/>
          <w:sz w:val="24"/>
          <w:szCs w:val="24"/>
          <w:highlight w:val="none"/>
          <w:lang w:val="en-US" w:eastAsia="zh-CN"/>
        </w:rPr>
        <w:t xml:space="preserve">围绕园区安全治理需要，立足新区管理实际和跨部门协同需求，聚焦园区层面具有共性、反复性、牵引性的安全管理事项，协助开展专题研究、机制评估和制度优化，提出可操作的工作建议，服务新区完善园区整体安全治理体系。</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lang w:val="en-US" w:eastAsia="zh-CN"/>
        </w:rPr>
        <w:outlineLvl w:val="0"/>
      </w:pPr>
      <w:r>
        <w:rPr>
          <w:rFonts w:hint="default" w:ascii="Times New Roman" w:hAnsi="Times New Roman" w:eastAsia="宋体" w:cs="Times New Roman"/>
          <w:bCs/>
          <w:color w:val="auto"/>
          <w:sz w:val="24"/>
          <w:szCs w:val="24"/>
          <w:highlight w:val="none"/>
          <w:lang w:val="en-US" w:eastAsia="zh-CN"/>
        </w:rPr>
        <w:t xml:space="preserve">结合项目实施情况，围绕过程安全管理、项目准入把关、智慧化监管、“三警”机制落实、重点领域专项治理等工作，及时总结提炼成熟做法，形成专题报告、制度建议、典型案例、工作指引等成果，为新区推动形成可复制、可推广的机制性经验做法提供技术支撑。</w:t>
      </w:r>
      <w:r/>
    </w:p>
    <w:p>
      <w:pPr>
        <w:ind w:firstLine="480"/>
        <w:keepLines w:val="0"/>
        <w:keepNext w:val="0"/>
        <w:pageBreakBefore w:val="0"/>
        <w:spacing w:line="500" w:lineRule="exact"/>
        <w:widowControl w:val="off"/>
        <w:rPr>
          <w:rFonts w:hint="default" w:ascii="Times New Roman" w:hAnsi="Times New Roman" w:eastAsia="宋体" w:cs="Times New Roman"/>
          <w:bCs/>
          <w:color w:val="auto"/>
          <w:sz w:val="24"/>
          <w:szCs w:val="24"/>
          <w:highlight w:val="none"/>
          <w:lang w:val="en-US" w:eastAsia="zh-CN" w:bidi="ar-SA"/>
        </w:rPr>
        <w:outlineLvl w:val="9"/>
      </w:pPr>
      <w:r>
        <w:rPr>
          <w:rFonts w:hint="eastAsia" w:ascii="Times New Roman" w:hAnsi="Times New Roman" w:eastAsia="宋体" w:cs="Times New Roman"/>
          <w:bCs/>
          <w:color w:val="auto"/>
          <w:sz w:val="24"/>
          <w:szCs w:val="24"/>
          <w:highlight w:val="none"/>
          <w:lang w:val="en-US" w:eastAsia="zh-CN" w:bidi="ar-SA"/>
        </w:rPr>
        <w:t xml:space="preserve">组织不少于</w:t>
      </w:r>
      <w:r>
        <w:rPr>
          <w:rFonts w:hint="default" w:ascii="Times New Roman" w:hAnsi="Times New Roman" w:eastAsia="宋体" w:cs="Times New Roman"/>
          <w:bCs/>
          <w:color w:val="auto"/>
          <w:sz w:val="24"/>
          <w:szCs w:val="24"/>
          <w:highlight w:val="none"/>
          <w:lang w:val="en-US" w:eastAsia="zh-CN" w:bidi="ar-SA"/>
        </w:rPr>
        <w:t xml:space="preserve">5名</w:t>
      </w:r>
      <w:r>
        <w:rPr>
          <w:rFonts w:hint="eastAsia" w:ascii="Times New Roman" w:hAnsi="Times New Roman" w:eastAsia="宋体" w:cs="Times New Roman"/>
          <w:bCs/>
          <w:color w:val="auto"/>
          <w:sz w:val="24"/>
          <w:szCs w:val="24"/>
          <w:highlight w:val="none"/>
          <w:lang w:val="en-US" w:eastAsia="zh-CN" w:bidi="ar-SA"/>
        </w:rPr>
        <w:t xml:space="preserve">专家，每年对新区石化产业基地开展风险等级评估，专家应参加过省级及以上化工园区评估。</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rPr>
        <w:outlineLvl w:val="0"/>
      </w:pPr>
      <w:r>
        <w:rPr>
          <w:rFonts w:hint="default"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val="en-US" w:eastAsia="zh-CN"/>
        </w:rPr>
        <w:t xml:space="preserve">0</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完成新区</w:t>
      </w:r>
      <w:r>
        <w:rPr>
          <w:rFonts w:hint="default" w:ascii="Times New Roman" w:hAnsi="Times New Roman" w:eastAsia="宋体" w:cs="Times New Roman"/>
          <w:b/>
          <w:bCs/>
          <w:color w:val="auto"/>
          <w:sz w:val="24"/>
          <w:szCs w:val="24"/>
          <w:highlight w:val="none"/>
        </w:rPr>
        <w:t xml:space="preserve">交办的其他事项</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根据新区党工委、管委会和应急管理部门工作需要，参与安委会、专题会议、应急管理系统例会等相关会议，参加安全生产月等活动，参与突发应急事件应急处置和生产安全事故调查，完成新区交办的其他安全生产相关工作事项</w:t>
      </w:r>
      <w:r>
        <w:rPr>
          <w:rFonts w:hint="default" w:ascii="Times New Roman" w:hAnsi="Times New Roman" w:eastAsia="宋体" w:cs="Times New Roman"/>
          <w:bCs/>
          <w:color w:val="auto"/>
          <w:sz w:val="24"/>
          <w:szCs w:val="24"/>
          <w:highlight w:val="none"/>
        </w:rPr>
        <w:t xml:space="preserve">。</w:t>
      </w:r>
      <w:r/>
    </w:p>
    <w:p>
      <w:pPr>
        <w:numPr>
          <w:ilvl w:val="0"/>
          <w:numId w:val="0"/>
        </w:numPr>
        <w:ind w:firstLine="480"/>
        <w:keepLines w:val="0"/>
        <w:keepNext w:val="0"/>
        <w:pageBreakBefore w:val="0"/>
        <w:spacing w:line="560" w:lineRule="exact"/>
        <w:rPr>
          <w:rFonts w:hint="default" w:ascii="Times New Roman" w:hAnsi="Times New Roman" w:eastAsia="黑体" w:cs="Times New Roman"/>
          <w:bCs/>
          <w:color w:val="auto"/>
          <w:sz w:val="24"/>
          <w:szCs w:val="24"/>
          <w:highlight w:val="none"/>
          <w:lang w:val="en-US" w:eastAsia="zh-CN" w:bidi="ar-SA"/>
        </w:rPr>
        <w:outlineLvl w:val="0"/>
      </w:pPr>
      <w:r>
        <w:rPr>
          <w:rFonts w:hint="eastAsia" w:ascii="Times New Roman" w:hAnsi="Times New Roman" w:eastAsia="黑体" w:cs="Times New Roman"/>
          <w:bCs/>
          <w:color w:val="auto"/>
          <w:sz w:val="24"/>
          <w:szCs w:val="24"/>
          <w:highlight w:val="none"/>
          <w:lang w:val="en-US" w:eastAsia="zh-CN" w:bidi="ar-SA"/>
        </w:rPr>
        <w:t xml:space="preserve">三</w:t>
      </w:r>
      <w:r>
        <w:rPr>
          <w:rFonts w:hint="default" w:ascii="Times New Roman" w:hAnsi="Times New Roman" w:eastAsia="黑体" w:cs="Times New Roman"/>
          <w:bCs/>
          <w:color w:val="auto"/>
          <w:sz w:val="24"/>
          <w:szCs w:val="24"/>
          <w:highlight w:val="none"/>
          <w:lang w:val="en-US" w:eastAsia="zh-CN" w:bidi="ar-SA"/>
        </w:rPr>
        <w:t xml:space="preserve">、项目考核推进机制</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rPr>
        <w:outlineLvl w:val="0"/>
      </w:pPr>
      <w:r>
        <w:rPr>
          <w:rFonts w:hint="default" w:ascii="Times New Roman" w:hAnsi="Times New Roman" w:eastAsia="宋体" w:cs="Times New Roman"/>
          <w:b/>
          <w:bCs/>
          <w:color w:val="auto"/>
          <w:sz w:val="24"/>
          <w:szCs w:val="24"/>
          <w:highlight w:val="none"/>
        </w:rPr>
        <w:t xml:space="preserve">1.专家团队能力审核</w:t>
      </w:r>
      <w:r/>
    </w:p>
    <w:p>
      <w:pPr>
        <w:ind w:firstLine="480"/>
        <w:keepLines w:val="0"/>
        <w:keepNext w:val="0"/>
        <w:pageBreakBefore w:val="0"/>
        <w:spacing w:line="560" w:lineRule="exact"/>
        <w:rPr>
          <w:rFonts w:hint="default" w:ascii="Times New Roman" w:hAnsi="Times New Roman" w:eastAsia="宋体" w:cs="Times New Roman"/>
          <w:b/>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拟派驻专家应通过新区应急管理部门组织的审核后方可上岗。新区应急管理部门有权根据项目推进情况、服务成效和履职表现，对专家团队进行动态考核，并要求对不适岗、不胜任或不能满足工作需要的专家及时进行调整更换。</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lang w:val="en-US" w:eastAsia="zh-CN"/>
        </w:rPr>
        <w:outlineLvl w:val="0"/>
      </w:pPr>
      <w:r>
        <w:rPr>
          <w:rFonts w:hint="default" w:ascii="Times New Roman" w:hAnsi="Times New Roman" w:eastAsia="宋体" w:cs="Times New Roman"/>
          <w:b/>
          <w:bCs/>
          <w:color w:val="auto"/>
          <w:sz w:val="24"/>
          <w:szCs w:val="24"/>
          <w:highlight w:val="none"/>
        </w:rPr>
        <w:t xml:space="preserve">2.工作过程跟踪</w:t>
      </w:r>
      <w:r>
        <w:rPr>
          <w:rFonts w:hint="default" w:ascii="Times New Roman" w:hAnsi="Times New Roman" w:eastAsia="宋体" w:cs="Times New Roman"/>
          <w:b/>
          <w:bCs/>
          <w:color w:val="auto"/>
          <w:sz w:val="24"/>
          <w:szCs w:val="24"/>
          <w:highlight w:val="none"/>
          <w:lang w:val="en-US" w:eastAsia="zh-CN"/>
        </w:rPr>
        <w:t xml:space="preserve">和成果报送</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应建立规范的项目运行管理机制，按月报送工作开展情况、重点工作进展、问题清单、整改跟踪、风险提示和下步工作安排等书面材料，并根据新区要求及时开展专题汇报。</w:t>
      </w:r>
      <w:r/>
    </w:p>
    <w:p>
      <w:pPr>
        <w:ind w:firstLine="482"/>
        <w:keepLines w:val="0"/>
        <w:keepNext w:val="0"/>
        <w:pageBreakBefore w:val="0"/>
        <w:spacing w:line="560" w:lineRule="exact"/>
        <w:rPr>
          <w:rFonts w:hint="default" w:ascii="Times New Roman" w:hAnsi="Times New Roman" w:eastAsia="宋体" w:cs="Times New Roman"/>
          <w:b/>
          <w:bCs/>
          <w:color w:val="auto"/>
          <w:sz w:val="24"/>
          <w:szCs w:val="24"/>
          <w:highlight w:val="none"/>
        </w:rPr>
        <w:outlineLvl w:val="0"/>
      </w:pPr>
      <w:r>
        <w:rPr>
          <w:rFonts w:hint="default" w:ascii="Times New Roman" w:hAnsi="Times New Roman" w:eastAsia="宋体" w:cs="Times New Roman"/>
          <w:b/>
          <w:bCs/>
          <w:color w:val="auto"/>
          <w:sz w:val="24"/>
          <w:szCs w:val="24"/>
          <w:highlight w:val="none"/>
        </w:rPr>
        <w:t xml:space="preserve">3.项目履约评估</w:t>
      </w:r>
      <w:r/>
    </w:p>
    <w:p>
      <w:pPr>
        <w:ind w:firstLine="480"/>
        <w:keepLines w:val="0"/>
        <w:keepNext w:val="0"/>
        <w:pageBreakBefore w:val="0"/>
        <w:spacing w:line="560" w:lineRule="exact"/>
        <w:rPr>
          <w:rFonts w:hint="default" w:ascii="Times New Roman" w:hAnsi="Times New Roman" w:eastAsia="宋体" w:cs="Times New Roman"/>
          <w:bCs/>
          <w:color w:val="auto"/>
          <w:sz w:val="24"/>
          <w:szCs w:val="24"/>
          <w:highlight w:val="none"/>
        </w:rPr>
        <w:outlineLvl w:val="0"/>
      </w:pPr>
      <w:r>
        <w:rPr>
          <w:rFonts w:hint="default" w:ascii="Times New Roman" w:hAnsi="Times New Roman" w:eastAsia="宋体" w:cs="Times New Roman"/>
          <w:bCs/>
          <w:color w:val="auto"/>
          <w:sz w:val="24"/>
          <w:szCs w:val="24"/>
          <w:highlight w:val="none"/>
        </w:rPr>
        <w:t xml:space="preserve">新区可结合实际情况组织开展项目年度评估和</w:t>
      </w:r>
      <w:r>
        <w:rPr>
          <w:rFonts w:hint="default" w:ascii="Times New Roman" w:hAnsi="Times New Roman" w:eastAsia="宋体" w:cs="Times New Roman"/>
          <w:bCs/>
          <w:color w:val="auto"/>
          <w:sz w:val="24"/>
          <w:szCs w:val="24"/>
          <w:highlight w:val="none"/>
          <w:lang w:val="en-US" w:eastAsia="zh-CN"/>
        </w:rPr>
        <w:t xml:space="preserve">终期</w:t>
      </w:r>
      <w:r>
        <w:rPr>
          <w:rFonts w:hint="default" w:ascii="Times New Roman" w:hAnsi="Times New Roman" w:eastAsia="宋体" w:cs="Times New Roman"/>
          <w:bCs/>
          <w:color w:val="auto"/>
          <w:sz w:val="24"/>
          <w:szCs w:val="24"/>
          <w:highlight w:val="none"/>
        </w:rPr>
        <w:t xml:space="preserve">评估，通过资料审查、现场核查、企业走访、服务对象评价等方式，对项目履约情况、工作质量、服务成效、专家履职情况等进行综合评估。对履约不力、成效不明显、考核不合格的，可按照合同约定采取约谈、整改、扣减费用、终止合同等措施。</w:t>
      </w:r>
      <w:r/>
    </w:p>
    <w:p>
      <w:pPr>
        <w:ind w:firstLine="482"/>
        <w:keepLines w:val="0"/>
        <w:keepNext w:val="0"/>
        <w:pageBreakBefore w:val="0"/>
        <w:spacing w:line="560" w:lineRule="exact"/>
        <w:rPr>
          <w:rFonts w:hint="default" w:ascii="Times New Roman" w:hAnsi="Times New Roman" w:eastAsia="宋体" w:cs="Times New Roman"/>
          <w:b/>
          <w:bCs/>
          <w:strike w:val="0"/>
          <w:color w:val="auto"/>
          <w:sz w:val="24"/>
          <w:szCs w:val="24"/>
          <w:highlight w:val="none"/>
        </w:rPr>
        <w:outlineLvl w:val="0"/>
      </w:pPr>
      <w:r>
        <w:rPr>
          <w:rFonts w:hint="default" w:ascii="Times New Roman" w:hAnsi="Times New Roman" w:eastAsia="宋体" w:cs="Times New Roman"/>
          <w:b/>
          <w:bCs/>
          <w:strike w:val="0"/>
          <w:color w:val="auto"/>
          <w:sz w:val="24"/>
          <w:szCs w:val="24"/>
          <w:highlight w:val="none"/>
        </w:rPr>
        <w:t xml:space="preserve">4.</w:t>
      </w:r>
      <w:r>
        <w:rPr>
          <w:rFonts w:hint="eastAsia" w:ascii="Times New Roman" w:hAnsi="Times New Roman" w:eastAsia="宋体" w:cs="Times New Roman"/>
          <w:b/>
          <w:bCs/>
          <w:strike w:val="0"/>
          <w:color w:val="auto"/>
          <w:sz w:val="24"/>
          <w:szCs w:val="24"/>
          <w:highlight w:val="none"/>
          <w:lang w:val="en-US" w:eastAsia="zh-CN"/>
        </w:rPr>
        <w:t xml:space="preserve">服务质量履约</w:t>
      </w:r>
      <w:r>
        <w:rPr>
          <w:rFonts w:hint="default" w:ascii="Times New Roman" w:hAnsi="Times New Roman" w:eastAsia="宋体" w:cs="Times New Roman"/>
          <w:b/>
          <w:bCs/>
          <w:strike w:val="0"/>
          <w:color w:val="auto"/>
          <w:sz w:val="24"/>
          <w:szCs w:val="24"/>
          <w:highlight w:val="none"/>
        </w:rPr>
        <w:t xml:space="preserve">考核</w:t>
      </w:r>
      <w:r/>
    </w:p>
    <w:p>
      <w:pPr>
        <w:numPr>
          <w:ilvl w:val="0"/>
          <w:numId w:val="0"/>
        </w:numPr>
        <w:ind w:firstLine="480"/>
        <w:keepLines w:val="0"/>
        <w:keepNext w:val="0"/>
        <w:pageBreakBefore w:val="0"/>
        <w:spacing w:line="560" w:lineRule="exact"/>
        <w:rPr>
          <w:rFonts w:hint="default" w:ascii="Times New Roman" w:hAnsi="Times New Roman" w:eastAsia="宋体" w:cs="Times New Roman"/>
          <w:strike w:val="0"/>
          <w:color w:val="auto"/>
          <w:sz w:val="24"/>
          <w:szCs w:val="24"/>
          <w:highlight w:val="none"/>
          <w:lang w:val="en-US" w:eastAsia="zh-CN"/>
        </w:rPr>
        <w:outlineLvl w:val="0"/>
      </w:pPr>
      <w:r>
        <w:rPr>
          <w:rFonts w:hint="default" w:ascii="Times New Roman" w:hAnsi="Times New Roman" w:eastAsia="宋体" w:cs="Times New Roman"/>
          <w:strike w:val="0"/>
          <w:color w:val="auto"/>
          <w:sz w:val="24"/>
          <w:szCs w:val="24"/>
          <w:highlight w:val="none"/>
          <w:lang w:val="en-US" w:eastAsia="zh-CN"/>
        </w:rPr>
        <w:t xml:space="preserve">项目费用中50万元作为服务质量履约考核费用。考核内容主要包括任务完成、成果质量、隐患排查、整改复核、培训演练、风险研判和服务评价等。对未按合同约定履行服务职责、履约质量不符合要求或年度评估不合格的，按照合同约定扣减相应费用。服务期间园区发生生产安全事故或较大社会影响事件的，同步核查服务单位履职情况</w:t>
      </w:r>
      <w:r>
        <w:rPr>
          <w:rFonts w:hint="eastAsia" w:ascii="Times New Roman" w:hAnsi="Times New Roman" w:eastAsia="宋体" w:cs="Times New Roman"/>
          <w:strike w:val="0"/>
          <w:color w:val="auto"/>
          <w:sz w:val="24"/>
          <w:szCs w:val="24"/>
          <w:highlight w:val="none"/>
          <w:lang w:val="en-US" w:eastAsia="zh-CN"/>
        </w:rPr>
        <w:t xml:space="preserve">，</w:t>
      </w:r>
      <w:r>
        <w:rPr>
          <w:rFonts w:hint="default" w:ascii="Times New Roman" w:hAnsi="Times New Roman" w:eastAsia="宋体" w:cs="Times New Roman"/>
          <w:strike w:val="0"/>
          <w:color w:val="auto"/>
          <w:sz w:val="24"/>
          <w:szCs w:val="24"/>
          <w:highlight w:val="none"/>
          <w:lang w:val="en-US" w:eastAsia="zh-CN"/>
        </w:rPr>
        <w:t xml:space="preserve">存在应发现未发现、应提示未提示、应报告未报告等履职不到位情形的，纳入服务质量履约考核。</w:t>
      </w:r>
      <w:r/>
    </w:p>
    <w:p>
      <w:pPr>
        <w:numPr>
          <w:ilvl w:val="0"/>
          <w:numId w:val="0"/>
        </w:numPr>
        <w:ind w:firstLine="480"/>
        <w:keepLines w:val="0"/>
        <w:keepNext w:val="0"/>
        <w:pageBreakBefore w:val="0"/>
        <w:spacing w:line="560" w:lineRule="exact"/>
        <w:rPr>
          <w:rFonts w:hint="default" w:ascii="Times New Roman" w:hAnsi="Times New Roman" w:eastAsia="黑体" w:cs="Times New Roman"/>
          <w:bCs/>
          <w:color w:val="auto"/>
          <w:sz w:val="24"/>
          <w:szCs w:val="24"/>
          <w:highlight w:val="none"/>
          <w:lang w:val="zh-CN" w:eastAsia="zh-CN" w:bidi="ar-SA"/>
        </w:rPr>
        <w:outlineLvl w:val="0"/>
      </w:pPr>
      <w:r>
        <w:rPr>
          <w:rFonts w:hint="eastAsia" w:ascii="Times New Roman" w:hAnsi="Times New Roman" w:eastAsia="黑体" w:cs="Times New Roman"/>
          <w:bCs/>
          <w:color w:val="auto"/>
          <w:sz w:val="24"/>
          <w:szCs w:val="24"/>
          <w:highlight w:val="none"/>
          <w:lang w:val="en-US" w:eastAsia="zh-CN" w:bidi="ar-SA"/>
        </w:rPr>
        <w:t xml:space="preserve">四</w:t>
      </w:r>
      <w:r>
        <w:rPr>
          <w:rFonts w:hint="default" w:ascii="Times New Roman" w:hAnsi="Times New Roman" w:eastAsia="黑体" w:cs="Times New Roman"/>
          <w:bCs/>
          <w:color w:val="auto"/>
          <w:sz w:val="24"/>
          <w:szCs w:val="24"/>
          <w:highlight w:val="none"/>
          <w:lang w:val="zh-CN" w:eastAsia="zh-CN" w:bidi="ar-SA"/>
        </w:rPr>
        <w:t xml:space="preserve">、</w:t>
      </w:r>
      <w:r>
        <w:rPr>
          <w:rFonts w:hint="default" w:ascii="Times New Roman" w:hAnsi="Times New Roman" w:eastAsia="黑体" w:cs="Times New Roman"/>
          <w:bCs/>
          <w:color w:val="auto"/>
          <w:sz w:val="24"/>
          <w:szCs w:val="24"/>
          <w:highlight w:val="none"/>
          <w:lang w:val="en-US" w:eastAsia="zh-CN" w:bidi="ar-SA"/>
        </w:rPr>
        <w:t xml:space="preserve">项目</w:t>
      </w:r>
      <w:r>
        <w:rPr>
          <w:rFonts w:hint="default" w:ascii="Times New Roman" w:hAnsi="Times New Roman" w:eastAsia="黑体" w:cs="Times New Roman"/>
          <w:bCs/>
          <w:color w:val="auto"/>
          <w:sz w:val="24"/>
          <w:szCs w:val="24"/>
          <w:highlight w:val="none"/>
          <w:lang w:val="zh-CN" w:eastAsia="zh-CN" w:bidi="ar-SA"/>
        </w:rPr>
        <w:t xml:space="preserve">工作成果</w:t>
      </w:r>
      <w:r/>
    </w:p>
    <w:tbl>
      <w:tblPr>
        <w:tblStyle w:val="723"/>
        <w:tblW w:w="51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192"/>
        <w:gridCol w:w="4913"/>
        <w:gridCol w:w="1554"/>
        <w:gridCol w:w="1066"/>
      </w:tblGrid>
      <w:tr>
        <w:trPr>
          <w:jc w:val="center"/>
          <w:trHeight w:val="0"/>
        </w:trPr>
        <w:tc>
          <w:tcPr>
            <w:tcW w:w="279" w:type="pct"/>
            <w:vAlign w:val="center"/>
            <w:textDirection w:val="lrTb"/>
            <w:noWrap w:val="false"/>
          </w:tcPr>
          <w:p>
            <w:pPr>
              <w:ind w:left="0"/>
              <w:jc w:val="center"/>
              <w:keepLines w:val="0"/>
              <w:keepNext/>
              <w:pageBreakBefore w:val="0"/>
              <w:spacing w:line="240" w:lineRule="atLeas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645" w:type="pct"/>
            <w:vAlign w:val="center"/>
            <w:textDirection w:val="lrTb"/>
            <w:noWrap w:val="false"/>
          </w:tcPr>
          <w:p>
            <w:pPr>
              <w:ind w:left="0"/>
              <w:jc w:val="center"/>
              <w:keepLines w:val="0"/>
              <w:keepNext/>
              <w:pageBreakBefore w:val="0"/>
              <w:spacing w:line="240" w:lineRule="atLeas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p>
        </w:tc>
        <w:tc>
          <w:tcPr>
            <w:tcW w:w="2658" w:type="pct"/>
            <w:vAlign w:val="center"/>
            <w:textDirection w:val="lrTb"/>
            <w:noWrap w:val="false"/>
          </w:tcPr>
          <w:p>
            <w:pPr>
              <w:ind w:left="0"/>
              <w:jc w:val="center"/>
              <w:keepLines w:val="0"/>
              <w:keepNext/>
              <w:pageBreakBefore w:val="0"/>
              <w:spacing w:line="240" w:lineRule="atLeas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工作成果</w:t>
            </w:r>
            <w:r/>
          </w:p>
        </w:tc>
        <w:tc>
          <w:tcPr>
            <w:tcW w:w="839" w:type="pct"/>
            <w:vAlign w:val="center"/>
            <w:textDirection w:val="lrTb"/>
            <w:noWrap w:val="false"/>
          </w:tcPr>
          <w:p>
            <w:pPr>
              <w:ind w:left="0"/>
              <w:jc w:val="center"/>
              <w:keepLines w:val="0"/>
              <w:keepNext/>
              <w:pageBreakBefore w:val="0"/>
              <w:spacing w:line="240" w:lineRule="atLeas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开展频次</w:t>
            </w:r>
            <w:r/>
          </w:p>
        </w:tc>
        <w:tc>
          <w:tcPr>
            <w:tcW w:w="576" w:type="pct"/>
            <w:vAlign w:val="center"/>
            <w:textDirection w:val="lrTb"/>
            <w:noWrap w:val="false"/>
          </w:tcPr>
          <w:p>
            <w:pPr>
              <w:ind w:left="0"/>
              <w:jc w:val="center"/>
              <w:keepLines w:val="0"/>
              <w:keepNext/>
              <w:pageBreakBefore w:val="0"/>
              <w:spacing w:line="240" w:lineRule="atLeast"/>
              <w:widowControl w:val="off"/>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highlight w:val="none"/>
                <w:lang w:val="en-US" w:eastAsia="zh-CN"/>
              </w:rPr>
              <w:t xml:space="preserve">单项最高限价</w:t>
            </w:r>
            <w:r/>
          </w:p>
        </w:tc>
      </w:tr>
      <w:tr>
        <w:trPr>
          <w:jc w:val="center"/>
          <w:trHeight w:val="90"/>
        </w:trPr>
        <w:tc>
          <w:tcPr>
            <w:gridSpan w:val="5"/>
            <w:tcW w:w="5000" w:type="pct"/>
            <w:vAlign w:val="center"/>
            <w:textDirection w:val="lrTb"/>
            <w:noWrap w:val="false"/>
          </w:tcPr>
          <w:p>
            <w:pPr>
              <w:ind w:left="0"/>
              <w:jc w:val="left"/>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一、重点工作</w:t>
            </w:r>
            <w:r/>
          </w:p>
        </w:tc>
      </w:tr>
      <w:tr>
        <w:trPr>
          <w:jc w:val="center"/>
          <w:trHeight w:val="4181"/>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开展过程安全管理体系穿透式诊断提升</w:t>
            </w:r>
            <w:r/>
          </w:p>
        </w:tc>
        <w:tc>
          <w:tcPr>
            <w:tcW w:w="2658" w:type="pct"/>
            <w:vAlign w:val="center"/>
            <w:textDirection w:val="lrTb"/>
            <w:noWrap w:val="false"/>
          </w:tcPr>
          <w:p>
            <w:pPr>
              <w:ind w:right="105"/>
              <w:spacing w:line="400" w:lineRule="exact"/>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对新区已投产危化品生产、仓储经营、使用企业开展过程安全管理体系穿透式诊断，形成诊断报告、问题清单和“一企一策”提升方案</w:t>
            </w:r>
            <w:r>
              <w:rPr>
                <w:rFonts w:hint="eastAsia" w:ascii="Times New Roman" w:hAnsi="Times New Roman" w:eastAsia="宋体" w:cs="Times New Roman"/>
                <w:color w:val="auto"/>
                <w:sz w:val="24"/>
                <w:highlight w:val="none"/>
                <w:lang w:eastAsia="zh-CN"/>
              </w:rPr>
              <w:t xml:space="preserve">，在</w:t>
            </w:r>
            <w:r>
              <w:rPr>
                <w:rFonts w:hint="default" w:ascii="Times New Roman" w:hAnsi="Times New Roman" w:eastAsia="宋体" w:cs="Times New Roman"/>
                <w:color w:val="auto"/>
                <w:sz w:val="24"/>
                <w:highlight w:val="none"/>
              </w:rPr>
              <w:t xml:space="preserve">合同期内，对新区已投产危化品企业实现诊断全覆盖，并结合诊断情况对重点企业开展复核评估，推动整改措施落实落地。</w:t>
            </w:r>
            <w:r/>
          </w:p>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highlight w:val="none"/>
                <w:lang w:val="en-US" w:eastAsia="zh-CN"/>
              </w:rPr>
              <w:t xml:space="preserve">对安全管理水平落后的企业，组织开展专项驻厂帮扶提升，补齐园区安全管理的短板。</w:t>
            </w:r>
            <w:r>
              <w:rPr>
                <w:rFonts w:hint="default" w:ascii="Times New Roman" w:hAnsi="Times New Roman" w:eastAsia="宋体" w:cs="Times New Roman"/>
                <w:color w:val="auto"/>
                <w:sz w:val="24"/>
                <w:highlight w:val="none"/>
              </w:rPr>
              <w:t xml:space="preserve">结合企业基础条件和行业代表性，选择基础较好、示范带动作用较强的企业开展重点培育，推动形成一批过程安全管理体系建设示范企业。</w:t>
            </w:r>
            <w:r/>
          </w:p>
        </w:tc>
        <w:tc>
          <w:tcPr>
            <w:tcW w:w="839"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合同期内全覆盖，重点企业适时复核</w:t>
            </w:r>
            <w:r>
              <w:rPr>
                <w:rFonts w:hint="default" w:ascii="Times New Roman" w:hAnsi="Times New Roman" w:eastAsia="宋体" w:cs="Times New Roman"/>
                <w:color w:val="auto"/>
                <w:sz w:val="24"/>
                <w:szCs w:val="24"/>
                <w:highlight w:val="none"/>
                <w:lang w:eastAsia="zh-CN"/>
              </w:rPr>
              <w:t xml:space="preserve">。</w:t>
            </w:r>
            <w:r/>
          </w:p>
        </w:tc>
        <w:tc>
          <w:tcPr>
            <w:tcW w:w="1066" w:type="dxa"/>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 xml:space="preserve">75</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bidi="ar-SA"/>
              </w:rPr>
              <w:t xml:space="preserve">开展HAZOP及本质安全专项诊断</w:t>
            </w:r>
            <w:r/>
          </w:p>
        </w:tc>
        <w:tc>
          <w:tcPr>
            <w:tcW w:w="2658"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对重点监管工艺在役装置开展HAZOP分析报告质量、报警管理、联锁设置、自动化控制逻辑、工艺变更后风险再验证等专项诊断，形成专项诊断报告，指导企业完善报警联锁、自动控制和本质安全措施。</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每年抽取不少于园区装置总数20%的典型装置</w:t>
            </w:r>
            <w:r>
              <w:rPr>
                <w:rFonts w:hint="default" w:ascii="Times New Roman" w:hAnsi="Times New Roman" w:eastAsia="宋体" w:cs="Times New Roman"/>
                <w:color w:val="auto"/>
                <w:sz w:val="24"/>
                <w:szCs w:val="24"/>
                <w:highlight w:val="none"/>
                <w:lang w:eastAsia="zh-CN"/>
              </w:rPr>
              <w:t xml:space="preserve">。</w:t>
            </w:r>
            <w:r/>
          </w:p>
        </w:tc>
        <w:tc>
          <w:tcPr>
            <w:tcW w:w="1066" w:type="dxa"/>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35</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加强建设项目和重点环节源头风险防控</w:t>
            </w:r>
            <w:r/>
          </w:p>
        </w:tc>
        <w:tc>
          <w:tcPr>
            <w:tcW w:w="2658"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对拟入园项目及现有企业新建、改建、扩建项目开展安全准入技术咨询，审阅可研等资料并提出准入咨询意见；对试生产、复产复工、开停车、重大技改后恢复运行等关键环节开展指导服务，</w:t>
            </w:r>
            <w:r>
              <w:rPr>
                <w:rFonts w:hint="default" w:ascii="Times New Roman" w:hAnsi="Times New Roman" w:eastAsia="宋体" w:cs="Times New Roman"/>
                <w:color w:val="auto"/>
                <w:sz w:val="24"/>
                <w:szCs w:val="24"/>
                <w:highlight w:val="none"/>
                <w:lang w:val="en-US" w:eastAsia="zh-CN"/>
              </w:rPr>
              <w:t xml:space="preserve">出具专家</w:t>
            </w:r>
            <w:r>
              <w:rPr>
                <w:rFonts w:hint="eastAsia" w:ascii="Times New Roman" w:hAnsi="Times New Roman" w:eastAsia="宋体" w:cs="Times New Roman"/>
                <w:color w:val="auto"/>
                <w:sz w:val="24"/>
                <w:szCs w:val="24"/>
                <w:highlight w:val="none"/>
                <w:lang w:val="en-US" w:eastAsia="zh-CN"/>
              </w:rPr>
              <w:t xml:space="preserve">论证</w:t>
            </w:r>
            <w:r>
              <w:rPr>
                <w:rFonts w:hint="default" w:ascii="Times New Roman" w:hAnsi="Times New Roman" w:eastAsia="宋体" w:cs="Times New Roman"/>
                <w:color w:val="auto"/>
                <w:sz w:val="24"/>
                <w:szCs w:val="24"/>
                <w:highlight w:val="none"/>
                <w:lang w:val="en-US" w:eastAsia="zh-CN"/>
              </w:rPr>
              <w:t xml:space="preserve">意见，</w:t>
            </w:r>
            <w:r>
              <w:rPr>
                <w:rFonts w:hint="default" w:ascii="Times New Roman" w:hAnsi="Times New Roman" w:eastAsia="宋体" w:cs="Times New Roman"/>
                <w:color w:val="auto"/>
                <w:sz w:val="24"/>
                <w:szCs w:val="24"/>
                <w:highlight w:val="none"/>
              </w:rPr>
              <w:t xml:space="preserve">形成风险管控建议清单并跟踪复核。</w:t>
            </w:r>
            <w:r/>
          </w:p>
        </w:tc>
        <w:tc>
          <w:tcPr>
            <w:tcW w:w="839"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根据项目进程及时开展</w:t>
            </w:r>
            <w:r>
              <w:rPr>
                <w:rFonts w:hint="default" w:ascii="Times New Roman" w:hAnsi="Times New Roman" w:eastAsia="宋体" w:cs="Times New Roman"/>
                <w:color w:val="auto"/>
                <w:sz w:val="24"/>
                <w:szCs w:val="24"/>
                <w:highlight w:val="none"/>
                <w:lang w:eastAsia="zh-CN"/>
              </w:rPr>
              <w:t xml:space="preserve">。</w:t>
            </w:r>
            <w:r/>
          </w:p>
        </w:tc>
        <w:tc>
          <w:tcPr>
            <w:tcW w:w="1066" w:type="dxa"/>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35</w:t>
            </w:r>
            <w:r/>
          </w:p>
        </w:tc>
      </w:tr>
      <w:tr>
        <w:trPr>
          <w:jc w:val="center"/>
          <w:trHeight w:val="1951"/>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深化智慧化监管场景建设和实战应用</w:t>
            </w:r>
            <w:r/>
          </w:p>
        </w:tc>
        <w:tc>
          <w:tcPr>
            <w:tcW w:w="2658"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围绕关键设备运行监测、异常工况识别预警、特殊作业智慧化监管、承包商作业过程管控、重大危险源线上巡查、报警及联锁异常分析等，提出场景建设需求、模型优化建议和应用评估意见，形成智慧化监管优化报告</w:t>
            </w:r>
            <w:r>
              <w:rPr>
                <w:rFonts w:hint="default" w:ascii="Times New Roman" w:hAnsi="Times New Roman" w:eastAsia="宋体" w:cs="Times New Roman"/>
                <w:color w:val="auto"/>
                <w:sz w:val="24"/>
                <w:szCs w:val="24"/>
                <w:highlight w:val="none"/>
                <w:lang w:eastAsia="zh-CN"/>
              </w:rPr>
              <w:t xml:space="preserve">。</w:t>
            </w:r>
            <w:r/>
          </w:p>
        </w:tc>
        <w:tc>
          <w:tcPr>
            <w:tcW w:w="839" w:type="pct"/>
            <w:vAlign w:val="center"/>
            <w:textDirection w:val="lrTb"/>
            <w:noWrap w:val="false"/>
          </w:tcPr>
          <w:p>
            <w:pPr>
              <w:pStyle w:val="748"/>
              <w:ind w:left="0" w:firstLine="0"/>
              <w:keepLines w:val="0"/>
              <w:keepNext/>
              <w:pageBreakBefore w:val="0"/>
              <w:spacing w:after="0"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适时开展，每年至少形成</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份专题成果</w:t>
            </w:r>
            <w:r>
              <w:rPr>
                <w:rFonts w:hint="default" w:ascii="Times New Roman" w:hAnsi="Times New Roman" w:eastAsia="宋体" w:cs="Times New Roman"/>
                <w:color w:val="auto"/>
                <w:sz w:val="24"/>
                <w:szCs w:val="24"/>
                <w:highlight w:val="none"/>
                <w:lang w:eastAsia="zh-CN"/>
              </w:rPr>
              <w:t xml:space="preserve">。</w:t>
            </w:r>
            <w:r/>
          </w:p>
        </w:tc>
        <w:tc>
          <w:tcPr>
            <w:tcW w:w="1066" w:type="dxa"/>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30</w:t>
            </w:r>
            <w:r/>
          </w:p>
        </w:tc>
      </w:tr>
      <w:tr>
        <w:trPr>
          <w:jc w:val="center"/>
          <w:trHeight w:val="0"/>
        </w:trPr>
        <w:tc>
          <w:tcPr>
            <w:gridSpan w:val="5"/>
            <w:tcW w:w="5000" w:type="pct"/>
            <w:vAlign w:val="center"/>
            <w:textDirection w:val="lrTb"/>
            <w:noWrap w:val="false"/>
          </w:tcPr>
          <w:p>
            <w:pPr>
              <w:ind w:left="0"/>
              <w:jc w:val="left"/>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二、常规工作</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专家团队长期驻点坐班</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日常</w:t>
            </w:r>
            <w:r>
              <w:rPr>
                <w:rFonts w:hint="default" w:ascii="Times New Roman" w:hAnsi="Times New Roman" w:eastAsia="宋体" w:cs="Times New Roman"/>
                <w:color w:val="auto"/>
                <w:sz w:val="24"/>
                <w:szCs w:val="24"/>
                <w:highlight w:val="none"/>
              </w:rPr>
              <w:t xml:space="preserve">安排不少于5人的专家团队常驻，专业涵盖化工安全管理、工艺、设备、电气、仪表、消防等领域；明确1名项目负责人，按月形成工作总结、问题清单、风险提示和下步安排；根据需要调配专家开展专项支撑。</w:t>
            </w:r>
            <w:r/>
          </w:p>
        </w:tc>
        <w:tc>
          <w:tcPr>
            <w:tcW w:w="839" w:type="pct"/>
            <w:vAlign w:val="center"/>
            <w:textDirection w:val="lrTb"/>
            <w:noWrap w:val="false"/>
          </w:tcPr>
          <w:p>
            <w:pPr>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全周期驻点</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restart"/>
            <w:textDirection w:val="lrTb"/>
            <w:noWrap w:val="false"/>
          </w:tcPr>
          <w:p>
            <w:pPr>
              <w:ind w:left="0" w:firstLine="24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175</w:t>
            </w:r>
            <w:r/>
          </w:p>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（35万/人/年）</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深化重点领域专项治理</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rPr>
              <w:t xml:space="preserve">围绕重大事故隐患、高危细分领域、特殊作业、承包商管理、设备带“病”运行、异常工况、屡查屡犯问题等，每月至少选择1项重点专题开展专项排查或“回头看”，形成专项检查方案、检查报告、整改建议和复核意见。</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每月至少1项专题</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开展“三警”服务支撑</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围绕警醒、警戒、警示“三警”机制，及时开展外地事故信息收集研判，形成警醒提示；根据研判情况制定排查重点和检查指南，支撑开展警戒性排查检查；围绕典型事故、异常事件、未遂事件、非计划停车、报警联锁异常等形成警示案例、复盘分析和专题材料。</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根据需要及时开展。</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bidi="ar-SA"/>
              </w:rPr>
              <w:t xml:space="preserve">常规安全检查技术支撑</w:t>
            </w:r>
            <w:r/>
          </w:p>
        </w:tc>
        <w:tc>
          <w:tcPr>
            <w:tcW w:w="2658" w:type="pct"/>
            <w:vAlign w:val="center"/>
            <w:textDirection w:val="lrTb"/>
            <w:noWrap w:val="false"/>
          </w:tcPr>
          <w:p>
            <w:pPr>
              <w:numPr>
                <w:ilvl w:val="0"/>
                <w:numId w:val="0"/>
              </w:numP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配合新区开展年度执法检查、安全许可换证现场核查、专项督导、临时性检查巡查等工作；配合对部、省、市及新区交办问题隐患整改情况进行复核，提出专业意见。</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根据需要及时开展</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415"/>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5</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bidi="ar-SA"/>
              </w:rPr>
              <w:t xml:space="preserve">安全风险形势分析研判</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每季度形成1份园区安全风险形势分析研判报告；每半年形成1份危化品企业安全运行分析报告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提出共性问题和整改建议。</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季度1次；半年1次</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6</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bidi="ar-SA"/>
              </w:rPr>
              <w:t xml:space="preserve">指导开展应急演练和应急能力提升</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指导新区每年开展不少于1次双盲应急演练和其他综合性、专项性应急演练；参与对危化品企业双盲应急演练的现场评估，形成问题清单、评估意见和改进建议。</w:t>
            </w:r>
            <w:r/>
          </w:p>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根据园区需要</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每年组织应急救援方面专家开展园区应急物资和应急能力</w:t>
            </w:r>
            <w:r>
              <w:rPr>
                <w:rFonts w:hint="eastAsia" w:ascii="Times New Roman" w:hAnsi="Times New Roman" w:eastAsia="宋体" w:cs="Times New Roman"/>
                <w:color w:val="auto"/>
                <w:sz w:val="24"/>
                <w:szCs w:val="24"/>
                <w:highlight w:val="none"/>
                <w:lang w:val="en-US" w:eastAsia="zh-CN"/>
              </w:rPr>
              <w:t xml:space="preserve">检查和</w:t>
            </w:r>
            <w:r>
              <w:rPr>
                <w:rFonts w:hint="default" w:ascii="Times New Roman" w:hAnsi="Times New Roman" w:eastAsia="宋体" w:cs="Times New Roman"/>
                <w:color w:val="auto"/>
                <w:sz w:val="24"/>
                <w:szCs w:val="24"/>
                <w:highlight w:val="none"/>
                <w:lang w:val="en-US" w:eastAsia="zh-CN"/>
              </w:rPr>
              <w:t xml:space="preserve">评估。</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园区双盲演练每年</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1次；企业双盲演练评估</w:t>
            </w:r>
            <w:r>
              <w:rPr>
                <w:rFonts w:hint="default" w:ascii="Times New Roman" w:hAnsi="Times New Roman" w:eastAsia="宋体" w:cs="Times New Roman"/>
                <w:color w:val="auto"/>
                <w:sz w:val="24"/>
                <w:szCs w:val="24"/>
                <w:highlight w:val="none"/>
                <w:lang w:val="en-US" w:eastAsia="zh-CN"/>
              </w:rPr>
              <w:t xml:space="preserve">按</w:t>
            </w:r>
            <w:r>
              <w:rPr>
                <w:rFonts w:hint="default" w:ascii="Times New Roman" w:hAnsi="Times New Roman" w:eastAsia="宋体" w:cs="Times New Roman"/>
                <w:color w:val="auto"/>
                <w:sz w:val="24"/>
                <w:szCs w:val="24"/>
                <w:highlight w:val="none"/>
              </w:rPr>
              <w:t xml:space="preserve">需开展</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7</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en-US" w:eastAsia="zh-CN" w:bidi="ar-SA"/>
              </w:rPr>
              <w:t xml:space="preserve">开展培训交流和本土化专家队伍培养</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rPr>
              <w:t xml:space="preserve">每年组织不少于5次</w:t>
            </w:r>
            <w:r>
              <w:rPr>
                <w:rFonts w:hint="default" w:ascii="Times New Roman" w:hAnsi="Times New Roman" w:eastAsia="宋体" w:cs="Times New Roman"/>
                <w:color w:val="auto"/>
                <w:sz w:val="24"/>
                <w:szCs w:val="24"/>
                <w:highlight w:val="none"/>
                <w:lang w:val="en-US" w:eastAsia="zh-CN"/>
              </w:rPr>
              <w:t xml:space="preserve">综合</w:t>
            </w:r>
            <w:r>
              <w:rPr>
                <w:rFonts w:hint="default" w:ascii="Times New Roman" w:hAnsi="Times New Roman" w:eastAsia="宋体" w:cs="Times New Roman"/>
                <w:color w:val="auto"/>
                <w:sz w:val="24"/>
                <w:szCs w:val="24"/>
                <w:highlight w:val="none"/>
              </w:rPr>
              <w:t xml:space="preserve">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每家企业至少开展1次差异化培训</w:t>
            </w:r>
            <w:r>
              <w:rPr>
                <w:rFonts w:hint="default" w:ascii="Times New Roman" w:hAnsi="Times New Roman" w:eastAsia="宋体" w:cs="Times New Roman"/>
                <w:color w:val="auto"/>
                <w:sz w:val="24"/>
                <w:szCs w:val="24"/>
                <w:highlight w:val="none"/>
              </w:rPr>
              <w:t xml:space="preserve">；通过联合检查、案例复盘、专题研讨、驻点跟学等方式，帮助企业培养本土化专家骨干；每半年收集汇编国内先进园区和标杆企业典型经验做法，形成专题资料。</w:t>
            </w:r>
            <w:r>
              <w:rPr>
                <w:rFonts w:hint="default" w:ascii="Times New Roman" w:hAnsi="Times New Roman" w:eastAsia="宋体" w:cs="Times New Roman"/>
                <w:color w:val="auto"/>
                <w:sz w:val="24"/>
                <w:szCs w:val="24"/>
                <w:highlight w:val="none"/>
                <w:lang w:val="en-US" w:eastAsia="zh-CN" w:bidi="ar-SA"/>
              </w:rPr>
              <w:t xml:space="preserve">深化监管人员传帮带培养，提升监管人员</w:t>
            </w:r>
            <w:r>
              <w:rPr>
                <w:rFonts w:hint="eastAsia" w:ascii="Times New Roman" w:hAnsi="Times New Roman" w:eastAsia="宋体" w:cs="Times New Roman"/>
                <w:color w:val="auto"/>
                <w:sz w:val="24"/>
                <w:szCs w:val="24"/>
                <w:highlight w:val="none"/>
                <w:lang w:val="en-US" w:eastAsia="zh-CN" w:bidi="ar-SA"/>
              </w:rPr>
              <w:t xml:space="preserve">安全监管</w:t>
            </w:r>
            <w:r>
              <w:rPr>
                <w:rFonts w:hint="default" w:ascii="Times New Roman" w:hAnsi="Times New Roman" w:eastAsia="宋体" w:cs="Times New Roman"/>
                <w:color w:val="auto"/>
                <w:sz w:val="24"/>
                <w:szCs w:val="24"/>
                <w:highlight w:val="none"/>
                <w:lang w:val="en-US" w:eastAsia="zh-CN" w:bidi="ar-SA"/>
              </w:rPr>
              <w:t xml:space="preserve">专业履职水平。</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培训不少于5次/年；汇编1次/半年</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8</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协助开展日常值守和重点时段值班值守</w:t>
            </w:r>
            <w:r/>
          </w:p>
        </w:tc>
        <w:tc>
          <w:tcPr>
            <w:tcW w:w="2658"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应安排不少于2名专业技术人员在岗值班值守，参与园区每日安全运行信息研判、重点风险提醒、突发情况会商和现场技术支撑。</w:t>
            </w:r>
            <w:r/>
          </w:p>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在法定节假日、恶劣天气、重大活动、装置集中检维修等重点时段，配合招标人安排专家在岗值守或备勤，协助新区开展重点时段安全巡查，做好突发事件应急处置准备。</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根据需要及时开展</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9</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开展园区层面安全治理机制研究和综合支撑</w:t>
            </w:r>
            <w:r/>
          </w:p>
        </w:tc>
        <w:tc>
          <w:tcPr>
            <w:tcW w:w="2658" w:type="pct"/>
            <w:vAlign w:val="center"/>
            <w:textDirection w:val="lrTb"/>
            <w:noWrap w:val="false"/>
          </w:tcPr>
          <w:p>
            <w:pPr>
              <w:ind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lang w:val="en-US" w:eastAsia="zh-CN"/>
              </w:rPr>
              <w:t xml:space="preserve">围绕园区层面安全管理事项，协助开展专题研究、机制评估和制度优化，形成专题报告、典型案例等成果；围绕过程安全管理、重点领域专项治理等工作，及时总结提炼成熟做法，形成机制性成果。</w:t>
            </w:r>
            <w:r>
              <w:rPr>
                <w:rFonts w:hint="eastAsia" w:ascii="Times New Roman" w:hAnsi="Times New Roman" w:eastAsia="宋体" w:cs="Times New Roman"/>
                <w:color w:val="auto"/>
                <w:sz w:val="24"/>
                <w:szCs w:val="24"/>
                <w:highlight w:val="none"/>
                <w:lang w:val="en-US" w:eastAsia="zh-CN"/>
              </w:rPr>
              <w:t xml:space="preserve">组织不少于</w:t>
            </w:r>
            <w:r>
              <w:rPr>
                <w:rFonts w:hint="default" w:ascii="Times New Roman" w:hAnsi="Times New Roman" w:eastAsia="宋体" w:cs="Times New Roman"/>
                <w:color w:val="auto"/>
                <w:sz w:val="24"/>
                <w:szCs w:val="24"/>
                <w:highlight w:val="none"/>
                <w:lang w:val="en-US" w:eastAsia="zh-CN"/>
              </w:rPr>
              <w:t xml:space="preserve">5名</w:t>
            </w:r>
            <w:r>
              <w:rPr>
                <w:rFonts w:hint="eastAsia" w:ascii="Times New Roman" w:hAnsi="Times New Roman" w:eastAsia="宋体" w:cs="Times New Roman"/>
                <w:color w:val="auto"/>
                <w:sz w:val="24"/>
                <w:szCs w:val="24"/>
                <w:highlight w:val="none"/>
                <w:lang w:val="en-US" w:eastAsia="zh-CN"/>
              </w:rPr>
              <w:t xml:space="preserve">专家，每年对新区石化产业基地开展风险等级评估，专家应参加过省级及以上化工园区评估。</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根据</w:t>
            </w:r>
            <w:r>
              <w:rPr>
                <w:rFonts w:hint="default" w:ascii="Times New Roman" w:hAnsi="Times New Roman" w:eastAsia="宋体" w:cs="Times New Roman"/>
                <w:color w:val="auto"/>
                <w:sz w:val="24"/>
                <w:szCs w:val="24"/>
                <w:highlight w:val="none"/>
                <w:lang w:val="en-US" w:eastAsia="zh-CN"/>
              </w:rPr>
              <w:t xml:space="preserve">工作安排</w:t>
            </w:r>
            <w:r>
              <w:rPr>
                <w:rFonts w:hint="default" w:ascii="Times New Roman" w:hAnsi="Times New Roman" w:eastAsia="宋体" w:cs="Times New Roman"/>
                <w:color w:val="auto"/>
                <w:sz w:val="24"/>
                <w:szCs w:val="24"/>
                <w:highlight w:val="none"/>
              </w:rPr>
              <w:t xml:space="preserve">开展</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vMerge w:val="continue"/>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0"/>
        </w:trPr>
        <w:tc>
          <w:tcPr>
            <w:gridSpan w:val="5"/>
            <w:tcW w:w="5000" w:type="pct"/>
            <w:vAlign w:val="center"/>
            <w:textDirection w:val="lrTb"/>
            <w:noWrap w:val="false"/>
          </w:tcPr>
          <w:p>
            <w:pPr>
              <w:ind w:left="0"/>
              <w:jc w:val="left"/>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三、保障机制</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专家出行与现场服务保障</w:t>
            </w:r>
            <w:r/>
          </w:p>
        </w:tc>
        <w:tc>
          <w:tcPr>
            <w:tcW w:w="2658" w:type="pct"/>
            <w:vAlign w:val="center"/>
            <w:textDirection w:val="lrTb"/>
            <w:noWrap w:val="false"/>
          </w:tcPr>
          <w:p>
            <w:pPr>
              <w:ind w:left="0"/>
              <w:jc w:val="left"/>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第三方服务单位应配备满足项目需要的车辆和现场服务保障条件，确保项目相关人员日常出行、夜间值守、突发情况下现场支撑及时到位。</w:t>
            </w:r>
            <w:r/>
          </w:p>
        </w:tc>
        <w:tc>
          <w:tcPr>
            <w:tcW w:w="83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全周期保障</w:t>
            </w:r>
            <w:r>
              <w:rPr>
                <w:rFonts w:hint="default" w:ascii="Times New Roman" w:hAnsi="Times New Roman" w:eastAsia="宋体" w:cs="Times New Roman"/>
                <w:color w:val="auto"/>
                <w:sz w:val="24"/>
                <w:szCs w:val="24"/>
                <w:highlight w:val="none"/>
                <w:lang w:eastAsia="zh-CN"/>
              </w:rPr>
              <w:t xml:space="preserve">。</w:t>
            </w:r>
            <w:r/>
          </w:p>
        </w:tc>
        <w:tc>
          <w:tcPr>
            <w:tcW w:w="576"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w:t>
            </w:r>
            <w:r/>
          </w:p>
        </w:tc>
      </w:tr>
      <w:tr>
        <w:trPr>
          <w:jc w:val="center"/>
          <w:trHeight w:val="0"/>
        </w:trPr>
        <w:tc>
          <w:tcPr>
            <w:tcW w:w="279"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p>
        </w:tc>
        <w:tc>
          <w:tcPr>
            <w:tcW w:w="645" w:type="pct"/>
            <w:vAlign w:val="center"/>
            <w:textDirection w:val="lrTb"/>
            <w:noWrap w:val="false"/>
          </w:tcPr>
          <w:p>
            <w:pPr>
              <w:pStyle w:val="1009"/>
              <w:ind w:left="0"/>
              <w:jc w:val="both"/>
              <w:keepLines w:val="0"/>
              <w:keepNext/>
              <w:pageBreakBefore w:val="0"/>
              <w:spacing w:line="400" w:lineRule="exact"/>
              <w:widowControl w:val="off"/>
              <w:rPr>
                <w:rFonts w:hint="default" w:ascii="Times New Roman" w:hAnsi="Times New Roman" w:eastAsia="宋体" w:cs="Times New Roman"/>
                <w:strike w:val="0"/>
                <w:color w:val="auto"/>
                <w:sz w:val="24"/>
                <w:szCs w:val="24"/>
                <w:highlight w:val="none"/>
              </w:rPr>
            </w:pPr>
            <w:r>
              <w:rPr>
                <w:rFonts w:hint="default" w:ascii="Times New Roman" w:hAnsi="Times New Roman" w:eastAsia="宋体" w:cs="Times New Roman"/>
                <w:strike w:val="0"/>
                <w:color w:val="auto"/>
                <w:sz w:val="24"/>
                <w:szCs w:val="24"/>
                <w:highlight w:val="none"/>
                <w:lang w:val="en-US" w:eastAsia="zh-CN" w:bidi="ar-SA"/>
              </w:rPr>
              <w:t xml:space="preserve">服务质量考核</w:t>
            </w:r>
            <w:r/>
          </w:p>
        </w:tc>
        <w:tc>
          <w:tcPr>
            <w:tcW w:w="2658" w:type="pct"/>
            <w:vAlign w:val="center"/>
            <w:textDirection w:val="lrTb"/>
            <w:noWrap w:val="false"/>
          </w:tcPr>
          <w:p>
            <w:pPr>
              <w:ind w:left="0"/>
              <w:keepLines w:val="0"/>
              <w:keepNext/>
              <w:pageBreakBefore w:val="0"/>
              <w:spacing w:line="400" w:lineRule="exact"/>
              <w:widowControl w:val="off"/>
              <w:rPr>
                <w:rFonts w:hint="eastAsia" w:ascii="Times New Roman" w:hAnsi="Times New Roman" w:eastAsia="宋体" w:cs="Times New Roman"/>
                <w:strike w:val="0"/>
                <w:color w:val="auto"/>
                <w:sz w:val="24"/>
                <w:szCs w:val="24"/>
                <w:highlight w:val="none"/>
                <w:lang w:eastAsia="zh-CN"/>
              </w:rPr>
            </w:pPr>
            <w:r>
              <w:rPr>
                <w:rFonts w:hint="default" w:ascii="Times New Roman" w:hAnsi="Times New Roman" w:eastAsia="宋体" w:cs="Times New Roman"/>
                <w:strike w:val="0"/>
                <w:color w:val="auto"/>
                <w:sz w:val="24"/>
                <w:szCs w:val="24"/>
                <w:highlight w:val="none"/>
                <w:lang w:val="en-US" w:eastAsia="zh-CN"/>
              </w:rPr>
              <w:t xml:space="preserve">项目费用中50万元作为服务质量履约考核费用。考核内容主要包括任务完成、成果质量、隐患排查、整改复核、培训演练、风险研判和服务评价等。</w:t>
            </w:r>
            <w:r/>
          </w:p>
        </w:tc>
        <w:tc>
          <w:tcPr>
            <w:tcW w:w="839" w:type="pct"/>
            <w:vAlign w:val="center"/>
            <w:textDirection w:val="lrTb"/>
            <w:noWrap w:val="false"/>
          </w:tcPr>
          <w:p>
            <w:pPr>
              <w:ind w:left="0"/>
              <w:keepLines w:val="0"/>
              <w:keepNext/>
              <w:pageBreakBefore w:val="0"/>
              <w:spacing w:line="400" w:lineRule="exact"/>
              <w:widowControl w:val="off"/>
              <w:rPr>
                <w:rFonts w:hint="default" w:ascii="Times New Roman" w:hAnsi="Times New Roman" w:eastAsia="宋体" w:cs="Times New Roman"/>
                <w:strike w:val="0"/>
                <w:color w:val="auto"/>
                <w:sz w:val="24"/>
                <w:szCs w:val="24"/>
                <w:highlight w:val="none"/>
                <w:lang w:val="en-US" w:eastAsia="zh-CN"/>
              </w:rPr>
            </w:pPr>
            <w:r>
              <w:rPr>
                <w:rFonts w:hint="default" w:ascii="Times New Roman" w:hAnsi="Times New Roman" w:eastAsia="宋体" w:cs="Times New Roman"/>
                <w:strike w:val="0"/>
                <w:color w:val="auto"/>
                <w:sz w:val="24"/>
                <w:szCs w:val="24"/>
                <w:highlight w:val="none"/>
              </w:rPr>
              <w:t xml:space="preserve">按年度考核</w:t>
            </w:r>
            <w:r/>
          </w:p>
        </w:tc>
        <w:tc>
          <w:tcPr>
            <w:tcW w:w="576"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strike w:val="0"/>
                <w:color w:val="auto"/>
                <w:sz w:val="24"/>
                <w:szCs w:val="24"/>
                <w:highlight w:val="none"/>
              </w:rPr>
            </w:pPr>
            <w:r>
              <w:rPr>
                <w:rFonts w:hint="default" w:ascii="Times New Roman" w:hAnsi="Times New Roman" w:eastAsia="宋体" w:cs="Times New Roman"/>
                <w:strike w:val="0"/>
                <w:color w:val="auto"/>
                <w:sz w:val="24"/>
                <w:szCs w:val="24"/>
                <w:highlight w:val="none"/>
              </w:rPr>
              <w:t xml:space="preserve">50</w:t>
            </w:r>
            <w:r/>
          </w:p>
        </w:tc>
      </w:tr>
      <w:tr>
        <w:trPr>
          <w:jc w:val="center"/>
          <w:trHeight w:val="0"/>
        </w:trPr>
        <w:tc>
          <w:tcPr>
            <w:gridSpan w:val="4"/>
            <w:tcW w:w="4423" w:type="pct"/>
            <w:vAlign w:val="center"/>
            <w:textDirection w:val="lrTb"/>
            <w:noWrap w:val="false"/>
          </w:tcPr>
          <w:p>
            <w:pPr>
              <w:ind w:left="0"/>
              <w:jc w:val="center"/>
              <w:keepLines w:val="0"/>
              <w:keepNext/>
              <w:pageBreakBefore w:val="0"/>
              <w:spacing w:line="400" w:lineRule="exact"/>
              <w:widowControl w:val="off"/>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费用总计</w:t>
            </w:r>
            <w:r>
              <w:rPr>
                <w:rFonts w:hint="eastAsia" w:ascii="宋体" w:hAnsi="宋体" w:eastAsia="宋体" w:cs="Times New Roman"/>
                <w:color w:val="auto"/>
                <w:sz w:val="24"/>
                <w:highlight w:val="none"/>
                <w:lang w:val="en-US" w:eastAsia="zh-CN"/>
              </w:rPr>
              <w:t xml:space="preserve">（每年</w:t>
            </w:r>
            <w:r>
              <w:rPr>
                <w:rFonts w:hint="default" w:ascii="Times New Roman" w:hAnsi="Times New Roman" w:eastAsia="宋体" w:cs="Times New Roman"/>
                <w:color w:val="auto"/>
                <w:sz w:val="24"/>
                <w:szCs w:val="24"/>
                <w:highlight w:val="none"/>
              </w:rPr>
              <w:t xml:space="preserve">费用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单位万元</w:t>
            </w:r>
            <w:r>
              <w:rPr>
                <w:rFonts w:hint="eastAsia" w:ascii="宋体" w:hAnsi="宋体" w:eastAsia="宋体" w:cs="Times New Roman"/>
                <w:color w:val="auto"/>
                <w:sz w:val="24"/>
                <w:highlight w:val="none"/>
                <w:lang w:val="en-US" w:eastAsia="zh-CN"/>
              </w:rPr>
              <w:t xml:space="preserve">）</w:t>
            </w:r>
            <w:r/>
          </w:p>
        </w:tc>
        <w:tc>
          <w:tcPr>
            <w:tcW w:w="576" w:type="pct"/>
            <w:vAlign w:val="center"/>
            <w:textDirection w:val="lrTb"/>
            <w:noWrap w:val="false"/>
          </w:tcPr>
          <w:p>
            <w:pPr>
              <w:ind w:left="0"/>
              <w:jc w:val="center"/>
              <w:keepLines w:val="0"/>
              <w:keepNext/>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400</w:t>
            </w:r>
            <w:r/>
          </w:p>
        </w:tc>
      </w:tr>
    </w:tbl>
    <w:p>
      <w:pPr>
        <w:pStyle w:val="901"/>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901"/>
        <w:numPr>
          <w:ilvl w:val="0"/>
          <w:numId w:val="0"/>
        </w:numPr>
        <w:keepLines/>
        <w:spacing w:line="360" w:lineRule="auto"/>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rPr>
          <w:rFonts w:hint="eastAsia" w:ascii="Times New Roman" w:hAnsi="宋体" w:eastAsia="黑体"/>
          <w:color w:val="auto"/>
          <w:sz w:val="36"/>
          <w:szCs w:val="20"/>
          <w:highlight w:val="none"/>
        </w:rPr>
      </w:pPr>
      <w:r>
        <w:rPr>
          <w:rFonts w:hint="eastAsia" w:ascii="Times New Roman" w:hAnsi="宋体" w:eastAsia="黑体"/>
          <w:color w:val="auto"/>
          <w:sz w:val="36"/>
          <w:szCs w:val="20"/>
          <w:highlight w:val="none"/>
        </w:rPr>
      </w:r>
      <w:r/>
    </w:p>
    <w:p>
      <w:pPr>
        <w:pStyle w:val="901"/>
        <w:numPr>
          <w:ilvl w:val="0"/>
          <w:numId w:val="0"/>
        </w:numPr>
        <w:keepLines/>
        <w:spacing w:line="360" w:lineRule="auto"/>
        <w:rPr>
          <w:rFonts w:hint="eastAsia" w:ascii="宋体" w:hAnsi="宋体" w:eastAsia="宋体"/>
          <w:color w:val="auto"/>
          <w:highlight w:val="none"/>
        </w:rPr>
      </w:pPr>
      <w:r>
        <w:rPr>
          <w:rFonts w:hint="eastAsia" w:ascii="Times New Roman" w:hAnsi="宋体" w:eastAsia="黑体"/>
          <w:color w:val="auto"/>
          <w:sz w:val="36"/>
          <w:szCs w:val="20"/>
          <w:highlight w:val="none"/>
        </w:rPr>
        <w:t xml:space="preserve">第五部分  合同</w:t>
      </w:r>
      <w:bookmarkEnd w:id="137"/>
      <w:r/>
      <w:r/>
    </w:p>
    <w:p>
      <w:pPr>
        <w:jc w:val="center"/>
        <w:spacing w:line="360" w:lineRule="auto"/>
        <w:rPr>
          <w:rFonts w:hint="eastAsia" w:ascii="宋体" w:hAnsi="宋体"/>
          <w:b/>
          <w:bCs/>
          <w:color w:val="auto"/>
          <w:sz w:val="52"/>
          <w:highlight w:val="none"/>
        </w:rPr>
      </w:pPr>
      <w:r>
        <w:rPr>
          <w:rFonts w:hint="eastAsia" w:ascii="宋体" w:hAnsi="宋体"/>
          <w:b/>
          <w:bCs/>
          <w:color w:val="auto"/>
          <w:sz w:val="52"/>
          <w:highlight w:val="none"/>
        </w:rPr>
      </w:r>
      <w:r/>
    </w:p>
    <w:p>
      <w:pPr>
        <w:ind w:firstLine="2078"/>
        <w:spacing w:line="360" w:lineRule="auto"/>
        <w:rPr>
          <w:rFonts w:hint="eastAsia" w:ascii="宋体" w:hAnsi="宋体"/>
          <w:b/>
          <w:bCs/>
          <w:color w:val="auto"/>
          <w:sz w:val="52"/>
          <w:highlight w:val="none"/>
        </w:rPr>
      </w:pPr>
      <w:r/>
      <w:bookmarkStart w:id="138" w:name="_Toc58260786"/>
      <w:r/>
      <w:bookmarkStart w:id="139" w:name="_Toc91183847"/>
      <w:r/>
      <w:bookmarkStart w:id="140" w:name="_Toc91256335"/>
      <w:r>
        <w:rPr>
          <w:rFonts w:hint="eastAsia" w:ascii="宋体" w:hAnsi="宋体"/>
          <w:b/>
          <w:bCs/>
          <w:color w:val="auto"/>
          <w:sz w:val="52"/>
          <w:highlight w:val="none"/>
        </w:rPr>
        <w:t xml:space="preserve">连 云 港 市 政 府 采 购</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3070"/>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ind w:firstLine="880"/>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sz w:val="28"/>
          <w:highlight w:val="none"/>
        </w:rPr>
      </w:pPr>
      <w:r>
        <w:rPr>
          <w:rFonts w:ascii="宋体" w:hAnsi="宋体"/>
          <w:color w:val="auto"/>
          <w:highlight w:val="none"/>
        </w:rPr>
        <w:br w:type="page" w:clear="all"/>
      </w:r>
      <w:r/>
    </w:p>
    <w:p>
      <w:pPr>
        <w:ind w:left="359" w:firstLine="198"/>
        <w:jc w:val="center"/>
        <w:rPr>
          <w:rFonts w:hint="eastAsia" w:ascii="宋体" w:hAnsi="宋体"/>
          <w:color w:val="auto"/>
          <w:sz w:val="28"/>
          <w:highlight w:val="none"/>
        </w:rPr>
      </w:pPr>
      <w:r>
        <w:rPr>
          <w:rFonts w:hint="eastAsia" w:ascii="宋体" w:hAnsi="宋体"/>
          <w:color w:val="auto"/>
          <w:sz w:val="28"/>
          <w:highlight w:val="none"/>
        </w:rPr>
        <w:t xml:space="preserve">目  录</w:t>
      </w:r>
      <w:r/>
    </w:p>
    <w:p>
      <w:pPr>
        <w:ind w:left="359" w:firstLine="198"/>
        <w:spacing w:line="360" w:lineRule="auto"/>
        <w:tabs>
          <w:tab w:val="left" w:pos="1170" w:leader="none"/>
        </w:tabs>
        <w:rPr>
          <w:rFonts w:hint="eastAsia" w:ascii="宋体" w:hAnsi="宋体"/>
          <w:color w:val="auto"/>
          <w:sz w:val="28"/>
          <w:highlight w:val="none"/>
        </w:rPr>
      </w:pPr>
      <w:r>
        <w:rPr>
          <w:rFonts w:ascii="宋体" w:hAnsi="宋体"/>
          <w:color w:val="auto"/>
          <w:sz w:val="28"/>
          <w:highlight w:val="none"/>
        </w:rPr>
        <w:tab/>
      </w:r>
      <w:r/>
    </w:p>
    <w:p>
      <w:pPr>
        <w:numPr>
          <w:ilvl w:val="0"/>
          <w:numId w:val="6"/>
        </w:numPr>
        <w:ind w:left="357"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合同书</w:t>
      </w:r>
      <w:r/>
    </w:p>
    <w:p>
      <w:pPr>
        <w:numPr>
          <w:ilvl w:val="0"/>
          <w:numId w:val="6"/>
        </w:numPr>
        <w:ind w:left="357"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中标通知书</w:t>
      </w:r>
      <w:r/>
    </w:p>
    <w:p>
      <w:pPr>
        <w:numPr>
          <w:ilvl w:val="0"/>
          <w:numId w:val="6"/>
        </w:numPr>
        <w:ind w:left="357"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履约保证金缴纳证明</w:t>
      </w:r>
      <w:r/>
    </w:p>
    <w:p>
      <w:pPr>
        <w:numPr>
          <w:ilvl w:val="0"/>
          <w:numId w:val="6"/>
        </w:numPr>
        <w:ind w:left="357"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项目更改及补充文件</w:t>
      </w:r>
      <w:r/>
    </w:p>
    <w:p>
      <w:pPr>
        <w:numPr>
          <w:ilvl w:val="0"/>
          <w:numId w:val="6"/>
        </w:numPr>
        <w:ind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投标报价表</w:t>
      </w:r>
      <w:r/>
    </w:p>
    <w:p>
      <w:pPr>
        <w:numPr>
          <w:ilvl w:val="0"/>
          <w:numId w:val="6"/>
        </w:numPr>
        <w:ind w:firstLine="543"/>
        <w:spacing w:line="360" w:lineRule="auto"/>
        <w:rPr>
          <w:rFonts w:hint="eastAsia" w:ascii="宋体" w:hAnsi="宋体"/>
          <w:color w:val="auto"/>
          <w:sz w:val="28"/>
          <w:highlight w:val="none"/>
        </w:rPr>
      </w:pPr>
      <w:r>
        <w:rPr>
          <w:rFonts w:hint="eastAsia" w:ascii="宋体" w:hAnsi="宋体"/>
          <w:color w:val="auto"/>
          <w:sz w:val="28"/>
          <w:highlight w:val="none"/>
        </w:rPr>
        <w:t xml:space="preserve">中标单位澄清函</w:t>
      </w:r>
      <w:r/>
    </w:p>
    <w:p>
      <w:pPr>
        <w:ind w:firstLine="420"/>
        <w:jc w:val="left"/>
        <w:spacing w:line="560" w:lineRule="exact"/>
        <w:rPr>
          <w:rFonts w:hint="default" w:ascii="Times New Roman" w:hAnsi="Times New Roman" w:cs="Times New Roman"/>
          <w:b/>
          <w:color w:val="auto"/>
          <w:sz w:val="32"/>
          <w:szCs w:val="32"/>
          <w:highlight w:val="none"/>
        </w:rPr>
      </w:pPr>
      <w:r>
        <w:rPr>
          <w:color w:val="auto"/>
          <w:highlight w:val="none"/>
        </w:rPr>
        <w:br w:type="page" w:clear="all"/>
      </w:r>
      <w:r>
        <w:rPr>
          <w:rFonts w:hint="default" w:ascii="Times New Roman" w:hAnsi="Times New Roman" w:cs="Times New Roman"/>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732"/>
        <w:ind w:firstLine="360"/>
        <w:jc w:val="left"/>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color w:val="auto"/>
          <w:sz w:val="32"/>
          <w:szCs w:val="32"/>
          <w:highlight w:val="none"/>
        </w:rPr>
        <w:t xml:space="preserve">连云港市政府采购合同</w:t>
      </w:r>
      <w:r/>
    </w:p>
    <w:p>
      <w:pPr>
        <w:pStyle w:val="732"/>
        <w:jc w:val="center"/>
        <w:spacing w:line="440" w:lineRule="exact"/>
        <w:rPr>
          <w:rFonts w:hint="default" w:ascii="Times New Roman" w:hAnsi="Times New Roman" w:cs="Times New Roman"/>
          <w:bCs/>
          <w:color w:val="auto"/>
          <w:sz w:val="32"/>
          <w:szCs w:val="32"/>
          <w:highlight w:val="none"/>
        </w:rPr>
      </w:pPr>
      <w:r>
        <w:rPr>
          <w:rFonts w:hint="default" w:ascii="Times New Roman" w:hAnsi="Times New Roman" w:cs="Times New Roman"/>
          <w:bCs/>
          <w:color w:val="auto"/>
          <w:sz w:val="32"/>
          <w:szCs w:val="32"/>
          <w:highlight w:val="none"/>
        </w:rPr>
      </w:r>
      <w:r/>
    </w:p>
    <w:p>
      <w:pPr>
        <w:pStyle w:val="732"/>
        <w:ind w:right="420" w:firstLine="6825"/>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合同编号：    </w:t>
      </w:r>
      <w:r/>
    </w:p>
    <w:p>
      <w:pPr>
        <w:jc w:val="center"/>
        <w:spacing w:line="560" w:lineRule="exact"/>
        <w:rPr>
          <w:rFonts w:hint="default" w:ascii="Times New Roman" w:hAnsi="Times New Roman" w:cs="Times New Roman"/>
          <w:bCs/>
          <w:color w:val="auto"/>
          <w:sz w:val="24"/>
          <w:highlight w:val="none"/>
        </w:rPr>
      </w:pPr>
      <w:r>
        <w:rPr>
          <w:rFonts w:hint="default" w:ascii="Times New Roman" w:hAnsi="Times New Roman" w:cs="Times New Roman"/>
          <w:b/>
          <w:color w:val="auto"/>
          <w:sz w:val="32"/>
          <w:szCs w:val="32"/>
          <w:highlight w:val="none"/>
        </w:rPr>
        <w:t xml:space="preserve">政府采购合同</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（委托方）</w:t>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（受托方）</w:t>
      </w:r>
      <w:r/>
    </w:p>
    <w:p>
      <w:pPr>
        <w:ind w:firstLine="420"/>
        <w:jc w:val="left"/>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ind w:firstLine="420"/>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甲、乙双方根据《中华人民共和国民法典》《中华人民共和国政府采购法》等相关法律法规的规定以及</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rPr>
          <w:rFonts w:hint="default" w:ascii="Times New Roman" w:hAnsi="Times New Roman" w:cs="Times New Roman"/>
          <w:color w:val="auto"/>
          <w:highlight w:val="none"/>
          <w:u w:val="single"/>
        </w:rPr>
        <w:t xml:space="preserve">【标段名称】 </w:t>
      </w:r>
      <w:r>
        <w:rPr>
          <w:rFonts w:hint="default" w:ascii="Times New Roman" w:hAnsi="Times New Roman" w:cs="Times New Roman"/>
          <w:color w:val="auto"/>
          <w:highlight w:val="none"/>
        </w:rPr>
        <w:t xml:space="preserve">项目（标段编号：</w:t>
      </w:r>
      <w:r>
        <w:rPr>
          <w:rFonts w:hint="default" w:ascii="Times New Roman" w:hAnsi="Times New Roman" w:cs="Times New Roman"/>
          <w:color w:val="auto"/>
          <w:highlight w:val="none"/>
          <w:u w:val="single"/>
        </w:rPr>
        <w:t xml:space="preserve">【标段编号】</w:t>
      </w:r>
      <w:r>
        <w:rPr>
          <w:rFonts w:hint="default" w:ascii="Times New Roman" w:hAnsi="Times New Roman" w:cs="Times New Roman"/>
          <w:color w:val="auto"/>
          <w:highlight w:val="none"/>
        </w:rPr>
        <w:t xml:space="preserve">）招标的结果，签订本合同。</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第一款　　服务范围及内容</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1.1</w:t>
      </w:r>
      <w:r>
        <w:rPr>
          <w:rFonts w:hint="default" w:ascii="Times New Roman" w:hAnsi="Times New Roman" w:eastAsia="宋体" w:cs="Times New Roman"/>
          <w:color w:val="auto"/>
          <w:highlight w:val="none"/>
        </w:rPr>
        <w:t xml:space="preserve">派驻不少于5人的专家团队常驻</w:t>
      </w:r>
      <w:r>
        <w:rPr>
          <w:rFonts w:hint="default" w:ascii="Times New Roman" w:hAnsi="Times New Roman" w:eastAsia="宋体" w:cs="Times New Roman"/>
          <w:color w:val="auto"/>
          <w:highlight w:val="none"/>
          <w:lang w:val="en-US" w:eastAsia="zh-CN"/>
        </w:rPr>
        <w:t xml:space="preserve">徐圩</w:t>
      </w:r>
      <w:r>
        <w:rPr>
          <w:rFonts w:hint="default" w:ascii="Times New Roman" w:hAnsi="Times New Roman" w:eastAsia="宋体" w:cs="Times New Roman"/>
          <w:color w:val="auto"/>
          <w:highlight w:val="none"/>
        </w:rPr>
        <w:t xml:space="preserve">新区</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全面融入</w:t>
      </w:r>
      <w:r>
        <w:rPr>
          <w:rFonts w:hint="default" w:ascii="Times New Roman" w:hAnsi="Times New Roman" w:eastAsia="宋体" w:cs="Times New Roman"/>
          <w:color w:val="auto"/>
          <w:highlight w:val="none"/>
          <w:lang w:val="en-US" w:eastAsia="zh-CN"/>
        </w:rPr>
        <w:t xml:space="preserve">连云港</w:t>
      </w:r>
      <w:r>
        <w:rPr>
          <w:rFonts w:hint="default" w:ascii="Times New Roman" w:hAnsi="Times New Roman" w:eastAsia="宋体" w:cs="Times New Roman"/>
          <w:color w:val="auto"/>
          <w:highlight w:val="none"/>
        </w:rPr>
        <w:t xml:space="preserve">石化</w:t>
      </w:r>
      <w:r>
        <w:rPr>
          <w:rFonts w:hint="default" w:ascii="Times New Roman" w:hAnsi="Times New Roman" w:eastAsia="宋体" w:cs="Times New Roman"/>
          <w:color w:val="auto"/>
          <w:highlight w:val="none"/>
          <w:lang w:val="en-US" w:eastAsia="zh-CN"/>
        </w:rPr>
        <w:t xml:space="preserve">产业</w:t>
      </w:r>
      <w:r>
        <w:rPr>
          <w:rFonts w:hint="default" w:ascii="Times New Roman" w:hAnsi="Times New Roman" w:eastAsia="宋体" w:cs="Times New Roman"/>
          <w:color w:val="auto"/>
          <w:highlight w:val="none"/>
        </w:rPr>
        <w:t xml:space="preserve">基地</w:t>
      </w:r>
      <w:r>
        <w:rPr>
          <w:rFonts w:hint="default" w:ascii="Times New Roman" w:hAnsi="Times New Roman" w:eastAsia="宋体" w:cs="Times New Roman"/>
          <w:color w:val="auto"/>
          <w:highlight w:val="none"/>
          <w:lang w:val="en-US" w:eastAsia="zh-CN"/>
        </w:rPr>
        <w:t xml:space="preserve">危化品</w:t>
      </w:r>
      <w:r>
        <w:rPr>
          <w:rFonts w:hint="default" w:ascii="Times New Roman" w:hAnsi="Times New Roman" w:eastAsia="宋体" w:cs="Times New Roman"/>
          <w:color w:val="auto"/>
          <w:highlight w:val="none"/>
        </w:rPr>
        <w:t xml:space="preserve">安全监管各环节，围绕过程安全管理体系提升、建设项目源头风险防控、智慧化监管场景建设</w:t>
      </w:r>
      <w:r>
        <w:rPr>
          <w:rFonts w:hint="default" w:ascii="Times New Roman" w:hAnsi="Times New Roman" w:eastAsia="宋体" w:cs="Times New Roman"/>
          <w:color w:val="auto"/>
          <w:highlight w:val="none"/>
          <w:lang w:val="en-US" w:eastAsia="zh-CN"/>
        </w:rPr>
        <w:t xml:space="preserve">应用</w:t>
      </w:r>
      <w:r>
        <w:rPr>
          <w:rFonts w:hint="default" w:ascii="Times New Roman" w:hAnsi="Times New Roman" w:eastAsia="宋体" w:cs="Times New Roman"/>
          <w:color w:val="auto"/>
          <w:highlight w:val="none"/>
        </w:rPr>
        <w:t xml:space="preserve">、重点领域专项治理、应急处置支撑、监管能力提升等方面提供专业技术服务，协助新区加快构建更加精准、高效、穿透的危化品安全监管体系，推动形成具有徐圩特色的园区安全治理模式和技术成果。</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1.2</w:t>
      </w:r>
      <w:r>
        <w:rPr>
          <w:rFonts w:hint="default" w:ascii="Times New Roman" w:hAnsi="Times New Roman" w:cs="Times New Roman"/>
          <w:color w:val="auto"/>
          <w:highlight w:val="none"/>
        </w:rPr>
        <w:t xml:space="preserve">项目服务内容</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1.2.1</w:t>
      </w:r>
      <w:r>
        <w:rPr>
          <w:rFonts w:hint="default" w:ascii="Times New Roman" w:hAnsi="Times New Roman" w:eastAsia="宋体" w:cs="Times New Roman"/>
          <w:color w:val="auto"/>
          <w:highlight w:val="none"/>
        </w:rPr>
        <w:t xml:space="preserve">重点工作</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lang w:val="en-US" w:eastAsia="zh-CN"/>
        </w:rPr>
        <w:t xml:space="preserve">1）</w:t>
      </w:r>
      <w:r>
        <w:rPr>
          <w:rFonts w:hint="default" w:ascii="Times New Roman" w:hAnsi="Times New Roman" w:eastAsia="宋体" w:cs="Times New Roman"/>
          <w:color w:val="auto"/>
          <w:highlight w:val="none"/>
        </w:rPr>
        <w:t xml:space="preserve">开展过程安全管理体系穿透式诊断提升</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危化品企业安全主体责任落实和过程安全管理体系建设要求，结合新区企业装置规模大、连续化生产程度高、工艺链条长、关联风险复杂等特点，对已投产危化品企业开展过程安全管理体系穿透式诊断。重点围绕工艺纪律执行、设备完整性管理、仪表及联锁管理、开停车及异常工况处置、特殊作业和承包商管理、人员能力等关键要素，深入查找企业在制度设计、责任传导、现场执行等方面存在的深层次问题，形成诊断报告和问题清单，分企业编制“一企一策”提升方案，推动企业建立更加契合实际、有效运行的过程安全管理体系。</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合同期内，对新区已投产危化品企业实现诊断全覆盖，并结合诊断情况对重点企业开展复核评估，推动整改措施落实落地</w:t>
      </w:r>
      <w:r>
        <w:rPr>
          <w:rFonts w:hint="default" w:ascii="Times New Roman" w:hAnsi="Times New Roman" w:eastAsia="宋体" w:cs="Times New Roman"/>
          <w:color w:val="auto"/>
          <w:sz w:val="21"/>
          <w:szCs w:val="24"/>
          <w:highlight w:val="none"/>
          <w:lang w:val="en-US" w:eastAsia="zh-CN" w:bidi="ar-SA"/>
        </w:rPr>
        <w:t xml:space="preserve">。</w:t>
      </w:r>
      <w:r>
        <w:rPr>
          <w:rFonts w:hint="eastAsia" w:ascii="Times New Roman" w:hAnsi="Times New Roman" w:eastAsia="宋体" w:cs="Times New Roman"/>
          <w:color w:val="auto"/>
          <w:sz w:val="21"/>
          <w:szCs w:val="24"/>
          <w:highlight w:val="none"/>
          <w:lang w:val="en-US" w:eastAsia="zh-CN" w:bidi="ar-SA"/>
        </w:rPr>
        <w:t xml:space="preserve">对安全管理水平落后的企业，组织开展专项驻厂帮扶提升，补齐园区安全管理的短板。</w:t>
      </w:r>
      <w:r>
        <w:rPr>
          <w:rFonts w:hint="default" w:ascii="Times New Roman" w:hAnsi="Times New Roman" w:eastAsia="宋体" w:cs="Times New Roman"/>
          <w:color w:val="auto"/>
          <w:highlight w:val="none"/>
        </w:rPr>
        <w:t xml:space="preserve">结合企业基础条件和行业代表性，选择基础较好、示范带动作用较强的企业开展重点培育，推动形成一批过程安全管理体系建设示范企业。</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本质安全提升需要，对重点监管工艺在役装置的HAZOP分析报告质量、联锁设置、自动化控制逻辑、工艺变更后风险再验证等内容开展专项诊断，推动企业将HAZOP分析成果转化为工艺优化、联锁完善、报警治理和风险防控措施，提升企业本质安全水平。</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highlight w:val="none"/>
        </w:rPr>
        <w:t xml:space="preserve">加强建设项目和重点环节源头风险防控</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围绕新区危化品建设项目准入和全过程风险防控需要，对拟</w:t>
      </w:r>
      <w:r>
        <w:rPr>
          <w:rFonts w:hint="default" w:ascii="Times New Roman" w:hAnsi="Times New Roman" w:eastAsia="宋体" w:cs="Times New Roman"/>
          <w:color w:val="auto"/>
          <w:highlight w:val="none"/>
          <w:lang w:val="en-US" w:eastAsia="zh-CN"/>
        </w:rPr>
        <w:t xml:space="preserve">入园</w:t>
      </w:r>
      <w:r>
        <w:rPr>
          <w:rFonts w:hint="default" w:ascii="Times New Roman" w:hAnsi="Times New Roman" w:eastAsia="宋体" w:cs="Times New Roman"/>
          <w:color w:val="auto"/>
          <w:highlight w:val="none"/>
        </w:rPr>
        <w:t xml:space="preserve">项目</w:t>
      </w:r>
      <w:r>
        <w:rPr>
          <w:rFonts w:hint="default" w:ascii="Times New Roman" w:hAnsi="Times New Roman" w:eastAsia="宋体" w:cs="Times New Roman"/>
          <w:color w:val="auto"/>
          <w:highlight w:val="none"/>
          <w:lang w:val="en-US" w:eastAsia="zh-CN"/>
        </w:rPr>
        <w:t xml:space="preserve">及现有企业</w:t>
      </w:r>
      <w:r>
        <w:rPr>
          <w:rFonts w:hint="default" w:ascii="Times New Roman" w:hAnsi="Times New Roman" w:eastAsia="宋体" w:cs="Times New Roman"/>
          <w:color w:val="auto"/>
          <w:highlight w:val="none"/>
        </w:rPr>
        <w:t xml:space="preserve">新建、改建、扩建项目开展安全准入技术咨询服务。重点从项目选址布局、工艺技术成熟度、物料危险性、自动化控制水平等方面进行综合分析，审阅项目可行性研究报告及相关资料，提出项目安全准入咨询意见，为新区项目招引、项目决策和风险研判提供技术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针对危化品建设项目试生产、装置开停车、停工检维修后复产复工等高风险环节，组织具有同类装置经验的高水平专家开展现场指导服务，</w:t>
      </w:r>
      <w:r>
        <w:rPr>
          <w:rFonts w:hint="default" w:ascii="Times New Roman" w:hAnsi="Times New Roman" w:eastAsia="宋体" w:cs="Times New Roman"/>
          <w:color w:val="auto"/>
          <w:highlight w:val="none"/>
          <w:lang w:val="en-US" w:eastAsia="zh-CN"/>
        </w:rPr>
        <w:t xml:space="preserve">出具专家</w:t>
      </w:r>
      <w:r>
        <w:rPr>
          <w:rFonts w:hint="eastAsia" w:ascii="Times New Roman" w:hAnsi="Times New Roman" w:eastAsia="宋体" w:cs="Times New Roman"/>
          <w:color w:val="auto"/>
          <w:highlight w:val="none"/>
          <w:lang w:val="en-US" w:eastAsia="zh-CN"/>
        </w:rPr>
        <w:t xml:space="preserve">论证</w:t>
      </w:r>
      <w:r>
        <w:rPr>
          <w:rFonts w:hint="default" w:ascii="Times New Roman" w:hAnsi="Times New Roman" w:eastAsia="宋体" w:cs="Times New Roman"/>
          <w:color w:val="auto"/>
          <w:highlight w:val="none"/>
          <w:lang w:val="en-US" w:eastAsia="zh-CN"/>
        </w:rPr>
        <w:t xml:space="preserve">意见，</w:t>
      </w:r>
      <w:r>
        <w:rPr>
          <w:rFonts w:hint="default" w:ascii="Times New Roman" w:hAnsi="Times New Roman" w:eastAsia="宋体" w:cs="Times New Roman"/>
          <w:color w:val="auto"/>
          <w:highlight w:val="none"/>
        </w:rPr>
        <w:t xml:space="preserve">形成问题隐患和风险管控建议清单，并及时跟踪复核整改落实情况。</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对长周期停车后重启、重大技改后恢复运行</w:t>
      </w:r>
      <w:r>
        <w:rPr>
          <w:rFonts w:hint="default" w:ascii="Times New Roman" w:hAnsi="Times New Roman" w:eastAsia="宋体" w:cs="Times New Roman"/>
          <w:color w:val="auto"/>
          <w:highlight w:val="none"/>
          <w:lang w:val="en-US" w:eastAsia="zh-CN"/>
        </w:rPr>
        <w:t xml:space="preserve">等重点</w:t>
      </w:r>
      <w:r>
        <w:rPr>
          <w:rFonts w:hint="default" w:ascii="Times New Roman" w:hAnsi="Times New Roman" w:eastAsia="宋体" w:cs="Times New Roman"/>
          <w:color w:val="auto"/>
          <w:highlight w:val="none"/>
        </w:rPr>
        <w:t xml:space="preserve">装置，结合实际需要开展专项风险研判，为新区加强关键节点安全把关提供技术支撑。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3）深化智慧化监管场景建设和实战应用</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根据新区危化品安全监管数字化、智能化转型需要，协助推进智慧化监管场景建设和实战应用，推动监管工作由事后处置向事前预警转变、由线下检查向线上线下融合转变。重点围绕关键设备运行监测、异常工况识别预警、特殊作业智慧化监管、承包商全过程管控、重大危险源线上巡查、报警及联锁异常分析等方面，研究提出场景建设需求、模型优化建议和应用评价意见，推动提升监管平台实战化、实用化水平。</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结合新区监管实际，协助梳理各类智慧监管场景在数据接入、规则设置、预警推送、现场核查、问题闭环等方面存在的短板，提出针对性优化建议，推动形成智慧化监管应用体系。</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1.2.2</w:t>
      </w:r>
      <w:r>
        <w:rPr>
          <w:rFonts w:hint="default" w:ascii="Times New Roman" w:hAnsi="Times New Roman" w:eastAsia="宋体" w:cs="Times New Roman"/>
          <w:color w:val="auto"/>
          <w:highlight w:val="none"/>
        </w:rPr>
        <w:t xml:space="preserve">常规性工作</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zh-CN"/>
        </w:rPr>
        <w:outlineLvl w:val="9"/>
      </w:pPr>
      <w:r>
        <w:rPr>
          <w:rFonts w:hint="eastAsia" w:ascii="Times New Roman" w:hAnsi="Times New Roman" w:eastAsia="宋体" w:cs="Times New Roman"/>
          <w:color w:val="auto"/>
          <w:highlight w:val="none"/>
          <w:lang w:val="en-US" w:eastAsia="zh-CN"/>
        </w:rPr>
        <w:t xml:space="preserve">1）</w:t>
      </w:r>
      <w:r>
        <w:rPr>
          <w:rFonts w:hint="default" w:ascii="Times New Roman" w:hAnsi="Times New Roman" w:eastAsia="宋体" w:cs="Times New Roman"/>
          <w:color w:val="auto"/>
          <w:highlight w:val="none"/>
          <w:lang w:val="zh-CN"/>
        </w:rPr>
        <w:t xml:space="preserve">派驻专家团队长期驻点坐班</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rPr>
        <w:t xml:space="preserve">派遣</w:t>
      </w:r>
      <w:r>
        <w:rPr>
          <w:rFonts w:hint="default" w:ascii="Times New Roman" w:hAnsi="Times New Roman" w:eastAsia="宋体" w:cs="Times New Roman"/>
          <w:color w:val="auto"/>
          <w:highlight w:val="none"/>
          <w:lang w:val="en-US" w:eastAsia="zh-CN"/>
        </w:rPr>
        <w:t xml:space="preserve">不少于</w:t>
      </w:r>
      <w:r>
        <w:rPr>
          <w:rFonts w:hint="default" w:ascii="Times New Roman" w:hAnsi="Times New Roman" w:eastAsia="宋体" w:cs="Times New Roman"/>
          <w:color w:val="auto"/>
          <w:highlight w:val="none"/>
        </w:rPr>
        <w:t xml:space="preserve">5名专业技术人员在徐圩新区长期驻点坐班</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专业涵盖化工安全管理、工艺、设备、电气、仪表、消防等相关</w:t>
      </w:r>
      <w:r>
        <w:rPr>
          <w:rFonts w:hint="default" w:ascii="Times New Roman" w:hAnsi="Times New Roman" w:eastAsia="宋体" w:cs="Times New Roman"/>
          <w:color w:val="auto"/>
          <w:highlight w:val="none"/>
          <w:lang w:val="en-US" w:eastAsia="zh-CN"/>
        </w:rPr>
        <w:t xml:space="preserve">领域</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其中至少配备</w:t>
      </w:r>
      <w:r>
        <w:rPr>
          <w:rFonts w:hint="default" w:ascii="Times New Roman" w:hAnsi="Times New Roman" w:eastAsia="宋体" w:cs="Times New Roman"/>
          <w:color w:val="auto"/>
          <w:highlight w:val="none"/>
        </w:rPr>
        <w:t xml:space="preserve">1名精通HAZOP</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LOPA等工艺安全分析方法</w:t>
      </w:r>
      <w:r>
        <w:rPr>
          <w:rFonts w:hint="default" w:ascii="Times New Roman" w:hAnsi="Times New Roman" w:eastAsia="宋体" w:cs="Times New Roman"/>
          <w:color w:val="auto"/>
          <w:highlight w:val="none"/>
        </w:rPr>
        <w:t xml:space="preserve">的专家，1名熟悉大型石化装置试生产、开停车及异常工况处置的专家，</w:t>
      </w:r>
      <w:r>
        <w:rPr>
          <w:rFonts w:hint="default" w:ascii="Times New Roman" w:hAnsi="Times New Roman" w:eastAsia="宋体" w:cs="Times New Roman"/>
          <w:bCs/>
          <w:color w:val="auto"/>
          <w:sz w:val="24"/>
          <w:szCs w:val="24"/>
          <w:highlight w:val="none"/>
        </w:rPr>
        <w:t xml:space="preserve">1名熟悉特殊作业、承包商管理及直接作业环节安全管理的专家</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color w:val="auto"/>
          <w:highlight w:val="none"/>
          <w:lang w:val="en-US" w:eastAsia="zh-CN"/>
        </w:rPr>
        <w:t xml:space="preserve">确保满足新区危化品安全监管重点工作需要。</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派驻专家应具备与本项目相适应的专业背景</w:t>
      </w: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color w:val="auto"/>
          <w:highlight w:val="none"/>
          <w:lang w:val="en-US" w:eastAsia="zh-CN"/>
        </w:rPr>
        <w:t xml:space="preserve">项目负责人及工艺</w:t>
      </w: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color w:val="auto"/>
          <w:highlight w:val="none"/>
          <w:lang w:val="en-US" w:eastAsia="zh-CN"/>
        </w:rPr>
        <w:t xml:space="preserve">安全</w:t>
      </w:r>
      <w:r>
        <w:rPr>
          <w:rFonts w:hint="eastAsia" w:ascii="Times New Roman" w:hAnsi="Times New Roman" w:eastAsia="宋体" w:cs="Times New Roman"/>
          <w:color w:val="auto"/>
          <w:highlight w:val="none"/>
          <w:lang w:val="en-US" w:eastAsia="zh-CN"/>
        </w:rPr>
        <w:t xml:space="preserve">、仪表设备</w:t>
      </w:r>
      <w:r>
        <w:rPr>
          <w:rFonts w:hint="default" w:ascii="Times New Roman" w:hAnsi="Times New Roman" w:eastAsia="宋体" w:cs="Times New Roman"/>
          <w:color w:val="auto"/>
          <w:highlight w:val="none"/>
          <w:lang w:val="en-US" w:eastAsia="zh-CN"/>
        </w:rPr>
        <w:t xml:space="preserve">等核心岗位的专家，应具有相关专业</w:t>
      </w:r>
      <w:r>
        <w:rPr>
          <w:rFonts w:hint="eastAsia" w:ascii="Times New Roman" w:hAnsi="Times New Roman" w:eastAsia="宋体" w:cs="Times New Roman"/>
          <w:color w:val="auto"/>
          <w:highlight w:val="none"/>
          <w:lang w:val="en-US" w:eastAsia="zh-CN"/>
        </w:rPr>
        <w:t xml:space="preserve">本科及以上学历</w:t>
      </w:r>
      <w:r>
        <w:rPr>
          <w:rFonts w:hint="default" w:ascii="Times New Roman" w:hAnsi="Times New Roman" w:eastAsia="宋体" w:cs="Times New Roman"/>
          <w:color w:val="auto"/>
          <w:highlight w:val="none"/>
          <w:lang w:val="en-US" w:eastAsia="zh-CN"/>
        </w:rPr>
        <w:t xml:space="preserve">，具备</w:t>
      </w:r>
      <w:r>
        <w:rPr>
          <w:rFonts w:hint="eastAsia" w:ascii="Times New Roman" w:hAnsi="Times New Roman" w:eastAsia="宋体" w:cs="Times New Roman"/>
          <w:color w:val="auto"/>
          <w:highlight w:val="none"/>
          <w:lang w:val="en-US" w:eastAsia="zh-CN"/>
        </w:rPr>
        <w:t xml:space="preserve">化工类</w:t>
      </w:r>
      <w:r>
        <w:rPr>
          <w:rFonts w:hint="default" w:ascii="Times New Roman" w:hAnsi="Times New Roman" w:eastAsia="宋体" w:cs="Times New Roman"/>
          <w:color w:val="auto"/>
          <w:highlight w:val="none"/>
          <w:lang w:val="en-US" w:eastAsia="zh-CN"/>
        </w:rPr>
        <w:t xml:space="preserve">注册安全工程师、高级工程师等相关执业资格或专业技术职称，具有</w:t>
      </w:r>
      <w:r>
        <w:rPr>
          <w:rFonts w:hint="eastAsia" w:ascii="Times New Roman" w:hAnsi="Times New Roman" w:eastAsia="宋体" w:cs="Times New Roman"/>
          <w:color w:val="auto"/>
          <w:highlight w:val="none"/>
          <w:lang w:val="en-US" w:eastAsia="zh-CN"/>
        </w:rPr>
        <w:t xml:space="preserve">10年以上</w:t>
      </w:r>
      <w:r>
        <w:rPr>
          <w:rFonts w:hint="default" w:ascii="Times New Roman" w:hAnsi="Times New Roman" w:eastAsia="宋体" w:cs="Times New Roman"/>
          <w:color w:val="auto"/>
          <w:highlight w:val="none"/>
          <w:lang w:val="en-US" w:eastAsia="zh-CN"/>
        </w:rPr>
        <w:t xml:space="preserve">大型石油化工企业安全</w:t>
      </w:r>
      <w:r>
        <w:rPr>
          <w:rFonts w:hint="eastAsia" w:ascii="Times New Roman" w:hAnsi="Times New Roman" w:eastAsia="宋体" w:cs="Times New Roman"/>
          <w:color w:val="auto"/>
          <w:highlight w:val="none"/>
          <w:lang w:val="en-US" w:eastAsia="zh-CN"/>
        </w:rPr>
        <w:t xml:space="preserve">生产</w:t>
      </w:r>
      <w:r>
        <w:rPr>
          <w:rFonts w:hint="default" w:ascii="Times New Roman" w:hAnsi="Times New Roman" w:eastAsia="宋体" w:cs="Times New Roman"/>
          <w:color w:val="auto"/>
          <w:highlight w:val="none"/>
          <w:lang w:val="en-US" w:eastAsia="zh-CN"/>
        </w:rPr>
        <w:t xml:space="preserve">管理相关经验。</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除常驻专家外，建立与项目相匹配的高水平专家支撑机制，根据新区重点工作需要，及时调配具有高危细分领域治理、重点县专家指导服务、重大项目试生产、重点装置风险研判、事故事件调查复盘等经验的专家提供技术支持。</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eastAsia"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highlight w:val="none"/>
        </w:rPr>
        <w:t xml:space="preserve">深化重点领域专项治理</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重大事故隐患、高危细分领域、特殊作业、承包商管理、设备带“病”运行、异常工况、重大危险源、屡查屡犯问题等重点事项，制定年度专项治理计划，每月至少确定1项重点专题开展专项排查、穿透检查或“回头看”，形成专项检查方案、问题清单、整改建议和复核意见。</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对重复发生、反复整改不到位、跨企业普遍存在的问题，深挖制度、责任、培训、考核、作业组织等方面根因，提出系统性整改措施和治理建议，推动问题由“点上整改”向“面上治理”转变。</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eastAsia"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rPr>
        <w:t xml:space="preserve">开展“三警”服务支撑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警醒、警戒、警示“三警”机制落实，结合外地事故信息、园区监管重点和企业实际情况，及时开展事故信息收集研判，提出警醒提示，督促企业举一反三开展类比排查。根据前期研判情况，分类制定排查重点和检查指南，协助新区组织开展警戒性排查检查，推动隐患整改和风险防控措施落实。</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典型事故、园区内异常事件、未遂事件、非计划停车、报警联锁异常等情况，及时开展警示复盘和案例分析，提出防范措施建议，形成警示案例或专题材料，为新区强化事故警示教育和提升风险防控能力提供技术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4）</w:t>
      </w:r>
      <w:r>
        <w:rPr>
          <w:rFonts w:hint="default" w:ascii="Times New Roman" w:hAnsi="Times New Roman" w:eastAsia="宋体" w:cs="Times New Roman"/>
          <w:color w:val="auto"/>
          <w:highlight w:val="none"/>
        </w:rPr>
        <w:t xml:space="preserve">开展常规性安全检查技术</w:t>
      </w:r>
      <w:r>
        <w:rPr>
          <w:rFonts w:hint="default" w:ascii="Times New Roman" w:hAnsi="Times New Roman" w:eastAsia="宋体" w:cs="Times New Roman"/>
          <w:color w:val="auto"/>
          <w:highlight w:val="none"/>
          <w:lang w:val="en-US" w:eastAsia="zh-CN"/>
        </w:rPr>
        <w:t xml:space="preserve">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驻点专家根据新区应急管理部门工作安排，配合开展年度执法检查、安全许可换证现场核查、临时性安全检查巡查等工作</w:t>
      </w:r>
      <w:r>
        <w:rPr>
          <w:rFonts w:hint="default" w:ascii="Times New Roman" w:hAnsi="Times New Roman" w:eastAsia="宋体" w:cs="Times New Roman"/>
          <w:color w:val="auto"/>
          <w:highlight w:val="none"/>
          <w:lang w:eastAsia="zh-CN"/>
        </w:rPr>
        <w:t xml:space="preserve">，为监管人员提供专业技术支撑和现场指导。</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配合监管人员对上级部门检查交办的问题隐患整改情况进行复核，对整改质量不高、整改措施不实、同类问题反复出现的情形提出进一步处理建议。</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rPr>
        <w:t xml:space="preserve">提供安全风险形势分析研判</w:t>
      </w:r>
      <w:r>
        <w:rPr>
          <w:rFonts w:hint="default" w:ascii="Times New Roman" w:hAnsi="Times New Roman" w:eastAsia="宋体" w:cs="Times New Roman"/>
          <w:color w:val="auto"/>
          <w:highlight w:val="none"/>
          <w:lang w:val="en-US" w:eastAsia="zh-CN"/>
        </w:rPr>
        <w:t xml:space="preserve">服务</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结合检查发现的突出风险、线上监测预警信息、生产装置运行状态、同行业领域生产安全事故、季节性风险等，每季度开展1次园区安全风险形势分析研判，形成风险清单</w:t>
      </w:r>
      <w:r>
        <w:rPr>
          <w:rFonts w:hint="default" w:ascii="Times New Roman" w:hAnsi="Times New Roman" w:eastAsia="宋体" w:cs="Times New Roman"/>
          <w:color w:val="auto"/>
          <w:highlight w:val="none"/>
          <w:lang w:val="en-US" w:eastAsia="zh-CN"/>
        </w:rPr>
        <w:t xml:space="preserve">及</w:t>
      </w:r>
      <w:r>
        <w:rPr>
          <w:rFonts w:hint="default" w:ascii="Times New Roman" w:hAnsi="Times New Roman" w:eastAsia="宋体" w:cs="Times New Roman"/>
          <w:color w:val="auto"/>
          <w:highlight w:val="none"/>
        </w:rPr>
        <w:t xml:space="preserve">重点事项管控建议，为新区党工委、管委会和监管部门决策提供参考</w:t>
      </w:r>
      <w:r>
        <w:rPr>
          <w:rFonts w:hint="default" w:ascii="Times New Roman" w:hAnsi="Times New Roman" w:eastAsia="宋体" w:cs="Times New Roman"/>
          <w:color w:val="auto"/>
          <w:highlight w:val="none"/>
          <w:lang w:eastAsia="zh-CN"/>
        </w:rPr>
        <w:t xml:space="preserve">。</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每半年对检查发现的问题隐患</w:t>
      </w:r>
      <w:r>
        <w:rPr>
          <w:rFonts w:hint="default" w:ascii="Times New Roman" w:hAnsi="Times New Roman" w:eastAsia="宋体" w:cs="Times New Roman"/>
          <w:color w:val="auto"/>
          <w:highlight w:val="none"/>
          <w:lang w:val="en-US" w:eastAsia="zh-CN"/>
        </w:rPr>
        <w:t xml:space="preserve">开展</w:t>
      </w:r>
      <w:r>
        <w:rPr>
          <w:rFonts w:hint="default" w:ascii="Times New Roman" w:hAnsi="Times New Roman" w:eastAsia="宋体" w:cs="Times New Roman"/>
          <w:color w:val="auto"/>
          <w:highlight w:val="none"/>
        </w:rPr>
        <w:t xml:space="preserve">总结分析，形成危化品企业安全运行分析报告，梳理至少2项共性、突出问题，提出有针对性、可操作的整改提升建议。</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zh-CN"/>
        </w:rPr>
        <w:outlineLvl w:val="9"/>
      </w:pPr>
      <w:r>
        <w:rPr>
          <w:rFonts w:hint="eastAsia" w:ascii="Times New Roman" w:hAnsi="Times New Roman" w:eastAsia="宋体" w:cs="Times New Roman"/>
          <w:color w:val="auto"/>
          <w:highlight w:val="none"/>
          <w:lang w:val="en-US" w:eastAsia="zh-CN"/>
        </w:rPr>
        <w:t xml:space="preserve">6）</w:t>
      </w:r>
      <w:r>
        <w:rPr>
          <w:rFonts w:hint="default" w:ascii="Times New Roman" w:hAnsi="Times New Roman" w:eastAsia="宋体" w:cs="Times New Roman"/>
          <w:color w:val="auto"/>
          <w:highlight w:val="none"/>
          <w:lang w:val="zh-CN"/>
        </w:rPr>
        <w:t xml:space="preserve">指导开展应急演练和应急能力提升</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每年指导新区开展不少于1次</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双盲</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应急演练和其他综合性、专项性应急演练，重点检验企业先期处置、园区联动响应、专业救援协同、信息报送、应急资源调度和现场指挥能力。</w:t>
      </w:r>
      <w:r>
        <w:rPr>
          <w:rFonts w:hint="default" w:ascii="Times New Roman" w:hAnsi="Times New Roman" w:eastAsia="宋体" w:cs="Times New Roman"/>
          <w:color w:val="auto"/>
          <w:highlight w:val="none"/>
          <w:lang w:eastAsia="zh-CN"/>
        </w:rPr>
        <w:t xml:space="preserve">参与</w:t>
      </w:r>
      <w:r>
        <w:rPr>
          <w:rFonts w:hint="default" w:ascii="Times New Roman" w:hAnsi="Times New Roman" w:eastAsia="宋体" w:cs="Times New Roman"/>
          <w:color w:val="auto"/>
          <w:highlight w:val="none"/>
        </w:rPr>
        <w:t xml:space="preserve">危化品企业</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双盲</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应急演练的现场评估，指出存在问题，形成问题清单和改进建议，督促企业提升演练质量和实战能力。</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结合演练评估和实际应急处置情况，对新区综合应急预案、专项预案、企业预案衔接、应急队伍建设、物资装备保障、联动响应机制等提出优化建议。</w:t>
      </w:r>
      <w:r/>
    </w:p>
    <w:p>
      <w:pPr>
        <w:pStyle w:val="1009"/>
        <w:ind w:firstLine="420"/>
        <w:jc w:val="both"/>
        <w:keepLines w:val="0"/>
        <w:keepNext w:val="0"/>
        <w:pageBreakBefore w:val="0"/>
        <w:spacing w:line="560" w:lineRule="exact"/>
        <w:rPr>
          <w:rFonts w:hint="eastAsia"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t xml:space="preserve">根据园区需要</w:t>
      </w:r>
      <w:r>
        <w:rPr>
          <w:rFonts w:hint="eastAsia" w:ascii="Times New Roman" w:hAnsi="Times New Roman" w:eastAsia="宋体" w:cs="Times New Roman"/>
          <w:color w:val="auto"/>
          <w:sz w:val="21"/>
          <w:szCs w:val="24"/>
          <w:highlight w:val="none"/>
          <w:lang w:val="en-US" w:eastAsia="zh-CN" w:bidi="ar-SA"/>
        </w:rPr>
        <w:t xml:space="preserve">，</w:t>
      </w:r>
      <w:r>
        <w:rPr>
          <w:rFonts w:hint="default" w:ascii="Times New Roman" w:hAnsi="Times New Roman" w:eastAsia="宋体" w:cs="Times New Roman"/>
          <w:color w:val="auto"/>
          <w:sz w:val="21"/>
          <w:szCs w:val="24"/>
          <w:highlight w:val="none"/>
          <w:lang w:val="en-US" w:eastAsia="zh-CN" w:bidi="ar-SA"/>
        </w:rPr>
        <w:t xml:space="preserve">每年组织应急救援方面专家开展园区应急物资和应急能力</w:t>
      </w:r>
      <w:r>
        <w:rPr>
          <w:rFonts w:hint="eastAsia" w:ascii="Times New Roman" w:hAnsi="Times New Roman" w:eastAsia="宋体" w:cs="Times New Roman"/>
          <w:color w:val="auto"/>
          <w:sz w:val="21"/>
          <w:szCs w:val="24"/>
          <w:highlight w:val="none"/>
          <w:lang w:val="en-US" w:eastAsia="zh-CN" w:bidi="ar-SA"/>
        </w:rPr>
        <w:t xml:space="preserve">检查和</w:t>
      </w:r>
      <w:r>
        <w:rPr>
          <w:rFonts w:hint="default" w:ascii="Times New Roman" w:hAnsi="Times New Roman" w:eastAsia="宋体" w:cs="Times New Roman"/>
          <w:color w:val="auto"/>
          <w:sz w:val="21"/>
          <w:szCs w:val="24"/>
          <w:highlight w:val="none"/>
          <w:lang w:val="en-US" w:eastAsia="zh-CN" w:bidi="ar-SA"/>
        </w:rPr>
        <w:t xml:space="preserve">评估。</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zh-CN"/>
        </w:rPr>
        <w:outlineLvl w:val="9"/>
      </w:pPr>
      <w:r>
        <w:rPr>
          <w:rFonts w:hint="eastAsia" w:ascii="Times New Roman" w:hAnsi="Times New Roman" w:eastAsia="宋体" w:cs="Times New Roman"/>
          <w:color w:val="auto"/>
          <w:highlight w:val="none"/>
          <w:lang w:val="en-US" w:eastAsia="zh-CN"/>
        </w:rPr>
        <w:t xml:space="preserve">7）</w:t>
      </w:r>
      <w:r>
        <w:rPr>
          <w:rFonts w:hint="default" w:ascii="Times New Roman" w:hAnsi="Times New Roman" w:eastAsia="宋体" w:cs="Times New Roman"/>
          <w:color w:val="auto"/>
          <w:highlight w:val="none"/>
          <w:lang w:val="zh-CN"/>
        </w:rPr>
        <w:t xml:space="preserve">开展培训交流和本土化专家队伍培养</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围绕新区监管需求和企业实际，针对监管人员和企业重点岗位人员，分层分类制定培训计划和培训大纲，围绕过程安全管理、特殊作业和承包商管理、异常工况处置、事故调查复盘、智慧化监管应用、新法律法规和标准规范解读等内容，每年组织不少于5次</w:t>
      </w:r>
      <w:r>
        <w:rPr>
          <w:rFonts w:hint="default" w:ascii="Times New Roman" w:hAnsi="Times New Roman" w:eastAsia="宋体" w:cs="Times New Roman"/>
          <w:color w:val="auto"/>
          <w:highlight w:val="none"/>
          <w:lang w:val="en-US" w:eastAsia="zh-CN"/>
        </w:rPr>
        <w:t xml:space="preserve">综合</w:t>
      </w:r>
      <w:r>
        <w:rPr>
          <w:rFonts w:hint="default" w:ascii="Times New Roman" w:hAnsi="Times New Roman" w:eastAsia="宋体" w:cs="Times New Roman"/>
          <w:color w:val="auto"/>
          <w:highlight w:val="none"/>
        </w:rPr>
        <w:t xml:space="preserve">培训</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每家企业至少开展1次差异化培训</w:t>
      </w:r>
      <w:r>
        <w:rPr>
          <w:rFonts w:hint="default" w:ascii="Times New Roman" w:hAnsi="Times New Roman" w:eastAsia="宋体" w:cs="Times New Roman"/>
          <w:color w:val="auto"/>
          <w:highlight w:val="none"/>
        </w:rPr>
        <w:t xml:space="preserve">。</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建立“带教式”培养机制，通过联合检查、案例复盘、专题研讨、驻点跟学等方式，帮助企业培养一批熟悉工艺、设备、仪表和安全管理要求的本土化专家骨干，持续提升企业安全管理能力。</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每半年收集汇编国内先进化工园区和标杆企业在过程安全管理、风险防控、数字化监管、应急管理等方面的典型经验做法，形成专题资料，供新区学习借鉴。根据需要，组织监管人员和有关企业赴国内先进园区、标杆企业开展对标交流学习。</w:t>
      </w:r>
      <w:r/>
    </w:p>
    <w:p>
      <w:pPr>
        <w:pStyle w:val="1009"/>
        <w:ind w:firstLine="420"/>
        <w:jc w:val="both"/>
        <w:keepLines w:val="0"/>
        <w:keepNext w:val="0"/>
        <w:pageBreakBefore w:val="0"/>
        <w:spacing w:line="560" w:lineRule="exact"/>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t xml:space="preserve">深化监管人员传帮带培养，提升监管人员</w:t>
      </w:r>
      <w:r>
        <w:rPr>
          <w:rFonts w:hint="eastAsia" w:ascii="Times New Roman" w:hAnsi="Times New Roman" w:eastAsia="宋体" w:cs="Times New Roman"/>
          <w:color w:val="auto"/>
          <w:sz w:val="21"/>
          <w:szCs w:val="24"/>
          <w:highlight w:val="none"/>
          <w:lang w:val="en-US" w:eastAsia="zh-CN" w:bidi="ar-SA"/>
        </w:rPr>
        <w:t xml:space="preserve">安全监管</w:t>
      </w:r>
      <w:r>
        <w:rPr>
          <w:rFonts w:hint="default" w:ascii="Times New Roman" w:hAnsi="Times New Roman" w:eastAsia="宋体" w:cs="Times New Roman"/>
          <w:color w:val="auto"/>
          <w:sz w:val="21"/>
          <w:szCs w:val="24"/>
          <w:highlight w:val="none"/>
          <w:lang w:val="en-US" w:eastAsia="zh-CN" w:bidi="ar-SA"/>
        </w:rPr>
        <w:t xml:space="preserve">专业履职水平。</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eastAsia" w:ascii="Times New Roman" w:hAnsi="Times New Roman" w:eastAsia="宋体" w:cs="Times New Roman"/>
          <w:color w:val="auto"/>
          <w:highlight w:val="none"/>
          <w:lang w:val="en-US" w:eastAsia="zh-CN"/>
        </w:rPr>
        <w:t xml:space="preserve">8）</w:t>
      </w:r>
      <w:r>
        <w:rPr>
          <w:rFonts w:hint="default" w:ascii="Times New Roman" w:hAnsi="Times New Roman" w:eastAsia="宋体" w:cs="Times New Roman"/>
          <w:color w:val="auto"/>
          <w:highlight w:val="none"/>
        </w:rPr>
        <w:t xml:space="preserve">协助开展日常值守和重点时段值班值守</w:t>
      </w:r>
      <w:r/>
    </w:p>
    <w:p>
      <w:pPr>
        <w:ind w:firstLine="420"/>
        <w:keepLines w:val="0"/>
        <w:keepNext w:val="0"/>
        <w:pageBreakBefore w:val="0"/>
        <w:spacing w:line="560" w:lineRule="exact"/>
        <w:rPr>
          <w:rFonts w:hint="default" w:ascii="Times New Roman" w:hAnsi="Times New Roman" w:eastAsia="宋体" w:cs="Times New Roman"/>
          <w:color w:val="auto"/>
          <w:sz w:val="21"/>
          <w:szCs w:val="24"/>
          <w:highlight w:val="none"/>
          <w:lang w:val="en-US" w:eastAsia="zh-CN" w:bidi="ar-SA"/>
        </w:rPr>
        <w:outlineLvl w:val="0"/>
      </w:pPr>
      <w:r>
        <w:rPr>
          <w:rFonts w:hint="default" w:ascii="Times New Roman" w:hAnsi="Times New Roman" w:eastAsia="宋体" w:cs="Times New Roman"/>
          <w:color w:val="auto"/>
          <w:sz w:val="21"/>
          <w:szCs w:val="24"/>
          <w:highlight w:val="none"/>
          <w:lang w:val="en-US" w:eastAsia="zh-CN" w:bidi="ar-SA"/>
        </w:rPr>
        <w:t xml:space="preserve">应安排不少于2名专业技术人员在岗值班值守，参与园区每日安全运行信息研判、重点风险提醒、突发情况会商和现场技术支撑。</w:t>
      </w:r>
      <w:r/>
    </w:p>
    <w:p>
      <w:pPr>
        <w:ind w:firstLine="420"/>
        <w:keepLines w:val="0"/>
        <w:keepNext w:val="0"/>
        <w:pageBreakBefore w:val="0"/>
        <w:spacing w:line="560" w:lineRule="exact"/>
        <w:rPr>
          <w:rFonts w:hint="default" w:ascii="Times New Roman" w:hAnsi="Times New Roman" w:eastAsia="宋体" w:cs="Times New Roman"/>
          <w:color w:val="auto"/>
          <w:sz w:val="21"/>
          <w:szCs w:val="24"/>
          <w:highlight w:val="none"/>
          <w:lang w:val="en-US" w:eastAsia="zh-CN" w:bidi="ar-SA"/>
        </w:rPr>
        <w:outlineLvl w:val="0"/>
      </w:pPr>
      <w:r>
        <w:rPr>
          <w:rFonts w:hint="default" w:ascii="Times New Roman" w:hAnsi="Times New Roman" w:eastAsia="宋体" w:cs="Times New Roman"/>
          <w:color w:val="auto"/>
          <w:sz w:val="21"/>
          <w:szCs w:val="24"/>
          <w:highlight w:val="none"/>
          <w:lang w:val="en-US" w:eastAsia="zh-CN" w:bidi="ar-SA"/>
        </w:rPr>
        <w:t xml:space="preserve">在法定节假日、恶劣天气、重大活动、装置集中检维修等重点时段，配合招标人安排专家在岗值守或备勤，协助新区开展重点时段安全巡查，做好突发事件应急处置准备。</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9）</w:t>
      </w:r>
      <w:r>
        <w:rPr>
          <w:rFonts w:hint="default" w:ascii="Times New Roman" w:hAnsi="Times New Roman" w:eastAsia="宋体" w:cs="Times New Roman"/>
          <w:color w:val="auto"/>
          <w:highlight w:val="none"/>
          <w:lang w:val="en-US" w:eastAsia="zh-CN"/>
        </w:rPr>
        <w:t xml:space="preserve">开展园区层面安全治理机制研究和综合支撑</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围绕园区安全治理需要，立足新区管理实际和跨部门协同需求，聚焦园区层面具有共性、反复性、牵引性的安全管理事项，协助开展专题研究、机制评估和制度优化，提出可操作的工作建议，服务新区完善园区整体安全治理体系。</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结合项目实施情况，围绕过程安全管理、项目准入把关、智慧化监管、“三警”机制落实、重点领域专项治理等工作，及时总结提炼成熟做法，形成专题报告、制度建议、典型案例、工作指引等成果，为新区推动形成可复制、可推广的机制性经验做法提供技术支撑。</w:t>
      </w:r>
      <w:r/>
    </w:p>
    <w:p>
      <w:pPr>
        <w:ind w:firstLine="420"/>
        <w:keepLines w:val="0"/>
        <w:keepNext w:val="0"/>
        <w:pageBreakBefore w:val="0"/>
        <w:spacing w:line="560" w:lineRule="exact"/>
        <w:rPr>
          <w:rFonts w:hint="default" w:ascii="Times New Roman" w:hAnsi="Times New Roman" w:eastAsia="宋体" w:cs="Times New Roman"/>
          <w:color w:val="auto"/>
          <w:sz w:val="21"/>
          <w:szCs w:val="24"/>
          <w:highlight w:val="none"/>
          <w:lang w:val="en-US" w:eastAsia="zh-CN" w:bidi="ar-SA"/>
        </w:rPr>
        <w:outlineLvl w:val="0"/>
      </w:pPr>
      <w:r>
        <w:rPr>
          <w:rFonts w:hint="eastAsia" w:ascii="Times New Roman" w:hAnsi="Times New Roman" w:eastAsia="宋体" w:cs="Times New Roman"/>
          <w:color w:val="auto"/>
          <w:sz w:val="21"/>
          <w:szCs w:val="24"/>
          <w:highlight w:val="none"/>
          <w:lang w:val="en-US" w:eastAsia="zh-CN" w:bidi="ar-SA"/>
        </w:rPr>
        <w:t xml:space="preserve">组织不少于</w:t>
      </w:r>
      <w:r>
        <w:rPr>
          <w:rFonts w:hint="default" w:ascii="Times New Roman" w:hAnsi="Times New Roman" w:eastAsia="宋体" w:cs="Times New Roman"/>
          <w:color w:val="auto"/>
          <w:sz w:val="21"/>
          <w:szCs w:val="24"/>
          <w:highlight w:val="none"/>
          <w:lang w:val="en-US" w:eastAsia="zh-CN" w:bidi="ar-SA"/>
        </w:rPr>
        <w:t xml:space="preserve">5名</w:t>
      </w:r>
      <w:r>
        <w:rPr>
          <w:rFonts w:hint="eastAsia" w:ascii="Times New Roman" w:hAnsi="Times New Roman" w:eastAsia="宋体" w:cs="Times New Roman"/>
          <w:color w:val="auto"/>
          <w:sz w:val="21"/>
          <w:szCs w:val="24"/>
          <w:highlight w:val="none"/>
          <w:lang w:val="en-US" w:eastAsia="zh-CN" w:bidi="ar-SA"/>
        </w:rPr>
        <w:t xml:space="preserve">专家，每年对新区石化产业基地开展风险等级评估，专家应参加过省级及以上化工园区评估。</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eastAsia" w:ascii="Times New Roman" w:hAnsi="Times New Roman" w:eastAsia="宋体" w:cs="Times New Roman"/>
          <w:color w:val="auto"/>
          <w:highlight w:val="none"/>
          <w:lang w:val="en-US" w:eastAsia="zh-CN"/>
        </w:rPr>
        <w:t xml:space="preserve">10）</w:t>
      </w:r>
      <w:r>
        <w:rPr>
          <w:rFonts w:hint="default" w:ascii="Times New Roman" w:hAnsi="Times New Roman" w:eastAsia="宋体" w:cs="Times New Roman"/>
          <w:color w:val="auto"/>
          <w:highlight w:val="none"/>
          <w:lang w:val="en-US" w:eastAsia="zh-CN"/>
        </w:rPr>
        <w:t xml:space="preserve">完成新区</w:t>
      </w:r>
      <w:r>
        <w:rPr>
          <w:rFonts w:hint="default" w:ascii="Times New Roman" w:hAnsi="Times New Roman" w:eastAsia="宋体" w:cs="Times New Roman"/>
          <w:color w:val="auto"/>
          <w:highlight w:val="none"/>
        </w:rPr>
        <w:t xml:space="preserve">交办的其他事项</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lang w:val="en-US" w:eastAsia="zh-CN"/>
        </w:rPr>
        <w:t xml:space="preserve">根据新区党工委、管委会和应急管理部门工作需要，参与安委会、专题会议、应急管理系统例会等相关会议，参加安全生产月等活动，参与突发应急事件应急处置和生产安全事故调查，完成新区交办的其他安全生产相关工作事项</w:t>
      </w:r>
      <w:r>
        <w:rPr>
          <w:rFonts w:hint="default" w:ascii="Times New Roman" w:hAnsi="Times New Roman" w:eastAsia="宋体" w:cs="Times New Roman"/>
          <w:color w:val="auto"/>
          <w:highlight w:val="none"/>
        </w:rPr>
        <w:t xml:space="preserve">。</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lang w:val="en-US" w:eastAsia="zh-CN"/>
        </w:rPr>
        <w:t xml:space="preserve">项目考核推进机制</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1）</w:t>
      </w:r>
      <w:r>
        <w:rPr>
          <w:rFonts w:hint="default" w:ascii="Times New Roman" w:hAnsi="Times New Roman" w:eastAsia="宋体" w:cs="Times New Roman"/>
          <w:color w:val="auto"/>
          <w:highlight w:val="none"/>
          <w:lang w:val="en-US" w:eastAsia="zh-CN"/>
        </w:rPr>
        <w:t xml:space="preserve">专家团队能力审核</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拟派驻专家应通过新区应急管理部门组织的审核后方可上岗。新区应急管理部门有权根据项目推进情况、服务成效和履职表现，对专家团队进行动态考核，并要求对不适岗、不胜任或不能满足工作需要的专家及时进行调整更换。</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2）</w:t>
      </w:r>
      <w:r>
        <w:rPr>
          <w:rFonts w:hint="default" w:ascii="Times New Roman" w:hAnsi="Times New Roman" w:eastAsia="宋体" w:cs="Times New Roman"/>
          <w:color w:val="auto"/>
          <w:highlight w:val="none"/>
          <w:lang w:val="en-US" w:eastAsia="zh-CN"/>
        </w:rPr>
        <w:t xml:space="preserve">工作过程跟踪和成果报送</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应建立规范的项目运行管理机制，按月报送工作开展情况、重点工作进展、问题清单、整改跟踪、风险提示和下步工作安排等书面材料，并根据新区要求及时开展专题汇报。</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eastAsia"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lang w:val="en-US" w:eastAsia="zh-CN"/>
        </w:rPr>
        <w:t xml:space="preserve">项目履约评估</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新区可结合实际情况组织开展项目年度评估和终期评估，通过资料审查、现场核查、企业走访、服务对象评价等方式，对项目履约情况、工作质量、服务成效、专家履职情况等进行综合评估。对履约不力、成效不明显、考核不合格的，可按照合同约定采取约谈、整改、扣减费用、终止合同等措施。</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lang w:val="en-US" w:eastAsia="zh-CN"/>
        </w:rPr>
        <w:t xml:space="preserve">4</w:t>
      </w:r>
      <w:r>
        <w:rPr>
          <w:rFonts w:hint="default" w:ascii="Times New Roman" w:hAnsi="Times New Roman" w:eastAsia="宋体" w:cs="Times New Roman"/>
          <w:color w:val="auto"/>
          <w:highlight w:val="none"/>
          <w:lang w:val="en-US" w:eastAsia="zh-CN"/>
        </w:rPr>
        <w:t xml:space="preserve">安全事故责任考核</w:t>
      </w:r>
      <w:r/>
    </w:p>
    <w:p>
      <w:pPr>
        <w:ind w:firstLine="420"/>
        <w:keepLines w:val="0"/>
        <w:keepNext w:val="0"/>
        <w:pageBreakBefore w:val="0"/>
        <w:spacing w:line="500" w:lineRule="exact"/>
        <w:widowControl w:val="off"/>
        <w:rPr>
          <w:rFonts w:hint="default" w:ascii="Times New Roman" w:hAnsi="Times New Roman" w:eastAsia="宋体" w:cs="Times New Roman"/>
          <w:color w:val="auto"/>
          <w:highlight w:val="none"/>
          <w:lang w:val="en-US" w:eastAsia="zh-CN"/>
        </w:rPr>
        <w:outlineLvl w:val="9"/>
      </w:pPr>
      <w:r>
        <w:rPr>
          <w:rFonts w:hint="default" w:ascii="Times New Roman" w:hAnsi="Times New Roman" w:eastAsia="宋体" w:cs="Times New Roman"/>
          <w:color w:val="auto"/>
          <w:highlight w:val="none"/>
          <w:lang w:val="en-US" w:eastAsia="zh-CN"/>
        </w:rPr>
        <w:t xml:space="preserve">项目费用中50万元作为服务质量履约考核费用。考核内容主要包括任务完成、成果质量、隐患排查、整改复核、培训演练、风险研判和服务评价等。对未按合同约定履行服务职责、履约质量不符合要求或年度评估不合格的，按照合同约定扣减相应费用。服务期间园区发生生产安全事故或较大社会影响事件的，同步核查服务单位履职情况</w:t>
      </w: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color w:val="auto"/>
          <w:highlight w:val="none"/>
          <w:lang w:val="en-US" w:eastAsia="zh-CN"/>
        </w:rPr>
        <w:t xml:space="preserve">存在应发现未发现、应提示未提示、应报告未报告等履职不到位情形的，纳入服务质量履约考核。</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第二款　 协议期限</w:t>
      </w:r>
      <w:r/>
    </w:p>
    <w:p>
      <w:pPr>
        <w:ind w:firstLine="420"/>
        <w:spacing w:line="50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2.1服务期限为7</w:t>
      </w:r>
      <w:r>
        <w:rPr>
          <w:rFonts w:hint="default" w:ascii="Times New Roman" w:hAnsi="Times New Roman" w:cs="Times New Roman"/>
          <w:color w:val="auto"/>
          <w:highlight w:val="none"/>
          <w:lang w:val="en-US" w:eastAsia="zh-CN"/>
        </w:rPr>
        <w:t xml:space="preserve">30</w:t>
      </w:r>
      <w:r>
        <w:rPr>
          <w:rFonts w:hint="default" w:ascii="Times New Roman" w:hAnsi="Times New Roman" w:cs="Times New Roman"/>
          <w:color w:val="auto"/>
          <w:highlight w:val="none"/>
        </w:rPr>
        <w:t xml:space="preserve">天，具体为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日至</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日。乙方应在协议签订后按照人员方案全部进驻石化基地建设现场进行安全服务。</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第三款　 甲、乙方关系</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 在本协议期内，乙方应对控制服务履行之细节并为服务的结果负责，确保该服务之履行符合国家及甲方相关的安全管理要求。</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甲方保留观察与检查的权利，以确保乙方服务满足要求。但甲方的观察与检查不得解除乙方在本协议下的义务与责任。</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乙方无权代表甲方与任何其他方签订合同（或协议），未经甲方授权，乙方无权代表甲方承担或发生任何费用、债务或义务。</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3.4乙方若需授权另一方代表履行本协议之条款的相关服务，必须经甲方书面批准。</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3.5 无论乙方或经乙方授权的另一方代表实施本协议之条款的相关服务，乙方自担风险实施服务。</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 xml:space="preserve">四</w:t>
      </w:r>
      <w:r>
        <w:rPr>
          <w:rFonts w:hint="default" w:ascii="Times New Roman" w:hAnsi="Times New Roman" w:cs="Times New Roman"/>
          <w:b/>
          <w:color w:val="auto"/>
          <w:highlight w:val="none"/>
        </w:rPr>
        <w:t xml:space="preserve">款　 服务费及支付</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rPr>
        <w:t xml:space="preserve">.1 甲方应当就乙方提供的服务按照下列要求支付乙方服务费，乙方每个工作人员的服务费所得由乙方自行决定，与甲方无关。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rPr>
        <w:t xml:space="preserve">.2 乙方总的服务费包括乙方的管理费、税金、交通费、通信费、办公设备费（含考勤机）、住宿费、午餐费、人员工资、奖金、加班费用、各类津贴、评审费、专家费、编制费等全包费用。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rPr>
        <w:t xml:space="preserve">.3 因乙方按照本协议履行服务而引起的针对乙方人员的任何税金（包括</w:t>
      </w:r>
      <w:r>
        <w:rPr>
          <w:rFonts w:hint="eastAsia" w:ascii="Times New Roman" w:hAnsi="Times New Roman" w:cs="Times New Roman"/>
          <w:color w:val="auto"/>
          <w:highlight w:val="none"/>
          <w:lang w:eastAsia="zh-CN"/>
        </w:rPr>
        <w:t xml:space="preserve">其他</w:t>
      </w:r>
      <w:r>
        <w:rPr>
          <w:rFonts w:hint="default" w:ascii="Times New Roman" w:hAnsi="Times New Roman" w:cs="Times New Roman"/>
          <w:color w:val="auto"/>
          <w:highlight w:val="none"/>
        </w:rPr>
        <w:t xml:space="preserve">税金、服务税等）、费用（或任何相关罚金、利息）的报告、存档与支付，乙方应予以负责并使甲方不受上述事项影响。对于因乙方按照本协议履行服务引起的、根据相关法律应予预扣并向相关税务机构缴纳的任何税金或预提金额，甲方可予以预扣，甲方应向乙方提供能够证明向上述税务机构缴纳税金或预提有关金额的所有收据。 </w:t>
      </w:r>
      <w:r/>
    </w:p>
    <w:p>
      <w:pPr>
        <w:ind w:firstLine="420"/>
        <w:spacing w:line="6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rPr>
        <w:t xml:space="preserve">.4</w:t>
      </w:r>
      <w:r>
        <w:rPr>
          <w:rStyle w:val="752"/>
          <w:rFonts w:hint="default" w:ascii="Times New Roman" w:hAnsi="Times New Roman" w:cs="Times New Roman"/>
          <w:color w:val="auto"/>
          <w:highlight w:val="none"/>
        </w:rPr>
        <w:t xml:space="preserve">项目人员应定期、不定期组织开展各项安全检查，</w:t>
      </w:r>
      <w:r>
        <w:rPr>
          <w:rFonts w:hint="default" w:ascii="Times New Roman" w:hAnsi="Times New Roman" w:cs="Times New Roman"/>
          <w:color w:val="auto"/>
          <w:highlight w:val="none"/>
        </w:rPr>
        <w:t xml:space="preserve">并填写安全检查记录和及时下发整改单，同时进一步的督促各方责任主体及时消除安全隐患。</w:t>
      </w:r>
      <w:r/>
    </w:p>
    <w:p>
      <w:pPr>
        <w:ind w:firstLine="422"/>
        <w:spacing w:line="50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 xml:space="preserve">4</w:t>
      </w:r>
      <w:r>
        <w:rPr>
          <w:rFonts w:hint="default" w:ascii="Times New Roman" w:hAnsi="Times New Roman" w:cs="Times New Roman"/>
          <w:b/>
          <w:bCs/>
          <w:color w:val="auto"/>
          <w:highlight w:val="none"/>
        </w:rPr>
        <w:t xml:space="preserve">.</w:t>
      </w:r>
      <w:r>
        <w:rPr>
          <w:rFonts w:hint="default" w:ascii="Times New Roman" w:hAnsi="Times New Roman" w:cs="Times New Roman"/>
          <w:b/>
          <w:bCs/>
          <w:color w:val="auto"/>
          <w:highlight w:val="none"/>
          <w:lang w:val="en-US" w:eastAsia="zh-CN"/>
        </w:rPr>
        <w:t xml:space="preserve">5</w:t>
      </w:r>
      <w:r>
        <w:rPr>
          <w:rFonts w:hint="default" w:ascii="Times New Roman" w:hAnsi="Times New Roman" w:cs="Times New Roman"/>
          <w:b/>
          <w:bCs/>
          <w:color w:val="auto"/>
          <w:highlight w:val="none"/>
        </w:rPr>
        <w:t xml:space="preserve">本协议委托管理服务费：合同总价为（大写）人民币</w:t>
      </w:r>
      <w:r>
        <w:rPr>
          <w:rFonts w:hint="default" w:ascii="Times New Roman" w:hAnsi="Times New Roman" w:cs="Times New Roman"/>
          <w:b/>
          <w:bCs/>
          <w:color w:val="auto"/>
          <w:highlight w:val="none"/>
          <w:u w:val="single"/>
        </w:rPr>
        <w:t xml:space="preserve">        </w:t>
      </w:r>
      <w:r>
        <w:rPr>
          <w:rFonts w:hint="default" w:ascii="Times New Roman" w:hAnsi="Times New Roman" w:cs="Times New Roman"/>
          <w:b/>
          <w:bCs/>
          <w:color w:val="auto"/>
          <w:highlight w:val="none"/>
        </w:rPr>
        <w:t xml:space="preserve">万圆整（小写）：¥</w:t>
      </w:r>
      <w:r>
        <w:rPr>
          <w:rFonts w:hint="default" w:ascii="Times New Roman" w:hAnsi="Times New Roman" w:cs="Times New Roman"/>
          <w:b/>
          <w:bCs/>
          <w:color w:val="auto"/>
          <w:highlight w:val="none"/>
          <w:u w:val="single"/>
        </w:rPr>
        <w:t xml:space="preserve">    </w:t>
      </w:r>
      <w:r>
        <w:rPr>
          <w:rFonts w:hint="default" w:ascii="Times New Roman" w:hAnsi="Times New Roman" w:cs="Times New Roman"/>
          <w:b/>
          <w:bCs/>
          <w:color w:val="auto"/>
          <w:highlight w:val="none"/>
        </w:rPr>
        <w:t xml:space="preserve">万元，（含6%税）；</w:t>
      </w:r>
      <w:r/>
    </w:p>
    <w:p>
      <w:pPr>
        <w:ind w:firstLine="422"/>
        <w:spacing w:line="50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 xml:space="preserve">4</w:t>
      </w:r>
      <w:r>
        <w:rPr>
          <w:rFonts w:hint="default" w:ascii="Times New Roman" w:hAnsi="Times New Roman" w:cs="Times New Roman"/>
          <w:b/>
          <w:bCs/>
          <w:color w:val="auto"/>
          <w:highlight w:val="none"/>
        </w:rPr>
        <w:t xml:space="preserve">.</w:t>
      </w:r>
      <w:r>
        <w:rPr>
          <w:rFonts w:hint="default" w:ascii="Times New Roman" w:hAnsi="Times New Roman" w:cs="Times New Roman"/>
          <w:b/>
          <w:bCs/>
          <w:color w:val="auto"/>
          <w:highlight w:val="none"/>
          <w:lang w:val="en-US" w:eastAsia="zh-CN"/>
        </w:rPr>
        <w:t xml:space="preserve">6</w:t>
      </w:r>
      <w:r>
        <w:rPr>
          <w:rFonts w:hint="default" w:ascii="Times New Roman" w:hAnsi="Times New Roman" w:cs="Times New Roman"/>
          <w:b/>
          <w:bCs/>
          <w:color w:val="auto"/>
          <w:highlight w:val="none"/>
        </w:rPr>
        <w:t xml:space="preserve">支付方式及比例：项目合同签订之后支付总合同价款的20%作为预付款，项目执行每6个月支付一次费用，服务期2年共支付4次，每次支付合同总价款的20%。乙方在甲方每次付款前须向甲方提供等额的增值税专用发票，否则逾期付款的责任由乙方承担。</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 xml:space="preserve">五</w:t>
      </w:r>
      <w:r>
        <w:rPr>
          <w:rFonts w:hint="default" w:ascii="Times New Roman" w:hAnsi="Times New Roman" w:cs="Times New Roman"/>
          <w:b/>
          <w:color w:val="auto"/>
          <w:highlight w:val="none"/>
        </w:rPr>
        <w:t xml:space="preserve">款  服务机构、内容及人员职责</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5</w:t>
      </w:r>
      <w:r>
        <w:rPr>
          <w:rFonts w:hint="default" w:ascii="Times New Roman" w:hAnsi="Times New Roman" w:cs="Times New Roman"/>
          <w:color w:val="auto"/>
          <w:highlight w:val="none"/>
        </w:rPr>
        <w:t xml:space="preserve">.1总体架构为：（具体人员以投标文件为准）</w:t>
      </w:r>
      <w:r/>
    </w:p>
    <w:p>
      <w:pPr>
        <w:ind w:firstLine="420"/>
        <w:spacing w:line="500" w:lineRule="exact"/>
        <w:rPr>
          <w:rFonts w:hint="default" w:ascii="Times New Roman" w:hAnsi="Times New Roman" w:cs="Times New Roman"/>
          <w:b/>
          <w:color w:val="auto"/>
          <w:highlight w:val="none"/>
        </w:rPr>
      </w:pPr>
      <w:r>
        <w:rPr>
          <w:rFonts w:hint="default" w:ascii="Times New Roman" w:hAnsi="Times New Roman" w:cs="Times New Roman"/>
          <w:color w:val="auto"/>
          <w:highlight w:val="none"/>
          <w:lang w:val="en-US" w:eastAsia="zh-CN"/>
        </w:rPr>
        <w:t xml:space="preserve">5</w:t>
      </w:r>
      <w:r>
        <w:rPr>
          <w:rFonts w:hint="default" w:ascii="Times New Roman" w:hAnsi="Times New Roman" w:cs="Times New Roman"/>
          <w:color w:val="auto"/>
          <w:highlight w:val="none"/>
        </w:rPr>
        <w:t xml:space="preserve">.2在本协议期间，乙方的管理机构服务人员应按投标文件提供的人员名单安排到甲方工作时间和职位，并提供相关原件证明报甲方审批，</w:t>
      </w:r>
      <w:r>
        <w:rPr>
          <w:rFonts w:hint="default" w:ascii="Times New Roman" w:hAnsi="Times New Roman" w:cs="Times New Roman"/>
          <w:b/>
          <w:color w:val="auto"/>
          <w:highlight w:val="none"/>
        </w:rPr>
        <w:t xml:space="preserve">未经甲方同意</w:t>
      </w:r>
      <w:r>
        <w:rPr>
          <w:rFonts w:hint="default" w:ascii="Times New Roman" w:hAnsi="Times New Roman" w:cs="Times New Roman"/>
          <w:color w:val="auto"/>
          <w:highlight w:val="none"/>
        </w:rPr>
        <w:t xml:space="preserve">不得随意变更。</w:t>
      </w:r>
      <w:r>
        <w:rPr>
          <w:rFonts w:hint="default" w:ascii="Times New Roman" w:hAnsi="Times New Roman" w:cs="Times New Roman"/>
          <w:color w:val="auto"/>
          <w:highlight w:val="none"/>
          <w:lang w:val="en-US" w:eastAsia="zh-CN"/>
        </w:rPr>
        <w:t xml:space="preserve">甲方</w:t>
      </w:r>
      <w:r>
        <w:rPr>
          <w:rFonts w:hint="default" w:ascii="Times New Roman" w:hAnsi="Times New Roman" w:cs="Times New Roman"/>
          <w:color w:val="auto"/>
          <w:highlight w:val="none"/>
        </w:rPr>
        <w:t xml:space="preserve">每季度对服务人员的责任心、工作能力、合作性进行考核，如有考核不合格人员需立即更换，直至能满足相应岗位要求。在合同履行期间，甲方可以随时检查服务人员被派遣之后的情况。若甲方认为服务人员的经验、能力、勤奋或合作性不够，乙方应在甲方提出要求后立即将该人员调离招标人现场，且未经甲方同意，不得将该人员再次派往甲方作业现场。更换后的服务人员</w:t>
      </w:r>
      <w:r>
        <w:rPr>
          <w:rFonts w:hint="eastAsia" w:ascii="Times New Roman" w:hAnsi="Times New Roman" w:cs="Times New Roman"/>
          <w:color w:val="auto"/>
          <w:highlight w:val="none"/>
          <w:lang w:eastAsia="zh-CN"/>
        </w:rPr>
        <w:t xml:space="preserve">须</w:t>
      </w:r>
      <w:r>
        <w:rPr>
          <w:rFonts w:hint="default" w:ascii="Times New Roman" w:hAnsi="Times New Roman" w:cs="Times New Roman"/>
          <w:color w:val="auto"/>
          <w:highlight w:val="none"/>
        </w:rPr>
        <w:t xml:space="preserve">经过甲方</w:t>
      </w:r>
      <w:r>
        <w:rPr>
          <w:rFonts w:hint="default" w:ascii="Times New Roman" w:hAnsi="Times New Roman" w:cs="Times New Roman"/>
          <w:b/>
          <w:color w:val="auto"/>
          <w:highlight w:val="none"/>
        </w:rPr>
        <w:t xml:space="preserve">考核合格</w:t>
      </w:r>
      <w:r>
        <w:rPr>
          <w:rFonts w:hint="eastAsia" w:ascii="Times New Roman" w:hAnsi="Times New Roman" w:cs="Times New Roman"/>
          <w:b/>
          <w:color w:val="auto"/>
          <w:highlight w:val="none"/>
          <w:lang w:eastAsia="zh-CN"/>
        </w:rPr>
        <w:t xml:space="preserve">后方可上岗</w:t>
      </w:r>
      <w:r>
        <w:rPr>
          <w:rFonts w:hint="default" w:ascii="Times New Roman" w:hAnsi="Times New Roman" w:cs="Times New Roman"/>
          <w:color w:val="auto"/>
          <w:highlight w:val="none"/>
        </w:rPr>
        <w:t xml:space="preserve">，甲方不承担任何人员更换的额外费用</w:t>
      </w:r>
      <w:r>
        <w:rPr>
          <w:rFonts w:hint="default" w:ascii="Times New Roman" w:hAnsi="Times New Roman" w:cs="Times New Roman"/>
          <w:b/>
          <w:color w:val="auto"/>
          <w:highlight w:val="none"/>
        </w:rPr>
        <w:t xml:space="preserve">，</w:t>
      </w:r>
      <w:r>
        <w:rPr>
          <w:rFonts w:hint="eastAsia" w:ascii="Times New Roman" w:hAnsi="Times New Roman" w:cs="Times New Roman"/>
          <w:b/>
          <w:color w:val="auto"/>
          <w:highlight w:val="none"/>
          <w:lang w:val="en-US" w:eastAsia="zh-CN"/>
        </w:rPr>
        <w:t xml:space="preserve">期间</w:t>
      </w:r>
      <w:r>
        <w:rPr>
          <w:rFonts w:hint="default" w:ascii="Times New Roman" w:hAnsi="Times New Roman" w:cs="Times New Roman"/>
          <w:b/>
          <w:color w:val="auto"/>
          <w:highlight w:val="none"/>
        </w:rPr>
        <w:t xml:space="preserve">若服务人员缺位</w:t>
      </w:r>
      <w:r>
        <w:rPr>
          <w:rFonts w:hint="eastAsia" w:ascii="Times New Roman" w:hAnsi="Times New Roman" w:cs="Times New Roman"/>
          <w:b/>
          <w:color w:val="auto"/>
          <w:highlight w:val="none"/>
          <w:lang w:eastAsia="zh-CN"/>
        </w:rPr>
        <w:t xml:space="preserve">超过</w:t>
      </w:r>
      <w:r>
        <w:rPr>
          <w:rFonts w:hint="default" w:ascii="Times New Roman" w:hAnsi="Times New Roman" w:cs="Times New Roman"/>
          <w:b/>
          <w:color w:val="auto"/>
          <w:highlight w:val="none"/>
        </w:rPr>
        <w:t xml:space="preserve">3天及以上根据合同服务金额按实予以扣除。</w:t>
      </w:r>
      <w:r/>
    </w:p>
    <w:p>
      <w:pPr>
        <w:ind w:firstLine="420"/>
        <w:jc w:val="left"/>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乙方若中标后，不得擅自更换项目负责人，如发现更换罚款10万元/次；不得擅自更换现场管理人员，如发现更换罚款5万元/次。</w:t>
      </w:r>
      <w:r/>
    </w:p>
    <w:p>
      <w:pPr>
        <w:ind w:firstLine="420"/>
        <w:jc w:val="left"/>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甲方如对现场管理人员不满，有权对人员进行更换。</w:t>
      </w:r>
      <w:r/>
    </w:p>
    <w:p>
      <w:pPr>
        <w:ind w:firstLine="420"/>
        <w:jc w:val="left"/>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甲方需对新的管理机构服务人员进行考核，待考核合格</w:t>
      </w:r>
      <w:r>
        <w:rPr>
          <w:rFonts w:hint="eastAsia" w:ascii="Times New Roman" w:hAnsi="Times New Roman" w:cs="Times New Roman"/>
          <w:color w:val="auto"/>
          <w:highlight w:val="none"/>
          <w:lang w:eastAsia="zh-CN"/>
        </w:rPr>
        <w:t xml:space="preserve">后方可上岗</w:t>
      </w:r>
      <w:r>
        <w:rPr>
          <w:rFonts w:hint="default" w:ascii="Times New Roman" w:hAnsi="Times New Roman" w:cs="Times New Roman"/>
          <w:color w:val="auto"/>
          <w:highlight w:val="none"/>
        </w:rPr>
        <w:t xml:space="preserve">；若考核不合格，需重新更换人员直到考核合格为止。</w:t>
      </w:r>
      <w:r/>
    </w:p>
    <w:p>
      <w:pPr>
        <w:ind w:firstLine="422"/>
        <w:jc w:val="left"/>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lang w:val="en-US" w:eastAsia="zh-CN"/>
        </w:rPr>
        <w:t xml:space="preserve">5</w:t>
      </w:r>
      <w:r>
        <w:rPr>
          <w:rFonts w:hint="default" w:ascii="Times New Roman" w:hAnsi="Times New Roman" w:cs="Times New Roman"/>
          <w:b/>
          <w:color w:val="auto"/>
          <w:highlight w:val="none"/>
        </w:rPr>
        <w:t xml:space="preserve">.3项目工作要求：</w:t>
      </w:r>
      <w:r/>
    </w:p>
    <w:p>
      <w:pPr>
        <w:ind w:firstLine="422"/>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lang w:val="en-US" w:eastAsia="zh-CN"/>
        </w:rPr>
        <w:t xml:space="preserve">5</w:t>
      </w:r>
      <w:r>
        <w:rPr>
          <w:rFonts w:hint="default" w:ascii="Times New Roman" w:hAnsi="Times New Roman" w:cs="Times New Roman"/>
          <w:b/>
          <w:color w:val="auto"/>
          <w:highlight w:val="none"/>
        </w:rPr>
        <w:t xml:space="preserve">.3.1工作内容</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1）</w:t>
      </w:r>
      <w:r>
        <w:rPr>
          <w:rFonts w:hint="default" w:ascii="Times New Roman" w:hAnsi="Times New Roman" w:cs="Times New Roman"/>
          <w:color w:val="auto"/>
          <w:sz w:val="21"/>
          <w:szCs w:val="21"/>
          <w:highlight w:val="none"/>
        </w:rPr>
        <w:t xml:space="preserve">安全管家团队应按时完成各类总结、问题分析、工作进展和成效等总结性书面材料编制，根据新区相关部门的意见进行修改完善，并安排人员参加相关会议、汇报情况。</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2）</w:t>
      </w:r>
      <w:r>
        <w:rPr>
          <w:rFonts w:hint="default" w:ascii="Times New Roman" w:hAnsi="Times New Roman" w:cs="Times New Roman"/>
          <w:color w:val="auto"/>
          <w:sz w:val="21"/>
          <w:szCs w:val="21"/>
          <w:highlight w:val="none"/>
        </w:rPr>
        <w:t xml:space="preserve">合同期内，新区通过对派驻新区常驻的专家团队人员的责任心、工作能力、合作性进行考核，发现不合格的人员需立即更换，直至能满足相应岗位要求。</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3）</w:t>
      </w:r>
      <w:r>
        <w:rPr>
          <w:rFonts w:hint="default" w:ascii="Times New Roman" w:hAnsi="Times New Roman" w:cs="Times New Roman"/>
          <w:color w:val="auto"/>
          <w:sz w:val="21"/>
          <w:szCs w:val="21"/>
          <w:highlight w:val="none"/>
        </w:rPr>
        <w:t xml:space="preserve">安全管家服务团队要明确各参与项目服务人员的职责，建立项目协调沟通机制，定期与新区相关部门、企业进行沟通，跨部门多专业协调推进安全管家工作。</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4）</w:t>
      </w:r>
      <w:r>
        <w:rPr>
          <w:rFonts w:hint="default" w:ascii="Times New Roman" w:hAnsi="Times New Roman" w:cs="Times New Roman"/>
          <w:color w:val="auto"/>
          <w:sz w:val="21"/>
          <w:szCs w:val="21"/>
          <w:highlight w:val="none"/>
        </w:rPr>
        <w:t xml:space="preserve">安全管家团队要全方位多层级统筹协调上级安全主管部门及科研院所专家团队、专业技术、专业人才的力量，最大化、最优化依托内部资源、整合外部资源，全面提升新区安全管理水平。</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5）</w:t>
      </w:r>
      <w:r>
        <w:rPr>
          <w:rFonts w:hint="default" w:ascii="Times New Roman" w:hAnsi="Times New Roman" w:cs="Times New Roman"/>
          <w:color w:val="auto"/>
          <w:sz w:val="21"/>
          <w:szCs w:val="21"/>
          <w:highlight w:val="none"/>
        </w:rPr>
        <w:t xml:space="preserve">工作中</w:t>
      </w:r>
      <w:r>
        <w:rPr>
          <w:rFonts w:hint="eastAsia" w:ascii="Times New Roman" w:hAnsi="Times New Roman" w:cs="Times New Roman"/>
          <w:color w:val="auto"/>
          <w:sz w:val="21"/>
          <w:szCs w:val="21"/>
          <w:highlight w:val="none"/>
          <w:lang w:eastAsia="zh-CN"/>
        </w:rPr>
        <w:t xml:space="preserve">涉及</w:t>
      </w:r>
      <w:r>
        <w:rPr>
          <w:rFonts w:hint="default" w:ascii="Times New Roman" w:hAnsi="Times New Roman" w:cs="Times New Roman"/>
          <w:color w:val="auto"/>
          <w:sz w:val="21"/>
          <w:szCs w:val="21"/>
          <w:highlight w:val="none"/>
        </w:rPr>
        <w:t xml:space="preserve">的涉密和敏感图文资料、电子数据，项目服务单位应严格执行保密的相关规定，不得以任何方式向任何第三人披露、泄露或许可第三人使用。</w:t>
      </w:r>
      <w:r/>
    </w:p>
    <w:p>
      <w:pPr>
        <w:pStyle w:val="1009"/>
        <w:ind w:firstLine="420"/>
        <w:jc w:val="both"/>
        <w:spacing w:line="560" w:lineRule="exact"/>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6）</w:t>
      </w:r>
      <w:r>
        <w:rPr>
          <w:rFonts w:hint="default" w:ascii="Times New Roman" w:hAnsi="Times New Roman" w:cs="Times New Roman"/>
          <w:color w:val="auto"/>
          <w:sz w:val="21"/>
          <w:szCs w:val="21"/>
          <w:highlight w:val="none"/>
        </w:rPr>
        <w:t xml:space="preserve">项目费用</w:t>
      </w:r>
      <w:r>
        <w:rPr>
          <w:rFonts w:hint="eastAsia" w:ascii="Times New Roman" w:hAnsi="Times New Roman" w:cs="Times New Roman"/>
          <w:color w:val="auto"/>
          <w:sz w:val="21"/>
          <w:szCs w:val="21"/>
          <w:highlight w:val="none"/>
          <w:lang w:eastAsia="zh-CN"/>
        </w:rPr>
        <w:t xml:space="preserve">包括</w:t>
      </w:r>
      <w:r>
        <w:rPr>
          <w:rFonts w:hint="default" w:ascii="Times New Roman" w:hAnsi="Times New Roman" w:cs="Times New Roman"/>
          <w:color w:val="auto"/>
          <w:sz w:val="21"/>
          <w:szCs w:val="21"/>
          <w:highlight w:val="none"/>
        </w:rPr>
        <w:t xml:space="preserve">各项交通、食宿、专家评审等费用（含常驻专家的交通、食宿费用）。</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 xml:space="preserve">六</w:t>
      </w:r>
      <w:r>
        <w:rPr>
          <w:rFonts w:hint="default" w:ascii="Times New Roman" w:hAnsi="Times New Roman" w:cs="Times New Roman"/>
          <w:b/>
          <w:color w:val="auto"/>
          <w:highlight w:val="none"/>
        </w:rPr>
        <w:t xml:space="preserve">款　　双方权责</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.1 甲方有权审查（但没有义务）乙方与该服务有关的任何所有记录（除乙方的商业秘密、配方或工艺外）。乙方同意将与本协议提供之服务有关的文档与记录从提供该服务之日起保留至服务结束，按照甲方的需要提供给甲方。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.2 甲方可以向乙方提前30个日历日提供书面说明的理由后，自行决定暂时中止部分或全部服务，中止使用乙方提供的</w:t>
      </w:r>
      <w:r>
        <w:rPr>
          <w:rFonts w:hint="default" w:ascii="Times New Roman" w:hAnsi="Times New Roman" w:cs="Times New Roman"/>
          <w:b/>
          <w:color w:val="auto"/>
          <w:highlight w:val="none"/>
        </w:rPr>
        <w:t xml:space="preserve">部分或全部</w:t>
      </w:r>
      <w:r>
        <w:rPr>
          <w:rFonts w:hint="default" w:ascii="Times New Roman" w:hAnsi="Times New Roman" w:cs="Times New Roman"/>
          <w:color w:val="auto"/>
          <w:highlight w:val="none"/>
        </w:rPr>
        <w:t xml:space="preserve">服务人员，该通知中应说明将要中止的服务以及预计的中止期。甲方不承担因中止服务</w:t>
      </w:r>
      <w:r>
        <w:rPr>
          <w:rFonts w:hint="eastAsia" w:ascii="Times New Roman" w:hAnsi="Times New Roman" w:cs="Times New Roman"/>
          <w:color w:val="auto"/>
          <w:highlight w:val="none"/>
          <w:lang w:eastAsia="zh-CN"/>
        </w:rPr>
        <w:t xml:space="preserve">所</w:t>
      </w:r>
      <w:r>
        <w:rPr>
          <w:rFonts w:hint="default" w:ascii="Times New Roman" w:hAnsi="Times New Roman" w:cs="Times New Roman"/>
          <w:color w:val="auto"/>
          <w:highlight w:val="none"/>
        </w:rPr>
        <w:t xml:space="preserve">发生的费用。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.3 甲方有合理的理由认为乙方未能以勤勉、熟练、安全和相应的专业水平、良好行业作风等履行服务，甲方可书面通知乙方。若乙方在该通知发出5（五）日内未予整改，</w:t>
      </w:r>
      <w:r>
        <w:rPr>
          <w:rFonts w:hint="eastAsia" w:ascii="Times New Roman" w:hAnsi="Times New Roman" w:cs="Times New Roman"/>
          <w:color w:val="auto"/>
          <w:highlight w:val="none"/>
          <w:lang w:eastAsia="zh-CN"/>
        </w:rPr>
        <w:t xml:space="preserve">甲方</w:t>
      </w:r>
      <w:r>
        <w:rPr>
          <w:rFonts w:hint="default" w:ascii="Times New Roman" w:hAnsi="Times New Roman" w:cs="Times New Roman"/>
          <w:color w:val="auto"/>
          <w:highlight w:val="none"/>
        </w:rPr>
        <w:t xml:space="preserve">可终止乙方的服务、停止向乙方支付任何服务费用、从乙方获得所有服务成果，并由乙方负担按照甲方选择的方式完成该服务的费用。若甲方向乙方支付了某款项但乙方并未履行服务，甲方可从乙方应付款项中扣除。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.4 乙方应使甲方免受任何由于乙方的作为、不作为、疏忽或者过错，或者乙方违反本协议或者未能遵守或履行其承诺和约定，或者任何乙方的保证变得不真实而引起的所有索赔、诉讼（无论是民事还是刑事）、所有的损失、损害、伤害、成本和费用。 </w:t>
      </w:r>
      <w:r/>
    </w:p>
    <w:p>
      <w:pPr>
        <w:pStyle w:val="732"/>
        <w:ind w:firstLine="420"/>
        <w:spacing w:before="120" w:after="120" w:line="360" w:lineRule="auto"/>
        <w:tabs>
          <w:tab w:val="left" w:pos="540" w:leader="none"/>
        </w:tabs>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.5 由于乙方的过失，造成甲方、乙方、第三方经济损失均由乙方赔偿。</w:t>
      </w:r>
      <w:r/>
    </w:p>
    <w:p>
      <w:pPr>
        <w:pStyle w:val="732"/>
        <w:ind w:firstLine="420"/>
        <w:spacing w:before="120" w:after="120" w:line="360" w:lineRule="auto"/>
        <w:tabs>
          <w:tab w:val="left" w:pos="540"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.6 由于甲方的过失，造成甲方、乙方、第三方经济损失由甲方负责。</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.7 在签订本协议之前，甲方应将其对乙方人员的行为要求准则告知乙方，乙方应对其人员进行有关教育，确保其遵守甲方的有关安全、防火与保安规定。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.8 乙方在其人员到岗前应进行培训，以符合行业安全规程，并向甲方提供证明。</w:t>
      </w:r>
      <w:r>
        <w:rPr>
          <w:rFonts w:hint="default" w:ascii="Times New Roman" w:hAnsi="Times New Roman" w:cs="Times New Roman"/>
          <w:b/>
          <w:color w:val="auto"/>
          <w:highlight w:val="none"/>
        </w:rPr>
        <w:t xml:space="preserve">对于甲方提出的特殊培训要求，乙方予以满足，费用乙方自理。 </w:t>
      </w:r>
      <w:r/>
    </w:p>
    <w:p>
      <w:pPr>
        <w:pStyle w:val="732"/>
        <w:ind w:firstLine="420"/>
        <w:spacing w:before="120" w:after="120" w:line="5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.9 乙方应定期（内容为周检检查总结和分析要求）以书面形式向甲方汇报所服务项目的工作开展情况。</w:t>
      </w:r>
      <w:r/>
    </w:p>
    <w:p>
      <w:pPr>
        <w:pStyle w:val="732"/>
        <w:ind w:firstLine="420"/>
        <w:spacing w:before="120" w:after="120" w:line="500" w:lineRule="exac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.10 </w:t>
      </w:r>
      <w:r>
        <w:rPr>
          <w:rFonts w:hint="default" w:ascii="Times New Roman" w:hAnsi="Times New Roman" w:cs="Times New Roman"/>
          <w:b/>
          <w:color w:val="auto"/>
          <w:sz w:val="21"/>
          <w:szCs w:val="21"/>
          <w:highlight w:val="none"/>
        </w:rPr>
        <w:t xml:space="preserve">乙方应每个季度最后一个月28日前向甲方</w:t>
      </w:r>
      <w:r>
        <w:rPr>
          <w:rFonts w:hint="default" w:ascii="Times New Roman" w:hAnsi="Times New Roman" w:cs="Times New Roman"/>
          <w:color w:val="auto"/>
          <w:sz w:val="21"/>
          <w:szCs w:val="21"/>
          <w:highlight w:val="none"/>
        </w:rPr>
        <w:t xml:space="preserve">提交所有与服务项目相关的安全服务资料（各种检查记录、培训资料、会议纪要、报告和体系文件、标准等文件资料）。</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.11 乙方规定某设备、资料的用途或操作方法时应当使甲方免于承担因与该设备、资料的使用或操作方法有关的侵权诉讼引起的损害和费用。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.12 乙方作为独立实体，在甲方允可的情况下可自行决定实施服务的方法与途径。</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.13乙方应落实安全措施做好自身的安全生产，在履行合同过程中导致乙方人员的身体伤害、疾病、死亡、财产损坏或遗失等情况的，均由乙方自行承担由此造成的所有责任及费用。</w:t>
      </w:r>
      <w:r/>
    </w:p>
    <w:p>
      <w:pPr>
        <w:ind w:firstLine="420"/>
        <w:spacing w:line="500" w:lineRule="exac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6.14</w:t>
      </w:r>
      <w:r>
        <w:rPr>
          <w:rFonts w:hint="default" w:ascii="Times New Roman" w:hAnsi="Times New Roman" w:eastAsia="宋体" w:cs="Times New Roman"/>
          <w:color w:val="auto"/>
          <w:highlight w:val="none"/>
        </w:rPr>
        <w:t xml:space="preserve">在</w:t>
      </w:r>
      <w:r>
        <w:rPr>
          <w:rFonts w:hint="eastAsia" w:ascii="Times New Roman" w:hAnsi="Times New Roman" w:eastAsia="宋体" w:cs="Times New Roman"/>
          <w:color w:val="auto"/>
          <w:highlight w:val="none"/>
          <w:lang w:val="en-US" w:eastAsia="zh-CN"/>
        </w:rPr>
        <w:t xml:space="preserve">本项目合同期内，乙方原则上</w:t>
      </w:r>
      <w:r>
        <w:rPr>
          <w:rFonts w:hint="default" w:ascii="Times New Roman" w:hAnsi="Times New Roman" w:eastAsia="宋体" w:cs="Times New Roman"/>
          <w:color w:val="auto"/>
          <w:highlight w:val="none"/>
        </w:rPr>
        <w:t xml:space="preserve">不</w:t>
      </w:r>
      <w:r>
        <w:rPr>
          <w:rFonts w:hint="eastAsia" w:ascii="Times New Roman" w:hAnsi="Times New Roman" w:eastAsia="宋体" w:cs="Times New Roman"/>
          <w:color w:val="auto"/>
          <w:highlight w:val="none"/>
          <w:lang w:val="en-US" w:eastAsia="zh-CN"/>
        </w:rPr>
        <w:t xml:space="preserve">应</w:t>
      </w:r>
      <w:r>
        <w:rPr>
          <w:rFonts w:hint="default" w:ascii="Times New Roman" w:hAnsi="Times New Roman" w:eastAsia="宋体" w:cs="Times New Roman"/>
          <w:color w:val="auto"/>
          <w:highlight w:val="none"/>
        </w:rPr>
        <w:t xml:space="preserve">再承接与本项目服务对象有关的任何其他利益相关有偿业务服务，如安全评价、安全设施设计、施工、维修、技术咨询、服务等。</w:t>
      </w:r>
      <w:r/>
    </w:p>
    <w:p>
      <w:pPr>
        <w:ind w:firstLine="420"/>
        <w:spacing w:line="500" w:lineRule="exact"/>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6.15乙方应自行保障履行合同所必需的办公场所、办公设备、交通工具、专家聘请、后勤保障等。</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6</w:t>
      </w:r>
      <w:r>
        <w:rPr>
          <w:rFonts w:hint="default" w:ascii="Times New Roman" w:hAnsi="Times New Roman" w:cs="Times New Roman"/>
          <w:color w:val="auto"/>
          <w:highlight w:val="none"/>
        </w:rPr>
        <w:t xml:space="preserve">合同期限满后，甲方发现乙方提供的资料不全或资料缺失的，乙方应按甲方要求无条件配合并补齐资料。</w:t>
      </w:r>
      <w:r/>
    </w:p>
    <w:p>
      <w:pPr>
        <w:ind w:firstLine="420"/>
        <w:jc w:val="center"/>
        <w:spacing w:line="500" w:lineRule="exact"/>
        <w:rPr>
          <w:rFonts w:hint="eastAsia" w:ascii="Times New Roman" w:hAnsi="Times New Roman" w:eastAsia="宋体" w:cs="Times New Roman"/>
          <w:b/>
          <w:color w:val="auto"/>
          <w:highlight w:val="none"/>
          <w:lang w:eastAsia="zh-CN"/>
        </w:rPr>
      </w:pPr>
      <w:r>
        <w:rPr>
          <w:rFonts w:hint="default" w:ascii="Times New Roman" w:hAnsi="Times New Roman" w:cs="Times New Roman"/>
          <w:b/>
          <w:color w:val="auto"/>
          <w:highlight w:val="none"/>
        </w:rPr>
        <w:t xml:space="preserve">第</w:t>
      </w:r>
      <w:r>
        <w:rPr>
          <w:rFonts w:hint="eastAsia" w:ascii="Times New Roman" w:hAnsi="Times New Roman" w:cs="Times New Roman"/>
          <w:b/>
          <w:color w:val="auto"/>
          <w:highlight w:val="none"/>
          <w:lang w:val="en-US" w:eastAsia="zh-CN"/>
        </w:rPr>
        <w:t xml:space="preserve">七</w:t>
      </w:r>
      <w:r>
        <w:rPr>
          <w:rFonts w:hint="default" w:ascii="Times New Roman" w:hAnsi="Times New Roman" w:cs="Times New Roman"/>
          <w:b/>
          <w:color w:val="auto"/>
          <w:highlight w:val="none"/>
        </w:rPr>
        <w:t xml:space="preserve">款    </w:t>
      </w:r>
      <w:r>
        <w:rPr>
          <w:rFonts w:hint="eastAsia" w:ascii="Times New Roman" w:hAnsi="Times New Roman" w:cs="Times New Roman"/>
          <w:b/>
          <w:color w:val="auto"/>
          <w:highlight w:val="none"/>
          <w:lang w:val="en-US" w:eastAsia="zh-CN"/>
        </w:rPr>
        <w:t xml:space="preserve">知识产权归属</w:t>
      </w:r>
      <w:r/>
    </w:p>
    <w:p>
      <w:pPr>
        <w:ind w:firstLine="420"/>
        <w:spacing w:line="500" w:lineRule="exac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7.1</w:t>
      </w:r>
      <w:r>
        <w:rPr>
          <w:rFonts w:hint="default" w:ascii="Times New Roman" w:hAnsi="Times New Roman" w:eastAsia="宋体" w:cs="Times New Roman"/>
          <w:color w:val="auto"/>
          <w:highlight w:val="none"/>
          <w:lang w:val="en-US" w:eastAsia="zh-CN"/>
        </w:rPr>
        <w:t xml:space="preserve">双方确认，乙方在本协议服务期间，受托于甲方或者主要是利用甲方的物质技术条件、业务信息等产生的发明创造、作品、计算机软件、技术秘密或其他商业秘密信息，有关的知识产权均属于甲方享有。甲方可以在其业务范围内充分自由地利用这些发明创造、作品、计算机软件、技术秘密或其他商业秘密信息，进行生产、经营或者向第三方转让。乙方应当</w:t>
      </w:r>
      <w:r>
        <w:rPr>
          <w:rFonts w:hint="eastAsia" w:ascii="Times New Roman" w:hAnsi="Times New Roman" w:eastAsia="宋体" w:cs="Times New Roman"/>
          <w:color w:val="auto"/>
          <w:highlight w:val="none"/>
          <w:lang w:val="en-US" w:eastAsia="zh-CN"/>
        </w:rPr>
        <w:t xml:space="preserve">依据</w:t>
      </w:r>
      <w:r>
        <w:rPr>
          <w:rFonts w:hint="default" w:ascii="Times New Roman" w:hAnsi="Times New Roman" w:eastAsia="宋体" w:cs="Times New Roman"/>
          <w:color w:val="auto"/>
          <w:highlight w:val="none"/>
          <w:lang w:val="en-US" w:eastAsia="zh-CN"/>
        </w:rPr>
        <w:t xml:space="preserve">甲方的要求，提供一切必要的信息和采取一切必要的行动，协助甲方完成有关知识产权的权利申请、注册、登记和行使有关的知识产权。</w:t>
      </w:r>
      <w:r/>
    </w:p>
    <w:p>
      <w:pPr>
        <w:ind w:firstLine="420"/>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eastAsia" w:ascii="Times New Roman" w:hAnsi="Times New Roman" w:cs="Times New Roman"/>
          <w:b/>
          <w:color w:val="auto"/>
          <w:highlight w:val="none"/>
          <w:lang w:val="en-US" w:eastAsia="zh-CN"/>
        </w:rPr>
        <w:t xml:space="preserve">八</w:t>
      </w:r>
      <w:r>
        <w:rPr>
          <w:rFonts w:hint="default" w:ascii="Times New Roman" w:hAnsi="Times New Roman" w:cs="Times New Roman"/>
          <w:b/>
          <w:color w:val="auto"/>
          <w:highlight w:val="none"/>
        </w:rPr>
        <w:t xml:space="preserve">款    保密条款</w:t>
      </w:r>
      <w:r/>
    </w:p>
    <w:p>
      <w:pPr>
        <w:ind w:firstLine="420"/>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8</w:t>
      </w:r>
      <w:r>
        <w:rPr>
          <w:rFonts w:hint="default" w:ascii="Times New Roman" w:hAnsi="Times New Roman" w:cs="Times New Roman"/>
          <w:color w:val="auto"/>
          <w:highlight w:val="none"/>
        </w:rPr>
        <w:t xml:space="preserve">.1具体见附件</w:t>
      </w:r>
      <w:r>
        <w:rPr>
          <w:rFonts w:hint="default" w:ascii="Times New Roman" w:hAnsi="Times New Roman" w:cs="Times New Roman"/>
          <w:color w:val="auto"/>
          <w:highlight w:val="none"/>
          <w:lang w:val="en-US" w:eastAsia="zh-CN"/>
        </w:rPr>
        <w:t xml:space="preserve">一</w:t>
      </w:r>
      <w:r>
        <w:rPr>
          <w:rFonts w:hint="default" w:ascii="Times New Roman" w:hAnsi="Times New Roman" w:cs="Times New Roman"/>
          <w:color w:val="auto"/>
          <w:highlight w:val="none"/>
        </w:rPr>
        <w:t xml:space="preserve">《保密协议》。</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第</w:t>
      </w:r>
      <w:r>
        <w:rPr>
          <w:rFonts w:hint="eastAsia" w:ascii="Times New Roman" w:hAnsi="Times New Roman" w:cs="Times New Roman"/>
          <w:b/>
          <w:color w:val="auto"/>
          <w:highlight w:val="none"/>
          <w:lang w:val="en-US" w:eastAsia="zh-CN"/>
        </w:rPr>
        <w:t xml:space="preserve">九</w:t>
      </w:r>
      <w:r>
        <w:rPr>
          <w:rFonts w:hint="default" w:ascii="Times New Roman" w:hAnsi="Times New Roman" w:cs="Times New Roman"/>
          <w:b/>
          <w:color w:val="auto"/>
          <w:highlight w:val="none"/>
        </w:rPr>
        <w:t xml:space="preserve">款　  保险</w:t>
      </w:r>
      <w:r/>
    </w:p>
    <w:p>
      <w:pPr>
        <w:ind w:firstLine="420"/>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9</w:t>
      </w:r>
      <w:r>
        <w:rPr>
          <w:rFonts w:hint="default" w:ascii="Times New Roman" w:hAnsi="Times New Roman" w:cs="Times New Roman"/>
          <w:color w:val="auto"/>
          <w:highlight w:val="none"/>
        </w:rPr>
        <w:t xml:space="preserve">.1 乙方在本协议期内应购买或获取并持有以下保险。相关费用已包含在每工日单价中（除非另有规定），与甲方无关。此外，在不限制乙方的义务与责任的前提下，承包人应自费保有任何其认为重要并必需的法律规定的</w:t>
      </w:r>
      <w:r>
        <w:rPr>
          <w:rFonts w:hint="eastAsia" w:ascii="Times New Roman" w:hAnsi="Times New Roman" w:cs="Times New Roman"/>
          <w:color w:val="auto"/>
          <w:highlight w:val="none"/>
          <w:lang w:eastAsia="zh-CN"/>
        </w:rPr>
        <w:t xml:space="preserve">其他</w:t>
      </w:r>
      <w:r>
        <w:rPr>
          <w:rFonts w:hint="default" w:ascii="Times New Roman" w:hAnsi="Times New Roman" w:cs="Times New Roman"/>
          <w:color w:val="auto"/>
          <w:highlight w:val="none"/>
        </w:rPr>
        <w:t xml:space="preserve">保险。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1）社会保险，该保险应符合与乙方人员</w:t>
      </w:r>
      <w:r>
        <w:rPr>
          <w:rFonts w:hint="eastAsia" w:ascii="Times New Roman" w:hAnsi="Times New Roman" w:cs="Times New Roman"/>
          <w:color w:val="auto"/>
          <w:highlight w:val="none"/>
          <w:lang w:eastAsia="zh-CN"/>
        </w:rPr>
        <w:t xml:space="preserve">雇佣</w:t>
      </w:r>
      <w:r>
        <w:rPr>
          <w:rFonts w:hint="default" w:ascii="Times New Roman" w:hAnsi="Times New Roman" w:cs="Times New Roman"/>
          <w:color w:val="auto"/>
          <w:highlight w:val="none"/>
        </w:rPr>
        <w:t xml:space="preserve">协议和提供服务有关的所有适用法律。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2）人身意外伤亡险由乙方全面负责。甲方不承担义务。</w:t>
      </w:r>
      <w:r/>
    </w:p>
    <w:p>
      <w:pPr>
        <w:ind w:firstLine="420"/>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9</w:t>
      </w:r>
      <w:r>
        <w:rPr>
          <w:rFonts w:hint="default" w:ascii="Times New Roman" w:hAnsi="Times New Roman" w:cs="Times New Roman"/>
          <w:color w:val="auto"/>
          <w:highlight w:val="none"/>
        </w:rPr>
        <w:t xml:space="preserve">.2 乙方已踏勘甲方的现场，并熟悉可能影响乙方人员安全与健康的所有条件，乙方保证按照甲方的相关要求实施服务、不违反国家法规要求、不违反当地法律要求。对于因为乙方违反上述保证而造成的身体伤害、疾病、死亡、财产损坏或遗失，继而引发的需要乙方负责的所有赔偿、索赔、罚金、诉讼、成本费用，乙方同意予以赔偿，并使甲方免受上述任何损害。</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第十款    廉洁从业</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0</w:t>
      </w:r>
      <w:r>
        <w:rPr>
          <w:rFonts w:hint="default" w:ascii="Times New Roman" w:hAnsi="Times New Roman" w:cs="Times New Roman"/>
          <w:color w:val="auto"/>
          <w:highlight w:val="none"/>
        </w:rPr>
        <w:t xml:space="preserve">.1具体见附件</w:t>
      </w:r>
      <w:r>
        <w:rPr>
          <w:rFonts w:hint="default" w:ascii="Times New Roman" w:hAnsi="Times New Roman" w:cs="Times New Roman"/>
          <w:color w:val="auto"/>
          <w:highlight w:val="none"/>
          <w:lang w:val="en-US" w:eastAsia="zh-CN"/>
        </w:rPr>
        <w:t xml:space="preserve">二</w:t>
      </w:r>
      <w:r>
        <w:rPr>
          <w:rFonts w:hint="default" w:ascii="Times New Roman" w:hAnsi="Times New Roman" w:cs="Times New Roman"/>
          <w:color w:val="auto"/>
          <w:highlight w:val="none"/>
        </w:rPr>
        <w:t xml:space="preserve">《廉洁从业责任书》。</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 xml:space="preserve">一</w:t>
      </w:r>
      <w:r>
        <w:rPr>
          <w:rFonts w:hint="default" w:ascii="Times New Roman" w:hAnsi="Times New Roman" w:cs="Times New Roman"/>
          <w:b/>
          <w:color w:val="auto"/>
          <w:highlight w:val="none"/>
        </w:rPr>
        <w:t xml:space="preserve">款    不可抗力</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rPr>
        <w:t xml:space="preserve">.1 若本协议任何一方因不可控制、并非由于该方的过失的不可抗力而未能履行协议，不得被视为违约。不可抗力包括但不限于自然灾害、罢工、停产或其它行业骚乱、动乱、战争（无论是否宣战）、封锁、起义、由于政府行为而导致未能完全利用装置或设施的产能。受到不可抗力影响的一方应当立即通知另一方并采取所有必要步骤来消除引起不可抗力的因素，且在引起不可抗力的因素消除后，应当尽快恢复协议之履行，但条件是，不要求该方按照该方不接受的条件解决劳资纠纷。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rPr>
        <w:t xml:space="preserve">.2 在发生不可抗力的情况下，除了在不可抗力事件发生之前已经完成的服务之外，乙方不得因服务中止而获得任何补偿。</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 xml:space="preserve">二</w:t>
      </w:r>
      <w:r>
        <w:rPr>
          <w:rFonts w:hint="default" w:ascii="Times New Roman" w:hAnsi="Times New Roman" w:cs="Times New Roman"/>
          <w:b/>
          <w:color w:val="auto"/>
          <w:highlight w:val="none"/>
        </w:rPr>
        <w:t xml:space="preserve">款   协议解除、违约和争议</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.1 </w:t>
      </w:r>
      <w:r>
        <w:rPr>
          <w:rFonts w:hint="default" w:ascii="Times New Roman" w:hAnsi="Times New Roman" w:eastAsia="宋体" w:cs="Times New Roman"/>
          <w:color w:val="auto"/>
          <w:highlight w:val="none"/>
        </w:rPr>
        <w:t xml:space="preserve">合同签订后</w:t>
      </w:r>
      <w:r>
        <w:rPr>
          <w:rFonts w:hint="eastAsia"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乙方应立即组建项目部。服务期起始之时，如乙方管理团队、服务人员未能按期到岗，属于乙方逾期履约，应自逾期之日起每日按合同总价3‰向甲方计付违约金</w:t>
      </w:r>
      <w:r>
        <w:rPr>
          <w:rFonts w:hint="eastAsia"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逾期半个月以上的，甲方有权终止合同。</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.2在本协议期限内，因乙方监管不力原因发生较大及以上事故的（以事故调查报告结果为准）</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应</w:t>
      </w:r>
      <w:r>
        <w:rPr>
          <w:rFonts w:hint="default" w:ascii="Times New Roman" w:hAnsi="Times New Roman" w:cs="Times New Roman"/>
          <w:color w:val="auto"/>
          <w:highlight w:val="none"/>
        </w:rPr>
        <w:t xml:space="preserve">立即解除合同，并由</w:t>
      </w:r>
      <w:r>
        <w:rPr>
          <w:rFonts w:hint="eastAsia" w:ascii="Times New Roman" w:hAnsi="Times New Roman" w:cs="Times New Roman"/>
          <w:color w:val="auto"/>
          <w:highlight w:val="none"/>
          <w:lang w:val="en-US" w:eastAsia="zh-CN"/>
        </w:rPr>
        <w:t xml:space="preserve">乙方</w:t>
      </w:r>
      <w:r>
        <w:rPr>
          <w:rFonts w:hint="default" w:ascii="Times New Roman" w:hAnsi="Times New Roman" w:cs="Times New Roman"/>
          <w:color w:val="auto"/>
          <w:highlight w:val="none"/>
        </w:rPr>
        <w:t xml:space="preserve">承担</w:t>
      </w:r>
      <w:r>
        <w:rPr>
          <w:rFonts w:hint="eastAsia" w:ascii="Times New Roman" w:hAnsi="Times New Roman" w:cs="Times New Roman"/>
          <w:color w:val="auto"/>
          <w:highlight w:val="none"/>
          <w:lang w:eastAsia="zh-CN"/>
        </w:rPr>
        <w:t xml:space="preserve">所有</w:t>
      </w:r>
      <w:r>
        <w:rPr>
          <w:rFonts w:hint="default" w:ascii="Times New Roman" w:hAnsi="Times New Roman" w:cs="Times New Roman"/>
          <w:color w:val="auto"/>
          <w:highlight w:val="none"/>
        </w:rPr>
        <w:t xml:space="preserve">相应费用。</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3在本协议期限内，若协议一方有违约、破产、被债权人清算（合并与重组的情况例外）、由指定的接收人接收其全部或部分财产或公司处于争议的解决期，协议另一方有权通过提前七（7）天发出书面通知来终止本协议。</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.4 本协议一旦终止，乙方应立即停止正在进行的服务、并将所有工作成果和其所占有的文档、设备、物资以及甲方为乙方实施服务提供的资料交给甲方。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.5 本协议不得转包</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如发现转包</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乙方应承担</w:t>
      </w:r>
      <w:r>
        <w:rPr>
          <w:rFonts w:hint="eastAsia" w:ascii="Times New Roman" w:hAnsi="Times New Roman" w:cs="Times New Roman"/>
          <w:color w:val="auto"/>
          <w:highlight w:val="none"/>
          <w:lang w:val="en-US" w:eastAsia="zh-CN"/>
        </w:rPr>
        <w:t xml:space="preserve">本合同总价</w:t>
      </w:r>
      <w:r>
        <w:rPr>
          <w:rFonts w:hint="default" w:ascii="Times New Roman" w:hAnsi="Times New Roman" w:cs="Times New Roman"/>
          <w:color w:val="auto"/>
          <w:highlight w:val="none"/>
        </w:rPr>
        <w:t xml:space="preserve">3%的违约金</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并取消本服务项目。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6本合同在执行过程中，如发生任何争端、纠纷或因违反、终止本合同而引起的对损失损害的任何赔偿，应事先协商，在甲方和乙方之间达成一致意见。如未能达成一致，再由上级主管部门进行调解，调解不成时可提交甲方所在地人民法院起诉，通过诉讼方式解决。</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.7 合同的解除和转让</w:t>
      </w:r>
      <w:r/>
    </w:p>
    <w:p>
      <w:pPr>
        <w:ind w:firstLine="420"/>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1）</w:t>
      </w:r>
      <w:r>
        <w:rPr>
          <w:rFonts w:hint="default" w:ascii="Times New Roman" w:hAnsi="Times New Roman" w:cs="Times New Roman"/>
          <w:color w:val="auto"/>
          <w:highlight w:val="none"/>
        </w:rPr>
        <w:t xml:space="preserve">甲方和乙方协商一致，可以解除合同。</w:t>
      </w:r>
      <w:r/>
    </w:p>
    <w:p>
      <w:pPr>
        <w:ind w:firstLine="420"/>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2）</w:t>
      </w:r>
      <w:r>
        <w:rPr>
          <w:rFonts w:hint="default" w:ascii="Times New Roman" w:hAnsi="Times New Roman" w:cs="Times New Roman"/>
          <w:color w:val="auto"/>
          <w:highlight w:val="none"/>
        </w:rPr>
        <w:t xml:space="preserve">有下列情形之一，合同一方可以解除合同：</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① 因不可抗力致使不能实现合同目的，未受不可抗力影响的一方有权解除合同；</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② 甲方有权在乙方发生违约事实或不可抗力事件发生之后十天内书面通知对方以主张解除合同，合同在书面通知到达对方时解除。</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③乙方进场后前2个月为试用期，如乙方在试用期内不能履行合同，甲方有权终止合同履行，乙方应承担相应的完全责任，包括赔偿因此而给甲方带来的相应损失。</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④乙方如出现挂靠和借用资质等情况，不符合行业主管部门的要求，甲方有权单方解除合同，同时予以通报。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⑤合同的部分和全部都不得转让。在项目实施期间将不定期进行抽查，如发现乙方违规甲方有权解除合同。</w:t>
      </w:r>
      <w:r/>
    </w:p>
    <w:p>
      <w:pPr>
        <w:ind w:firstLine="420"/>
        <w:spacing w:line="500" w:lineRule="exact"/>
        <w:rPr>
          <w:rFonts w:hint="default" w:ascii="Times New Roman" w:hAnsi="Times New Roman" w:cs="Times New Roman"/>
          <w:color w:val="auto"/>
          <w:highlight w:val="none"/>
        </w:rPr>
      </w:pPr>
      <w:r>
        <w:rPr>
          <w:rFonts w:hint="eastAsia" w:ascii="宋体" w:hAnsi="宋体" w:eastAsia="宋体" w:cs="宋体"/>
          <w:color w:val="auto"/>
          <w:highlight w:val="none"/>
        </w:rPr>
        <w:t xml:space="preserve">⑥</w:t>
      </w:r>
      <w:r>
        <w:rPr>
          <w:rFonts w:hint="default" w:ascii="Times New Roman" w:hAnsi="Times New Roman" w:eastAsia="宋体" w:cs="Times New Roman"/>
          <w:color w:val="auto"/>
          <w:highlight w:val="none"/>
        </w:rPr>
        <w:t xml:space="preserve">因乙方违约</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甲方解除合同的</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乙方应向甲方支付合同总金额</w:t>
      </w:r>
      <w:r>
        <w:rPr>
          <w:rFonts w:hint="eastAsia" w:ascii="Times New Roman" w:hAnsi="Times New Roman" w:eastAsia="宋体" w:cs="Times New Roman"/>
          <w:color w:val="auto"/>
          <w:highlight w:val="none"/>
          <w:lang w:val="en-US" w:eastAsia="zh-CN"/>
        </w:rPr>
        <w:t xml:space="preserve">3</w:t>
      </w:r>
      <w:r>
        <w:rPr>
          <w:rFonts w:hint="default" w:ascii="Times New Roman" w:hAnsi="Times New Roman" w:eastAsia="宋体" w:cs="Times New Roman"/>
          <w:color w:val="auto"/>
          <w:highlight w:val="none"/>
        </w:rPr>
        <w:t xml:space="preserve">%的违约金</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如造成甲方的损失超过违约金的</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超出部分由乙方继续承担赔偿责任。</w:t>
      </w:r>
      <w:r/>
    </w:p>
    <w:p>
      <w:pPr>
        <w:jc w:val="center"/>
        <w:spacing w:line="5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 xml:space="preserve">三</w:t>
      </w:r>
      <w:r>
        <w:rPr>
          <w:rFonts w:hint="default" w:ascii="Times New Roman" w:hAnsi="Times New Roman" w:cs="Times New Roman"/>
          <w:b/>
          <w:color w:val="auto"/>
          <w:highlight w:val="none"/>
        </w:rPr>
        <w:t xml:space="preserve">款   </w:t>
      </w:r>
      <w:r>
        <w:rPr>
          <w:rFonts w:hint="eastAsia" w:ascii="Times New Roman" w:hAnsi="Times New Roman" w:cs="Times New Roman"/>
          <w:b/>
          <w:color w:val="auto"/>
          <w:highlight w:val="none"/>
          <w:lang w:eastAsia="zh-CN"/>
        </w:rPr>
        <w:t xml:space="preserve">其他</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.1 本协议正本一式十份，甲方七份，乙方三份。本协议经双方签字盖章后即生效。结清服务价款后自动终止，未尽事宜，另行协商。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.2 本协议终止不得妨碍受害方针对另一方在协议终止前的违约行为提起诉讼的权利，本协议之保密条款、保险条款和赔偿条款等在协议终止后仍然有效。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rPr>
          <w:rFonts w:hint="eastAsia"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.3本合同包含附件所有内容。</w:t>
      </w:r>
      <w:r/>
    </w:p>
    <w:p>
      <w:pPr>
        <w:pStyle w:val="727"/>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公章</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                        乙方：  </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公章</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法定代表人或其委托代理人：            法定代表人或其委托代理人：</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（签字）                              （签字）</w:t>
      </w:r>
      <w:r/>
    </w:p>
    <w:p>
      <w:pPr>
        <w:spacing w:line="360" w:lineRule="auto"/>
        <w:tabs>
          <w:tab w:val="left" w:pos="4410"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组织机构代码：                        组织机构代码：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地  址：                              地  址：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电  话：                              电  话：                       </w:t>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开户银行：                            开户银行：                     </w:t>
      </w:r>
      <w:r/>
    </w:p>
    <w:p>
      <w:pPr>
        <w:pStyle w:val="746"/>
        <w:spacing w:before="0" w:beforeAutospacing="0" w:after="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账  号：                              账  号：  </w:t>
      </w:r>
      <w:r/>
    </w:p>
    <w:p>
      <w:pPr>
        <w:pStyle w:val="746"/>
        <w:spacing w:before="0" w:beforeAutospacing="0" w:after="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46"/>
        <w:jc w:val="left"/>
        <w:spacing w:before="0" w:beforeAutospacing="0" w:after="0" w:afterAutospacing="0"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p>
      <w:pPr>
        <w:pStyle w:val="746"/>
        <w:spacing w:before="0" w:beforeAutospacing="0" w:after="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746"/>
        <w:ind w:firstLine="4515"/>
        <w:spacing w:before="0" w:beforeAutospacing="0" w:after="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签订日期：202</w:t>
      </w:r>
      <w:r>
        <w:rPr>
          <w:rFonts w:hint="eastAsia"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年 月  日</w:t>
      </w:r>
      <w:r/>
    </w:p>
    <w:p>
      <w:pPr>
        <w:spacing w:line="44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附件一：保密协议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经友好协商，双方就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的服务工作签订如下保密协议： </w:t>
      </w:r>
      <w:r/>
    </w:p>
    <w:p>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1.</w:t>
      </w:r>
      <w:r>
        <w:rPr>
          <w:rFonts w:hint="default" w:ascii="Times New Roman" w:hAnsi="Times New Roman" w:cs="Times New Roman"/>
          <w:color w:val="auto"/>
          <w:highlight w:val="none"/>
        </w:rPr>
        <w:t xml:space="preserve">甲方提供给乙方的所有资料（包括书面及电子版等）仅限于乙方参加甲方服务所需，资料中涉及的商业和技术等秘密，乙方负有保密的责任，乙方保证对甲方递交的资料、信息提供完善的保密措施，不得复制以上的任何资料，或向第三方泄露。乙方员工在任何时候的泄密将视为乙方的泄密。在协议终止时，乙方应归还从甲方直接获得或间接获得的所有资料，如所有图纸、说明、技术数据以及</w:t>
      </w:r>
      <w:r>
        <w:rPr>
          <w:rFonts w:hint="eastAsia" w:ascii="Times New Roman" w:hAnsi="Times New Roman" w:cs="Times New Roman"/>
          <w:color w:val="auto"/>
          <w:highlight w:val="none"/>
          <w:lang w:eastAsia="zh-CN"/>
        </w:rPr>
        <w:t xml:space="preserve">其他</w:t>
      </w:r>
      <w:r>
        <w:rPr>
          <w:rFonts w:hint="default" w:ascii="Times New Roman" w:hAnsi="Times New Roman" w:cs="Times New Roman"/>
          <w:color w:val="auto"/>
          <w:highlight w:val="none"/>
        </w:rPr>
        <w:t xml:space="preserve">任何资料。 </w:t>
      </w:r>
      <w:r/>
    </w:p>
    <w:p>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2.</w:t>
      </w:r>
      <w:r>
        <w:rPr>
          <w:rFonts w:hint="default" w:ascii="Times New Roman" w:hAnsi="Times New Roman" w:cs="Times New Roman"/>
          <w:color w:val="auto"/>
          <w:highlight w:val="none"/>
        </w:rPr>
        <w:t xml:space="preserve">在本协议期间，乙方作为履行服务之结果，均应当为甲方之财产，且乙方应承担保密义务。 </w:t>
      </w:r>
      <w:r/>
    </w:p>
    <w:p>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3.</w:t>
      </w:r>
      <w:r>
        <w:rPr>
          <w:rFonts w:hint="default" w:ascii="Times New Roman" w:hAnsi="Times New Roman" w:cs="Times New Roman"/>
          <w:color w:val="auto"/>
          <w:highlight w:val="none"/>
        </w:rPr>
        <w:t xml:space="preserve">乙方对以下情况不承担保密责任：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 并非因乙方之错误而成为公众可获得的信息；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在乙方按照本协议获得该信息之前，即由乙方拥有的信息，且该信息不是直接或间接来自甲方或承担保密义务的其它方。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由乙方从某不承担保密义务的第三方获得的信息，且乙方有合理理由认为该第三方对甲方或其关联方不承担保密义务；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由乙方为乙方雇员独立开发的信息，且该信息不属于上述规定的信息。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3.5 乙方在按照本协议履行服务过程中可能会积累知识，并在取得甲方事先书面同意后将此类知识用于其日常业务。 </w:t>
      </w:r>
      <w:r/>
    </w:p>
    <w:p>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4.</w:t>
      </w:r>
      <w:r>
        <w:rPr>
          <w:rFonts w:hint="default" w:ascii="Times New Roman" w:hAnsi="Times New Roman" w:cs="Times New Roman"/>
          <w:color w:val="auto"/>
          <w:highlight w:val="none"/>
        </w:rPr>
        <w:t xml:space="preserve">对本协议内容的任何违反，视作违约，违约方应按中华人民共和国的相关法律法规承担违约责任。 </w:t>
      </w:r>
      <w:r/>
    </w:p>
    <w:p>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5.</w:t>
      </w:r>
      <w:r>
        <w:rPr>
          <w:rFonts w:hint="default" w:ascii="Times New Roman" w:hAnsi="Times New Roman" w:cs="Times New Roman"/>
          <w:color w:val="auto"/>
          <w:highlight w:val="none"/>
        </w:rPr>
        <w:t xml:space="preserve">本协议有效期10年，对本协议的任何修改和变更，必须经双方书面同意，并由双方重新签章。 </w:t>
      </w:r>
      <w:r/>
    </w:p>
    <w:p>
      <w:pPr>
        <w:spacing w:line="44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 xml:space="preserve">6.</w:t>
      </w:r>
      <w:r>
        <w:rPr>
          <w:rFonts w:hint="default" w:ascii="Times New Roman" w:hAnsi="Times New Roman" w:cs="Times New Roman"/>
          <w:color w:val="auto"/>
          <w:highlight w:val="none"/>
        </w:rPr>
        <w:t xml:space="preserve">本协议一式十份，甲方执七份，乙方执三份，具有同等法律效力。本协议经甲、乙双方签章后即生效。 </w:t>
      </w:r>
      <w:r/>
    </w:p>
    <w:p>
      <w:pPr>
        <w:pStyle w:val="727"/>
        <w:rPr>
          <w:rFonts w:hint="default" w:ascii="Times New Roman" w:hAnsi="Times New Roman" w:cs="Times New Roman"/>
          <w:color w:val="auto"/>
          <w:highlight w:val="none"/>
        </w:rPr>
        <w:sectPr>
          <w:footerReference w:type="default" r:id="rId10"/>
          <w:footnotePr/>
          <w:endnotePr/>
          <w:type w:val="oddPage"/>
          <w:pgSz w:w="11906" w:h="16838" w:orient="portrait"/>
          <w:pgMar w:top="2154" w:right="1531" w:bottom="2154" w:left="1531" w:header="851" w:footer="992" w:gutter="0"/>
          <w:cols w:num="1" w:sep="0" w:space="720" w:equalWidth="1"/>
          <w:docGrid w:linePitch="360"/>
        </w:sectPr>
      </w:pPr>
      <w:r>
        <w:rPr>
          <w:rFonts w:hint="default" w:ascii="Times New Roman" w:hAnsi="Times New Roman" w:cs="Times New Roman"/>
          <w:color w:val="auto"/>
          <w:highlight w:val="none"/>
        </w:rPr>
      </w:r>
      <w:r/>
    </w:p>
    <w:p>
      <w:pPr>
        <w:spacing w:line="44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附件二 ：廉洁从业责任书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 </w:t>
      </w:r>
      <w:r/>
    </w:p>
    <w:p>
      <w:pPr>
        <w:ind w:firstLine="420"/>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为规范甲乙双方就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服务工作的商业行为，维护公平竞争，建立健全防治商业贿赂的长效机制，深入推进反腐倡廉工作，根据国家有关法律法</w:t>
      </w:r>
      <w:r>
        <w:rPr>
          <w:rFonts w:hint="eastAsia" w:ascii="Times New Roman" w:hAnsi="Times New Roman" w:cs="Times New Roman"/>
          <w:color w:val="auto"/>
          <w:highlight w:val="none"/>
          <w:lang w:eastAsia="zh-CN"/>
        </w:rPr>
        <w:t xml:space="preserve">规和</w:t>
      </w:r>
      <w:r>
        <w:rPr>
          <w:rFonts w:hint="default" w:ascii="Times New Roman" w:hAnsi="Times New Roman" w:cs="Times New Roman"/>
          <w:color w:val="auto"/>
          <w:highlight w:val="none"/>
        </w:rPr>
        <w:t xml:space="preserve">有关规定，经双方协商，签订本廉洁从业责任书。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第一条</w:t>
      </w:r>
      <w:r>
        <w:rPr>
          <w:rFonts w:hint="default" w:ascii="Times New Roman" w:hAnsi="Times New Roman" w:cs="Times New Roman"/>
          <w:color w:val="auto"/>
          <w:highlight w:val="none"/>
        </w:rPr>
        <w:t xml:space="preserve">   甲乙双方共同责任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（一）严格遵守国家有关法律法规以及廉洁从业的有关规定。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（二）严格遵守商业道德和市场规则，共同营造公平公正的商务交易环境。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（三）加强有关人员的管理和廉洁从业教育，自觉抵制不廉洁行为。在商务活动中发现对方存在违规违纪违法行为，应及时向监察部门或司法机关举报。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第二条</w:t>
      </w:r>
      <w:r>
        <w:rPr>
          <w:rFonts w:hint="default" w:ascii="Times New Roman" w:hAnsi="Times New Roman" w:cs="Times New Roman"/>
          <w:color w:val="auto"/>
          <w:highlight w:val="none"/>
        </w:rPr>
        <w:t xml:space="preserve">   甲方及其人员的责任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（一）不得索要或接受乙方及其相关单位和人员提供的回扣、礼金、有价证券、支付凭证、贵重物品等。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（二）不得在乙方及其相关单位报销任何应由甲方或个人支付的费用。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（三）不得违反规定在乙方及其相关单位投资入股，不得向乙方单位及人员借款或委托买卖股票、债券等。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（四）不得要求、暗示和接受乙方及其相关单位和个人为其购买或装修住房、婚丧嫁娶、配偶和子女的上学或工作安排以及出国（境）、旅游等提供方便。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（五）不得参加乙方及其相关单位安排的可能影响公正执行公务的宴请、健身和娱乐等活动。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（六）不得接受乙方及其相关单位购置或提供的通讯工具、交通工具和高档办公用品。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（七）不得利用职权通过乙方及其相关单位为其配偶、子女及他人谋取不正当利益。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（八）不得违反规定在乙方或乙方相关单位兼职和领取兼职工资及报酬；不得利用甲方的商业秘密、业务渠道等谋取个人私利，或将其提供泄漏给乙方及其它企业和个人。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（九）不得利用职权和工作之便向乙方提出上述各项规定禁止事项或要求之外的与工作业务无关的事项或要求。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第三条</w:t>
      </w:r>
      <w:r>
        <w:rPr>
          <w:rFonts w:hint="default" w:ascii="Times New Roman" w:hAnsi="Times New Roman" w:cs="Times New Roman"/>
          <w:color w:val="auto"/>
          <w:highlight w:val="none"/>
        </w:rPr>
        <w:t xml:space="preserve">   乙方及其人员的责任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（一）不得向甲方及其人员提供回扣、礼金、有价礼券、支付凭证、贵重物品等。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（二）不得为甲方及其人员报销应由甲方或个人支付的费用。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（三）不得为甲方人员投资入股、个人借款或买卖股票、债券等提供方便。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（四）不得为甲方人员购买或装修住房、婚丧嫁娶、配偶子女上学或工作安排以及出国（境）、旅游等提供方便。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（五）不得为甲方人员安排有可能影响公正执行公务的宴请、健身和娱乐等活动。</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（六）不得为甲方及其人员购置或提供通讯工具、交通工具和高档办公用品。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（七）不得为甲方人员的配偶、子女及其他亲属谋取不正当利益提供方便。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（八）不得违反规定安排甲方人员在乙方或乙方相关单位兼职和领取兼职工资及报酬；不得利用非法手段向甲方人员打探有关涉及甲方的商业秘密、业务渠道等。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（九）甲方对涉嫌不廉洁的商业行为进行调查时，乙方有配合甲方提供证据、作证的义务。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（十）未经甲方书面同意，乙方不得向任何新闻媒体、第三人述及廉洁从业方面的评价、信息。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第四条</w:t>
      </w:r>
      <w:r>
        <w:rPr>
          <w:rFonts w:hint="default" w:ascii="Times New Roman" w:hAnsi="Times New Roman" w:cs="Times New Roman"/>
          <w:color w:val="auto"/>
          <w:highlight w:val="none"/>
        </w:rPr>
        <w:t xml:space="preserve">   违约责任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（一）甲方及其人员有违反本责任书第一条、第二条规定的，按照管理权限，依据有关法律法规和规定给予有关人员纪律处分或组织处理；涉嫌犯罪的，移交司法机关追究刑事责任。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（二）乙方及其人员有违反本责任书第一条、第三条规定的，按照管理权限，依据国家法律法规和有关规定给予纪律处分或组织处理；涉嫌犯罪的，移交司法机关追究刑事责任。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第五条</w:t>
      </w:r>
      <w:r>
        <w:rPr>
          <w:rFonts w:hint="default" w:ascii="Times New Roman" w:hAnsi="Times New Roman" w:cs="Times New Roman"/>
          <w:color w:val="auto"/>
          <w:highlight w:val="none"/>
        </w:rPr>
        <w:t xml:space="preserve">   本责任书经双方签署后生效。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甲乙双方通过招投标或其他方式签订交易合同的，本责任书作为交易合同的附件，与合同具有同等法律效力；如双方未签订交易合同，本责任书独立有效。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第六条</w:t>
      </w:r>
      <w:r>
        <w:rPr>
          <w:rFonts w:hint="default" w:ascii="Times New Roman" w:hAnsi="Times New Roman" w:cs="Times New Roman"/>
          <w:color w:val="auto"/>
          <w:highlight w:val="none"/>
        </w:rPr>
        <w:t xml:space="preserve">   甲乙双方及其人员在经济合同履行完毕后，发生或发现违反本责任书规定的行为，仍按本责任书规定处理。 </w:t>
      </w:r>
      <w:r/>
    </w:p>
    <w:p>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第七条</w:t>
      </w:r>
      <w:r>
        <w:rPr>
          <w:rFonts w:hint="default" w:ascii="Times New Roman" w:hAnsi="Times New Roman" w:cs="Times New Roman"/>
          <w:color w:val="auto"/>
          <w:highlight w:val="none"/>
        </w:rPr>
        <w:t xml:space="preserve">   本责任书一式十份，甲方执七份，乙方执三份，具有同等法律效力。本协议经甲、乙双方签章后即生效。  </w:t>
      </w:r>
      <w:r/>
    </w:p>
    <w:p>
      <w:pPr>
        <w:pStyle w:val="931"/>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30"/>
        <w:rPr>
          <w:rFonts w:hint="eastAsia"/>
          <w:color w:val="auto"/>
          <w:highlight w:val="none"/>
        </w:rPr>
      </w:pPr>
      <w:r>
        <w:rPr>
          <w:rFonts w:hint="eastAsia"/>
          <w:color w:val="auto"/>
          <w:highlight w:val="none"/>
        </w:rPr>
      </w:r>
      <w:r/>
    </w:p>
    <w:p>
      <w:pPr>
        <w:jc w:val="center"/>
        <w:keepLines/>
        <w:spacing w:line="360" w:lineRule="auto"/>
        <w:tabs>
          <w:tab w:val="left" w:pos="360" w:leader="none"/>
        </w:tabs>
        <w:rPr>
          <w:rFonts w:hint="eastAsia" w:hAnsi="宋体" w:eastAsia="黑体"/>
          <w:color w:val="auto"/>
          <w:sz w:val="36"/>
          <w:szCs w:val="20"/>
          <w:highlight w:val="none"/>
        </w:rPr>
        <w:outlineLvl w:val="0"/>
      </w:pPr>
      <w:r>
        <w:rPr>
          <w:rFonts w:hint="eastAsia" w:hAnsi="宋体" w:eastAsia="黑体"/>
          <w:color w:val="auto"/>
          <w:sz w:val="36"/>
          <w:szCs w:val="20"/>
          <w:highlight w:val="none"/>
        </w:rPr>
      </w:r>
      <w:r/>
    </w:p>
    <w:p>
      <w:pPr>
        <w:jc w:val="center"/>
        <w:keepLines/>
        <w:spacing w:line="360" w:lineRule="auto"/>
        <w:tabs>
          <w:tab w:val="left" w:pos="360" w:leader="none"/>
        </w:tabs>
        <w:rPr>
          <w:rFonts w:hint="eastAsia" w:hAnsi="宋体" w:eastAsia="黑体"/>
          <w:color w:val="auto"/>
          <w:sz w:val="36"/>
          <w:szCs w:val="20"/>
          <w:highlight w:val="none"/>
        </w:rPr>
        <w:outlineLvl w:val="0"/>
      </w:pPr>
      <w:r>
        <w:rPr>
          <w:rFonts w:hint="eastAsia" w:hAnsi="宋体" w:eastAsia="黑体"/>
          <w:color w:val="auto"/>
          <w:sz w:val="36"/>
          <w:szCs w:val="20"/>
          <w:highlight w:val="none"/>
        </w:rPr>
      </w:r>
      <w:r/>
    </w:p>
    <w:p>
      <w:pPr>
        <w:jc w:val="center"/>
        <w:keepLines/>
        <w:spacing w:line="360" w:lineRule="auto"/>
        <w:tabs>
          <w:tab w:val="left" w:pos="360" w:leader="none"/>
        </w:tabs>
        <w:rPr>
          <w:rFonts w:hint="eastAsia" w:hAnsi="宋体" w:eastAsia="黑体"/>
          <w:color w:val="auto"/>
          <w:sz w:val="36"/>
          <w:szCs w:val="20"/>
          <w:highlight w:val="none"/>
        </w:rPr>
        <w:outlineLvl w:val="0"/>
      </w:pPr>
      <w:r>
        <w:rPr>
          <w:rFonts w:hint="eastAsia" w:hAnsi="宋体" w:eastAsia="黑体"/>
          <w:color w:val="auto"/>
          <w:sz w:val="36"/>
          <w:szCs w:val="20"/>
          <w:highlight w:val="none"/>
        </w:rPr>
      </w:r>
      <w:r/>
    </w:p>
    <w:p>
      <w:pPr>
        <w:jc w:val="center"/>
        <w:keepLines/>
        <w:spacing w:line="360" w:lineRule="auto"/>
        <w:tabs>
          <w:tab w:val="left" w:pos="360" w:leader="none"/>
        </w:tabs>
        <w:rPr>
          <w:color w:val="auto"/>
          <w:highlight w:val="none"/>
        </w:rPr>
        <w:outlineLvl w:val="0"/>
      </w:pPr>
      <w:r>
        <w:rPr>
          <w:rFonts w:hint="eastAsia" w:hAnsi="宋体" w:eastAsia="黑体"/>
          <w:color w:val="auto"/>
          <w:sz w:val="36"/>
          <w:szCs w:val="20"/>
          <w:highlight w:val="none"/>
        </w:rPr>
        <w:t xml:space="preserve">第六部分</w:t>
      </w:r>
      <w:bookmarkStart w:id="141" w:name="_Toc91183846"/>
      <w:r/>
      <w:bookmarkStart w:id="142" w:name="_Toc91256334"/>
      <w:r>
        <w:rPr>
          <w:rFonts w:hint="eastAsia" w:hAnsi="宋体" w:eastAsia="黑体"/>
          <w:color w:val="auto"/>
          <w:sz w:val="36"/>
          <w:szCs w:val="20"/>
          <w:highlight w:val="none"/>
        </w:rPr>
        <w:t xml:space="preserve">  投标文件格式</w:t>
      </w:r>
      <w:bookmarkEnd w:id="138"/>
      <w:r/>
      <w:bookmarkEnd w:id="141"/>
      <w:r/>
      <w:bookmarkEnd w:id="142"/>
      <w:r/>
      <w:r/>
    </w:p>
    <w:p>
      <w:pPr>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rFonts w:hint="eastAsia"/>
          <w:color w:val="auto"/>
          <w:highlight w:val="none"/>
        </w:rPr>
      </w:pPr>
      <w:r>
        <w:rPr>
          <w:color w:val="auto"/>
          <w:sz w:val="24"/>
          <w:highlight w:val="none"/>
        </w:rPr>
        <w:t xml:space="preserve">格式</w:t>
      </w:r>
      <w:r>
        <w:rPr>
          <w:rFonts w:hint="eastAsia"/>
          <w:color w:val="auto"/>
          <w:sz w:val="24"/>
          <w:highlight w:val="none"/>
        </w:rPr>
        <w:t xml:space="preserve">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 应 函</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致：【采购单位】</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标段（标段编号：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全权代表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参加贵方组织的采购活动，并按照采购文件要求提交响应文件。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据此函，签字人兹宣布同意如下：</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1.按采购文件项目需求提交响应报价，报价、交货期等详见开标一览表。</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(1)具有独立承担民事责任的能力；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(3)具有履行合同所必需的设备和专业技术能力；</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(4)有依法缴纳税收和社会保障资金的良好记录；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(5)参加此项采购活动前三年内，在经营活动中没有重大违法记录。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4.我方根据采购文件的规定，承担完成合同的责任和义务。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5.我方已详细审核采购文件，我方知道必须放弃提出含糊不清或误解问题的权利。</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7.同意应贵方要求提供与本次采购活动有关的任何数据或资料。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8.我方完全理解，最低报价不是中标（成交）的唯一条件。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9.若贵方需要，我方愿意提供我方作出的一切承诺的证明材料。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(1)提供虚假材料谋取中标、成交的；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(2)采取不正当手段诋毁、排挤其他供应商的；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(3)与采购人、其他供应商或者采购代理机构恶意串通的；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(4)向采购人、采购代理机构行贿或者提供其他不正当利益的；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(5)在招标采购过程中与采购人进行协商谈判的；</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(6)拒绝有关部门监督检查或提供虚假情况的。</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日期： </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 </w:t>
      </w:r>
      <w:r/>
    </w:p>
    <w:p>
      <w:pPr>
        <w:ind w:firstLine="480"/>
        <w:jc w:val="left"/>
        <w:spacing w:line="360" w:lineRule="auto"/>
        <w:rPr>
          <w:rFonts w:hint="eastAsia" w:ascii="宋体" w:hAnsi="宋体"/>
          <w:bCs/>
          <w:color w:val="auto"/>
          <w:sz w:val="24"/>
          <w:highlight w:val="none"/>
        </w:rPr>
      </w:pPr>
      <w:r/>
      <w:bookmarkStart w:id="143" w:name="_Toc91256336"/>
      <w:r/>
      <w:bookmarkStart w:id="144" w:name="_Toc91183848"/>
      <w:r/>
      <w:r/>
    </w:p>
    <w:p>
      <w:pPr>
        <w:pStyle w:val="902"/>
        <w:numPr>
          <w:ilvl w:val="0"/>
          <w:numId w:val="0"/>
        </w:numPr>
        <w:spacing w:before="0" w:after="0" w:line="240" w:lineRule="auto"/>
        <w:rPr>
          <w:rFonts w:hint="eastAsia"/>
          <w:color w:val="auto"/>
          <w:highlight w:val="none"/>
        </w:rPr>
      </w:pPr>
      <w:r>
        <w:rPr>
          <w:color w:val="auto"/>
          <w:highlight w:val="none"/>
        </w:rPr>
        <w:br w:type="page" w:clear="all"/>
      </w:r>
      <w:r>
        <w:rPr>
          <w:color w:val="auto"/>
          <w:sz w:val="24"/>
          <w:highlight w:val="none"/>
        </w:rPr>
        <w:t xml:space="preserve">格式</w:t>
      </w:r>
      <w:r>
        <w:rPr>
          <w:rFonts w:hint="eastAsia"/>
          <w:color w:val="auto"/>
          <w:sz w:val="24"/>
          <w:highlight w:val="none"/>
        </w:rPr>
        <w:t xml:space="preserve">2、开标一览表</w:t>
      </w:r>
      <w:r/>
    </w:p>
    <w:p>
      <w:pPr>
        <w:jc w:val="center"/>
        <w:rPr>
          <w:rFonts w:hint="eastAsia" w:ascii="宋体" w:hAnsi="宋体"/>
          <w:bCs/>
          <w:color w:val="auto"/>
          <w:sz w:val="24"/>
          <w:highlight w:val="none"/>
        </w:rPr>
      </w:pPr>
      <w:r>
        <w:rPr>
          <w:rFonts w:ascii="黑体" w:hAnsi="黑体" w:eastAsia="黑体" w:cs="宋体"/>
          <w:bCs/>
          <w:color w:val="auto"/>
          <w:sz w:val="36"/>
          <w:szCs w:val="28"/>
          <w:highlight w:val="none"/>
        </w:rPr>
        <w:t xml:space="preserve">开标一览表</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标段编号：</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标段名称：</w:t>
      </w:r>
      <w:r/>
    </w:p>
    <w:p>
      <w:pPr>
        <w:pStyle w:val="1009"/>
        <w:rPr>
          <w:color w:val="auto"/>
          <w:sz w:val="24"/>
          <w:highlight w:val="none"/>
        </w:rPr>
      </w:pPr>
      <w:r>
        <w:rPr>
          <w:color w:val="auto"/>
          <w:sz w:val="24"/>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rFonts w:ascii="宋体" w:hAnsi="宋体"/>
                <w:bCs/>
                <w:color w:val="auto"/>
                <w:sz w:val="28"/>
                <w:szCs w:val="28"/>
                <w:highlight w:val="none"/>
              </w:rPr>
            </w:pPr>
            <w:r>
              <w:rPr>
                <w:rFonts w:ascii="宋体" w:hAnsi="宋体"/>
                <w:bCs/>
                <w:color w:val="auto"/>
                <w:sz w:val="28"/>
                <w:szCs w:val="28"/>
                <w:highlight w:val="none"/>
              </w:rPr>
              <w:t xml:space="preserve">标题</w:t>
            </w:r>
            <w:r/>
          </w:p>
        </w:tc>
        <w:tc>
          <w:tcPr>
            <w:tcW w:w="3651"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rPr>
                <w:rFonts w:ascii="宋体" w:hAnsi="宋体"/>
                <w:bCs/>
                <w:color w:val="auto"/>
                <w:sz w:val="28"/>
                <w:szCs w:val="28"/>
                <w:highlight w:val="none"/>
              </w:rPr>
            </w:pPr>
            <w:r>
              <w:rPr>
                <w:rFonts w:ascii="宋体" w:hAnsi="宋体"/>
                <w:bCs/>
                <w:color w:val="auto"/>
                <w:sz w:val="28"/>
                <w:szCs w:val="28"/>
                <w:highlight w:val="none"/>
              </w:rPr>
              <w:t xml:space="preserve">投标报价</w:t>
            </w:r>
            <w:r/>
          </w:p>
        </w:tc>
        <w:tc>
          <w:tcPr>
            <w:tcW w:w="3651"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r>
        <w:trPr>
          <w:cantSplit/>
          <w:jc w:val="center"/>
          <w:trHeight w:val="1310"/>
        </w:trPr>
        <w:tc>
          <w:tcPr>
            <w:tcW w:w="3653" w:type="dxa"/>
            <w:vAlign w:val="center"/>
            <w:textDirection w:val="lrTb"/>
            <w:noWrap w:val="false"/>
          </w:tcPr>
          <w:p>
            <w:pPr>
              <w:jc w:val="center"/>
              <w:rPr>
                <w:rFonts w:hint="eastAsia" w:ascii="宋体" w:hAnsi="宋体"/>
                <w:bCs/>
                <w:color w:val="auto"/>
                <w:sz w:val="28"/>
                <w:szCs w:val="28"/>
                <w:highlight w:val="none"/>
              </w:rPr>
            </w:pPr>
            <w:r>
              <w:rPr>
                <w:rFonts w:ascii="宋体" w:hAnsi="宋体"/>
                <w:bCs/>
                <w:color w:val="auto"/>
                <w:sz w:val="28"/>
                <w:szCs w:val="28"/>
                <w:highlight w:val="none"/>
              </w:rPr>
              <w:t xml:space="preserve">服务</w:t>
            </w:r>
            <w:r>
              <w:rPr>
                <w:rFonts w:hint="eastAsia" w:ascii="宋体" w:hAnsi="宋体"/>
                <w:bCs/>
                <w:color w:val="auto"/>
                <w:sz w:val="28"/>
                <w:szCs w:val="28"/>
                <w:highlight w:val="none"/>
              </w:rPr>
              <w:t xml:space="preserve">时间</w:t>
            </w:r>
            <w:r/>
          </w:p>
        </w:tc>
        <w:tc>
          <w:tcPr>
            <w:tcW w:w="3651" w:type="dxa"/>
            <w:vAlign w:val="center"/>
            <w:textDirection w:val="lrTb"/>
            <w:noWrap w:val="false"/>
          </w:tcPr>
          <w:p>
            <w:pPr>
              <w:jc w:val="center"/>
              <w:rPr>
                <w:rFonts w:ascii="宋体" w:hAnsi="宋体"/>
                <w:color w:val="auto"/>
                <w:sz w:val="28"/>
                <w:szCs w:val="28"/>
                <w:highlight w:val="none"/>
              </w:rPr>
            </w:pPr>
            <w:r>
              <w:rPr>
                <w:rFonts w:ascii="宋体" w:hAnsi="宋体"/>
                <w:color w:val="auto"/>
                <w:sz w:val="28"/>
                <w:szCs w:val="28"/>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法定代表人或委托代理人（签字或盖章）：</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    年     月     日</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pStyle w:val="902"/>
        <w:numPr>
          <w:ilvl w:val="0"/>
          <w:numId w:val="0"/>
        </w:numPr>
        <w:spacing w:before="0" w:after="0" w:line="240" w:lineRule="auto"/>
        <w:rPr>
          <w:rFonts w:hint="eastAsia" w:ascii="宋体" w:hAnsi="宋体"/>
          <w:b w:val="0"/>
          <w:color w:val="auto"/>
          <w:szCs w:val="21"/>
          <w:highlight w:val="none"/>
        </w:rPr>
      </w:pPr>
      <w:r>
        <w:rPr>
          <w:rFonts w:ascii="宋体" w:hAnsi="宋体"/>
          <w:bCs w:val="0"/>
          <w:color w:val="auto"/>
          <w:sz w:val="24"/>
          <w:highlight w:val="none"/>
        </w:rPr>
        <w:br w:type="page" w:clear="all"/>
      </w:r>
      <w:r>
        <w:rPr>
          <w:color w:val="auto"/>
          <w:sz w:val="24"/>
          <w:highlight w:val="none"/>
        </w:rPr>
        <w:t xml:space="preserve">格式</w:t>
      </w:r>
      <w:r>
        <w:rPr>
          <w:rFonts w:hint="eastAsia"/>
          <w:color w:val="auto"/>
          <w:sz w:val="24"/>
          <w:highlight w:val="none"/>
        </w:rPr>
        <w:t xml:space="preserve">3、详细报价书</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详细报价书</w:t>
      </w:r>
      <w:bookmarkEnd w:id="143"/>
      <w:r/>
      <w:bookmarkEnd w:id="144"/>
      <w:r/>
      <w:r/>
    </w:p>
    <w:p>
      <w:pPr>
        <w:jc w:val="center"/>
        <w:spacing w:line="400" w:lineRule="exact"/>
        <w:rPr>
          <w:rFonts w:ascii="宋体" w:hAnsi="宋体"/>
          <w:b/>
          <w:color w:val="auto"/>
          <w:sz w:val="28"/>
          <w:szCs w:val="30"/>
          <w:highlight w:val="none"/>
        </w:rPr>
      </w:pPr>
      <w:r>
        <w:rPr>
          <w:rFonts w:hint="eastAsia" w:ascii="宋体" w:hAnsi="宋体"/>
          <w:color w:val="auto"/>
          <w:sz w:val="28"/>
          <w:highlight w:val="none"/>
        </w:rPr>
        <w:t xml:space="preserve">根据招标文件报价要求报价，格式自定</w:t>
      </w:r>
      <w:r/>
    </w:p>
    <w:tbl>
      <w:tblPr>
        <w:tblStyle w:val="971"/>
        <w:tblW w:w="10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325"/>
        <w:gridCol w:w="5536"/>
        <w:gridCol w:w="1652"/>
        <w:gridCol w:w="1311"/>
      </w:tblGrid>
      <w:tr>
        <w:trPr>
          <w:jc w:val="center"/>
        </w:trPr>
        <w:tc>
          <w:tcPr>
            <w:tcW w:w="845" w:type="dxa"/>
            <w:vAlign w:val="center"/>
            <w:textDirection w:val="lrTb"/>
            <w:noWrap w:val="false"/>
          </w:tcPr>
          <w:p>
            <w:pPr>
              <w:ind w:right="105"/>
              <w:spacing w:line="400" w:lineRule="exact"/>
              <w:widowControl/>
              <w:rPr>
                <w:rFonts w:hint="eastAsia"/>
                <w:b/>
                <w:bCs/>
                <w:color w:val="auto"/>
                <w:highlight w:val="none"/>
                <w:vertAlign w:val="baseline"/>
              </w:rPr>
            </w:pPr>
            <w:r>
              <w:rPr>
                <w:rFonts w:hint="eastAsia" w:ascii="宋体" w:hAnsi="宋体" w:eastAsia="宋体" w:cs="Times New Roman"/>
                <w:color w:val="auto"/>
                <w:sz w:val="24"/>
                <w:highlight w:val="none"/>
              </w:rPr>
              <w:t xml:space="preserve">序号</w:t>
            </w:r>
            <w:r/>
          </w:p>
        </w:tc>
        <w:tc>
          <w:tcPr>
            <w:tcW w:w="1325" w:type="dxa"/>
            <w:vAlign w:val="center"/>
            <w:textDirection w:val="lrTb"/>
            <w:noWrap w:val="false"/>
          </w:tcPr>
          <w:p>
            <w:pPr>
              <w:ind w:right="105"/>
              <w:spacing w:line="400" w:lineRule="exact"/>
              <w:widowControl/>
              <w:rPr>
                <w:rFonts w:hint="eastAsia"/>
                <w:b/>
                <w:bCs/>
                <w:color w:val="auto"/>
                <w:highlight w:val="none"/>
                <w:vertAlign w:val="baseline"/>
              </w:rPr>
            </w:pPr>
            <w:r>
              <w:rPr>
                <w:rFonts w:hint="eastAsia" w:ascii="宋体" w:hAnsi="宋体" w:eastAsia="宋体" w:cs="Times New Roman"/>
                <w:color w:val="auto"/>
                <w:sz w:val="24"/>
                <w:highlight w:val="none"/>
              </w:rPr>
              <w:t xml:space="preserve">项目名称</w:t>
            </w:r>
            <w:r/>
          </w:p>
        </w:tc>
        <w:tc>
          <w:tcPr>
            <w:tcW w:w="5536" w:type="dxa"/>
            <w:vAlign w:val="center"/>
            <w:textDirection w:val="lrTb"/>
            <w:noWrap w:val="false"/>
          </w:tcPr>
          <w:p>
            <w:pPr>
              <w:ind w:right="105" w:firstLine="420"/>
              <w:spacing w:line="400" w:lineRule="exact"/>
              <w:widowControl/>
              <w:rPr>
                <w:rFonts w:hint="eastAsia"/>
                <w:b/>
                <w:bCs/>
                <w:color w:val="auto"/>
                <w:highlight w:val="none"/>
                <w:vertAlign w:val="baseline"/>
              </w:rPr>
            </w:pPr>
            <w:r>
              <w:rPr>
                <w:rFonts w:hint="eastAsia" w:ascii="宋体" w:hAnsi="宋体" w:eastAsia="宋体" w:cs="Times New Roman"/>
                <w:color w:val="auto"/>
                <w:sz w:val="24"/>
                <w:highlight w:val="none"/>
              </w:rPr>
              <w:t xml:space="preserve">工作成果</w:t>
            </w:r>
            <w:r/>
          </w:p>
        </w:tc>
        <w:tc>
          <w:tcPr>
            <w:tcW w:w="1652" w:type="dxa"/>
            <w:vAlign w:val="center"/>
            <w:textDirection w:val="lrTb"/>
            <w:noWrap w:val="false"/>
          </w:tcPr>
          <w:p>
            <w:pPr>
              <w:ind w:right="105"/>
              <w:spacing w:line="400" w:lineRule="exact"/>
              <w:widowControl/>
              <w:rPr>
                <w:rFonts w:hint="eastAsia"/>
                <w:b/>
                <w:bCs/>
                <w:color w:val="auto"/>
                <w:highlight w:val="none"/>
                <w:vertAlign w:val="baseline"/>
              </w:rPr>
            </w:pPr>
            <w:r>
              <w:rPr>
                <w:rFonts w:hint="eastAsia" w:ascii="宋体" w:hAnsi="宋体" w:eastAsia="宋体" w:cs="Times New Roman"/>
                <w:color w:val="auto"/>
                <w:sz w:val="24"/>
                <w:highlight w:val="none"/>
              </w:rPr>
              <w:t xml:space="preserve">开展频次</w:t>
            </w:r>
            <w:r/>
          </w:p>
        </w:tc>
        <w:tc>
          <w:tcPr>
            <w:tcW w:w="1311" w:type="dxa"/>
            <w:vAlign w:val="center"/>
            <w:textDirection w:val="lrTb"/>
            <w:noWrap w:val="false"/>
          </w:tcPr>
          <w:p>
            <w:pPr>
              <w:ind w:right="105"/>
              <w:jc w:val="left"/>
              <w:spacing w:line="400" w:lineRule="exact"/>
              <w:widowControl/>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投标报价</w:t>
            </w:r>
            <w:r/>
          </w:p>
        </w:tc>
      </w:tr>
      <w:tr>
        <w:trPr>
          <w:jc w:val="center"/>
        </w:trPr>
        <w:tc>
          <w:tcPr>
            <w:gridSpan w:val="5"/>
            <w:tcW w:w="10669" w:type="dxa"/>
            <w:vAlign w:val="top"/>
            <w:textDirection w:val="lrTb"/>
            <w:noWrap w:val="false"/>
          </w:tcPr>
          <w:p>
            <w:pPr>
              <w:pStyle w:val="1009"/>
              <w:jc w:val="both"/>
              <w:rPr>
                <w:rFonts w:hint="eastAsia"/>
                <w:b/>
                <w:bCs/>
                <w:color w:val="auto"/>
                <w:highlight w:val="none"/>
                <w:vertAlign w:val="baseline"/>
              </w:rPr>
            </w:pPr>
            <w:r>
              <w:rPr>
                <w:rFonts w:hint="eastAsia" w:ascii="宋体" w:hAnsi="宋体" w:eastAsia="宋体" w:cs="Times New Roman"/>
                <w:color w:val="auto"/>
                <w:sz w:val="24"/>
                <w:highlight w:val="none"/>
              </w:rPr>
              <w:t xml:space="preserve">一、重点工作</w:t>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1</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开展过程安全管理体系穿透式诊断提升</w:t>
            </w:r>
            <w:r/>
          </w:p>
        </w:tc>
        <w:tc>
          <w:tcPr>
            <w:tcW w:w="5536" w:type="dxa"/>
            <w:vAlign w:val="center"/>
            <w:textDirection w:val="lrTb"/>
            <w:noWrap w:val="false"/>
          </w:tcPr>
          <w:p>
            <w:pPr>
              <w:ind w:right="105"/>
              <w:spacing w:line="400" w:lineRule="exact"/>
              <w:widowControl/>
              <w:rPr>
                <w:rFonts w:hint="eastAsia"/>
                <w:b/>
                <w:bCs/>
                <w:color w:val="auto"/>
                <w:highlight w:val="none"/>
                <w:vertAlign w:val="baseline"/>
              </w:rPr>
            </w:pPr>
            <w:r>
              <w:rPr>
                <w:rFonts w:ascii="Times New Roman" w:hAnsi="Times New Roman" w:eastAsia="宋体" w:cs="Times New Roman"/>
                <w:color w:val="auto"/>
                <w:sz w:val="24"/>
                <w:highlight w:val="none"/>
              </w:rPr>
              <w:t xml:space="preserve">对新区已投产危化品生产、仓储经营、使用企业开展过程安全管理体系穿透式诊断，形成诊断报告、问题清单和“一企一策”提升方案</w:t>
            </w:r>
            <w:r>
              <w:rPr>
                <w:rFonts w:hint="eastAsia" w:ascii="Times New Roman" w:hAnsi="Times New Roman" w:eastAsia="宋体" w:cs="Times New Roman"/>
                <w:color w:val="auto"/>
                <w:sz w:val="24"/>
                <w:highlight w:val="none"/>
                <w:lang w:eastAsia="zh-CN"/>
              </w:rPr>
              <w:t xml:space="preserve">，在</w:t>
            </w:r>
            <w:r>
              <w:rPr>
                <w:rFonts w:ascii="Times New Roman" w:hAnsi="Times New Roman" w:eastAsia="宋体" w:cs="Times New Roman"/>
                <w:color w:val="auto"/>
                <w:sz w:val="24"/>
                <w:highlight w:val="none"/>
              </w:rPr>
              <w:t xml:space="preserve">合同期内，对新区已投产危化品企业实现诊断全覆盖，并结合诊断情况对重点企业开展复核评估，推动整改措施落实落地。</w:t>
            </w:r>
            <w:r>
              <w:rPr>
                <w:rFonts w:hint="eastAsia" w:ascii="Times New Roman" w:hAnsi="Times New Roman" w:eastAsia="宋体" w:cs="Times New Roman"/>
                <w:color w:val="auto"/>
                <w:sz w:val="24"/>
                <w:highlight w:val="none"/>
                <w:lang w:val="en-US" w:eastAsia="zh-CN"/>
              </w:rPr>
              <w:t xml:space="preserve">对安全管理水平落后的企业，组织开展专项驻厂帮扶提升，补齐园区安全管理的短板。</w:t>
            </w:r>
            <w:r>
              <w:rPr>
                <w:rFonts w:ascii="Times New Roman" w:hAnsi="Times New Roman" w:eastAsia="宋体" w:cs="Times New Roman"/>
                <w:color w:val="auto"/>
                <w:sz w:val="24"/>
                <w:highlight w:val="none"/>
              </w:rPr>
              <w:t xml:space="preserve">结合企业基础条件和行业代表性，选择基础较好、示范带动作用较强的企业开展重点培育，推动形成一批过程安全管理体系建设示范企业。</w:t>
            </w:r>
            <w:r/>
          </w:p>
        </w:tc>
        <w:tc>
          <w:tcPr>
            <w:tcW w:w="1652"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合同期内全覆盖，重点企业适时复核</w:t>
            </w:r>
            <w:r>
              <w:rPr>
                <w:rFonts w:ascii="Times New Roman" w:hAnsi="Times New Roman" w:eastAsia="宋体" w:cs="Times New Roman"/>
                <w:color w:val="auto"/>
                <w:sz w:val="24"/>
                <w:szCs w:val="24"/>
                <w:highlight w:val="none"/>
                <w:lang w:eastAsia="zh-CN"/>
              </w:rPr>
              <w:t xml:space="preserve">。</w:t>
            </w:r>
            <w:r/>
          </w:p>
        </w:tc>
        <w:tc>
          <w:tcPr>
            <w:tcW w:w="1311" w:type="dxa"/>
            <w:vAlign w:val="center"/>
            <w:textDirection w:val="lrTb"/>
            <w:noWrap w:val="false"/>
          </w:tcPr>
          <w:p>
            <w:pPr>
              <w:ind w:right="105" w:firstLine="420"/>
              <w:spacing w:line="400" w:lineRule="exact"/>
              <w:widowControl/>
              <w:rPr>
                <w:b/>
                <w:bCs/>
                <w:color w:val="auto"/>
                <w:highlight w:val="none"/>
                <w:vertAlign w:val="baseline"/>
                <w:lang w:val="en-US"/>
              </w:rPr>
            </w:pPr>
            <w:r>
              <w:rPr>
                <w:b/>
                <w:bCs/>
                <w:color w:val="auto"/>
                <w:highlight w:val="none"/>
                <w:vertAlign w:val="baseline"/>
                <w:lang w:val="en-US"/>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2</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开展HAZOP及本质安全专项诊断</w:t>
            </w:r>
            <w:r/>
          </w:p>
        </w:tc>
        <w:tc>
          <w:tcPr>
            <w:tcW w:w="5536"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对重点监管工艺在役装置开展HAZOP分析报告质量、报警管理、联锁设置、自动化控制逻辑、工艺变更后风险再验证等专项诊断，形成专项诊断报告，指导企业完善报警联锁、自动控制和本质安全措施。</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每年抽取不少于园区装置总数20%的典型装置</w:t>
            </w:r>
            <w:r>
              <w:rPr>
                <w:rFonts w:ascii="Times New Roman" w:hAnsi="Times New Roman" w:eastAsia="宋体" w:cs="Times New Roman"/>
                <w:color w:val="auto"/>
                <w:sz w:val="24"/>
                <w:szCs w:val="24"/>
                <w:highlight w:val="none"/>
                <w:lang w:eastAsia="zh-CN"/>
              </w:rPr>
              <w:t xml:space="preserve">。</w:t>
            </w:r>
            <w:r/>
          </w:p>
        </w:tc>
        <w:tc>
          <w:tcPr>
            <w:tcW w:w="1311" w:type="dxa"/>
            <w:vAlign w:val="center"/>
            <w:textDirection w:val="lrTb"/>
            <w:noWrap w:val="false"/>
          </w:tcPr>
          <w:p>
            <w:pPr>
              <w:ind w:right="105" w:firstLine="420"/>
              <w:spacing w:line="400" w:lineRule="exact"/>
              <w:widowControl/>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3</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加强建设项目和重点环节源头风险防控</w:t>
            </w:r>
            <w:r/>
          </w:p>
        </w:tc>
        <w:tc>
          <w:tcPr>
            <w:tcW w:w="5536"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对拟入园项目及现有企业新建、改建、扩建项目开展安全准入技术咨询，审阅可研等资料并提出准入咨询意见；对试生产、复产复工、开停车、重大技改后恢复运行等关键环节开展指导服务，</w:t>
            </w:r>
            <w:r>
              <w:rPr>
                <w:rFonts w:ascii="Times New Roman" w:hAnsi="Times New Roman" w:eastAsia="宋体" w:cs="Times New Roman"/>
                <w:color w:val="auto"/>
                <w:sz w:val="24"/>
                <w:szCs w:val="24"/>
                <w:highlight w:val="none"/>
                <w:lang w:val="en-US" w:eastAsia="zh-CN"/>
              </w:rPr>
              <w:t xml:space="preserve">出具专家</w:t>
            </w:r>
            <w:r>
              <w:rPr>
                <w:rFonts w:hint="eastAsia" w:ascii="Times New Roman" w:hAnsi="Times New Roman" w:eastAsia="宋体" w:cs="Times New Roman"/>
                <w:color w:val="auto"/>
                <w:sz w:val="24"/>
                <w:szCs w:val="24"/>
                <w:highlight w:val="none"/>
                <w:lang w:val="en-US" w:eastAsia="zh-CN"/>
              </w:rPr>
              <w:t xml:space="preserve">论证</w:t>
            </w:r>
            <w:r>
              <w:rPr>
                <w:rFonts w:ascii="Times New Roman" w:hAnsi="Times New Roman" w:eastAsia="宋体" w:cs="Times New Roman"/>
                <w:color w:val="auto"/>
                <w:sz w:val="24"/>
                <w:szCs w:val="24"/>
                <w:highlight w:val="none"/>
                <w:lang w:val="en-US" w:eastAsia="zh-CN"/>
              </w:rPr>
              <w:t xml:space="preserve">意见，</w:t>
            </w:r>
            <w:r>
              <w:rPr>
                <w:rFonts w:ascii="Times New Roman" w:hAnsi="Times New Roman" w:eastAsia="宋体" w:cs="Times New Roman"/>
                <w:color w:val="auto"/>
                <w:sz w:val="24"/>
                <w:szCs w:val="24"/>
                <w:highlight w:val="none"/>
              </w:rPr>
              <w:t xml:space="preserve">形成风险管控建议清单并跟踪复核。</w:t>
            </w:r>
            <w:r/>
          </w:p>
        </w:tc>
        <w:tc>
          <w:tcPr>
            <w:tcW w:w="1652"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根据项目进程及时开展</w:t>
            </w:r>
            <w:r>
              <w:rPr>
                <w:rFonts w:ascii="Times New Roman" w:hAnsi="Times New Roman" w:eastAsia="宋体" w:cs="Times New Roman"/>
                <w:color w:val="auto"/>
                <w:sz w:val="24"/>
                <w:szCs w:val="24"/>
                <w:highlight w:val="none"/>
                <w:lang w:eastAsia="zh-CN"/>
              </w:rPr>
              <w:t xml:space="preserve">。</w:t>
            </w:r>
            <w:r/>
          </w:p>
        </w:tc>
        <w:tc>
          <w:tcPr>
            <w:tcW w:w="1311" w:type="dxa"/>
            <w:vAlign w:val="center"/>
            <w:textDirection w:val="lrTb"/>
            <w:noWrap w:val="false"/>
          </w:tcPr>
          <w:p>
            <w:pPr>
              <w:ind w:right="105" w:firstLine="420"/>
              <w:spacing w:line="400" w:lineRule="exact"/>
              <w:widowControl/>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4</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深化智慧化监管场景建设和实战应用</w:t>
            </w:r>
            <w:r/>
          </w:p>
        </w:tc>
        <w:tc>
          <w:tcPr>
            <w:tcW w:w="5536"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围绕关键设备运行监测、异常工况识别预警、特殊作业智慧化监管、承包商作业过程管控、重大危险源线上巡查、报警及联锁异常分析等，提出场景建设需求、模型优化建议和应用评估意见，形成智慧化监管优化报告</w:t>
            </w:r>
            <w:r>
              <w:rPr>
                <w:rFonts w:ascii="Times New Roman" w:hAnsi="Times New Roman" w:eastAsia="宋体" w:cs="Times New Roman"/>
                <w:color w:val="auto"/>
                <w:sz w:val="24"/>
                <w:szCs w:val="24"/>
                <w:highlight w:val="none"/>
                <w:lang w:eastAsia="zh-CN"/>
              </w:rPr>
              <w:t xml:space="preserve">。</w:t>
            </w:r>
            <w:r/>
          </w:p>
        </w:tc>
        <w:tc>
          <w:tcPr>
            <w:tcW w:w="1652" w:type="dxa"/>
            <w:vAlign w:val="center"/>
            <w:textDirection w:val="lrTb"/>
            <w:noWrap w:val="false"/>
          </w:tcPr>
          <w:p>
            <w:pPr>
              <w:pStyle w:val="970"/>
              <w:ind w:left="0" w:firstLine="0"/>
              <w:keepLines w:val="0"/>
              <w:keepNext/>
              <w:pageBreakBefore w:val="0"/>
              <w:spacing w:after="0"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适时开展，每年至少形成</w:t>
            </w:r>
            <w:r>
              <w:rPr>
                <w:rFonts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份专题成果</w:t>
            </w:r>
            <w:r>
              <w:rPr>
                <w:rFonts w:ascii="Times New Roman" w:hAnsi="Times New Roman" w:eastAsia="宋体" w:cs="Times New Roman"/>
                <w:color w:val="auto"/>
                <w:sz w:val="24"/>
                <w:szCs w:val="24"/>
                <w:highlight w:val="none"/>
                <w:lang w:eastAsia="zh-CN"/>
              </w:rPr>
              <w:t xml:space="preserve">。</w:t>
            </w:r>
            <w:r/>
          </w:p>
        </w:tc>
        <w:tc>
          <w:tcPr>
            <w:tcW w:w="1311" w:type="dxa"/>
            <w:vAlign w:val="center"/>
            <w:textDirection w:val="lrTb"/>
            <w:noWrap w:val="false"/>
          </w:tcPr>
          <w:p>
            <w:pPr>
              <w:ind w:right="105" w:firstLine="420"/>
              <w:spacing w:line="400" w:lineRule="exact"/>
              <w:widowControl/>
              <w:rPr>
                <w:rFonts w:hint="eastAsia"/>
                <w:b/>
                <w:bCs/>
                <w:color w:val="auto"/>
                <w:highlight w:val="none"/>
                <w:vertAlign w:val="baseline"/>
              </w:rPr>
            </w:pPr>
            <w:r>
              <w:rPr>
                <w:rFonts w:hint="eastAsia"/>
                <w:b/>
                <w:bCs/>
                <w:color w:val="auto"/>
                <w:highlight w:val="none"/>
                <w:vertAlign w:val="baseline"/>
              </w:rPr>
            </w:r>
            <w:r/>
          </w:p>
        </w:tc>
      </w:tr>
      <w:tr>
        <w:trPr>
          <w:jc w:val="center"/>
        </w:trPr>
        <w:tc>
          <w:tcPr>
            <w:gridSpan w:val="5"/>
            <w:tcW w:w="10669" w:type="dxa"/>
            <w:vAlign w:val="top"/>
            <w:textDirection w:val="lrTb"/>
            <w:noWrap w:val="false"/>
          </w:tcPr>
          <w:p>
            <w:pPr>
              <w:pStyle w:val="1009"/>
              <w:jc w:val="both"/>
              <w:rPr>
                <w:rFonts w:hint="eastAsia"/>
                <w:b/>
                <w:bCs/>
                <w:color w:val="auto"/>
                <w:highlight w:val="none"/>
                <w:vertAlign w:val="baseline"/>
              </w:rPr>
            </w:pPr>
            <w:r>
              <w:rPr>
                <w:rFonts w:hint="eastAsia" w:ascii="宋体" w:hAnsi="宋体" w:eastAsia="宋体" w:cs="Times New Roman"/>
                <w:color w:val="auto"/>
                <w:sz w:val="24"/>
                <w:highlight w:val="none"/>
              </w:rPr>
              <w:t xml:space="preserve">二、常规工作</w:t>
            </w:r>
            <w:r/>
          </w:p>
        </w:tc>
      </w:tr>
      <w:tr>
        <w:trPr>
          <w:jc w:val="center"/>
        </w:trPr>
        <w:tc>
          <w:tcPr>
            <w:tcW w:w="845" w:type="dxa"/>
            <w:vAlign w:val="center"/>
            <w:textDirection w:val="lrTb"/>
            <w:noWrap w:val="false"/>
          </w:tcPr>
          <w:p>
            <w:pPr>
              <w:ind w:right="105"/>
              <w:spacing w:line="4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1325" w:type="dxa"/>
            <w:vAlign w:val="center"/>
            <w:textDirection w:val="lrTb"/>
            <w:noWrap w:val="false"/>
          </w:tcPr>
          <w:p>
            <w:pPr>
              <w:ind w:right="105"/>
              <w:spacing w:line="4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项目名称</w:t>
            </w:r>
            <w:r/>
          </w:p>
        </w:tc>
        <w:tc>
          <w:tcPr>
            <w:tcW w:w="5536" w:type="dxa"/>
            <w:vAlign w:val="center"/>
            <w:textDirection w:val="lrTb"/>
            <w:noWrap w:val="false"/>
          </w:tcPr>
          <w:p>
            <w:pPr>
              <w:ind w:right="105" w:firstLine="420"/>
              <w:spacing w:line="4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工作成果</w:t>
            </w:r>
            <w:r/>
          </w:p>
        </w:tc>
        <w:tc>
          <w:tcPr>
            <w:tcW w:w="1652" w:type="dxa"/>
            <w:vAlign w:val="center"/>
            <w:textDirection w:val="lrTb"/>
            <w:noWrap w:val="false"/>
          </w:tcPr>
          <w:p>
            <w:pPr>
              <w:ind w:right="105"/>
              <w:spacing w:line="4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开展频次</w:t>
            </w:r>
            <w:r/>
          </w:p>
        </w:tc>
        <w:tc>
          <w:tcPr>
            <w:tcW w:w="1311" w:type="dxa"/>
            <w:vAlign w:val="center"/>
            <w:textDirection w:val="lrTb"/>
            <w:noWrap w:val="false"/>
          </w:tcPr>
          <w:p>
            <w:pPr>
              <w:ind w:right="105"/>
              <w:spacing w:line="400" w:lineRule="exact"/>
              <w:widowControl/>
              <w:rPr>
                <w:rFonts w:hint="eastAsia"/>
                <w:b/>
                <w:bCs/>
                <w:color w:val="auto"/>
                <w:highlight w:val="none"/>
                <w:vertAlign w:val="baseline"/>
              </w:rPr>
            </w:pPr>
            <w:r>
              <w:rPr>
                <w:rFonts w:hint="eastAsia" w:ascii="宋体" w:hAnsi="宋体" w:eastAsia="宋体" w:cs="Times New Roman"/>
                <w:color w:val="auto"/>
                <w:sz w:val="24"/>
                <w:highlight w:val="none"/>
                <w:lang w:val="en-US" w:eastAsia="zh-CN"/>
              </w:rPr>
              <w:t xml:space="preserve">投标报价</w:t>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1</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专家团队长期驻点坐班</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日常</w:t>
            </w:r>
            <w:r>
              <w:rPr>
                <w:rFonts w:ascii="Times New Roman" w:hAnsi="Times New Roman" w:eastAsia="宋体" w:cs="Times New Roman"/>
                <w:color w:val="auto"/>
                <w:sz w:val="24"/>
                <w:szCs w:val="24"/>
                <w:highlight w:val="none"/>
              </w:rPr>
              <w:t xml:space="preserve">安排不少于5人的专家团队常驻，专业涵盖化工安全管理、工艺、设备、电气、仪表、消防等领域；明确1名项目负责人，按月形成工作总结、问题清单、风险提示和下步安排；根据需要调配专家开展专项支撑。</w:t>
            </w:r>
            <w:r/>
          </w:p>
        </w:tc>
        <w:tc>
          <w:tcPr>
            <w:tcW w:w="1652" w:type="dxa"/>
            <w:vAlign w:val="center"/>
            <w:textDirection w:val="lrTb"/>
            <w:noWrap w:val="false"/>
          </w:tcPr>
          <w:p>
            <w:pPr>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全周期驻点</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restart"/>
            <w:textDirection w:val="lrTb"/>
            <w:noWrap w:val="false"/>
          </w:tcPr>
          <w:p>
            <w:pPr>
              <w:ind w:left="0" w:firstLine="211"/>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2</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深化重点领域专项治理</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围绕重大事故隐患、高危细分领域、特殊作业、承包商管理、设备带“病”运行、异常工况、屡查屡犯问题等，每月至少选择1项重点专题开展专项排查或“回头看”，形成专项检查方案、检查报告、整改建议和复核意见。</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每月至少1项专题</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3</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开展“三警”服务支撑</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围绕警醒、警戒、警示“三警”机制，及时开展外地事故信息收集研判，形成警醒提示；根据研判情况制定排查重点和检查指南，支撑开展警戒性排查检查；围绕典型事故、异常事件、未遂事件、非计划停车、报警联锁异常等形成警示案例、复盘分析和专题材料。</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根据需要及时开展。</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4</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常规安全检查技术支撑</w:t>
            </w:r>
            <w:r/>
          </w:p>
        </w:tc>
        <w:tc>
          <w:tcPr>
            <w:tcW w:w="5536" w:type="dxa"/>
            <w:vAlign w:val="center"/>
            <w:textDirection w:val="lrTb"/>
            <w:noWrap w:val="false"/>
          </w:tcPr>
          <w:p>
            <w:pPr>
              <w:numPr>
                <w:ilvl w:val="0"/>
                <w:numId w:val="0"/>
              </w:numPr>
              <w:ind w:left="0" w:firstLine="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配合新区开展年度执法检查、安全许可换证现场核查、专项督导、临时性检查巡查等工作；配合对部、省、市及新区交办问题隐患整改情况进行复核，提出专业意见。</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根据需要及时开展</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5</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安全风险形势分析研判</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每季度形成1份园区安全风险形势分析研判报告；每半年形成1份危化品企业安全运行分析报告</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提出共性问题和整改建议。</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季度1次；半年1次</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6</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指导开展应急演练和应急能力提升</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指导新区每年开展不少于1次双盲应急演练和其他综合性、专项性应急演练；参与对危化品企业双盲应急演练的现场评估，形成问题清单、评估意见和改进建议。根据园区需要</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lang w:val="en-US" w:eastAsia="zh-CN"/>
              </w:rPr>
              <w:t xml:space="preserve">每年组织应急救援方面专家开展园区应急物资和应急能力</w:t>
            </w:r>
            <w:r>
              <w:rPr>
                <w:rFonts w:hint="eastAsia" w:ascii="Times New Roman" w:hAnsi="Times New Roman" w:eastAsia="宋体" w:cs="Times New Roman"/>
                <w:color w:val="auto"/>
                <w:sz w:val="24"/>
                <w:szCs w:val="24"/>
                <w:highlight w:val="none"/>
                <w:lang w:val="en-US" w:eastAsia="zh-CN"/>
              </w:rPr>
              <w:t xml:space="preserve">检查和</w:t>
            </w:r>
            <w:r>
              <w:rPr>
                <w:rFonts w:ascii="Times New Roman" w:hAnsi="Times New Roman" w:eastAsia="宋体" w:cs="Times New Roman"/>
                <w:color w:val="auto"/>
                <w:sz w:val="24"/>
                <w:szCs w:val="24"/>
                <w:highlight w:val="none"/>
                <w:lang w:val="en-US" w:eastAsia="zh-CN"/>
              </w:rPr>
              <w:t xml:space="preserve">评估。</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园区双盲演练每年</w:t>
            </w:r>
            <w:r>
              <w:rPr>
                <w:rFonts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1次；企业双盲演练评估</w:t>
            </w:r>
            <w:r>
              <w:rPr>
                <w:rFonts w:ascii="Times New Roman" w:hAnsi="Times New Roman" w:eastAsia="宋体" w:cs="Times New Roman"/>
                <w:color w:val="auto"/>
                <w:sz w:val="24"/>
                <w:szCs w:val="24"/>
                <w:highlight w:val="none"/>
                <w:lang w:val="en-US" w:eastAsia="zh-CN"/>
              </w:rPr>
              <w:t xml:space="preserve">按</w:t>
            </w:r>
            <w:r>
              <w:rPr>
                <w:rFonts w:ascii="Times New Roman" w:hAnsi="Times New Roman" w:eastAsia="宋体" w:cs="Times New Roman"/>
                <w:color w:val="auto"/>
                <w:sz w:val="24"/>
                <w:szCs w:val="24"/>
                <w:highlight w:val="none"/>
              </w:rPr>
              <w:t xml:space="preserve">需开展</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7</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开展培训交流和本土化专家队伍培养</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每年组织不少于5次</w:t>
            </w:r>
            <w:r>
              <w:rPr>
                <w:rFonts w:ascii="Times New Roman" w:hAnsi="Times New Roman" w:eastAsia="宋体" w:cs="Times New Roman"/>
                <w:color w:val="auto"/>
                <w:sz w:val="24"/>
                <w:szCs w:val="24"/>
                <w:highlight w:val="none"/>
                <w:lang w:val="en-US" w:eastAsia="zh-CN"/>
              </w:rPr>
              <w:t xml:space="preserve">综合</w:t>
            </w:r>
            <w:r>
              <w:rPr>
                <w:rFonts w:ascii="Times New Roman" w:hAnsi="Times New Roman" w:eastAsia="宋体" w:cs="Times New Roman"/>
                <w:color w:val="auto"/>
                <w:sz w:val="24"/>
                <w:szCs w:val="24"/>
                <w:highlight w:val="none"/>
              </w:rPr>
              <w:t xml:space="preserve">培训</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lang w:val="en-US" w:eastAsia="zh-CN"/>
              </w:rPr>
              <w:t xml:space="preserve">每家企业至少开展1次差异化培训</w:t>
            </w:r>
            <w:r>
              <w:rPr>
                <w:rFonts w:ascii="Times New Roman" w:hAnsi="Times New Roman" w:eastAsia="宋体" w:cs="Times New Roman"/>
                <w:color w:val="auto"/>
                <w:sz w:val="24"/>
                <w:szCs w:val="24"/>
                <w:highlight w:val="none"/>
              </w:rPr>
              <w:t xml:space="preserve">；通过联合检查、案例复盘、专题研讨、驻点跟学等方式，帮助企业培养本土化专家骨干；每半年收集汇编国内先进园区和标杆企业典型经验做法，形成专题资料。</w:t>
            </w:r>
            <w:r>
              <w:rPr>
                <w:rFonts w:ascii="Times New Roman" w:hAnsi="Times New Roman" w:eastAsia="宋体" w:cs="Times New Roman"/>
                <w:color w:val="auto"/>
                <w:sz w:val="24"/>
                <w:szCs w:val="24"/>
                <w:highlight w:val="none"/>
                <w:lang w:val="en-US" w:eastAsia="zh-CN" w:bidi="ar-SA"/>
              </w:rPr>
              <w:t xml:space="preserve">深化监管人员传帮带培养，提升监管人员</w:t>
            </w:r>
            <w:r>
              <w:rPr>
                <w:rFonts w:hint="eastAsia" w:ascii="Times New Roman" w:hAnsi="Times New Roman" w:eastAsia="宋体" w:cs="Times New Roman"/>
                <w:color w:val="auto"/>
                <w:sz w:val="24"/>
                <w:szCs w:val="24"/>
                <w:highlight w:val="none"/>
                <w:lang w:val="en-US" w:eastAsia="zh-CN" w:bidi="ar-SA"/>
              </w:rPr>
              <w:t xml:space="preserve">安全监管</w:t>
            </w:r>
            <w:r>
              <w:rPr>
                <w:rFonts w:ascii="Times New Roman" w:hAnsi="Times New Roman" w:eastAsia="宋体" w:cs="Times New Roman"/>
                <w:color w:val="auto"/>
                <w:sz w:val="24"/>
                <w:szCs w:val="24"/>
                <w:highlight w:val="none"/>
                <w:lang w:val="en-US" w:eastAsia="zh-CN" w:bidi="ar-SA"/>
              </w:rPr>
              <w:t xml:space="preserve">专业履职水平。</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培训不少于5次/年；汇编1次/半年</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8</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协助开展日常值守和重点时段值班值守</w:t>
            </w:r>
            <w:r/>
          </w:p>
        </w:tc>
        <w:tc>
          <w:tcPr>
            <w:tcW w:w="5536"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应安排不少于2名专业技术人员在岗值班值守，参与园区每日安全运行信息研判、重点风险提醒、突发情况会商和现场技术支撑。在法定节假日、恶劣天气、重大活动、装置集中检维修等重点时段，配合招标人安排专家在岗值守或备勤，协助新区开展重点时段安全巡查，做好突发事件应急处置准备。</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根据需要及时开展</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 xml:space="preserve">9</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 xml:space="preserve">开展园区层面安全治理机制研究和综合支撑</w:t>
            </w:r>
            <w:r/>
          </w:p>
        </w:tc>
        <w:tc>
          <w:tcPr>
            <w:tcW w:w="5536" w:type="dxa"/>
            <w:vAlign w:val="center"/>
            <w:textDirection w:val="lrTb"/>
            <w:noWrap w:val="false"/>
          </w:tcPr>
          <w:p>
            <w:pPr>
              <w:keepLines w:val="0"/>
              <w:keepNext w:val="0"/>
              <w:pageBreakBefore w:val="0"/>
              <w:spacing w:line="400" w:lineRule="exact"/>
              <w:widowControl w:val="off"/>
              <w:rPr>
                <w:rFonts w:hint="eastAsia"/>
                <w:b/>
                <w:bCs/>
                <w:color w:val="auto"/>
                <w:highlight w:val="none"/>
                <w:vertAlign w:val="baseline"/>
              </w:rPr>
              <w:outlineLvl w:val="9"/>
            </w:pPr>
            <w:r>
              <w:rPr>
                <w:rFonts w:ascii="Times New Roman" w:hAnsi="Times New Roman" w:eastAsia="宋体" w:cs="Times New Roman"/>
                <w:color w:val="auto"/>
                <w:sz w:val="24"/>
                <w:szCs w:val="24"/>
                <w:highlight w:val="none"/>
                <w:lang w:val="en-US" w:eastAsia="zh-CN"/>
              </w:rPr>
              <w:t xml:space="preserve">围绕园区层面安全管理事项，协助开展专题研究、机制评估和制度优化，形成专题报告、典型案例等成果；围绕过程安全管理、重点领域专项治理等工作，及时总结提炼成熟做法，形成机制性成果。</w:t>
            </w:r>
            <w:r>
              <w:rPr>
                <w:rFonts w:hint="eastAsia" w:ascii="Times New Roman" w:hAnsi="Times New Roman" w:eastAsia="宋体" w:cs="Times New Roman"/>
                <w:color w:val="auto"/>
                <w:sz w:val="24"/>
                <w:szCs w:val="24"/>
                <w:highlight w:val="none"/>
                <w:lang w:val="en-US" w:eastAsia="zh-CN"/>
              </w:rPr>
              <w:t xml:space="preserve">组织不少于</w:t>
            </w:r>
            <w:r>
              <w:rPr>
                <w:rFonts w:ascii="Times New Roman" w:hAnsi="Times New Roman" w:eastAsia="宋体" w:cs="Times New Roman"/>
                <w:color w:val="auto"/>
                <w:sz w:val="24"/>
                <w:szCs w:val="24"/>
                <w:highlight w:val="none"/>
                <w:lang w:val="en-US" w:eastAsia="zh-CN"/>
              </w:rPr>
              <w:t xml:space="preserve">5名</w:t>
            </w:r>
            <w:r>
              <w:rPr>
                <w:rFonts w:hint="eastAsia" w:ascii="Times New Roman" w:hAnsi="Times New Roman" w:eastAsia="宋体" w:cs="Times New Roman"/>
                <w:color w:val="auto"/>
                <w:sz w:val="24"/>
                <w:szCs w:val="24"/>
                <w:highlight w:val="none"/>
                <w:lang w:val="en-US" w:eastAsia="zh-CN"/>
              </w:rPr>
              <w:t xml:space="preserve">专家，每年对新区石化产业基地开展风险等级评估，专家应参加过省级及以上化工园区评估。</w:t>
            </w:r>
            <w:r/>
          </w:p>
        </w:tc>
        <w:tc>
          <w:tcPr>
            <w:tcW w:w="1652" w:type="dxa"/>
            <w:vAlign w:val="center"/>
            <w:textDirection w:val="lrTb"/>
            <w:noWrap w:val="false"/>
          </w:tcPr>
          <w:p>
            <w:pPr>
              <w:ind w:left="0"/>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根据</w:t>
            </w:r>
            <w:r>
              <w:rPr>
                <w:rFonts w:ascii="Times New Roman" w:hAnsi="Times New Roman" w:eastAsia="宋体" w:cs="Times New Roman"/>
                <w:color w:val="auto"/>
                <w:sz w:val="24"/>
                <w:szCs w:val="24"/>
                <w:highlight w:val="none"/>
                <w:lang w:val="en-US" w:eastAsia="zh-CN"/>
              </w:rPr>
              <w:t xml:space="preserve">工作安排</w:t>
            </w:r>
            <w:r>
              <w:rPr>
                <w:rFonts w:ascii="Times New Roman" w:hAnsi="Times New Roman" w:eastAsia="宋体" w:cs="Times New Roman"/>
                <w:color w:val="auto"/>
                <w:sz w:val="24"/>
                <w:szCs w:val="24"/>
                <w:highlight w:val="none"/>
              </w:rPr>
              <w:t xml:space="preserve">开展</w:t>
            </w:r>
            <w:r>
              <w:rPr>
                <w:rFonts w:ascii="Times New Roman" w:hAnsi="Times New Roman" w:eastAsia="宋体" w:cs="Times New Roman"/>
                <w:color w:val="auto"/>
                <w:sz w:val="24"/>
                <w:szCs w:val="24"/>
                <w:highlight w:val="none"/>
                <w:lang w:eastAsia="zh-CN"/>
              </w:rPr>
              <w:t xml:space="preserve">。</w:t>
            </w:r>
            <w:r/>
          </w:p>
        </w:tc>
        <w:tc>
          <w:tcPr>
            <w:tcW w:w="1311" w:type="dxa"/>
            <w:vAlign w:val="center"/>
            <w:vMerge w:val="continue"/>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gridSpan w:val="5"/>
            <w:tcW w:w="10669" w:type="dxa"/>
            <w:vAlign w:val="center"/>
            <w:textDirection w:val="lrTb"/>
            <w:noWrap w:val="false"/>
          </w:tcPr>
          <w:p>
            <w:pPr>
              <w:ind w:left="0"/>
              <w:jc w:val="left"/>
              <w:keepLines w:val="0"/>
              <w:keepNext/>
              <w:pageBreakBefore w:val="0"/>
              <w:spacing w:line="400" w:lineRule="exact"/>
              <w:widowControl w:val="off"/>
              <w:rPr>
                <w:rFonts w:hint="eastAsia" w:eastAsia="宋体"/>
                <w:b/>
                <w:bCs/>
                <w:color w:val="auto"/>
                <w:highlight w:val="none"/>
                <w:vertAlign w:val="baseline"/>
                <w:lang w:eastAsia="zh-CN"/>
              </w:rPr>
            </w:pPr>
            <w:r>
              <w:rPr>
                <w:rFonts w:hint="eastAsia" w:ascii="宋体" w:hAnsi="宋体" w:eastAsia="宋体" w:cs="Times New Roman"/>
                <w:color w:val="auto"/>
                <w:sz w:val="24"/>
                <w:highlight w:val="none"/>
                <w:lang w:val="en-US" w:eastAsia="zh-CN"/>
              </w:rPr>
              <w:t xml:space="preserve">三</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保障机制</w:t>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1</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专家出行与现场服务保障</w:t>
            </w:r>
            <w:r/>
          </w:p>
        </w:tc>
        <w:tc>
          <w:tcPr>
            <w:tcW w:w="5536" w:type="dxa"/>
            <w:vAlign w:val="center"/>
            <w:textDirection w:val="lrTb"/>
            <w:noWrap w:val="false"/>
          </w:tcPr>
          <w:p>
            <w:pPr>
              <w:ind w:left="0"/>
              <w:jc w:val="left"/>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第三方服务单位应配备满足项目需要的车辆和现场服务保障条件，确保项目相关人员日常出行、夜间值守、突发情况下现场支撑及时到位。</w:t>
            </w:r>
            <w:r/>
          </w:p>
        </w:tc>
        <w:tc>
          <w:tcPr>
            <w:tcW w:w="1652" w:type="dxa"/>
            <w:vAlign w:val="center"/>
            <w:textDirection w:val="lrTb"/>
            <w:noWrap w:val="false"/>
          </w:tcPr>
          <w:p>
            <w:pPr>
              <w:ind w:left="0"/>
              <w:jc w:val="center"/>
              <w:keepLines w:val="0"/>
              <w:keepNext/>
              <w:pageBreakBefore w:val="0"/>
              <w:spacing w:line="4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全周期保障</w:t>
            </w:r>
            <w:r>
              <w:rPr>
                <w:rFonts w:ascii="Times New Roman" w:hAnsi="Times New Roman" w:eastAsia="宋体" w:cs="Times New Roman"/>
                <w:color w:val="auto"/>
                <w:sz w:val="24"/>
                <w:szCs w:val="24"/>
                <w:highlight w:val="none"/>
                <w:lang w:eastAsia="zh-CN"/>
              </w:rPr>
              <w:t xml:space="preserve">。</w:t>
            </w:r>
            <w:r/>
          </w:p>
        </w:tc>
        <w:tc>
          <w:tcPr>
            <w:tcW w:w="1311"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hint="eastAsia"/>
                <w:b/>
                <w:bCs/>
                <w:color w:val="auto"/>
                <w:highlight w:val="none"/>
                <w:vertAlign w:val="baseline"/>
              </w:rPr>
            </w:r>
            <w:r/>
          </w:p>
        </w:tc>
      </w:tr>
      <w:tr>
        <w:trPr>
          <w:jc w:val="center"/>
        </w:trPr>
        <w:tc>
          <w:tcPr>
            <w:tcW w:w="845" w:type="dxa"/>
            <w:vAlign w:val="center"/>
            <w:textDirection w:val="lrTb"/>
            <w:noWrap w:val="false"/>
          </w:tcPr>
          <w:p>
            <w:pPr>
              <w:ind w:left="0"/>
              <w:jc w:val="center"/>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 xml:space="preserve">2</w:t>
            </w:r>
            <w:r/>
          </w:p>
        </w:tc>
        <w:tc>
          <w:tcPr>
            <w:tcW w:w="1325" w:type="dxa"/>
            <w:vAlign w:val="center"/>
            <w:textDirection w:val="lrTb"/>
            <w:noWrap w:val="false"/>
          </w:tcPr>
          <w:p>
            <w:pPr>
              <w:pStyle w:val="1009"/>
              <w:ind w:left="0"/>
              <w:jc w:val="both"/>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服务质量考核</w:t>
            </w:r>
            <w:r/>
          </w:p>
        </w:tc>
        <w:tc>
          <w:tcPr>
            <w:tcW w:w="5536" w:type="dxa"/>
            <w:vAlign w:val="center"/>
            <w:textDirection w:val="lrTb"/>
            <w:noWrap w:val="false"/>
          </w:tcPr>
          <w:p>
            <w:pPr>
              <w:ind w:left="0"/>
              <w:keepLines w:val="0"/>
              <w:keepNext/>
              <w:pageBreakBefore w:val="0"/>
              <w:spacing w:line="400" w:lineRule="exact"/>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合同期内，被指导、排查企业无亡人事故发生。</w:t>
            </w:r>
            <w:r/>
          </w:p>
        </w:tc>
        <w:tc>
          <w:tcPr>
            <w:tcW w:w="1652" w:type="dxa"/>
            <w:vAlign w:val="center"/>
            <w:textDirection w:val="lrTb"/>
            <w:noWrap w:val="false"/>
          </w:tcPr>
          <w:p>
            <w:pPr>
              <w:ind w:left="0"/>
              <w:keepLines w:val="0"/>
              <w:keepNext/>
              <w:pageBreakBefore w:val="0"/>
              <w:spacing w:line="40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按年度考核</w:t>
            </w:r>
            <w:r/>
          </w:p>
        </w:tc>
        <w:tc>
          <w:tcPr>
            <w:tcW w:w="1311" w:type="dxa"/>
            <w:vAlign w:val="center"/>
            <w:textDirection w:val="lrTb"/>
            <w:noWrap w:val="false"/>
          </w:tcPr>
          <w:p>
            <w:pPr>
              <w:ind w:left="0"/>
              <w:jc w:val="center"/>
              <w:keepLines w:val="0"/>
              <w:keepNext/>
              <w:pageBreakBefore w:val="0"/>
              <w:spacing w:line="400" w:lineRule="exact"/>
              <w:widowControl w:val="off"/>
              <w:rPr>
                <w:rFonts w:hint="eastAsia"/>
                <w:b/>
                <w:bCs/>
                <w:color w:val="auto"/>
                <w:highlight w:val="none"/>
                <w:vertAlign w:val="baseline"/>
              </w:rPr>
            </w:pPr>
            <w:r>
              <w:rPr>
                <w:rFonts w:ascii="Times New Roman" w:hAnsi="Times New Roman" w:eastAsia="宋体" w:cs="Times New Roman"/>
                <w:color w:val="auto"/>
                <w:sz w:val="24"/>
                <w:szCs w:val="24"/>
                <w:highlight w:val="none"/>
              </w:rPr>
              <w:t xml:space="preserve">50</w:t>
            </w:r>
            <w:r/>
          </w:p>
        </w:tc>
      </w:tr>
      <w:tr>
        <w:trPr>
          <w:jc w:val="center"/>
          <w:trHeight w:val="655"/>
        </w:trPr>
        <w:tc>
          <w:tcPr>
            <w:gridSpan w:val="4"/>
            <w:tcW w:w="9358" w:type="dxa"/>
            <w:vAlign w:val="center"/>
            <w:textDirection w:val="lrTb"/>
            <w:noWrap w:val="false"/>
          </w:tcPr>
          <w:p>
            <w:pPr>
              <w:ind w:right="105"/>
              <w:jc w:val="center"/>
              <w:spacing w:line="400" w:lineRule="exact"/>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合计（每年</w:t>
            </w:r>
            <w:r>
              <w:rPr>
                <w:rFonts w:ascii="Times New Roman" w:hAnsi="Times New Roman" w:eastAsia="宋体" w:cs="Times New Roman"/>
                <w:color w:val="auto"/>
                <w:sz w:val="24"/>
                <w:szCs w:val="24"/>
                <w:highlight w:val="none"/>
              </w:rPr>
              <w:t xml:space="preserve">费用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单位万元</w:t>
            </w:r>
            <w:r>
              <w:rPr>
                <w:rFonts w:hint="eastAsia" w:ascii="宋体" w:hAnsi="宋体" w:eastAsia="宋体" w:cs="Times New Roman"/>
                <w:color w:val="auto"/>
                <w:sz w:val="24"/>
                <w:highlight w:val="none"/>
                <w:lang w:val="en-US" w:eastAsia="zh-CN"/>
              </w:rPr>
              <w:t xml:space="preserve">）</w:t>
            </w:r>
            <w:r/>
          </w:p>
        </w:tc>
        <w:tc>
          <w:tcPr>
            <w:tcW w:w="1311" w:type="dxa"/>
            <w:vAlign w:val="center"/>
            <w:textDirection w:val="lrTb"/>
            <w:noWrap w:val="false"/>
          </w:tcPr>
          <w:p>
            <w:pPr>
              <w:pStyle w:val="1009"/>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r>
    </w:tbl>
    <w:p>
      <w:pPr>
        <w:pStyle w:val="902"/>
        <w:numPr>
          <w:ilvl w:val="0"/>
          <w:numId w:val="0"/>
        </w:numPr>
        <w:spacing w:before="0" w:after="0" w:line="240" w:lineRule="auto"/>
        <w:rPr>
          <w:rFonts w:hint="eastAsia"/>
          <w:color w:val="auto"/>
          <w:highlight w:val="none"/>
        </w:rPr>
      </w:pPr>
      <w:r>
        <w:rPr>
          <w:color w:val="auto"/>
          <w:sz w:val="24"/>
          <w:highlight w:val="none"/>
        </w:rPr>
        <w:br w:type="page" w:clear="all"/>
      </w:r>
      <w:r>
        <w:rPr>
          <w:color w:val="auto"/>
          <w:sz w:val="24"/>
          <w:highlight w:val="none"/>
        </w:rPr>
        <w:t xml:space="preserve">格式</w:t>
      </w:r>
      <w:r>
        <w:rPr>
          <w:rFonts w:hint="eastAsia"/>
          <w:color w:val="auto"/>
          <w:sz w:val="24"/>
          <w:highlight w:val="none"/>
        </w:rPr>
        <w:t xml:space="preserve">4、中小企业声明函</w:t>
      </w:r>
      <w:r/>
    </w:p>
    <w:p>
      <w:pPr>
        <w:jc w:val="center"/>
        <w:spacing w:before="312" w:after="312"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采购活动，服务全部由符合政策要求的中小企业承接。</w:t>
      </w:r>
      <w:r/>
    </w:p>
    <w:p>
      <w:pPr>
        <w:ind w:firstLine="480"/>
        <w:spacing w:line="360" w:lineRule="auto"/>
        <w:rPr>
          <w:rFonts w:ascii="宋体" w:hAnsi="宋体"/>
          <w:color w:val="auto"/>
          <w:sz w:val="24"/>
          <w:highlight w:val="none"/>
        </w:rPr>
      </w:pPr>
      <w:r>
        <w:rPr>
          <w:rFonts w:ascii="宋体" w:hAnsi="宋体"/>
          <w:color w:val="auto"/>
          <w:sz w:val="24"/>
          <w:highlight w:val="none"/>
          <w:u w:val="single"/>
        </w:rPr>
        <w:t xml:space="preserve">（标的名称） </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 </w:t>
      </w:r>
      <w:r>
        <w:rPr>
          <w:rFonts w:ascii="宋体" w:hAnsi="宋体"/>
          <w:color w:val="auto"/>
          <w:sz w:val="24"/>
          <w:highlight w:val="none"/>
        </w:rPr>
        <w:t xml:space="preserve">行业；</w:t>
      </w:r>
      <w:r>
        <w:rPr>
          <w:rFonts w:hint="eastAsia" w:ascii="宋体" w:hAnsi="宋体"/>
          <w:color w:val="auto"/>
          <w:sz w:val="24"/>
          <w:highlight w:val="none"/>
        </w:rPr>
        <w:t xml:space="preserve">承接企业</w:t>
      </w:r>
      <w:r>
        <w:rPr>
          <w:rFonts w:ascii="宋体" w:hAnsi="宋体"/>
          <w:color w:val="auto"/>
          <w:sz w:val="24"/>
          <w:highlight w:val="none"/>
        </w:rPr>
        <w:t xml:space="preserve">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（小型企业、微型企业）</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right="480" w:firstLine="4920"/>
        <w:spacing w:line="360" w:lineRule="auto"/>
        <w:rPr>
          <w:rFonts w:ascii="宋体" w:hAnsi="宋体"/>
          <w:color w:val="auto"/>
          <w:sz w:val="24"/>
          <w:highlight w:val="none"/>
        </w:rPr>
      </w:pPr>
      <w:r>
        <w:rPr>
          <w:rFonts w:ascii="宋体" w:hAnsi="宋体"/>
          <w:color w:val="auto"/>
          <w:sz w:val="24"/>
          <w:highlight w:val="none"/>
        </w:rPr>
        <w:t xml:space="preserve">日 期：</w:t>
      </w:r>
      <w:r/>
    </w:p>
    <w:p>
      <w:pPr>
        <w:ind w:right="480" w:firstLine="4920"/>
        <w:spacing w:line="360" w:lineRule="auto"/>
        <w:rPr>
          <w:rFonts w:ascii="宋体" w:hAnsi="宋体"/>
          <w:color w:val="auto"/>
          <w:sz w:val="24"/>
          <w:highlight w:val="none"/>
        </w:rPr>
      </w:pPr>
      <w:r>
        <w:rPr>
          <w:rFonts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spacing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填报说明：</w:t>
      </w:r>
      <w:r/>
    </w:p>
    <w:p>
      <w:pPr>
        <w:ind w:right="480"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3、中标供应商的《中小企业声明函》随中标结果公开。</w:t>
      </w:r>
      <w:r/>
    </w:p>
    <w:p>
      <w:pPr>
        <w:pStyle w:val="902"/>
        <w:numPr>
          <w:ilvl w:val="0"/>
          <w:numId w:val="0"/>
        </w:numPr>
        <w:spacing w:before="0" w:after="0" w:line="240" w:lineRule="auto"/>
        <w:rPr>
          <w:rFonts w:hint="eastAsia"/>
          <w:color w:val="auto"/>
          <w:highlight w:val="none"/>
        </w:rPr>
      </w:pPr>
      <w:r>
        <w:rPr>
          <w:color w:val="auto"/>
          <w:highlight w:val="none"/>
        </w:rPr>
        <w:br w:type="page" w:clear="all"/>
      </w:r>
      <w:r>
        <w:rPr>
          <w:color w:val="auto"/>
          <w:sz w:val="24"/>
          <w:highlight w:val="none"/>
        </w:rPr>
        <w:t xml:space="preserve">格式</w:t>
      </w:r>
      <w:r>
        <w:rPr>
          <w:rFonts w:hint="eastAsia"/>
          <w:color w:val="auto"/>
          <w:sz w:val="24"/>
          <w:highlight w:val="none"/>
        </w:rPr>
        <w:t xml:space="preserve">5、残疾人福利性单位声明函</w:t>
      </w:r>
      <w:r/>
    </w:p>
    <w:p>
      <w:pPr>
        <w:jc w:val="center"/>
        <w:spacing w:before="312" w:after="312"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right="480" w:firstLine="4560"/>
        <w:spacing w:line="360" w:lineRule="auto"/>
        <w:rPr>
          <w:rFonts w:ascii="宋体" w:hAnsi="宋体"/>
          <w:color w:val="auto"/>
          <w:sz w:val="24"/>
          <w:highlight w:val="none"/>
        </w:rPr>
      </w:pPr>
      <w:r>
        <w:rPr>
          <w:rFonts w:ascii="宋体" w:hAnsi="宋体"/>
          <w:color w:val="auto"/>
          <w:sz w:val="24"/>
          <w:highlight w:val="none"/>
        </w:rPr>
        <w:t xml:space="preserve">企业名称（盖章）： </w:t>
      </w:r>
      <w:r/>
    </w:p>
    <w:p>
      <w:pPr>
        <w:ind w:firstLine="4560"/>
        <w:jc w:val="left"/>
        <w:spacing w:line="360" w:lineRule="auto"/>
        <w:rPr>
          <w:rFonts w:hint="eastAsia"/>
          <w:color w:val="auto"/>
          <w:sz w:val="24"/>
          <w:highlight w:val="none"/>
        </w:rPr>
      </w:pPr>
      <w:r>
        <w:rPr>
          <w:rFonts w:ascii="宋体" w:hAnsi="宋体"/>
          <w:color w:val="auto"/>
          <w:sz w:val="24"/>
          <w:highlight w:val="none"/>
        </w:rPr>
        <w:t xml:space="preserve">日 期：</w:t>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jc w:val="left"/>
        <w:spacing w:line="360" w:lineRule="auto"/>
        <w:rPr>
          <w:rFonts w:hint="eastAsia"/>
          <w:color w:val="auto"/>
          <w:sz w:val="24"/>
          <w:highlight w:val="none"/>
        </w:rPr>
      </w:pPr>
      <w:r>
        <w:rPr>
          <w:rFonts w:hint="eastAsia"/>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w:t>
      </w:r>
      <w:r>
        <w:rPr>
          <w:rFonts w:hint="eastAsia" w:ascii="宋体" w:hAnsi="宋体"/>
          <w:color w:val="auto"/>
          <w:sz w:val="24"/>
          <w:highlight w:val="none"/>
        </w:rPr>
        <w:t xml:space="preserve">如填写不完整或填写有误，将不享受扶</w:t>
      </w:r>
      <w:r>
        <w:rPr>
          <w:rFonts w:hint="eastAsia" w:ascii="宋体" w:hAnsi="宋体"/>
          <w:bCs/>
          <w:color w:val="auto"/>
          <w:sz w:val="24"/>
          <w:highlight w:val="none"/>
        </w:rPr>
        <w:t xml:space="preserve">持政策。</w:t>
      </w:r>
      <w:r/>
    </w:p>
    <w:p>
      <w:pPr>
        <w:ind w:firstLine="480"/>
        <w:jc w:val="left"/>
        <w:spacing w:line="360" w:lineRule="auto"/>
        <w:rPr>
          <w:rFonts w:hint="eastAsia"/>
          <w:color w:val="auto"/>
          <w:sz w:val="24"/>
          <w:highlight w:val="none"/>
        </w:rPr>
      </w:pPr>
      <w:r>
        <w:rPr>
          <w:rFonts w:hint="eastAsia" w:ascii="宋体" w:hAnsi="宋体"/>
          <w:bCs/>
          <w:color w:val="auto"/>
          <w:sz w:val="24"/>
          <w:highlight w:val="none"/>
        </w:rPr>
        <w:t xml:space="preserve">2、中标供应商的《残疾人福利性单位声明函》随中标结果公开。</w:t>
      </w:r>
      <w:r/>
    </w:p>
    <w:p>
      <w:pPr>
        <w:pStyle w:val="902"/>
        <w:numPr>
          <w:ilvl w:val="0"/>
          <w:numId w:val="0"/>
        </w:numPr>
        <w:spacing w:before="0" w:after="0" w:line="240" w:lineRule="auto"/>
        <w:rPr>
          <w:rFonts w:hint="eastAsia"/>
          <w:color w:val="auto"/>
          <w:sz w:val="24"/>
          <w:highlight w:val="none"/>
        </w:rPr>
      </w:pPr>
      <w:r>
        <w:rPr>
          <w:color w:val="auto"/>
          <w:sz w:val="24"/>
          <w:highlight w:val="none"/>
        </w:rPr>
        <w:br w:type="page" w:clear="all"/>
      </w:r>
      <w:r>
        <w:rPr>
          <w:color w:val="auto"/>
          <w:sz w:val="24"/>
          <w:highlight w:val="none"/>
        </w:rPr>
        <w:t xml:space="preserve">格式</w:t>
      </w:r>
      <w:r>
        <w:rPr>
          <w:rFonts w:hint="eastAsia"/>
          <w:color w:val="auto"/>
          <w:sz w:val="24"/>
          <w:highlight w:val="none"/>
        </w:rPr>
        <w:t xml:space="preserve">6、具备履行合同所必需的设备和专业技术能力的声明及证明材料</w:t>
      </w:r>
      <w:bookmarkEnd w:id="139"/>
      <w:bookmarkEnd w:id="140"/>
      <w:r/>
    </w:p>
    <w:p>
      <w:pPr>
        <w:rPr>
          <w:rFonts w:hint="eastAsia"/>
          <w:color w:val="auto"/>
          <w:highlight w:val="none"/>
        </w:rPr>
      </w:pPr>
      <w:r>
        <w:rPr>
          <w:rFonts w:hint="eastAsia"/>
          <w:color w:val="auto"/>
          <w:highlight w:val="none"/>
        </w:rPr>
      </w:r>
      <w:r/>
    </w:p>
    <w:p>
      <w:pPr>
        <w:jc w:val="center"/>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spacing w:line="360" w:lineRule="auto"/>
        <w:rPr>
          <w:color w:val="auto"/>
          <w:sz w:val="24"/>
          <w:highlight w:val="none"/>
        </w:rPr>
      </w:pPr>
      <w:r>
        <w:rPr>
          <w:rFonts w:hint="eastAsia"/>
          <w:color w:val="auto"/>
          <w:sz w:val="24"/>
          <w:highlight w:val="none"/>
          <w:u w:val="single"/>
        </w:rPr>
        <w:t xml:space="preserve">（供应商名称）</w:t>
      </w:r>
      <w:r>
        <w:rPr>
          <w:rFonts w:hint="eastAsia"/>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auto"/>
          <w:sz w:val="24"/>
          <w:highlight w:val="none"/>
        </w:rPr>
      </w:pPr>
      <w:r>
        <w:rPr>
          <w:rFonts w:hint="eastAsia"/>
          <w:color w:val="auto"/>
          <w:sz w:val="24"/>
          <w:highlight w:val="none"/>
        </w:rPr>
        <w:t xml:space="preserve">主要设备有：</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主要专业技术能力有：</w:t>
      </w:r>
      <w:r>
        <w:rPr>
          <w:rFonts w:hint="eastAsia"/>
          <w:color w:val="auto"/>
          <w:sz w:val="24"/>
          <w:highlight w:val="none"/>
          <w:u w:val="single"/>
        </w:rPr>
        <w:t xml:space="preserve">                          </w:t>
      </w:r>
      <w:r>
        <w:rPr>
          <w:rFonts w:hint="eastAsia"/>
          <w:color w:val="auto"/>
          <w:sz w:val="24"/>
          <w:highlight w:val="none"/>
        </w:rPr>
        <w:t xml:space="preserve">。</w:t>
      </w:r>
      <w:r/>
    </w:p>
    <w:p>
      <w:pPr>
        <w:ind w:firstLine="482"/>
        <w:spacing w:line="360" w:lineRule="auto"/>
        <w:rPr>
          <w:b/>
          <w:color w:val="auto"/>
          <w:sz w:val="24"/>
          <w:highlight w:val="none"/>
        </w:rPr>
      </w:pPr>
      <w:r>
        <w:rPr>
          <w:rFonts w:hint="eastAsia"/>
          <w:b/>
          <w:color w:val="auto"/>
          <w:sz w:val="24"/>
          <w:highlight w:val="none"/>
        </w:rPr>
        <w:t xml:space="preserve">注：须附证明材料。</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声明人（盖章）：</w:t>
      </w:r>
      <w:r/>
    </w:p>
    <w:p>
      <w:pPr>
        <w:ind w:firstLine="480"/>
        <w:spacing w:line="360" w:lineRule="auto"/>
        <w:rPr>
          <w:color w:val="auto"/>
          <w:sz w:val="24"/>
          <w:highlight w:val="none"/>
        </w:rPr>
      </w:pPr>
      <w:r>
        <w:rPr>
          <w:rFonts w:hint="eastAsia"/>
          <w:color w:val="auto"/>
          <w:sz w:val="24"/>
          <w:highlight w:val="none"/>
        </w:rPr>
        <w:t xml:space="preserve">日期：  年   月  日</w:t>
      </w:r>
      <w:r/>
    </w:p>
    <w:p>
      <w:pPr>
        <w:ind w:firstLine="422"/>
        <w:spacing w:line="460" w:lineRule="exact"/>
        <w:rPr>
          <w:rFonts w:hint="eastAsia"/>
          <w:b/>
          <w:color w:val="auto"/>
          <w:highlight w:val="none"/>
        </w:rPr>
      </w:pPr>
      <w:r>
        <w:rPr>
          <w:rFonts w:hint="eastAsia"/>
          <w:b/>
          <w:color w:val="auto"/>
          <w:highlight w:val="none"/>
        </w:rPr>
      </w:r>
      <w:r/>
    </w:p>
    <w:p>
      <w:pPr>
        <w:pStyle w:val="902"/>
        <w:numPr>
          <w:ilvl w:val="0"/>
          <w:numId w:val="0"/>
        </w:numPr>
        <w:spacing w:before="0" w:after="0" w:line="240" w:lineRule="auto"/>
        <w:rPr>
          <w:rFonts w:hint="eastAsia"/>
          <w:b w:val="0"/>
          <w:color w:val="auto"/>
          <w:highlight w:val="none"/>
        </w:rPr>
      </w:pPr>
      <w:r>
        <w:rPr>
          <w:b w:val="0"/>
          <w:color w:val="auto"/>
          <w:highlight w:val="none"/>
        </w:rPr>
        <w:br w:type="page" w:clear="all"/>
      </w:r>
      <w:r>
        <w:rPr>
          <w:color w:val="auto"/>
          <w:sz w:val="24"/>
          <w:highlight w:val="none"/>
        </w:rPr>
        <w:t xml:space="preserve">格式</w:t>
      </w:r>
      <w:r>
        <w:rPr>
          <w:rFonts w:hint="eastAsia"/>
          <w:color w:val="auto"/>
          <w:sz w:val="24"/>
          <w:highlight w:val="none"/>
        </w:rPr>
        <w:t xml:space="preserve">7、参加政府采购活动前3年内在经营活动中没有重大违法记录的书面声明</w:t>
      </w:r>
      <w:r/>
    </w:p>
    <w:p>
      <w:pPr>
        <w:ind w:firstLine="422"/>
        <w:spacing w:line="460" w:lineRule="exact"/>
        <w:rPr>
          <w:rFonts w:hint="eastAsia"/>
          <w:b/>
          <w:color w:val="auto"/>
          <w:highlight w:val="none"/>
        </w:rPr>
      </w:pPr>
      <w:r>
        <w:rPr>
          <w:rFonts w:hint="eastAsia"/>
          <w:b/>
          <w:color w:val="auto"/>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pStyle w:val="902"/>
        <w:numPr>
          <w:ilvl w:val="0"/>
          <w:numId w:val="0"/>
        </w:numPr>
        <w:spacing w:before="0" w:after="0" w:line="240" w:lineRule="auto"/>
        <w:rPr>
          <w:rFonts w:hint="eastAsia" w:eastAsia="宋体"/>
          <w:color w:val="auto"/>
          <w:highlight w:val="none"/>
        </w:rPr>
      </w:pPr>
      <w:r>
        <w:rPr>
          <w:rFonts w:ascii="宋体" w:hAnsi="宋体"/>
          <w:color w:val="auto"/>
          <w:sz w:val="24"/>
          <w:highlight w:val="none"/>
        </w:rPr>
        <w:br w:type="page" w:clear="all"/>
      </w:r>
      <w:r>
        <w:rPr>
          <w:rFonts w:hint="eastAsia"/>
          <w:color w:val="auto"/>
          <w:sz w:val="24"/>
          <w:highlight w:val="none"/>
        </w:rPr>
        <w:t xml:space="preserve">格式8、法定代表人授权委托书</w:t>
      </w:r>
      <w:r/>
    </w:p>
    <w:p>
      <w:pPr>
        <w:ind w:firstLine="72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pStyle w:val="937"/>
        <w:spacing w:line="360" w:lineRule="auto"/>
        <w:rPr>
          <w:rFonts w:hAnsi="宋体"/>
          <w:b/>
          <w:bCs/>
          <w:color w:val="auto"/>
          <w:sz w:val="24"/>
          <w:szCs w:val="24"/>
          <w:highlight w:val="none"/>
        </w:rPr>
      </w:pPr>
      <w:r>
        <w:rPr>
          <w:rFonts w:hint="eastAsia" w:hAnsi="宋体"/>
          <w:color w:val="auto"/>
          <w:sz w:val="24"/>
          <w:szCs w:val="24"/>
          <w:highlight w:val="none"/>
        </w:rPr>
        <w:t xml:space="preserve">【采购单位】：</w:t>
      </w:r>
      <w:r/>
    </w:p>
    <w:p>
      <w:pPr>
        <w:pStyle w:val="937"/>
        <w:ind w:firstLine="480"/>
        <w:spacing w:line="360" w:lineRule="auto"/>
        <w:rPr>
          <w:rFonts w:hAnsi="宋体"/>
          <w:color w:val="auto"/>
          <w:sz w:val="24"/>
          <w:szCs w:val="24"/>
          <w:highlight w:val="none"/>
        </w:rPr>
      </w:pPr>
      <w:r>
        <w:rPr>
          <w:rFonts w:hint="eastAsia" w:hAnsi="宋体"/>
          <w:color w:val="auto"/>
          <w:sz w:val="24"/>
          <w:szCs w:val="24"/>
          <w:highlight w:val="none"/>
        </w:rPr>
        <w:t xml:space="preserve">本授权书声明：注册于</w:t>
      </w:r>
      <w:r>
        <w:rPr>
          <w:rFonts w:hint="eastAsia" w:hAnsi="宋体"/>
          <w:color w:val="auto"/>
          <w:sz w:val="24"/>
          <w:szCs w:val="24"/>
          <w:highlight w:val="none"/>
          <w:u w:val="single"/>
        </w:rPr>
        <w:t xml:space="preserve">  （委托单位全称） </w:t>
      </w:r>
      <w:r>
        <w:rPr>
          <w:rFonts w:hint="eastAsia" w:hAnsi="宋体"/>
          <w:color w:val="auto"/>
          <w:sz w:val="24"/>
          <w:szCs w:val="24"/>
          <w:highlight w:val="none"/>
        </w:rPr>
        <w:t xml:space="preserve">的法定代表人</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代表本公司授权</w:t>
      </w:r>
      <w:r>
        <w:rPr>
          <w:rFonts w:hint="eastAsia" w:hAnsi="宋体"/>
          <w:color w:val="auto"/>
          <w:sz w:val="24"/>
          <w:szCs w:val="24"/>
          <w:highlight w:val="none"/>
          <w:u w:val="single"/>
        </w:rPr>
        <w:t xml:space="preserve">（姓名和职务）</w:t>
      </w:r>
      <w:r>
        <w:rPr>
          <w:rFonts w:hint="eastAsia" w:hAnsi="宋体"/>
          <w:color w:val="auto"/>
          <w:sz w:val="24"/>
          <w:szCs w:val="24"/>
          <w:highlight w:val="none"/>
        </w:rPr>
        <w:t xml:space="preserve">为本公司合法代理人，就贵方组织的有关</w:t>
      </w:r>
      <w:r>
        <w:rPr>
          <w:rFonts w:hint="eastAsia" w:hAnsi="宋体"/>
          <w:color w:val="auto"/>
          <w:sz w:val="24"/>
          <w:szCs w:val="24"/>
          <w:highlight w:val="none"/>
          <w:u w:val="single"/>
        </w:rPr>
        <w:t xml:space="preserve">【标段名称】</w:t>
      </w:r>
      <w:r>
        <w:rPr>
          <w:rFonts w:hint="eastAsia" w:hAnsi="宋体"/>
          <w:color w:val="auto"/>
          <w:sz w:val="24"/>
          <w:szCs w:val="24"/>
          <w:highlight w:val="none"/>
        </w:rPr>
        <w:t xml:space="preserve">项目（标段编号：</w:t>
      </w:r>
      <w:r>
        <w:rPr>
          <w:rFonts w:hint="eastAsia" w:hAnsi="宋体"/>
          <w:color w:val="auto"/>
          <w:sz w:val="24"/>
          <w:szCs w:val="24"/>
          <w:highlight w:val="none"/>
          <w:u w:val="single"/>
        </w:rPr>
        <w:t xml:space="preserve">【标段编号】</w:t>
      </w:r>
      <w:r>
        <w:rPr>
          <w:rFonts w:hint="eastAsia" w:hAnsi="宋体"/>
          <w:color w:val="auto"/>
          <w:sz w:val="24"/>
          <w:szCs w:val="24"/>
          <w:highlight w:val="none"/>
        </w:rPr>
        <w:t xml:space="preserve">）的招标采购及合同签订、执行、完成，以本单位名义处理一切与之有关的事务。</w:t>
      </w:r>
      <w:r/>
    </w:p>
    <w:p>
      <w:pPr>
        <w:pStyle w:val="937"/>
        <w:ind w:firstLine="480"/>
        <w:spacing w:line="360" w:lineRule="auto"/>
        <w:rPr>
          <w:rFonts w:hAnsi="宋体"/>
          <w:color w:val="auto"/>
          <w:sz w:val="24"/>
          <w:szCs w:val="24"/>
          <w:highlight w:val="none"/>
        </w:rPr>
      </w:pPr>
      <w:r>
        <w:rPr>
          <w:rFonts w:hint="eastAsia" w:hAnsi="宋体"/>
          <w:color w:val="auto"/>
          <w:sz w:val="24"/>
          <w:szCs w:val="24"/>
          <w:highlight w:val="none"/>
        </w:rPr>
        <w:t xml:space="preserve">本授权书于</w:t>
      </w:r>
      <w:r>
        <w:rPr>
          <w:rFonts w:hint="eastAsia" w:hAnsi="宋体"/>
          <w:color w:val="auto"/>
          <w:spacing w:val="10"/>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日签字（或盖章）生效，特此声明。</w:t>
      </w:r>
      <w:r/>
    </w:p>
    <w:p>
      <w:pPr>
        <w:pStyle w:val="937"/>
        <w:ind w:firstLine="480"/>
        <w:spacing w:line="360" w:lineRule="auto"/>
        <w:rPr>
          <w:rFonts w:hAnsi="宋体"/>
          <w:color w:val="auto"/>
          <w:sz w:val="24"/>
          <w:szCs w:val="24"/>
          <w:highlight w:val="none"/>
        </w:rPr>
      </w:pPr>
      <w:r>
        <w:rPr>
          <w:rFonts w:hAnsi="宋体"/>
          <w:color w:val="auto"/>
          <w:sz w:val="24"/>
          <w:szCs w:val="24"/>
          <w:highlight w:val="none"/>
        </w:rPr>
      </w:r>
      <w:r/>
    </w:p>
    <w:p>
      <w:pPr>
        <w:pStyle w:val="937"/>
        <w:ind w:firstLine="480"/>
        <w:spacing w:line="360" w:lineRule="auto"/>
        <w:rPr>
          <w:rFonts w:hAnsi="宋体"/>
          <w:color w:val="auto"/>
          <w:sz w:val="24"/>
          <w:szCs w:val="24"/>
          <w:highlight w:val="none"/>
        </w:rPr>
      </w:pPr>
      <w:r>
        <w:rPr>
          <w:rFonts w:hint="eastAsia" w:hAnsi="宋体"/>
          <w:color w:val="auto"/>
          <w:sz w:val="24"/>
          <w:szCs w:val="24"/>
          <w:highlight w:val="none"/>
        </w:rPr>
        <w:t xml:space="preserve">委托单位（盖章）：                      法定代表人（签字或盖章）：</w:t>
      </w:r>
      <w:r/>
    </w:p>
    <w:p>
      <w:pPr>
        <w:pStyle w:val="937"/>
        <w:ind w:firstLine="480"/>
        <w:spacing w:line="360" w:lineRule="auto"/>
        <w:rPr>
          <w:rFonts w:hAnsi="宋体"/>
          <w:color w:val="auto"/>
          <w:sz w:val="24"/>
          <w:szCs w:val="24"/>
          <w:highlight w:val="none"/>
        </w:rPr>
      </w:pPr>
      <w:r>
        <w:rPr>
          <w:rFonts w:hAnsi="宋体"/>
          <w:color w:val="auto"/>
          <w:sz w:val="24"/>
          <w:szCs w:val="24"/>
          <w:highlight w:val="none"/>
        </w:rPr>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签发日期：</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w:t>
      </w:r>
      <w:r/>
    </w:p>
    <w:p>
      <w:pPr>
        <w:pStyle w:val="937"/>
        <w:ind w:firstLine="482"/>
        <w:spacing w:line="360" w:lineRule="auto"/>
        <w:rPr>
          <w:rFonts w:hint="eastAsia" w:hAnsi="宋体"/>
          <w:b/>
          <w:color w:val="auto"/>
          <w:sz w:val="24"/>
          <w:szCs w:val="24"/>
          <w:highlight w:val="none"/>
        </w:rPr>
      </w:pPr>
      <w:r>
        <w:rPr>
          <w:rFonts w:hint="eastAsia" w:hAnsi="宋体"/>
          <w:b/>
          <w:color w:val="auto"/>
          <w:sz w:val="24"/>
          <w:szCs w:val="24"/>
          <w:highlight w:val="none"/>
        </w:rPr>
        <w:t xml:space="preserve">附法定代表人与委托代理人身份证明正反面电子件。</w:t>
      </w:r>
      <w:r/>
    </w:p>
    <w:p>
      <w:pPr>
        <w:pStyle w:val="937"/>
        <w:ind w:firstLine="480"/>
        <w:spacing w:line="360" w:lineRule="auto"/>
        <w:rPr>
          <w:rFonts w:hAnsi="宋体"/>
          <w:color w:val="auto"/>
          <w:sz w:val="24"/>
          <w:szCs w:val="24"/>
          <w:highlight w:val="none"/>
        </w:rPr>
      </w:pPr>
      <w:r>
        <w:rPr>
          <w:rFonts w:hAnsi="宋体"/>
          <w:color w:val="auto"/>
          <w:sz w:val="24"/>
          <w:szCs w:val="24"/>
          <w:highlight w:val="none"/>
        </w:rPr>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说明：</w:t>
      </w:r>
      <w:r/>
    </w:p>
    <w:p>
      <w:pPr>
        <w:pStyle w:val="937"/>
        <w:ind w:firstLine="480"/>
        <w:spacing w:line="360" w:lineRule="auto"/>
        <w:rPr>
          <w:rFonts w:hAnsi="宋体"/>
          <w:color w:val="auto"/>
          <w:sz w:val="24"/>
          <w:szCs w:val="24"/>
          <w:highlight w:val="none"/>
        </w:rPr>
      </w:pPr>
      <w:r>
        <w:rPr>
          <w:rFonts w:hint="eastAsia" w:hAnsi="宋体"/>
          <w:color w:val="auto"/>
          <w:sz w:val="24"/>
          <w:szCs w:val="24"/>
          <w:highlight w:val="none"/>
        </w:rPr>
        <w:t xml:space="preserve">1．委托书内容填写应当明确、文字工整清楚，涂改无效。</w:t>
      </w:r>
      <w:r/>
    </w:p>
    <w:p>
      <w:pPr>
        <w:pStyle w:val="937"/>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2．委托书不得转借、转让、买卖。</w:t>
      </w:r>
      <w:r/>
    </w:p>
    <w:p>
      <w:pPr>
        <w:pStyle w:val="937"/>
        <w:ind w:firstLine="480"/>
        <w:spacing w:line="360" w:lineRule="auto"/>
        <w:rPr>
          <w:rFonts w:hAnsi="宋体"/>
          <w:color w:val="auto"/>
          <w:sz w:val="24"/>
          <w:szCs w:val="24"/>
          <w:highlight w:val="none"/>
        </w:rPr>
      </w:pPr>
      <w:r>
        <w:rPr>
          <w:rFonts w:hint="eastAsia" w:hAnsi="宋体"/>
          <w:color w:val="auto"/>
          <w:sz w:val="24"/>
          <w:szCs w:val="24"/>
          <w:highlight w:val="none"/>
        </w:rPr>
        <w:t xml:space="preserve">3．委托代理人根据授权范围，以委托单位的名义签订合同，并将此委托书提交给采购单位作为合同附件。</w:t>
      </w:r>
      <w:r/>
    </w:p>
    <w:p>
      <w:pPr>
        <w:pStyle w:val="902"/>
        <w:numPr>
          <w:ilvl w:val="0"/>
          <w:numId w:val="0"/>
        </w:numPr>
        <w:spacing w:before="0" w:after="0" w:line="240" w:lineRule="auto"/>
        <w:rPr>
          <w:b w:val="0"/>
          <w:bCs w:val="0"/>
          <w:color w:val="auto"/>
          <w:szCs w:val="21"/>
          <w:highlight w:val="none"/>
        </w:rPr>
      </w:pPr>
      <w:r>
        <w:rPr>
          <w:rFonts w:ascii="宋体" w:hAnsi="宋体"/>
          <w:color w:val="auto"/>
          <w:sz w:val="24"/>
          <w:highlight w:val="none"/>
        </w:rPr>
        <w:br w:type="page" w:clear="all"/>
      </w:r>
      <w:r>
        <w:rPr>
          <w:rFonts w:hint="eastAsia"/>
          <w:color w:val="auto"/>
          <w:sz w:val="24"/>
          <w:highlight w:val="none"/>
        </w:rPr>
        <w:t xml:space="preserve">格式9、商务条款偏离表</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请逐条对应采购文件“项目需求”等内容要求的商务条件，填写该表。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项号</w:t>
            </w:r>
            <w:r/>
          </w:p>
        </w:tc>
        <w:tc>
          <w:tcPr>
            <w:tcW w:w="260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采购文件的商务条款</w:t>
            </w:r>
            <w:r/>
          </w:p>
        </w:tc>
        <w:tc>
          <w:tcPr>
            <w:tcW w:w="2746"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响应文件的商务条款</w:t>
            </w:r>
            <w:r/>
          </w:p>
        </w:tc>
        <w:tc>
          <w:tcPr>
            <w:tcW w:w="2293"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602"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746"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c>
          <w:tcPr>
            <w:tcW w:w="2293" w:type="dxa"/>
            <w:vAlign w:val="top"/>
            <w:textDirection w:val="lrTb"/>
            <w:noWrap w:val="false"/>
          </w:tcPr>
          <w:p>
            <w:pPr>
              <w:ind w:firstLine="480"/>
              <w:jc w:val="center"/>
              <w:spacing w:line="360" w:lineRule="auto"/>
              <w:rPr>
                <w:rFonts w:ascii="宋体" w:hAnsi="宋体"/>
                <w:color w:val="auto"/>
                <w:sz w:val="24"/>
                <w:highlight w:val="none"/>
              </w:rPr>
            </w:pPr>
            <w:r>
              <w:rPr>
                <w:rFonts w:ascii="宋体" w:hAnsi="宋体"/>
                <w:color w:val="auto"/>
                <w:sz w:val="24"/>
                <w:highlight w:val="none"/>
              </w:rPr>
            </w:r>
            <w:r/>
          </w:p>
        </w:tc>
      </w:tr>
    </w:tbl>
    <w:p>
      <w:pPr>
        <w:pStyle w:val="937"/>
        <w:spacing w:line="400" w:lineRule="exact"/>
        <w:rPr>
          <w:rFonts w:hAnsi="宋体"/>
          <w:color w:val="auto"/>
          <w:highlight w:val="none"/>
        </w:rPr>
      </w:pPr>
      <w:r>
        <w:rPr>
          <w:rFonts w:hint="eastAsia" w:hAnsi="宋体"/>
          <w:color w:val="auto"/>
          <w:sz w:val="24"/>
          <w:szCs w:val="24"/>
          <w:highlight w:val="none"/>
        </w:rPr>
        <w:t xml:space="preserve">注：“偏离说明”填写“正偏离”“负偏离”或“无偏离”。</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color w:val="auto"/>
          <w:sz w:val="24"/>
          <w:szCs w:val="24"/>
          <w:highlight w:val="none"/>
        </w:rPr>
      </w:pPr>
      <w:r>
        <w:rPr>
          <w:rFonts w:hint="eastAsia"/>
          <w:color w:val="auto"/>
          <w:sz w:val="24"/>
          <w:szCs w:val="24"/>
          <w:highlight w:val="none"/>
        </w:rPr>
        <w:t xml:space="preserve">日期：    年     月     日</w:t>
      </w:r>
      <w:r/>
    </w:p>
    <w:p>
      <w:pPr>
        <w:pStyle w:val="902"/>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 xml:space="preserve">格式10、售后服务承诺书</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pStyle w:val="937"/>
        <w:ind w:firstLine="480"/>
        <w:jc w:val="center"/>
        <w:spacing w:line="360" w:lineRule="auto"/>
        <w:rPr>
          <w:rFonts w:hAnsi="宋体"/>
          <w:color w:val="auto"/>
          <w:sz w:val="24"/>
          <w:szCs w:val="24"/>
          <w:highlight w:val="none"/>
        </w:rPr>
      </w:pPr>
      <w:r>
        <w:rPr>
          <w:rFonts w:hint="eastAsia" w:hAnsi="宋体"/>
          <w:color w:val="auto"/>
          <w:sz w:val="24"/>
          <w:highlight w:val="none"/>
        </w:rPr>
        <w:t xml:space="preserve">（供应商按“项目需求”等内容要求自行填写，格式自定)</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902"/>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 xml:space="preserve">格式11、项目团队人员一览表</w:t>
      </w:r>
      <w:r/>
    </w:p>
    <w:p>
      <w:pPr>
        <w:ind w:firstLine="3233"/>
        <w:spacing w:line="520" w:lineRule="exact"/>
        <w:rPr>
          <w:rFonts w:hint="eastAsia" w:ascii="宋体" w:hAnsi="宋体"/>
          <w:b/>
          <w:bCs/>
          <w:color w:val="auto"/>
          <w:sz w:val="28"/>
          <w:highlight w:val="none"/>
        </w:rPr>
      </w:pPr>
      <w:r>
        <w:rPr>
          <w:rFonts w:hint="eastAsia" w:ascii="宋体" w:hAnsi="宋体"/>
          <w:b/>
          <w:bCs/>
          <w:color w:val="auto"/>
          <w:sz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tbl>
      <w:tblPr>
        <w:tblStyle w:val="723"/>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本项目拟任</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技术</w:t>
            </w:r>
            <w:r/>
          </w:p>
          <w:p>
            <w:pPr>
              <w:jc w:val="center"/>
              <w:spacing w:line="520" w:lineRule="exact"/>
              <w:rPr>
                <w:rFonts w:hint="eastAsia" w:ascii="宋体" w:hAnsi="宋体"/>
                <w:color w:val="auto"/>
                <w:highlight w:val="none"/>
              </w:rPr>
            </w:pPr>
            <w:r>
              <w:rPr>
                <w:rFonts w:hint="eastAsia" w:ascii="宋体" w:hAnsi="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color w:val="auto"/>
                <w:highlight w:val="none"/>
              </w:rPr>
            </w:pPr>
            <w:r>
              <w:rPr>
                <w:rFonts w:hint="eastAsia" w:ascii="宋体" w:hAnsi="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896"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02"/>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 xml:space="preserve">格式12、类似项目业绩一览表</w:t>
      </w:r>
      <w:r/>
    </w:p>
    <w:p>
      <w:pPr>
        <w:jc w:val="center"/>
        <w:spacing w:line="520" w:lineRule="exact"/>
        <w:rPr>
          <w:rFonts w:hint="eastAsia" w:ascii="宋体" w:hAnsi="宋体"/>
          <w:b/>
          <w:bCs/>
          <w:color w:val="auto"/>
          <w:sz w:val="28"/>
          <w:highlight w:val="none"/>
        </w:rPr>
      </w:pPr>
      <w:r>
        <w:rPr>
          <w:rFonts w:hint="eastAsia" w:ascii="宋体" w:hAnsi="宋体"/>
          <w:b/>
          <w:bCs/>
          <w:color w:val="auto"/>
          <w:sz w:val="28"/>
          <w:highlight w:val="none"/>
        </w:rPr>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项目名称</w:t>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color w:val="auto"/>
                <w:sz w:val="28"/>
                <w:highlight w:val="none"/>
              </w:rPr>
            </w:pPr>
            <w:r>
              <w:rPr>
                <w:rFonts w:hint="eastAsia" w:ascii="宋体" w:hAnsi="宋体"/>
                <w:color w:val="auto"/>
                <w:sz w:val="28"/>
                <w:highlight w:val="none"/>
              </w:rPr>
            </w:r>
            <w:r/>
          </w:p>
        </w:tc>
      </w:tr>
    </w:tbl>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02"/>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 xml:space="preserve">格式13、项目需求响应</w:t>
      </w:r>
      <w:r/>
    </w:p>
    <w:p>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项目需求响应</w:t>
      </w:r>
      <w:r/>
    </w:p>
    <w:p>
      <w:pPr>
        <w:jc w:val="center"/>
        <w:spacing w:line="520" w:lineRule="exact"/>
        <w:rPr>
          <w:rFonts w:hint="eastAsia" w:ascii="宋体" w:hAnsi="宋体"/>
          <w:color w:val="auto"/>
          <w:sz w:val="24"/>
          <w:highlight w:val="none"/>
        </w:rPr>
      </w:pPr>
      <w:r>
        <w:rPr>
          <w:rFonts w:hint="eastAsia" w:ascii="宋体" w:hAnsi="宋体"/>
          <w:color w:val="auto"/>
          <w:highlight w:val="none"/>
        </w:rPr>
        <w:t xml:space="preserve">（供应商按“项目需求”等内容要求自行填写，格式自定）</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jc w:val="left"/>
        <w:spacing w:line="520" w:lineRule="exact"/>
        <w:rPr>
          <w:rFonts w:hint="eastAsia" w:ascii="宋体" w:hAnsi="宋体"/>
          <w:b/>
          <w:color w:val="auto"/>
          <w:szCs w:val="21"/>
          <w:highlight w:val="none"/>
        </w:rPr>
      </w:pPr>
      <w:r>
        <w:rPr>
          <w:rFonts w:hint="eastAsia" w:ascii="宋体" w:hAnsi="宋体"/>
          <w:b/>
          <w:color w:val="auto"/>
          <w:szCs w:val="21"/>
          <w:highlight w:val="none"/>
        </w:rPr>
      </w:r>
      <w:r/>
    </w:p>
    <w:p>
      <w:pPr>
        <w:pStyle w:val="937"/>
        <w:spacing w:line="360" w:lineRule="auto"/>
        <w:rPr>
          <w:rFonts w:hint="eastAsia"/>
          <w:color w:val="auto"/>
          <w:sz w:val="24"/>
          <w:szCs w:val="24"/>
          <w:highlight w:val="none"/>
        </w:rPr>
      </w:pPr>
      <w:r>
        <w:rPr>
          <w:rFonts w:hint="eastAsia"/>
          <w:color w:val="auto"/>
          <w:sz w:val="24"/>
          <w:szCs w:val="24"/>
          <w:highlight w:val="none"/>
        </w:rPr>
      </w:r>
      <w:r/>
    </w:p>
    <w:p>
      <w:pPr>
        <w:pStyle w:val="902"/>
        <w:numPr>
          <w:ilvl w:val="0"/>
          <w:numId w:val="0"/>
        </w:numPr>
        <w:spacing w:before="0" w:after="0" w:line="240" w:lineRule="auto"/>
        <w:rPr>
          <w:rFonts w:hint="eastAsia"/>
          <w:color w:val="auto"/>
          <w:sz w:val="24"/>
          <w:highlight w:val="none"/>
        </w:rPr>
      </w:pPr>
      <w:r>
        <w:rPr>
          <w:rFonts w:hint="eastAsia"/>
          <w:color w:val="auto"/>
          <w:sz w:val="24"/>
          <w:highlight w:val="none"/>
        </w:rPr>
        <w:t xml:space="preserve">格式14、其他材料</w:t>
      </w:r>
      <w:r/>
    </w:p>
    <w:p>
      <w:pPr>
        <w:jc w:val="center"/>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材料</w:t>
      </w:r>
      <w:r/>
    </w:p>
    <w:p>
      <w:pPr>
        <w:jc w:val="center"/>
        <w:spacing w:line="520" w:lineRule="exact"/>
        <w:rPr>
          <w:rFonts w:hint="eastAsia" w:ascii="宋体" w:hAnsi="宋体"/>
          <w:color w:val="auto"/>
          <w:sz w:val="24"/>
          <w:highlight w:val="none"/>
        </w:rPr>
      </w:pPr>
      <w:r>
        <w:rPr>
          <w:rFonts w:hint="eastAsia" w:ascii="宋体" w:hAnsi="宋体"/>
          <w:color w:val="auto"/>
          <w:sz w:val="24"/>
          <w:highlight w:val="none"/>
        </w:rPr>
        <w:t xml:space="preserve">（投标人对招标文件响应有必要提供的材料或评标办法中要求提供的材料）</w:t>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520" w:lineRule="exact"/>
        <w:rPr>
          <w:rFonts w:hint="eastAsia" w:ascii="宋体" w:hAnsi="宋体"/>
          <w:color w:val="auto"/>
          <w:sz w:val="24"/>
          <w:highlight w:val="none"/>
        </w:rPr>
      </w:pPr>
      <w:r>
        <w:rPr>
          <w:rFonts w:hint="eastAsia" w:ascii="宋体" w:hAnsi="宋体"/>
          <w:color w:val="auto"/>
          <w:sz w:val="24"/>
          <w:highlight w:val="none"/>
        </w:rPr>
      </w:r>
      <w:r/>
    </w:p>
    <w:p>
      <w:pP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法定代表人或委托代理人（签字或盖章）：</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t xml:space="preserve">日期：    年     月     日</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keepLines/>
        <w:keepNext/>
        <w:rPr>
          <w:rFonts w:ascii="Arial" w:hAnsi="Arial" w:eastAsia="黑体"/>
          <w:b/>
          <w:bCs/>
          <w:color w:val="auto"/>
          <w:sz w:val="24"/>
          <w:szCs w:val="32"/>
          <w:highlight w:val="none"/>
        </w:rPr>
        <w:outlineLvl w:val="1"/>
      </w:pPr>
      <w:r>
        <w:rPr>
          <w:rFonts w:hint="eastAsia" w:ascii="Arial" w:hAnsi="Arial" w:eastAsia="黑体"/>
          <w:b/>
          <w:bCs/>
          <w:color w:val="auto"/>
          <w:sz w:val="24"/>
          <w:szCs w:val="32"/>
          <w:highlight w:val="none"/>
        </w:rPr>
        <w:t xml:space="preserve">格式1</w:t>
      </w:r>
      <w:r>
        <w:rPr>
          <w:rFonts w:hint="eastAsia" w:ascii="Arial" w:hAnsi="Arial" w:eastAsia="黑体"/>
          <w:b/>
          <w:bCs/>
          <w:color w:val="auto"/>
          <w:sz w:val="24"/>
          <w:szCs w:val="32"/>
          <w:highlight w:val="none"/>
          <w:lang w:val="en-US" w:eastAsia="zh-CN"/>
        </w:rPr>
        <w:t xml:space="preserve">5</w:t>
      </w:r>
      <w:r>
        <w:rPr>
          <w:rFonts w:hint="eastAsia" w:ascii="Arial" w:hAnsi="Arial" w:eastAsia="黑体"/>
          <w:b/>
          <w:bCs/>
          <w:color w:val="auto"/>
          <w:sz w:val="24"/>
          <w:szCs w:val="32"/>
          <w:highlight w:val="none"/>
        </w:rPr>
        <w:t xml:space="preserve">、财务状况报告及税收、社会保障资金缴纳情况承诺函</w:t>
      </w:r>
      <w:r/>
    </w:p>
    <w:p>
      <w:pPr>
        <w:jc w:val="center"/>
        <w:spacing w:line="360" w:lineRule="auto"/>
        <w:rPr>
          <w:rFonts w:ascii="黑体" w:hAnsi="黑体" w:eastAsia="黑体"/>
          <w:bCs/>
          <w:color w:val="auto"/>
          <w:sz w:val="36"/>
          <w:szCs w:val="28"/>
          <w:highlight w:val="none"/>
        </w:rPr>
      </w:pPr>
      <w:r>
        <w:rPr>
          <w:rFonts w:hint="eastAsia" w:ascii="黑体" w:hAnsi="黑体" w:eastAsia="黑体"/>
          <w:bCs/>
          <w:color w:val="auto"/>
          <w:sz w:val="36"/>
          <w:szCs w:val="28"/>
          <w:highlight w:val="none"/>
        </w:rPr>
        <w:t xml:space="preserve">财务状况报告及税收、社会保障资金</w:t>
      </w:r>
      <w:r/>
    </w:p>
    <w:p>
      <w:pPr>
        <w:jc w:val="center"/>
        <w:spacing w:line="360" w:lineRule="auto"/>
        <w:rPr>
          <w:rFonts w:ascii="黑体" w:hAnsi="黑体" w:eastAsia="黑体"/>
          <w:bCs/>
          <w:color w:val="auto"/>
          <w:sz w:val="36"/>
          <w:szCs w:val="28"/>
          <w:highlight w:val="none"/>
        </w:rPr>
      </w:pPr>
      <w:r>
        <w:rPr>
          <w:rFonts w:hint="eastAsia" w:ascii="黑体" w:hAnsi="黑体" w:eastAsia="黑体"/>
          <w:bCs/>
          <w:color w:val="auto"/>
          <w:sz w:val="36"/>
          <w:szCs w:val="28"/>
          <w:highlight w:val="none"/>
        </w:rPr>
        <w:t xml:space="preserve">缴纳情况承诺函</w:t>
      </w:r>
      <w:r/>
    </w:p>
    <w:p>
      <w:pPr>
        <w:keepNext/>
        <w:spacing w:line="360" w:lineRule="auto"/>
        <w:rPr>
          <w:rFonts w:ascii="宋体" w:hAnsi="宋体"/>
          <w:color w:val="auto"/>
          <w:szCs w:val="21"/>
          <w:highlight w:val="none"/>
        </w:rPr>
        <w:outlineLvl w:val="1"/>
      </w:pPr>
      <w:r>
        <w:rPr>
          <w:rFonts w:hint="eastAsia" w:ascii="宋体" w:hAnsi="宋体"/>
          <w:color w:val="auto"/>
          <w:szCs w:val="21"/>
          <w:highlight w:val="none"/>
        </w:rPr>
        <w:t xml:space="preserve">致：采购人名称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我方</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参加</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（项目编号：</w:t>
      </w:r>
      <w:r>
        <w:rPr>
          <w:rFonts w:hint="eastAsia" w:ascii="宋体" w:hAnsi="宋体"/>
          <w:color w:val="auto"/>
          <w:szCs w:val="21"/>
          <w:highlight w:val="none"/>
          <w:u w:val="single"/>
        </w:rPr>
        <w:t xml:space="preserve">项目编号</w:t>
      </w:r>
      <w:r>
        <w:rPr>
          <w:rFonts w:hint="eastAsia" w:ascii="宋体" w:hAnsi="宋体"/>
          <w:color w:val="auto"/>
          <w:szCs w:val="21"/>
          <w:highlight w:val="none"/>
        </w:rPr>
        <w:t xml:space="preserve">）采购，根据《</w:t>
      </w:r>
      <w:r>
        <w:rPr>
          <w:rFonts w:hint="eastAsia" w:ascii="宋体" w:hAnsi="宋体" w:cs="Segoe UI"/>
          <w:bCs/>
          <w:color w:val="auto"/>
          <w:szCs w:val="21"/>
          <w:highlight w:val="none"/>
        </w:rPr>
        <w:t xml:space="preserve">关于简化政府采购供应商资格审查有关事项的通知</w:t>
      </w:r>
      <w:r>
        <w:rPr>
          <w:rFonts w:hint="eastAsia" w:ascii="宋体" w:hAnsi="宋体"/>
          <w:color w:val="auto"/>
          <w:szCs w:val="21"/>
          <w:highlight w:val="none"/>
        </w:rPr>
        <w:t xml:space="preserve">》（连财购〔2023〕4号），我方承诺具备</w:t>
      </w:r>
      <w:r>
        <w:rPr>
          <w:rFonts w:hint="eastAsia" w:ascii="宋体" w:hAnsi="宋体" w:cs="仿宋_GB2312"/>
          <w:color w:val="auto"/>
          <w:szCs w:val="21"/>
          <w:highlight w:val="none"/>
        </w:rPr>
        <w:t xml:space="preserve">《中华人民共和国政府采购法》第二十二条第（二）、第（四）项，《中华人民共和国政府采购法实施条例》第十七条第（二）项规定条件的，</w:t>
      </w:r>
      <w:r>
        <w:rPr>
          <w:rFonts w:hint="eastAsia" w:ascii="宋体" w:hAnsi="宋体"/>
          <w:color w:val="auto"/>
          <w:szCs w:val="21"/>
          <w:highlight w:val="none"/>
        </w:rPr>
        <w:t xml:space="preserve">具体包括：</w:t>
      </w:r>
      <w:r/>
    </w:p>
    <w:p>
      <w:pPr>
        <w:ind w:left="360" w:firstLine="210"/>
        <w:spacing w:line="560" w:lineRule="exact"/>
        <w:rPr>
          <w:rFonts w:ascii="宋体" w:hAnsi="宋体"/>
          <w:color w:val="auto"/>
          <w:szCs w:val="21"/>
          <w:highlight w:val="none"/>
        </w:rPr>
      </w:pPr>
      <w:r>
        <w:rPr>
          <w:rFonts w:hint="eastAsia" w:ascii="宋体" w:hAnsi="宋体"/>
          <w:color w:val="auto"/>
          <w:szCs w:val="21"/>
          <w:highlight w:val="none"/>
        </w:rPr>
        <w:t xml:space="preserve">（1）具有良好的商业信誉和健全的财务会计制度（财务状况报告）；</w:t>
      </w:r>
      <w:r/>
    </w:p>
    <w:p>
      <w:pPr>
        <w:ind w:left="360" w:firstLine="210"/>
        <w:spacing w:line="560" w:lineRule="exact"/>
        <w:rPr>
          <w:rFonts w:ascii="宋体" w:hAnsi="宋体"/>
          <w:color w:val="auto"/>
          <w:szCs w:val="21"/>
          <w:highlight w:val="none"/>
        </w:rPr>
      </w:pPr>
      <w:r>
        <w:rPr>
          <w:rFonts w:hint="eastAsia" w:ascii="宋体" w:hAnsi="宋体"/>
          <w:color w:val="auto"/>
          <w:szCs w:val="21"/>
          <w:highlight w:val="none"/>
        </w:rPr>
        <w:t xml:space="preserve">（2）有依法缴纳税收和社会保障资金的良好记录。</w:t>
      </w:r>
      <w:r/>
    </w:p>
    <w:p>
      <w:pPr>
        <w:ind w:firstLine="420"/>
        <w:jc w:val="left"/>
        <w:spacing w:line="560" w:lineRule="exact"/>
        <w:widowControl/>
        <w:rPr>
          <w:rFonts w:ascii="宋体" w:hAnsi="宋体"/>
          <w:color w:val="auto"/>
          <w:szCs w:val="21"/>
          <w:highlight w:val="none"/>
        </w:rPr>
      </w:pPr>
      <w:r>
        <w:rPr>
          <w:rFonts w:hint="eastAsia" w:ascii="宋体" w:hAnsi="宋体"/>
          <w:color w:val="auto"/>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60" w:lineRule="exact"/>
        <w:widowControl/>
        <w:rPr>
          <w:rFonts w:ascii="宋体" w:hAnsi="宋体"/>
          <w:color w:val="auto"/>
          <w:szCs w:val="21"/>
          <w:highlight w:val="none"/>
        </w:rPr>
      </w:pPr>
      <w:r>
        <w:rPr>
          <w:rFonts w:hint="eastAsia" w:ascii="宋体" w:hAnsi="宋体"/>
          <w:color w:val="auto"/>
          <w:szCs w:val="21"/>
          <w:highlight w:val="none"/>
        </w:rPr>
        <w:t xml:space="preserve">特此承诺</w:t>
      </w:r>
      <w:r/>
    </w:p>
    <w:p>
      <w:pPr>
        <w:ind w:left="360" w:firstLine="405"/>
        <w:spacing w:line="560" w:lineRule="exact"/>
        <w:rPr>
          <w:rFonts w:ascii="宋体" w:hAnsi="宋体"/>
          <w:color w:val="auto"/>
          <w:szCs w:val="21"/>
          <w:highlight w:val="none"/>
        </w:rPr>
      </w:pPr>
      <w:r>
        <w:rPr>
          <w:rFonts w:ascii="宋体" w:hAnsi="宋体"/>
          <w:color w:val="auto"/>
          <w:szCs w:val="21"/>
          <w:highlight w:val="none"/>
        </w:rPr>
      </w:r>
      <w:r/>
    </w:p>
    <w:p>
      <w:pPr>
        <w:ind w:left="360" w:firstLine="405"/>
        <w:spacing w:line="560" w:lineRule="exact"/>
        <w:rPr>
          <w:rFonts w:ascii="宋体" w:hAnsi="宋体"/>
          <w:color w:val="auto"/>
          <w:szCs w:val="21"/>
          <w:highlight w:val="none"/>
        </w:rPr>
      </w:pPr>
      <w:r>
        <w:rPr>
          <w:rFonts w:ascii="宋体" w:hAnsi="宋体"/>
          <w:color w:val="auto"/>
          <w:szCs w:val="21"/>
          <w:highlight w:val="none"/>
        </w:rPr>
      </w:r>
      <w:r/>
    </w:p>
    <w:p>
      <w:pPr>
        <w:ind w:left="360" w:firstLine="405"/>
        <w:spacing w:line="560" w:lineRule="exact"/>
        <w:rPr>
          <w:rFonts w:ascii="宋体" w:hAnsi="宋体"/>
          <w:color w:val="auto"/>
          <w:szCs w:val="21"/>
          <w:highlight w:val="none"/>
        </w:rPr>
      </w:pPr>
      <w:r>
        <w:rPr>
          <w:rFonts w:hint="eastAsia" w:ascii="宋体" w:hAnsi="宋体"/>
          <w:color w:val="auto"/>
          <w:szCs w:val="21"/>
          <w:highlight w:val="none"/>
        </w:rPr>
        <w:t xml:space="preserve">投标人（公章）：          </w:t>
      </w:r>
      <w:r/>
    </w:p>
    <w:p>
      <w:pPr>
        <w:ind w:left="360" w:firstLine="405"/>
        <w:spacing w:line="560" w:lineRule="exact"/>
        <w:rPr>
          <w:rFonts w:ascii="宋体" w:hAnsi="宋体"/>
          <w:color w:val="auto"/>
          <w:szCs w:val="21"/>
          <w:highlight w:val="none"/>
        </w:rPr>
      </w:pPr>
      <w:r>
        <w:rPr>
          <w:rFonts w:ascii="宋体" w:hAnsi="宋体"/>
          <w:color w:val="auto"/>
          <w:szCs w:val="21"/>
          <w:highlight w:val="none"/>
        </w:rPr>
      </w:r>
      <w:r/>
    </w:p>
    <w:p>
      <w:pPr>
        <w:ind w:left="360" w:firstLine="405"/>
        <w:spacing w:line="560" w:lineRule="exact"/>
        <w:rPr>
          <w:rFonts w:ascii="宋体" w:hAnsi="宋体"/>
          <w:color w:val="auto"/>
          <w:szCs w:val="21"/>
          <w:highlight w:val="none"/>
        </w:rPr>
      </w:pPr>
      <w:r>
        <w:rPr>
          <w:rFonts w:hint="eastAsia" w:ascii="宋体" w:hAnsi="宋体"/>
          <w:color w:val="auto"/>
          <w:szCs w:val="21"/>
          <w:highlight w:val="none"/>
        </w:rPr>
        <w:t xml:space="preserve">法定代表人或其委托代理人（签名或签章）：</w:t>
      </w:r>
      <w:r/>
    </w:p>
    <w:p>
      <w:pPr>
        <w:ind w:left="360" w:firstLine="405"/>
        <w:spacing w:line="560" w:lineRule="exact"/>
        <w:rPr>
          <w:rFonts w:ascii="宋体" w:hAnsi="宋体"/>
          <w:color w:val="auto"/>
          <w:szCs w:val="21"/>
          <w:highlight w:val="none"/>
        </w:rPr>
      </w:pPr>
      <w:r>
        <w:rPr>
          <w:rFonts w:ascii="宋体" w:hAnsi="宋体"/>
          <w:color w:val="auto"/>
          <w:szCs w:val="21"/>
          <w:highlight w:val="none"/>
        </w:rPr>
      </w:r>
      <w:r/>
    </w:p>
    <w:p>
      <w:pPr>
        <w:ind w:left="360" w:firstLine="405"/>
        <w:spacing w:line="560" w:lineRule="exact"/>
        <w:rPr>
          <w:rFonts w:ascii="宋体" w:hAnsi="宋体"/>
          <w:color w:val="auto"/>
          <w:szCs w:val="21"/>
          <w:highlight w:val="none"/>
        </w:rPr>
      </w:pPr>
      <w:r>
        <w:rPr>
          <w:rFonts w:hint="eastAsia" w:ascii="宋体" w:hAnsi="宋体"/>
          <w:color w:val="auto"/>
          <w:szCs w:val="21"/>
          <w:highlight w:val="none"/>
        </w:rPr>
        <w:t xml:space="preserve">日期：</w:t>
      </w:r>
      <w:r/>
    </w:p>
    <w:p>
      <w:pPr>
        <w:rPr>
          <w:color w:val="auto"/>
          <w:highlight w:val="none"/>
        </w:rPr>
      </w:pPr>
      <w:r>
        <w:rPr>
          <w:color w:val="auto"/>
          <w:highlight w:val="none"/>
        </w:rPr>
      </w:r>
      <w:r/>
    </w:p>
    <w:p>
      <w:pPr>
        <w:pStyle w:val="902"/>
        <w:numPr>
          <w:ilvl w:val="0"/>
          <w:numId w:val="0"/>
        </w:numPr>
        <w:spacing w:before="0" w:after="0" w:line="240" w:lineRule="auto"/>
        <w:rPr>
          <w:rFonts w:hint="eastAsia"/>
          <w:color w:val="auto"/>
          <w:sz w:val="24"/>
          <w:highlight w:val="none"/>
        </w:rPr>
      </w:pPr>
      <w:r>
        <w:rPr>
          <w:rFonts w:hint="eastAsia"/>
          <w:color w:val="auto"/>
          <w:sz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p>
      <w:pPr>
        <w:keepLines/>
        <w:keepNext/>
        <w:rPr>
          <w:rFonts w:ascii="Arial" w:hAnsi="Arial" w:eastAsia="黑体"/>
          <w:b/>
          <w:bCs/>
          <w:color w:val="auto"/>
          <w:sz w:val="24"/>
          <w:szCs w:val="32"/>
          <w:highlight w:val="none"/>
        </w:rPr>
        <w:outlineLvl w:val="1"/>
      </w:pPr>
      <w:r>
        <w:rPr>
          <w:rFonts w:hint="eastAsia" w:ascii="Arial" w:hAnsi="Arial" w:eastAsia="黑体"/>
          <w:b/>
          <w:bCs/>
          <w:color w:val="auto"/>
          <w:sz w:val="24"/>
          <w:szCs w:val="32"/>
          <w:highlight w:val="none"/>
        </w:rPr>
        <w:t xml:space="preserve">格式1</w:t>
      </w:r>
      <w:r>
        <w:rPr>
          <w:rFonts w:hint="eastAsia" w:ascii="Arial" w:hAnsi="Arial" w:eastAsia="黑体"/>
          <w:b/>
          <w:bCs/>
          <w:color w:val="auto"/>
          <w:sz w:val="24"/>
          <w:szCs w:val="32"/>
          <w:highlight w:val="none"/>
          <w:lang w:val="en-US" w:eastAsia="zh-CN"/>
        </w:rPr>
        <w:t xml:space="preserve">6</w:t>
      </w:r>
      <w:r>
        <w:rPr>
          <w:rFonts w:hint="eastAsia" w:ascii="Arial" w:hAnsi="Arial" w:eastAsia="黑体"/>
          <w:b/>
          <w:bCs/>
          <w:color w:val="auto"/>
          <w:sz w:val="24"/>
          <w:szCs w:val="32"/>
          <w:highlight w:val="none"/>
        </w:rPr>
        <w:t xml:space="preserve">、联合体协议</w:t>
      </w:r>
      <w:r/>
    </w:p>
    <w:p>
      <w:pPr>
        <w:jc w:val="center"/>
        <w:spacing w:line="360" w:lineRule="auto"/>
        <w:tabs>
          <w:tab w:val="left" w:pos="360" w:leader="none"/>
        </w:tabs>
        <w:rPr>
          <w:rFonts w:hint="default"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default"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hint="default"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cs="Times New Roman"/>
          <w:color w:val="000000"/>
          <w:sz w:val="24"/>
          <w:szCs w:val="24"/>
          <w:u w:val="single"/>
          <w:lang w:val="en-US" w:eastAsia="zh-CN"/>
        </w:rPr>
        <w:t xml:space="preserve">江苏万达工程造价事务所有限公司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hint="default"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hint="default"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hint="default"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hint="default"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hint="default" w:ascii="宋体" w:hAnsi="宋体" w:eastAsia="宋体" w:cs="Times New Roman"/>
          <w:color w:val="000000"/>
          <w:sz w:val="24"/>
          <w:szCs w:val="21"/>
          <w:u w:val="single"/>
        </w:rPr>
        <w:t xml:space="preserve"> </w:t>
      </w:r>
      <w:r>
        <w:rPr>
          <w:rFonts w:hint="default"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r>
      <w:r/>
    </w:p>
    <w:p>
      <w:pPr>
        <w:ind w:firstLine="480"/>
        <w:spacing w:line="500" w:lineRule="exact"/>
        <w:rPr>
          <w:rFonts w:hint="default" w:ascii="宋体" w:hAnsi="宋体" w:eastAsia="宋体" w:cs="Times New Roman"/>
          <w:color w:val="000000"/>
          <w:sz w:val="24"/>
          <w:szCs w:val="21"/>
        </w:rPr>
      </w:pPr>
      <w:r>
        <w:rPr>
          <w:rFonts w:hint="default"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hint="default" w:ascii="宋体" w:hAnsi="宋体" w:eastAsia="宋体" w:cs="Times New Roman"/>
          <w:color w:val="000000"/>
          <w:sz w:val="24"/>
          <w:szCs w:val="21"/>
        </w:rPr>
        <w:t xml:space="preserve">     </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hint="default" w:ascii="宋体" w:hAnsi="宋体" w:eastAsia="宋体" w:cs="Times New Roman"/>
          <w:color w:val="000000"/>
          <w:sz w:val="24"/>
          <w:szCs w:val="21"/>
        </w:rPr>
        <w:t xml:space="preserve">  </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hint="default" w:ascii="宋体" w:hAnsi="宋体" w:eastAsia="宋体" w:cs="Times New Roman"/>
          <w:color w:val="000000"/>
          <w:sz w:val="24"/>
          <w:szCs w:val="21"/>
        </w:rPr>
        <w:t xml:space="preserve">     </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hint="default"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hint="default" w:ascii="宋体" w:hAnsi="宋体" w:eastAsia="宋体" w:cs="Times New Roman"/>
          <w:color w:val="000000"/>
          <w:sz w:val="24"/>
          <w:szCs w:val="21"/>
        </w:rPr>
        <w:t xml:space="preserve">  </w:t>
      </w:r>
      <w:r/>
    </w:p>
    <w:p>
      <w:pPr>
        <w:ind w:firstLine="480"/>
        <w:spacing w:line="360" w:lineRule="auto"/>
        <w:rPr>
          <w:rFonts w:hint="default"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pStyle w:val="937"/>
        <w:ind w:firstLine="480"/>
        <w:spacing w:line="360" w:lineRule="auto"/>
        <w:rPr>
          <w:rFonts w:hint="eastAsia"/>
          <w:color w:val="auto"/>
          <w:sz w:val="24"/>
          <w:szCs w:val="24"/>
          <w:highlight w:val="none"/>
        </w:rPr>
      </w:pPr>
      <w:r>
        <w:rPr>
          <w:rFonts w:hint="eastAsia"/>
          <w:color w:val="auto"/>
          <w:sz w:val="24"/>
          <w:szCs w:val="24"/>
          <w:highlight w:val="none"/>
        </w:rPr>
      </w:r>
      <w:r/>
    </w:p>
    <w:sectPr>
      <w:headerReference w:type="default" r:id="rId9"/>
      <w:footerReference w:type="default" r:id="rId11"/>
      <w:footerReference w:type="even"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Cambria">
    <w:panose1 w:val="02040503050406030204"/>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5"/>
                            <w:tabs>
                              <w:tab w:val="center" w:pos="4153" w:leader="none"/>
                              <w:tab w:val="clear" w:pos="7143" w:leader="none"/>
                              <w:tab w:val="right" w:pos="8306" w:leader="none"/>
                              <w:tab w:val="clear" w:pos="14287"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735"/>
                      <w:tabs>
                        <w:tab w:val="center" w:pos="4153" w:leader="none"/>
                        <w:tab w:val="clear" w:pos="7143" w:leader="none"/>
                        <w:tab w:val="right" w:pos="8306" w:leader="none"/>
                        <w:tab w:val="clear" w:pos="14287"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7"/>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947"/>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2"/>
      </w:rPr>
      <w:framePr w:wrap="around" w:vAnchor="text" w:hAnchor="margin" w:xAlign="center" w:y="1"/>
    </w:pPr>
    <w:r>
      <w:fldChar w:fldCharType="begin"/>
    </w:r>
    <w:r>
      <w:rPr>
        <w:rStyle w:val="972"/>
      </w:rPr>
      <w:instrText xml:space="preserve">PAGE  </w:instrText>
    </w:r>
    <w:r>
      <w:fldChar w:fldCharType="end"/>
    </w:r>
    <w:r/>
  </w:p>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7"/>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0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082"/>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10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3">
    <w:name w:val="Heading 1"/>
    <w:basedOn w:val="712"/>
    <w:next w:val="712"/>
    <w:link w:val="754"/>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55"/>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6"/>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7"/>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8"/>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9"/>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1"/>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2"/>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Normal Indent"/>
    <w:basedOn w:val="712"/>
    <w:uiPriority w:val="0"/>
    <w:qFormat/>
    <w:pPr>
      <w:ind w:firstLine="420"/>
    </w:pPr>
    <w:rPr>
      <w:szCs w:val="20"/>
    </w:r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Body Text"/>
    <w:basedOn w:val="712"/>
    <w:next w:val="728"/>
    <w:uiPriority w:val="0"/>
    <w:qFormat/>
    <w:rPr>
      <w:rFonts w:eastAsia="楷体_GB2312"/>
      <w:b/>
      <w:bCs/>
      <w:color w:val="ff0000"/>
      <w:sz w:val="32"/>
      <w:szCs w:val="32"/>
      <w:lang w:val="zh-CN"/>
    </w:rPr>
  </w:style>
  <w:style w:type="paragraph" w:styleId="728">
    <w:name w:val="Body Text First Indent"/>
    <w:basedOn w:val="727"/>
    <w:next w:val="712"/>
    <w:uiPriority w:val="99"/>
    <w:qFormat/>
    <w:pPr>
      <w:ind w:firstLine="420"/>
      <w:tabs>
        <w:tab w:val="left" w:pos="567" w:leader="none"/>
      </w:tabs>
    </w:pPr>
  </w:style>
  <w:style w:type="paragraph" w:styleId="729">
    <w:name w:val="Body Text Indent"/>
    <w:basedOn w:val="712"/>
    <w:next w:val="725"/>
    <w:uiPriority w:val="0"/>
    <w:qFormat/>
    <w:pPr>
      <w:ind w:firstLine="600"/>
    </w:pPr>
    <w:rPr>
      <w:rFonts w:eastAsia="仿宋_GB2312"/>
      <w:sz w:val="30"/>
      <w:szCs w:val="30"/>
    </w:r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uiPriority w:val="0"/>
    <w:qFormat/>
    <w:rPr>
      <w:rFonts w:ascii="宋体" w:hAnsi="Courier New"/>
      <w:szCs w:val="20"/>
    </w:rPr>
  </w:style>
  <w:style w:type="paragraph" w:styleId="733">
    <w:name w:val="toc 8"/>
    <w:basedOn w:val="712"/>
    <w:next w:val="712"/>
    <w:uiPriority w:val="39"/>
    <w:unhideWhenUsed/>
    <w:qFormat/>
    <w:pPr>
      <w:ind w:left="1984" w:right="0" w:firstLine="0"/>
      <w:spacing w:after="57"/>
    </w:pPr>
  </w:style>
  <w:style w:type="paragraph" w:styleId="734">
    <w:name w:val="endnote text"/>
    <w:basedOn w:val="712"/>
    <w:link w:val="899"/>
    <w:uiPriority w:val="99"/>
    <w:semiHidden/>
    <w:unhideWhenUsed/>
    <w:qFormat/>
    <w:pPr>
      <w:spacing w:after="0" w:line="240" w:lineRule="auto"/>
    </w:pPr>
    <w:rPr>
      <w:sz w:val="20"/>
    </w:rPr>
  </w:style>
  <w:style w:type="paragraph" w:styleId="735">
    <w:name w:val="Footer"/>
    <w:basedOn w:val="712"/>
    <w:link w:val="772"/>
    <w:uiPriority w:val="99"/>
    <w:unhideWhenUsed/>
    <w:qFormat/>
    <w:pPr>
      <w:spacing w:after="0" w:line="240" w:lineRule="auto"/>
      <w:tabs>
        <w:tab w:val="center" w:pos="7143" w:leader="none"/>
        <w:tab w:val="right" w:pos="14287" w:leader="none"/>
      </w:tabs>
    </w:pPr>
  </w:style>
  <w:style w:type="paragraph" w:styleId="736">
    <w:name w:val="Header"/>
    <w:basedOn w:val="712"/>
    <w:link w:val="770"/>
    <w:uiPriority w:val="99"/>
    <w:unhideWhenUsed/>
    <w:qFormat/>
    <w:pPr>
      <w:spacing w:after="0" w:line="240" w:lineRule="auto"/>
      <w:tabs>
        <w:tab w:val="center" w:pos="7143" w:leader="none"/>
        <w:tab w:val="right" w:pos="14287" w:leader="none"/>
      </w:tabs>
    </w:pPr>
  </w:style>
  <w:style w:type="paragraph" w:styleId="737">
    <w:name w:val="toc 1"/>
    <w:basedOn w:val="712"/>
    <w:next w:val="712"/>
    <w:uiPriority w:val="39"/>
    <w:unhideWhenUsed/>
    <w:qFormat/>
    <w:pPr>
      <w:ind w:left="0" w:right="0" w:firstLine="0"/>
      <w:spacing w:after="57"/>
    </w:pPr>
  </w:style>
  <w:style w:type="paragraph" w:styleId="738">
    <w:name w:val="toc 4"/>
    <w:basedOn w:val="712"/>
    <w:next w:val="712"/>
    <w:uiPriority w:val="39"/>
    <w:unhideWhenUsed/>
    <w:qFormat/>
    <w:pPr>
      <w:ind w:left="850" w:right="0" w:firstLine="0"/>
      <w:spacing w:after="57"/>
    </w:pPr>
  </w:style>
  <w:style w:type="paragraph" w:styleId="739">
    <w:name w:val="Subtitle"/>
    <w:basedOn w:val="712"/>
    <w:next w:val="712"/>
    <w:link w:val="765"/>
    <w:uiPriority w:val="11"/>
    <w:qFormat/>
    <w:pPr>
      <w:spacing w:before="200" w:after="200"/>
    </w:pPr>
    <w:rPr>
      <w:sz w:val="24"/>
      <w:szCs w:val="24"/>
    </w:rPr>
  </w:style>
  <w:style w:type="paragraph" w:styleId="740">
    <w:name w:val="footnote text"/>
    <w:basedOn w:val="712"/>
    <w:link w:val="898"/>
    <w:uiPriority w:val="99"/>
    <w:semiHidden/>
    <w:unhideWhenUsed/>
    <w:qFormat/>
    <w:pPr>
      <w:spacing w:after="40" w:line="240" w:lineRule="auto"/>
    </w:pPr>
    <w:rPr>
      <w:sz w:val="18"/>
    </w:rPr>
  </w:style>
  <w:style w:type="paragraph" w:styleId="741">
    <w:name w:val="toc 6"/>
    <w:basedOn w:val="712"/>
    <w:next w:val="712"/>
    <w:uiPriority w:val="39"/>
    <w:unhideWhenUsed/>
    <w:qFormat/>
    <w:pPr>
      <w:ind w:left="1417" w:right="0" w:firstLine="0"/>
      <w:spacing w:after="57"/>
    </w:pPr>
  </w:style>
  <w:style w:type="paragraph" w:styleId="742">
    <w:name w:val="table of figures"/>
    <w:basedOn w:val="712"/>
    <w:next w:val="712"/>
    <w:uiPriority w:val="99"/>
    <w:unhideWhenUsed/>
    <w:qFormat/>
    <w:pPr>
      <w:spacing w:after="0" w:afterAutospacing="0"/>
    </w:pPr>
  </w:style>
  <w:style w:type="paragraph" w:styleId="743">
    <w:name w:val="toc 2"/>
    <w:basedOn w:val="712"/>
    <w:next w:val="712"/>
    <w:uiPriority w:val="39"/>
    <w:unhideWhenUsed/>
    <w:qFormat/>
    <w:pPr>
      <w:ind w:left="283" w:right="0" w:firstLine="0"/>
      <w:spacing w:after="57"/>
    </w:pPr>
  </w:style>
  <w:style w:type="paragraph" w:styleId="744">
    <w:name w:val="toc 9"/>
    <w:basedOn w:val="712"/>
    <w:next w:val="712"/>
    <w:uiPriority w:val="39"/>
    <w:unhideWhenUsed/>
    <w:qFormat/>
    <w:pPr>
      <w:ind w:left="2268" w:right="0" w:firstLine="0"/>
      <w:spacing w:after="57"/>
    </w:pPr>
  </w:style>
  <w:style w:type="paragraph" w:styleId="745">
    <w:name w:val="HTML Preformatted"/>
    <w:basedOn w:val="712"/>
    <w:link w:val="9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6">
    <w:name w:val="Normal (Web)"/>
    <w:basedOn w:val="712"/>
    <w:uiPriority w:val="0"/>
    <w:unhideWhenUsed/>
    <w:qFormat/>
    <w:pPr>
      <w:jc w:val="left"/>
      <w:spacing w:before="100" w:beforeAutospacing="1" w:after="100" w:afterAutospacing="1"/>
    </w:pPr>
    <w:rPr>
      <w:sz w:val="24"/>
      <w:szCs w:val="20"/>
    </w:rPr>
  </w:style>
  <w:style w:type="paragraph" w:styleId="747">
    <w:name w:val="Title"/>
    <w:basedOn w:val="712"/>
    <w:next w:val="712"/>
    <w:link w:val="764"/>
    <w:uiPriority w:val="10"/>
    <w:qFormat/>
    <w:pPr>
      <w:contextualSpacing/>
      <w:spacing w:before="300" w:after="200"/>
    </w:pPr>
    <w:rPr>
      <w:sz w:val="48"/>
      <w:szCs w:val="48"/>
    </w:rPr>
  </w:style>
  <w:style w:type="paragraph" w:styleId="748">
    <w:name w:val="Body Text First Indent 2"/>
    <w:basedOn w:val="729"/>
    <w:uiPriority w:val="0"/>
    <w:unhideWhenUsed/>
    <w:qFormat/>
    <w:pPr>
      <w:ind w:left="1120" w:firstLine="420"/>
      <w:spacing w:after="0" w:line="560" w:lineRule="exact"/>
    </w:pPr>
    <w:rPr>
      <w:rFonts w:ascii="Times New Roman" w:hAnsi="Times New Roman" w:eastAsia="仿宋_GB2312"/>
      <w:sz w:val="32"/>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annotation reference"/>
    <w:uiPriority w:val="99"/>
    <w:qFormat/>
    <w:rPr>
      <w:sz w:val="21"/>
      <w:szCs w:val="21"/>
    </w:rPr>
  </w:style>
  <w:style w:type="character" w:styleId="753">
    <w:name w:val="footnote reference"/>
    <w:uiPriority w:val="99"/>
    <w:unhideWhenUsed/>
    <w:qFormat/>
    <w:rPr>
      <w:vertAlign w:val="superscript"/>
    </w:rPr>
  </w:style>
  <w:style w:type="character" w:styleId="754" w:customStyle="1">
    <w:name w:val="Heading 1 Char"/>
    <w:link w:val="713"/>
    <w:uiPriority w:val="9"/>
    <w:qFormat/>
    <w:rPr>
      <w:rFonts w:ascii="Arial" w:hAnsi="Arial" w:eastAsia="Arial" w:cs="Arial"/>
      <w:sz w:val="40"/>
      <w:szCs w:val="40"/>
    </w:rPr>
  </w:style>
  <w:style w:type="character" w:styleId="755" w:customStyle="1">
    <w:name w:val="Heading 2 Char"/>
    <w:link w:val="714"/>
    <w:uiPriority w:val="9"/>
    <w:qFormat/>
    <w:rPr>
      <w:rFonts w:ascii="Arial" w:hAnsi="Arial" w:eastAsia="Arial" w:cs="Arial"/>
      <w:sz w:val="34"/>
    </w:rPr>
  </w:style>
  <w:style w:type="character" w:styleId="756" w:customStyle="1">
    <w:name w:val="Heading 3 Char"/>
    <w:link w:val="715"/>
    <w:uiPriority w:val="9"/>
    <w:qFormat/>
    <w:rPr>
      <w:rFonts w:ascii="Arial" w:hAnsi="Arial" w:eastAsia="Arial" w:cs="Arial"/>
      <w:sz w:val="30"/>
      <w:szCs w:val="30"/>
    </w:rPr>
  </w:style>
  <w:style w:type="character" w:styleId="757" w:customStyle="1">
    <w:name w:val="Heading 4 Char"/>
    <w:link w:val="716"/>
    <w:uiPriority w:val="9"/>
    <w:qFormat/>
    <w:rPr>
      <w:rFonts w:ascii="Arial" w:hAnsi="Arial" w:eastAsia="Arial" w:cs="Arial"/>
      <w:b/>
      <w:bCs/>
      <w:sz w:val="26"/>
      <w:szCs w:val="26"/>
    </w:rPr>
  </w:style>
  <w:style w:type="character" w:styleId="758" w:customStyle="1">
    <w:name w:val="Heading 5 Char"/>
    <w:link w:val="717"/>
    <w:uiPriority w:val="9"/>
    <w:qFormat/>
    <w:rPr>
      <w:rFonts w:ascii="Arial" w:hAnsi="Arial" w:eastAsia="Arial" w:cs="Arial"/>
      <w:b/>
      <w:bCs/>
      <w:sz w:val="24"/>
      <w:szCs w:val="24"/>
    </w:rPr>
  </w:style>
  <w:style w:type="character" w:styleId="759" w:customStyle="1">
    <w:name w:val="Heading 6 Char"/>
    <w:link w:val="718"/>
    <w:uiPriority w:val="9"/>
    <w:qFormat/>
    <w:rPr>
      <w:rFonts w:ascii="Arial" w:hAnsi="Arial" w:eastAsia="Arial" w:cs="Arial"/>
      <w:b/>
      <w:bCs/>
      <w:sz w:val="22"/>
      <w:szCs w:val="22"/>
    </w:rPr>
  </w:style>
  <w:style w:type="character" w:styleId="760" w:customStyle="1">
    <w:name w:val="Heading 7 Char"/>
    <w:link w:val="719"/>
    <w:uiPriority w:val="9"/>
    <w:qFormat/>
    <w:rPr>
      <w:rFonts w:ascii="Arial" w:hAnsi="Arial" w:eastAsia="Arial" w:cs="Arial"/>
      <w:b/>
      <w:bCs/>
      <w:i/>
      <w:iCs/>
      <w:sz w:val="22"/>
      <w:szCs w:val="22"/>
    </w:rPr>
  </w:style>
  <w:style w:type="character" w:styleId="761" w:customStyle="1">
    <w:name w:val="Heading 8 Char"/>
    <w:link w:val="720"/>
    <w:uiPriority w:val="9"/>
    <w:qFormat/>
    <w:rPr>
      <w:rFonts w:ascii="Arial" w:hAnsi="Arial" w:eastAsia="Arial" w:cs="Arial"/>
      <w:i/>
      <w:iCs/>
      <w:sz w:val="22"/>
      <w:szCs w:val="22"/>
    </w:rPr>
  </w:style>
  <w:style w:type="character" w:styleId="762" w:customStyle="1">
    <w:name w:val="Heading 9 Char"/>
    <w:link w:val="721"/>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7"/>
    <w:uiPriority w:val="10"/>
    <w:qFormat/>
    <w:rPr>
      <w:sz w:val="48"/>
      <w:szCs w:val="48"/>
    </w:rPr>
  </w:style>
  <w:style w:type="character" w:styleId="765" w:customStyle="1">
    <w:name w:val="Subtitle Char"/>
    <w:link w:val="739"/>
    <w:uiPriority w:val="11"/>
    <w:qFormat/>
    <w:rPr>
      <w:sz w:val="24"/>
      <w:szCs w:val="24"/>
    </w:rPr>
  </w:style>
  <w:style w:type="paragraph" w:styleId="766">
    <w:name w:val="Quote"/>
    <w:basedOn w:val="712"/>
    <w:next w:val="712"/>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12"/>
    <w:next w:val="712"/>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6"/>
    <w:uiPriority w:val="99"/>
    <w:qFormat/>
  </w:style>
  <w:style w:type="character" w:styleId="771" w:customStyle="1">
    <w:name w:val="Footer Char"/>
    <w:link w:val="735"/>
    <w:uiPriority w:val="99"/>
    <w:qFormat/>
  </w:style>
  <w:style w:type="character" w:styleId="772" w:customStyle="1">
    <w:name w:val="Caption Char"/>
    <w:link w:val="735"/>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40"/>
    <w:uiPriority w:val="99"/>
    <w:qFormat/>
    <w:rPr>
      <w:sz w:val="18"/>
    </w:rPr>
  </w:style>
  <w:style w:type="character" w:styleId="899" w:customStyle="1">
    <w:name w:val="Endnote Text Char"/>
    <w:link w:val="734"/>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712"/>
    <w:next w:val="712"/>
    <w:link w:val="912"/>
    <w:uiPriority w:val="0"/>
    <w:qFormat/>
    <w:pPr>
      <w:numPr>
        <w:ilvl w:val="0"/>
        <w:numId w:val="1"/>
      </w:numPr>
      <w:jc w:val="center"/>
      <w:keepNext/>
      <w:outlineLvl w:val="0"/>
    </w:pPr>
    <w:rPr>
      <w:rFonts w:ascii="仿宋_GB2312" w:eastAsia="仿宋_GB2312"/>
      <w:sz w:val="28"/>
    </w:rPr>
  </w:style>
  <w:style w:type="paragraph" w:styleId="902" w:customStyle="1">
    <w:name w:val="标题 21"/>
    <w:basedOn w:val="712"/>
    <w:next w:val="712"/>
    <w:link w:val="91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03" w:customStyle="1">
    <w:name w:val="标题 311"/>
    <w:basedOn w:val="712"/>
    <w:next w:val="712"/>
    <w:link w:val="914"/>
    <w:uiPriority w:val="0"/>
    <w:qFormat/>
    <w:pPr>
      <w:keepLines/>
      <w:keepNext/>
      <w:spacing w:before="260" w:after="260" w:line="416" w:lineRule="auto"/>
      <w:outlineLvl w:val="2"/>
    </w:pPr>
    <w:rPr>
      <w:b/>
      <w:bCs/>
      <w:sz w:val="32"/>
      <w:szCs w:val="32"/>
    </w:rPr>
  </w:style>
  <w:style w:type="paragraph" w:styleId="904" w:customStyle="1">
    <w:name w:val="标题 411"/>
    <w:next w:val="712"/>
    <w:link w:val="915"/>
    <w:uiPriority w:val="0"/>
    <w:qFormat/>
    <w:pPr>
      <w:keepLines/>
      <w:keepNext/>
      <w:spacing w:before="280" w:after="290" w:line="376" w:lineRule="auto"/>
      <w:outlineLvl w:val="3"/>
    </w:pPr>
    <w:rPr>
      <w:rFonts w:hint="default" w:ascii="Arial" w:hAnsi="Arial" w:eastAsia="黑体" w:cs="Times New Roman"/>
      <w:b/>
      <w:bCs/>
      <w:sz w:val="28"/>
      <w:szCs w:val="28"/>
      <w:lang w:val="en-US" w:eastAsia="zh-CN" w:bidi="ar-SA"/>
    </w:rPr>
  </w:style>
  <w:style w:type="paragraph" w:styleId="905" w:customStyle="1">
    <w:name w:val="标题 51"/>
    <w:next w:val="712"/>
    <w:link w:val="916"/>
    <w:uiPriority w:val="0"/>
    <w:qFormat/>
    <w:pPr>
      <w:keepLines/>
      <w:keepNext/>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styleId="906" w:customStyle="1">
    <w:name w:val="标题 61"/>
    <w:basedOn w:val="712"/>
    <w:next w:val="712"/>
    <w:link w:val="917"/>
    <w:uiPriority w:val="0"/>
    <w:qFormat/>
    <w:pPr>
      <w:keepLines/>
      <w:keepNext/>
      <w:spacing w:before="240" w:after="64" w:line="320" w:lineRule="auto"/>
      <w:outlineLvl w:val="5"/>
    </w:pPr>
    <w:rPr>
      <w:rFonts w:ascii="Arial" w:hAnsi="Arial" w:eastAsia="黑体"/>
      <w:b/>
      <w:bCs/>
      <w:sz w:val="24"/>
    </w:rPr>
  </w:style>
  <w:style w:type="paragraph" w:styleId="907" w:customStyle="1">
    <w:name w:val="标题 71"/>
    <w:basedOn w:val="712"/>
    <w:next w:val="712"/>
    <w:link w:val="918"/>
    <w:uiPriority w:val="0"/>
    <w:qFormat/>
    <w:pPr>
      <w:keepLines/>
      <w:keepNext/>
      <w:spacing w:before="240" w:after="64" w:line="320" w:lineRule="auto"/>
      <w:outlineLvl w:val="6"/>
    </w:pPr>
    <w:rPr>
      <w:b/>
      <w:bCs/>
      <w:sz w:val="24"/>
    </w:rPr>
  </w:style>
  <w:style w:type="paragraph" w:styleId="908" w:customStyle="1">
    <w:name w:val="标题 81"/>
    <w:basedOn w:val="712"/>
    <w:next w:val="712"/>
    <w:link w:val="919"/>
    <w:uiPriority w:val="0"/>
    <w:qFormat/>
    <w:pPr>
      <w:keepLines/>
      <w:keepNext/>
      <w:spacing w:before="240" w:after="64" w:line="320" w:lineRule="auto"/>
      <w:outlineLvl w:val="7"/>
    </w:pPr>
    <w:rPr>
      <w:rFonts w:ascii="Arial" w:hAnsi="Arial" w:eastAsia="黑体"/>
      <w:sz w:val="24"/>
    </w:rPr>
  </w:style>
  <w:style w:type="paragraph" w:styleId="909" w:customStyle="1">
    <w:name w:val="标题 91"/>
    <w:basedOn w:val="712"/>
    <w:next w:val="712"/>
    <w:link w:val="920"/>
    <w:uiPriority w:val="0"/>
    <w:qFormat/>
    <w:pPr>
      <w:keepLines/>
      <w:keepNext/>
      <w:spacing w:before="240" w:after="64" w:line="320" w:lineRule="auto"/>
      <w:outlineLvl w:val="8"/>
    </w:pPr>
    <w:rPr>
      <w:rFonts w:ascii="Arial" w:hAnsi="Arial" w:eastAsia="黑体"/>
      <w:szCs w:val="21"/>
    </w:rPr>
  </w:style>
  <w:style w:type="character" w:styleId="910" w:customStyle="1">
    <w:name w:val="默认段落字体1"/>
    <w:link w:val="712"/>
    <w:uiPriority w:val="0"/>
    <w:unhideWhenUsed/>
    <w:qFormat/>
  </w:style>
  <w:style w:type="table" w:styleId="911" w:customStyle="1">
    <w:name w:val="普通表格1"/>
    <w:uiPriority w:val="0"/>
    <w:semiHidden/>
    <w:qFormat/>
    <w:tblPr/>
  </w:style>
  <w:style w:type="character" w:styleId="912" w:customStyle="1">
    <w:name w:val="标题 1 Char"/>
    <w:basedOn w:val="910"/>
    <w:link w:val="901"/>
    <w:uiPriority w:val="0"/>
    <w:qFormat/>
    <w:rPr>
      <w:rFonts w:ascii="仿宋_GB2312" w:eastAsia="仿宋_GB2312"/>
      <w:sz w:val="28"/>
      <w:szCs w:val="24"/>
    </w:rPr>
  </w:style>
  <w:style w:type="character" w:styleId="913" w:customStyle="1">
    <w:name w:val="标题 2 Char"/>
    <w:basedOn w:val="910"/>
    <w:link w:val="902"/>
    <w:uiPriority w:val="0"/>
    <w:qFormat/>
    <w:rPr>
      <w:rFonts w:ascii="Arial" w:hAnsi="Arial" w:eastAsia="黑体"/>
      <w:b/>
      <w:bCs/>
      <w:sz w:val="32"/>
      <w:szCs w:val="32"/>
    </w:rPr>
  </w:style>
  <w:style w:type="character" w:styleId="914" w:customStyle="1">
    <w:name w:val="标题 3 Char"/>
    <w:basedOn w:val="910"/>
    <w:link w:val="903"/>
    <w:uiPriority w:val="0"/>
    <w:qFormat/>
    <w:rPr>
      <w:b/>
      <w:bCs/>
      <w:sz w:val="32"/>
      <w:szCs w:val="32"/>
    </w:rPr>
  </w:style>
  <w:style w:type="character" w:styleId="915" w:customStyle="1">
    <w:name w:val="标题 4 Char"/>
    <w:basedOn w:val="910"/>
    <w:link w:val="904"/>
    <w:uiPriority w:val="0"/>
    <w:qFormat/>
    <w:rPr>
      <w:rFonts w:ascii="Arial" w:hAnsi="Arial" w:eastAsia="黑体"/>
      <w:b/>
      <w:bCs/>
      <w:sz w:val="28"/>
      <w:szCs w:val="28"/>
      <w:lang w:val="en-US" w:eastAsia="zh-CN" w:bidi="ar-SA"/>
    </w:rPr>
  </w:style>
  <w:style w:type="character" w:styleId="916" w:customStyle="1">
    <w:name w:val="标题 5 Char"/>
    <w:basedOn w:val="910"/>
    <w:link w:val="905"/>
    <w:uiPriority w:val="0"/>
    <w:qFormat/>
    <w:rPr>
      <w:rFonts w:eastAsia="黑体"/>
      <w:b/>
      <w:bCs/>
      <w:sz w:val="28"/>
      <w:szCs w:val="28"/>
      <w:lang w:val="en-US" w:eastAsia="zh-CN" w:bidi="ar-SA"/>
    </w:rPr>
  </w:style>
  <w:style w:type="character" w:styleId="917" w:customStyle="1">
    <w:name w:val="标题 6 Char"/>
    <w:basedOn w:val="910"/>
    <w:link w:val="906"/>
    <w:uiPriority w:val="0"/>
    <w:qFormat/>
    <w:rPr>
      <w:rFonts w:ascii="Arial" w:hAnsi="Arial" w:eastAsia="黑体"/>
      <w:b/>
      <w:bCs/>
      <w:sz w:val="24"/>
      <w:szCs w:val="24"/>
    </w:rPr>
  </w:style>
  <w:style w:type="character" w:styleId="918" w:customStyle="1">
    <w:name w:val="标题 7 Char"/>
    <w:basedOn w:val="910"/>
    <w:link w:val="907"/>
    <w:uiPriority w:val="0"/>
    <w:qFormat/>
    <w:rPr>
      <w:b/>
      <w:bCs/>
      <w:sz w:val="24"/>
      <w:szCs w:val="24"/>
    </w:rPr>
  </w:style>
  <w:style w:type="character" w:styleId="919" w:customStyle="1">
    <w:name w:val="标题 8 Char"/>
    <w:basedOn w:val="910"/>
    <w:link w:val="908"/>
    <w:uiPriority w:val="0"/>
    <w:qFormat/>
    <w:rPr>
      <w:rFonts w:ascii="Arial" w:hAnsi="Arial" w:eastAsia="黑体"/>
      <w:sz w:val="24"/>
      <w:szCs w:val="24"/>
    </w:rPr>
  </w:style>
  <w:style w:type="character" w:styleId="920" w:customStyle="1">
    <w:name w:val="标题 9 Char"/>
    <w:basedOn w:val="910"/>
    <w:link w:val="909"/>
    <w:uiPriority w:val="0"/>
    <w:qFormat/>
    <w:rPr>
      <w:rFonts w:ascii="Arial" w:hAnsi="Arial" w:eastAsia="黑体"/>
      <w:sz w:val="21"/>
      <w:szCs w:val="21"/>
    </w:rPr>
  </w:style>
  <w:style w:type="paragraph" w:styleId="921" w:customStyle="1">
    <w:name w:val="目录 71"/>
    <w:basedOn w:val="712"/>
    <w:next w:val="712"/>
    <w:uiPriority w:val="0"/>
    <w:qFormat/>
    <w:pPr>
      <w:ind w:left="1050"/>
      <w:jc w:val="left"/>
    </w:pPr>
    <w:rPr>
      <w:rFonts w:ascii="Calibri" w:hAnsi="Calibri"/>
      <w:sz w:val="20"/>
      <w:szCs w:val="20"/>
    </w:rPr>
  </w:style>
  <w:style w:type="paragraph" w:styleId="922" w:customStyle="1">
    <w:name w:val="正文缩进11"/>
    <w:basedOn w:val="712"/>
    <w:link w:val="923"/>
    <w:uiPriority w:val="0"/>
    <w:qFormat/>
    <w:pPr>
      <w:ind w:firstLine="420"/>
    </w:pPr>
    <w:rPr>
      <w:szCs w:val="20"/>
    </w:rPr>
  </w:style>
  <w:style w:type="character" w:styleId="923" w:customStyle="1">
    <w:name w:val="正文缩进 Char"/>
    <w:link w:val="922"/>
    <w:uiPriority w:val="0"/>
    <w:qFormat/>
    <w:rPr>
      <w:sz w:val="21"/>
    </w:rPr>
  </w:style>
  <w:style w:type="paragraph" w:styleId="924" w:customStyle="1">
    <w:name w:val="文档结构图1"/>
    <w:basedOn w:val="712"/>
    <w:link w:val="925"/>
    <w:uiPriority w:val="0"/>
    <w:semiHidden/>
    <w:qFormat/>
    <w:pPr>
      <w:shd w:val="clear" w:color="auto" w:fill="000080"/>
    </w:pPr>
  </w:style>
  <w:style w:type="character" w:styleId="925" w:customStyle="1">
    <w:name w:val="文档结构图 Char"/>
    <w:basedOn w:val="910"/>
    <w:link w:val="924"/>
    <w:uiPriority w:val="0"/>
    <w:semiHidden/>
    <w:qFormat/>
    <w:rPr>
      <w:sz w:val="21"/>
      <w:szCs w:val="24"/>
      <w:shd w:val="clear" w:color="auto" w:fill="000080"/>
    </w:rPr>
  </w:style>
  <w:style w:type="paragraph" w:styleId="926" w:customStyle="1">
    <w:name w:val="批注文字1"/>
    <w:basedOn w:val="712"/>
    <w:link w:val="927"/>
    <w:uiPriority w:val="99"/>
    <w:qFormat/>
    <w:pPr>
      <w:jc w:val="left"/>
    </w:pPr>
  </w:style>
  <w:style w:type="character" w:styleId="927" w:customStyle="1">
    <w:name w:val="批注文字 Char"/>
    <w:link w:val="926"/>
    <w:uiPriority w:val="99"/>
    <w:qFormat/>
    <w:rPr>
      <w:sz w:val="21"/>
      <w:szCs w:val="24"/>
    </w:rPr>
  </w:style>
  <w:style w:type="paragraph" w:styleId="928" w:customStyle="1">
    <w:name w:val="正文文本 31"/>
    <w:basedOn w:val="712"/>
    <w:link w:val="929"/>
    <w:uiPriority w:val="0"/>
    <w:qFormat/>
    <w:pPr>
      <w:spacing w:line="560" w:lineRule="exact"/>
    </w:pPr>
    <w:rPr>
      <w:rFonts w:ascii="仿宋_GB2312" w:eastAsia="仿宋_GB2312"/>
      <w:b/>
      <w:bCs/>
      <w:color w:val="ff0000"/>
      <w:sz w:val="28"/>
    </w:rPr>
  </w:style>
  <w:style w:type="character" w:styleId="929" w:customStyle="1">
    <w:name w:val="正文文本 3 Char"/>
    <w:basedOn w:val="910"/>
    <w:link w:val="928"/>
    <w:uiPriority w:val="0"/>
    <w:qFormat/>
    <w:rPr>
      <w:rFonts w:ascii="仿宋_GB2312" w:eastAsia="仿宋_GB2312"/>
      <w:b/>
      <w:bCs/>
      <w:color w:val="ff0000"/>
      <w:sz w:val="28"/>
      <w:szCs w:val="24"/>
    </w:rPr>
  </w:style>
  <w:style w:type="paragraph" w:styleId="930" w:customStyle="1">
    <w:name w:val="正文文本1"/>
    <w:basedOn w:val="712"/>
    <w:next w:val="931"/>
    <w:link w:val="932"/>
    <w:uiPriority w:val="0"/>
    <w:qFormat/>
    <w:rPr>
      <w:rFonts w:eastAsia="楷体_GB2312"/>
      <w:b/>
      <w:bCs/>
      <w:color w:val="ff0000"/>
      <w:sz w:val="32"/>
      <w:szCs w:val="32"/>
      <w:lang w:val="zh-CN"/>
    </w:rPr>
  </w:style>
  <w:style w:type="paragraph" w:styleId="931" w:customStyle="1">
    <w:name w:val="正文首行缩进1"/>
    <w:basedOn w:val="930"/>
    <w:next w:val="712"/>
    <w:uiPriority w:val="99"/>
    <w:qFormat/>
    <w:pPr>
      <w:ind w:firstLine="420"/>
      <w:tabs>
        <w:tab w:val="left" w:pos="567" w:leader="none"/>
      </w:tabs>
    </w:pPr>
  </w:style>
  <w:style w:type="character" w:styleId="932" w:customStyle="1">
    <w:name w:val="正文文本 Char"/>
    <w:basedOn w:val="910"/>
    <w:link w:val="930"/>
    <w:uiPriority w:val="0"/>
    <w:qFormat/>
    <w:rPr>
      <w:rFonts w:eastAsia="楷体_GB2312"/>
      <w:b/>
      <w:bCs/>
      <w:color w:val="ff0000"/>
      <w:sz w:val="32"/>
      <w:szCs w:val="32"/>
      <w:lang w:val="zh-CN"/>
    </w:rPr>
  </w:style>
  <w:style w:type="paragraph" w:styleId="933" w:customStyle="1">
    <w:name w:val="正文文本缩进1"/>
    <w:basedOn w:val="712"/>
    <w:next w:val="922"/>
    <w:link w:val="934"/>
    <w:uiPriority w:val="0"/>
    <w:qFormat/>
    <w:pPr>
      <w:ind w:firstLine="600"/>
    </w:pPr>
    <w:rPr>
      <w:rFonts w:eastAsia="仿宋_GB2312"/>
      <w:sz w:val="30"/>
      <w:szCs w:val="30"/>
    </w:rPr>
  </w:style>
  <w:style w:type="character" w:styleId="934" w:customStyle="1">
    <w:name w:val="正文文本缩进 Char"/>
    <w:basedOn w:val="910"/>
    <w:link w:val="933"/>
    <w:uiPriority w:val="0"/>
    <w:qFormat/>
    <w:rPr>
      <w:rFonts w:eastAsia="仿宋_GB2312"/>
      <w:sz w:val="30"/>
      <w:szCs w:val="30"/>
    </w:rPr>
  </w:style>
  <w:style w:type="paragraph" w:styleId="935" w:customStyle="1">
    <w:name w:val="目录 51"/>
    <w:basedOn w:val="712"/>
    <w:next w:val="712"/>
    <w:uiPriority w:val="0"/>
    <w:qFormat/>
    <w:pPr>
      <w:ind w:left="630"/>
      <w:jc w:val="left"/>
    </w:pPr>
    <w:rPr>
      <w:rFonts w:ascii="Calibri" w:hAnsi="Calibri"/>
      <w:sz w:val="20"/>
      <w:szCs w:val="20"/>
    </w:rPr>
  </w:style>
  <w:style w:type="paragraph" w:styleId="936" w:customStyle="1">
    <w:name w:val="目录 31"/>
    <w:basedOn w:val="712"/>
    <w:next w:val="712"/>
    <w:uiPriority w:val="39"/>
    <w:unhideWhenUsed/>
    <w:qFormat/>
    <w:pPr>
      <w:ind w:left="210"/>
      <w:jc w:val="left"/>
    </w:pPr>
    <w:rPr>
      <w:rFonts w:ascii="Calibri" w:hAnsi="Calibri"/>
      <w:sz w:val="20"/>
      <w:szCs w:val="20"/>
    </w:rPr>
  </w:style>
  <w:style w:type="paragraph" w:styleId="937" w:customStyle="1">
    <w:name w:val="纯文本11"/>
    <w:basedOn w:val="712"/>
    <w:link w:val="938"/>
    <w:uiPriority w:val="0"/>
    <w:qFormat/>
    <w:rPr>
      <w:rFonts w:ascii="宋体" w:hAnsi="Courier New"/>
      <w:szCs w:val="20"/>
    </w:rPr>
  </w:style>
  <w:style w:type="character" w:styleId="938" w:customStyle="1">
    <w:name w:val="纯文本 Char"/>
    <w:link w:val="937"/>
    <w:uiPriority w:val="0"/>
    <w:qFormat/>
    <w:rPr>
      <w:rFonts w:ascii="宋体" w:hAnsi="Courier New" w:eastAsia="宋体"/>
      <w:sz w:val="21"/>
      <w:lang w:val="en-US" w:eastAsia="zh-CN" w:bidi="ar-SA"/>
    </w:rPr>
  </w:style>
  <w:style w:type="paragraph" w:styleId="939" w:customStyle="1">
    <w:name w:val="目录 81"/>
    <w:basedOn w:val="712"/>
    <w:next w:val="712"/>
    <w:uiPriority w:val="0"/>
    <w:qFormat/>
    <w:pPr>
      <w:ind w:left="1260"/>
      <w:jc w:val="left"/>
    </w:pPr>
    <w:rPr>
      <w:rFonts w:ascii="Calibri" w:hAnsi="Calibri"/>
      <w:sz w:val="20"/>
      <w:szCs w:val="20"/>
    </w:rPr>
  </w:style>
  <w:style w:type="paragraph" w:styleId="940" w:customStyle="1">
    <w:name w:val="日期1"/>
    <w:basedOn w:val="712"/>
    <w:next w:val="941"/>
    <w:link w:val="942"/>
    <w:uiPriority w:val="0"/>
    <w:qFormat/>
    <w:rPr>
      <w:szCs w:val="20"/>
    </w:rPr>
  </w:style>
  <w:style w:type="paragraph" w:styleId="94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2" w:customStyle="1">
    <w:name w:val="日期 Char"/>
    <w:basedOn w:val="910"/>
    <w:link w:val="940"/>
    <w:uiPriority w:val="0"/>
    <w:qFormat/>
    <w:rPr>
      <w:sz w:val="21"/>
    </w:rPr>
  </w:style>
  <w:style w:type="paragraph" w:styleId="943" w:customStyle="1">
    <w:name w:val="正文文本缩进 21"/>
    <w:basedOn w:val="712"/>
    <w:link w:val="944"/>
    <w:uiPriority w:val="0"/>
    <w:qFormat/>
    <w:pPr>
      <w:ind w:firstLine="420"/>
    </w:pPr>
    <w:rPr>
      <w:rFonts w:ascii="宋体"/>
      <w:color w:val="000000"/>
      <w:sz w:val="24"/>
    </w:rPr>
  </w:style>
  <w:style w:type="character" w:styleId="944" w:customStyle="1">
    <w:name w:val="正文文本缩进 2 Char"/>
    <w:basedOn w:val="910"/>
    <w:link w:val="943"/>
    <w:uiPriority w:val="0"/>
    <w:qFormat/>
    <w:rPr>
      <w:rFonts w:ascii="宋体"/>
      <w:color w:val="000000"/>
      <w:sz w:val="24"/>
      <w:szCs w:val="24"/>
    </w:rPr>
  </w:style>
  <w:style w:type="paragraph" w:styleId="945" w:customStyle="1">
    <w:name w:val="批注框文本1"/>
    <w:basedOn w:val="712"/>
    <w:link w:val="946"/>
    <w:uiPriority w:val="0"/>
    <w:qFormat/>
    <w:rPr>
      <w:sz w:val="18"/>
      <w:szCs w:val="18"/>
    </w:rPr>
  </w:style>
  <w:style w:type="character" w:styleId="946" w:customStyle="1">
    <w:name w:val="批注框文本 Char"/>
    <w:basedOn w:val="910"/>
    <w:link w:val="945"/>
    <w:uiPriority w:val="0"/>
    <w:qFormat/>
    <w:rPr>
      <w:sz w:val="18"/>
      <w:szCs w:val="18"/>
    </w:rPr>
  </w:style>
  <w:style w:type="paragraph" w:styleId="947" w:customStyle="1">
    <w:name w:val="页脚1"/>
    <w:basedOn w:val="712"/>
    <w:link w:val="948"/>
    <w:uiPriority w:val="0"/>
    <w:qFormat/>
    <w:pPr>
      <w:jc w:val="left"/>
      <w:tabs>
        <w:tab w:val="center" w:pos="4153" w:leader="none"/>
        <w:tab w:val="right" w:pos="8306" w:leader="none"/>
      </w:tabs>
    </w:pPr>
    <w:rPr>
      <w:sz w:val="18"/>
      <w:szCs w:val="18"/>
    </w:rPr>
  </w:style>
  <w:style w:type="character" w:styleId="948" w:customStyle="1">
    <w:name w:val="页脚 Char"/>
    <w:basedOn w:val="910"/>
    <w:link w:val="947"/>
    <w:uiPriority w:val="0"/>
    <w:qFormat/>
    <w:rPr>
      <w:sz w:val="18"/>
      <w:szCs w:val="18"/>
    </w:rPr>
  </w:style>
  <w:style w:type="paragraph" w:styleId="949" w:customStyle="1">
    <w:name w:val="页眉1"/>
    <w:basedOn w:val="712"/>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basedOn w:val="910"/>
    <w:link w:val="949"/>
    <w:uiPriority w:val="0"/>
    <w:qFormat/>
    <w:rPr>
      <w:sz w:val="18"/>
      <w:szCs w:val="18"/>
    </w:rPr>
  </w:style>
  <w:style w:type="paragraph" w:styleId="951" w:customStyle="1">
    <w:name w:val="目录 11"/>
    <w:basedOn w:val="712"/>
    <w:next w:val="712"/>
    <w:uiPriority w:val="39"/>
    <w:qFormat/>
    <w:pPr>
      <w:jc w:val="left"/>
      <w:spacing w:before="360"/>
    </w:pPr>
    <w:rPr>
      <w:rFonts w:ascii="Cambria" w:hAnsi="Cambria"/>
      <w:b/>
      <w:bCs/>
      <w:caps/>
      <w:sz w:val="24"/>
    </w:rPr>
  </w:style>
  <w:style w:type="paragraph" w:styleId="952" w:customStyle="1">
    <w:name w:val="目录 41"/>
    <w:basedOn w:val="712"/>
    <w:next w:val="712"/>
    <w:uiPriority w:val="0"/>
    <w:qFormat/>
    <w:pPr>
      <w:ind w:left="420"/>
      <w:jc w:val="left"/>
    </w:pPr>
    <w:rPr>
      <w:rFonts w:ascii="Calibri" w:hAnsi="Calibri"/>
      <w:sz w:val="20"/>
      <w:szCs w:val="20"/>
    </w:rPr>
  </w:style>
  <w:style w:type="paragraph" w:styleId="953" w:customStyle="1">
    <w:name w:val="副标题11"/>
    <w:basedOn w:val="712"/>
    <w:next w:val="712"/>
    <w:link w:val="954"/>
    <w:uiPriority w:val="0"/>
    <w:qFormat/>
    <w:pPr>
      <w:jc w:val="center"/>
      <w:spacing w:before="240" w:after="60" w:line="312" w:lineRule="auto"/>
      <w:outlineLvl w:val="1"/>
    </w:pPr>
    <w:rPr>
      <w:rFonts w:ascii="Cambria" w:hAnsi="Cambria"/>
      <w:b/>
      <w:bCs/>
      <w:sz w:val="32"/>
      <w:szCs w:val="32"/>
    </w:rPr>
  </w:style>
  <w:style w:type="character" w:styleId="954" w:customStyle="1">
    <w:name w:val="副标题 Char"/>
    <w:link w:val="953"/>
    <w:uiPriority w:val="0"/>
    <w:qFormat/>
    <w:rPr>
      <w:rFonts w:ascii="Cambria" w:hAnsi="Cambria"/>
      <w:b/>
      <w:bCs/>
      <w:sz w:val="32"/>
      <w:szCs w:val="32"/>
    </w:rPr>
  </w:style>
  <w:style w:type="paragraph" w:styleId="955" w:customStyle="1">
    <w:name w:val="目录 61"/>
    <w:basedOn w:val="712"/>
    <w:next w:val="712"/>
    <w:uiPriority w:val="0"/>
    <w:qFormat/>
    <w:pPr>
      <w:ind w:left="840"/>
      <w:jc w:val="left"/>
    </w:pPr>
    <w:rPr>
      <w:rFonts w:ascii="Calibri" w:hAnsi="Calibri"/>
      <w:sz w:val="20"/>
      <w:szCs w:val="20"/>
    </w:rPr>
  </w:style>
  <w:style w:type="paragraph" w:styleId="956" w:customStyle="1">
    <w:name w:val="正文文本缩进 31"/>
    <w:basedOn w:val="712"/>
    <w:link w:val="957"/>
    <w:uiPriority w:val="0"/>
    <w:qFormat/>
    <w:pPr>
      <w:ind w:left="420"/>
      <w:spacing w:after="120"/>
    </w:pPr>
    <w:rPr>
      <w:sz w:val="16"/>
      <w:szCs w:val="16"/>
    </w:rPr>
  </w:style>
  <w:style w:type="character" w:styleId="957" w:customStyle="1">
    <w:name w:val="正文文本缩进 3 Char"/>
    <w:basedOn w:val="910"/>
    <w:link w:val="956"/>
    <w:uiPriority w:val="0"/>
    <w:qFormat/>
    <w:rPr>
      <w:sz w:val="16"/>
      <w:szCs w:val="16"/>
    </w:rPr>
  </w:style>
  <w:style w:type="paragraph" w:styleId="958" w:customStyle="1">
    <w:name w:val="目录 21"/>
    <w:basedOn w:val="712"/>
    <w:next w:val="712"/>
    <w:uiPriority w:val="39"/>
    <w:unhideWhenUsed/>
    <w:qFormat/>
    <w:pPr>
      <w:jc w:val="left"/>
      <w:spacing w:before="240"/>
    </w:pPr>
    <w:rPr>
      <w:rFonts w:ascii="Calibri" w:hAnsi="Calibri"/>
      <w:b/>
      <w:bCs/>
      <w:sz w:val="20"/>
      <w:szCs w:val="20"/>
    </w:rPr>
  </w:style>
  <w:style w:type="paragraph" w:styleId="959" w:customStyle="1">
    <w:name w:val="目录 91"/>
    <w:basedOn w:val="712"/>
    <w:next w:val="712"/>
    <w:uiPriority w:val="0"/>
    <w:qFormat/>
    <w:pPr>
      <w:ind w:left="1470"/>
      <w:jc w:val="left"/>
    </w:pPr>
    <w:rPr>
      <w:rFonts w:ascii="Calibri" w:hAnsi="Calibri"/>
      <w:sz w:val="20"/>
      <w:szCs w:val="20"/>
    </w:rPr>
  </w:style>
  <w:style w:type="paragraph" w:styleId="960" w:customStyle="1">
    <w:name w:val="正文文本 21"/>
    <w:basedOn w:val="712"/>
    <w:link w:val="961"/>
    <w:uiPriority w:val="0"/>
    <w:qFormat/>
    <w:pPr>
      <w:spacing w:line="560" w:lineRule="exact"/>
    </w:pPr>
    <w:rPr>
      <w:rFonts w:ascii="仿宋_GB2312" w:eastAsia="仿宋_GB2312"/>
      <w:sz w:val="28"/>
      <w:szCs w:val="30"/>
    </w:rPr>
  </w:style>
  <w:style w:type="character" w:styleId="961" w:customStyle="1">
    <w:name w:val="正文文本 2 Char"/>
    <w:basedOn w:val="910"/>
    <w:link w:val="960"/>
    <w:uiPriority w:val="0"/>
    <w:qFormat/>
    <w:rPr>
      <w:rFonts w:ascii="仿宋_GB2312" w:eastAsia="仿宋_GB2312"/>
      <w:sz w:val="28"/>
      <w:szCs w:val="30"/>
    </w:rPr>
  </w:style>
  <w:style w:type="paragraph" w:styleId="962" w:customStyle="1">
    <w:name w:val="HTML 预设格式1111"/>
    <w:basedOn w:val="712"/>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3" w:customStyle="1">
    <w:name w:val="HTML 预设格式 Char1"/>
    <w:basedOn w:val="910"/>
    <w:link w:val="962"/>
    <w:uiPriority w:val="0"/>
    <w:qFormat/>
    <w:rPr>
      <w:rFonts w:ascii="宋体" w:hAnsi="宋体" w:cs="宋体"/>
      <w:sz w:val="24"/>
      <w:szCs w:val="24"/>
    </w:rPr>
  </w:style>
  <w:style w:type="paragraph" w:styleId="964" w:customStyle="1">
    <w:name w:val="普通(网站)1"/>
    <w:basedOn w:val="712"/>
    <w:uiPriority w:val="0"/>
    <w:unhideWhenUsed/>
    <w:qFormat/>
    <w:pPr>
      <w:jc w:val="left"/>
      <w:spacing w:before="100" w:beforeAutospacing="1" w:after="100" w:afterAutospacing="1"/>
    </w:pPr>
    <w:rPr>
      <w:sz w:val="24"/>
      <w:szCs w:val="20"/>
    </w:rPr>
  </w:style>
  <w:style w:type="paragraph" w:styleId="965" w:customStyle="1">
    <w:name w:val="索引 11"/>
    <w:basedOn w:val="712"/>
    <w:next w:val="712"/>
    <w:uiPriority w:val="0"/>
    <w:semiHidden/>
    <w:qFormat/>
    <w:rPr>
      <w:b/>
      <w:bCs/>
      <w:color w:val="0000ff"/>
    </w:rPr>
  </w:style>
  <w:style w:type="paragraph" w:styleId="966" w:customStyle="1">
    <w:name w:val="标题11"/>
    <w:basedOn w:val="712"/>
    <w:next w:val="712"/>
    <w:link w:val="967"/>
    <w:uiPriority w:val="0"/>
    <w:qFormat/>
    <w:pPr>
      <w:jc w:val="center"/>
      <w:spacing w:before="240" w:after="60"/>
      <w:outlineLvl w:val="0"/>
    </w:pPr>
    <w:rPr>
      <w:rFonts w:ascii="Cambria" w:hAnsi="Cambria" w:eastAsia="宋体" w:cs="Times New Roman"/>
      <w:b/>
      <w:bCs/>
      <w:sz w:val="32"/>
      <w:szCs w:val="32"/>
    </w:rPr>
  </w:style>
  <w:style w:type="character" w:styleId="967" w:customStyle="1">
    <w:name w:val="标题 Char"/>
    <w:basedOn w:val="910"/>
    <w:link w:val="966"/>
    <w:uiPriority w:val="0"/>
    <w:qFormat/>
    <w:rPr>
      <w:rFonts w:ascii="Cambria" w:hAnsi="Cambria"/>
      <w:b/>
      <w:bCs/>
      <w:sz w:val="32"/>
      <w:szCs w:val="32"/>
    </w:rPr>
  </w:style>
  <w:style w:type="paragraph" w:styleId="968" w:customStyle="1">
    <w:name w:val="批注主题11"/>
    <w:basedOn w:val="926"/>
    <w:next w:val="926"/>
    <w:link w:val="969"/>
    <w:uiPriority w:val="0"/>
    <w:qFormat/>
    <w:rPr>
      <w:b/>
      <w:bCs/>
    </w:rPr>
  </w:style>
  <w:style w:type="character" w:styleId="969" w:customStyle="1">
    <w:name w:val="批注主题 Char"/>
    <w:link w:val="968"/>
    <w:uiPriority w:val="0"/>
    <w:qFormat/>
    <w:rPr>
      <w:b/>
      <w:bCs/>
      <w:sz w:val="21"/>
      <w:szCs w:val="24"/>
    </w:rPr>
  </w:style>
  <w:style w:type="paragraph" w:styleId="970" w:customStyle="1">
    <w:name w:val="正文首行缩进 21"/>
    <w:basedOn w:val="933"/>
    <w:uiPriority w:val="0"/>
    <w:unhideWhenUsed/>
    <w:qFormat/>
    <w:pPr>
      <w:ind w:left="1120" w:firstLine="420"/>
      <w:spacing w:after="0" w:line="560" w:lineRule="exact"/>
    </w:pPr>
    <w:rPr>
      <w:rFonts w:ascii="Times New Roman" w:hAnsi="Times New Roman" w:eastAsia="仿宋_GB2312"/>
      <w:sz w:val="32"/>
    </w:rPr>
  </w:style>
  <w:style w:type="table" w:styleId="971" w:customStyle="1">
    <w:name w:val="网格型11"/>
    <w:basedOn w:val="911"/>
    <w:uiPriority w:val="0"/>
    <w:qFormat/>
    <w:pPr>
      <w:jc w:val="both"/>
      <w:widowControl w:val="off"/>
    </w:pPr>
    <w:tblPr/>
  </w:style>
  <w:style w:type="character" w:styleId="972" w:customStyle="1">
    <w:name w:val="页码1"/>
    <w:link w:val="712"/>
    <w:uiPriority w:val="0"/>
    <w:qFormat/>
  </w:style>
  <w:style w:type="character" w:styleId="973" w:customStyle="1">
    <w:name w:val="强调1"/>
    <w:basedOn w:val="910"/>
    <w:link w:val="712"/>
    <w:uiPriority w:val="0"/>
    <w:qFormat/>
    <w:rPr>
      <w:i/>
    </w:rPr>
  </w:style>
  <w:style w:type="character" w:styleId="974" w:customStyle="1">
    <w:name w:val="超链接1"/>
    <w:link w:val="712"/>
    <w:uiPriority w:val="0"/>
    <w:qFormat/>
    <w:rPr>
      <w:color w:val="0000ff"/>
      <w:u w:val="single"/>
    </w:rPr>
  </w:style>
  <w:style w:type="character" w:styleId="975" w:customStyle="1">
    <w:name w:val="批注引用1"/>
    <w:link w:val="712"/>
    <w:uiPriority w:val="99"/>
    <w:qFormat/>
    <w:rPr>
      <w:sz w:val="21"/>
      <w:szCs w:val="21"/>
    </w:rPr>
  </w:style>
  <w:style w:type="character" w:styleId="976" w:customStyle="1">
    <w:name w:val="批注文字 Char1"/>
    <w:basedOn w:val="910"/>
    <w:link w:val="712"/>
    <w:uiPriority w:val="99"/>
    <w:qFormat/>
  </w:style>
  <w:style w:type="character" w:styleId="977" w:customStyle="1">
    <w:name w:val="副标题 Char1"/>
    <w:basedOn w:val="910"/>
    <w:link w:val="712"/>
    <w:uiPriority w:val="11"/>
    <w:qFormat/>
    <w:rPr>
      <w:rFonts w:ascii="Cambria" w:hAnsi="Cambria" w:eastAsia="宋体" w:cs="Times New Roman"/>
      <w:b/>
      <w:bCs/>
      <w:sz w:val="32"/>
      <w:szCs w:val="32"/>
    </w:rPr>
  </w:style>
  <w:style w:type="character" w:styleId="978" w:customStyle="1">
    <w:name w:val="Char Char1"/>
    <w:link w:val="712"/>
    <w:uiPriority w:val="0"/>
    <w:qFormat/>
    <w:rPr>
      <w:sz w:val="18"/>
      <w:szCs w:val="18"/>
    </w:rPr>
  </w:style>
  <w:style w:type="character" w:styleId="979" w:customStyle="1">
    <w:name w:val="副标题 Char2"/>
    <w:link w:val="712"/>
    <w:uiPriority w:val="11"/>
    <w:qFormat/>
    <w:rPr>
      <w:rFonts w:ascii="Cambria" w:hAnsi="Cambria" w:eastAsia="宋体" w:cs="Times New Roman"/>
      <w:b/>
      <w:bCs/>
      <w:sz w:val="32"/>
      <w:szCs w:val="32"/>
    </w:rPr>
  </w:style>
  <w:style w:type="character" w:styleId="980" w:customStyle="1">
    <w:name w:val=" Char Char2"/>
    <w:link w:val="712"/>
    <w:uiPriority w:val="0"/>
    <w:qFormat/>
    <w:rPr>
      <w:rFonts w:ascii="Arial" w:hAnsi="Arial" w:eastAsia="黑体"/>
      <w:sz w:val="21"/>
      <w:szCs w:val="21"/>
    </w:rPr>
  </w:style>
  <w:style w:type="character" w:styleId="981" w:customStyle="1">
    <w:name w:val="标题 Char1"/>
    <w:link w:val="712"/>
    <w:uiPriority w:val="0"/>
    <w:qFormat/>
    <w:rPr>
      <w:rFonts w:ascii="Cambria" w:hAnsi="Cambria" w:cs="Times New Roman"/>
      <w:b/>
      <w:bCs/>
      <w:sz w:val="32"/>
      <w:szCs w:val="32"/>
    </w:rPr>
  </w:style>
  <w:style w:type="character" w:styleId="982" w:customStyle="1">
    <w:name w:val="Char Char2"/>
    <w:link w:val="712"/>
    <w:uiPriority w:val="0"/>
    <w:qFormat/>
    <w:rPr>
      <w:rFonts w:ascii="Arial" w:hAnsi="Arial" w:eastAsia="黑体"/>
      <w:sz w:val="21"/>
      <w:szCs w:val="21"/>
    </w:rPr>
  </w:style>
  <w:style w:type="character" w:styleId="983" w:customStyle="1">
    <w:name w:val="副标题 字符"/>
    <w:link w:val="712"/>
    <w:uiPriority w:val="0"/>
    <w:qFormat/>
    <w:rPr>
      <w:rFonts w:ascii="Cambria" w:hAnsi="Cambria"/>
      <w:b/>
      <w:bCs/>
      <w:sz w:val="32"/>
      <w:szCs w:val="32"/>
    </w:rPr>
  </w:style>
  <w:style w:type="character" w:styleId="984" w:customStyle="1">
    <w:name w:val="Char Char311"/>
    <w:link w:val="712"/>
    <w:uiPriority w:val="0"/>
    <w:qFormat/>
    <w:rPr>
      <w:rFonts w:ascii="Arial" w:hAnsi="Arial" w:eastAsia="黑体"/>
      <w:sz w:val="24"/>
      <w:szCs w:val="24"/>
    </w:rPr>
  </w:style>
  <w:style w:type="character" w:styleId="985" w:customStyle="1">
    <w:name w:val="Char Char31"/>
    <w:link w:val="712"/>
    <w:uiPriority w:val="0"/>
    <w:qFormat/>
    <w:rPr>
      <w:rFonts w:ascii="Arial" w:hAnsi="Arial" w:eastAsia="黑体"/>
      <w:sz w:val="24"/>
      <w:szCs w:val="24"/>
    </w:rPr>
  </w:style>
  <w:style w:type="character" w:styleId="986" w:customStyle="1">
    <w:name w:val="HTML 预设格式 Char"/>
    <w:link w:val="745"/>
    <w:uiPriority w:val="0"/>
    <w:qFormat/>
    <w:rPr>
      <w:rFonts w:ascii="宋体" w:hAnsi="宋体" w:eastAsia="宋体"/>
      <w:sz w:val="24"/>
      <w:szCs w:val="24"/>
      <w:lang w:bidi="ar-SA"/>
    </w:rPr>
  </w:style>
  <w:style w:type="character" w:styleId="987" w:customStyle="1">
    <w:name w:val="font01"/>
    <w:basedOn w:val="910"/>
    <w:link w:val="712"/>
    <w:uiPriority w:val="0"/>
    <w:qFormat/>
    <w:rPr>
      <w:rFonts w:hint="eastAsia" w:ascii="宋体" w:hAnsi="宋体" w:eastAsia="宋体" w:cs="宋体"/>
      <w:color w:val="ff0000"/>
      <w:sz w:val="24"/>
      <w:szCs w:val="24"/>
      <w:u w:val="none"/>
    </w:rPr>
  </w:style>
  <w:style w:type="character" w:styleId="988" w:customStyle="1">
    <w:name w:val=" Char Char"/>
    <w:link w:val="712"/>
    <w:uiPriority w:val="0"/>
    <w:qFormat/>
    <w:rPr>
      <w:sz w:val="18"/>
      <w:szCs w:val="18"/>
    </w:rPr>
  </w:style>
  <w:style w:type="character" w:styleId="989" w:customStyle="1">
    <w:name w:val="Char Char211"/>
    <w:link w:val="712"/>
    <w:uiPriority w:val="0"/>
    <w:qFormat/>
    <w:rPr>
      <w:rFonts w:ascii="Arial" w:hAnsi="Arial" w:eastAsia="黑体"/>
      <w:sz w:val="21"/>
      <w:szCs w:val="21"/>
    </w:rPr>
  </w:style>
  <w:style w:type="character" w:styleId="990" w:customStyle="1">
    <w:name w:val="纯文本 Char1"/>
    <w:link w:val="712"/>
    <w:uiPriority w:val="99"/>
    <w:qFormat/>
    <w:rPr>
      <w:rFonts w:ascii="宋体" w:hAnsi="Courier New"/>
      <w:sz w:val="21"/>
    </w:rPr>
  </w:style>
  <w:style w:type="character" w:styleId="991" w:customStyle="1">
    <w:name w:val="Char Char41"/>
    <w:link w:val="712"/>
    <w:uiPriority w:val="0"/>
    <w:qFormat/>
    <w:rPr>
      <w:b/>
      <w:bCs/>
      <w:sz w:val="24"/>
      <w:szCs w:val="24"/>
    </w:rPr>
  </w:style>
  <w:style w:type="character" w:styleId="992" w:customStyle="1">
    <w:name w:val="第*章 Char"/>
    <w:link w:val="712"/>
    <w:uiPriority w:val="0"/>
    <w:qFormat/>
    <w:rPr>
      <w:rFonts w:ascii="Arial" w:hAnsi="Arial" w:eastAsia="黑体"/>
      <w:b/>
      <w:bCs/>
      <w:sz w:val="32"/>
      <w:szCs w:val="32"/>
    </w:rPr>
  </w:style>
  <w:style w:type="character" w:styleId="993" w:customStyle="1">
    <w:name w:val="Char Char4"/>
    <w:link w:val="712"/>
    <w:uiPriority w:val="0"/>
    <w:qFormat/>
    <w:rPr>
      <w:b/>
      <w:bCs/>
      <w:sz w:val="24"/>
      <w:szCs w:val="24"/>
    </w:rPr>
  </w:style>
  <w:style w:type="character" w:styleId="994" w:customStyle="1">
    <w:name w:val=" Char Char1"/>
    <w:link w:val="712"/>
    <w:uiPriority w:val="0"/>
    <w:qFormat/>
    <w:rPr>
      <w:sz w:val="18"/>
      <w:szCs w:val="18"/>
    </w:rPr>
  </w:style>
  <w:style w:type="character" w:styleId="995" w:customStyle="1">
    <w:name w:val="纯文本 Char2"/>
    <w:link w:val="712"/>
    <w:uiPriority w:val="99"/>
    <w:semiHidden/>
    <w:qFormat/>
    <w:rPr>
      <w:rFonts w:ascii="宋体" w:hAnsi="Courier New" w:eastAsia="宋体" w:cs="Courier New"/>
      <w:szCs w:val="21"/>
    </w:rPr>
  </w:style>
  <w:style w:type="character" w:styleId="996" w:customStyle="1">
    <w:name w:val="wj1"/>
    <w:link w:val="712"/>
    <w:uiPriority w:val="0"/>
    <w:qFormat/>
    <w:rPr>
      <w:color w:val="000000"/>
      <w:spacing w:val="260"/>
      <w:sz w:val="18"/>
      <w:szCs w:val="18"/>
      <w:u w:val="none"/>
    </w:rPr>
  </w:style>
  <w:style w:type="character" w:styleId="997" w:customStyle="1">
    <w:name w:val="三级标题 Char"/>
    <w:link w:val="998"/>
    <w:uiPriority w:val="0"/>
    <w:qFormat/>
    <w:rPr>
      <w:rFonts w:ascii="华文中宋" w:hAnsi="华文中宋" w:eastAsia="华文中宋"/>
      <w:sz w:val="24"/>
      <w:szCs w:val="24"/>
      <w:lang w:bidi="ar-SA"/>
    </w:rPr>
  </w:style>
  <w:style w:type="paragraph" w:styleId="998" w:customStyle="1">
    <w:name w:val="三级标题"/>
    <w:basedOn w:val="712"/>
    <w:next w:val="712"/>
    <w:link w:val="997"/>
    <w:uiPriority w:val="0"/>
    <w:qFormat/>
    <w:pPr>
      <w:spacing w:line="360" w:lineRule="auto"/>
      <w:outlineLvl w:val="2"/>
    </w:pPr>
    <w:rPr>
      <w:rFonts w:ascii="华文中宋" w:hAnsi="华文中宋" w:eastAsia="华文中宋"/>
      <w:sz w:val="24"/>
    </w:rPr>
  </w:style>
  <w:style w:type="character" w:styleId="999" w:customStyle="1">
    <w:name w:val="普通正文 Char"/>
    <w:link w:val="1000"/>
    <w:uiPriority w:val="0"/>
    <w:qFormat/>
    <w:rPr>
      <w:rFonts w:ascii="Arial" w:hAnsi="Arial"/>
      <w:sz w:val="24"/>
      <w:szCs w:val="24"/>
    </w:rPr>
  </w:style>
  <w:style w:type="paragraph" w:styleId="1000" w:customStyle="1">
    <w:name w:val="普通正文"/>
    <w:basedOn w:val="712"/>
    <w:link w:val="999"/>
    <w:uiPriority w:val="0"/>
    <w:qFormat/>
    <w:pPr>
      <w:ind w:firstLine="480"/>
      <w:jc w:val="left"/>
      <w:spacing w:before="120" w:after="120" w:line="360" w:lineRule="auto"/>
    </w:pPr>
    <w:rPr>
      <w:rFonts w:ascii="Arial" w:hAnsi="Arial"/>
      <w:sz w:val="24"/>
    </w:rPr>
  </w:style>
  <w:style w:type="character" w:styleId="1001" w:customStyle="1">
    <w:name w:val="批注主题 Char2"/>
    <w:link w:val="712"/>
    <w:uiPriority w:val="99"/>
    <w:semiHidden/>
    <w:qFormat/>
    <w:rPr>
      <w:rFonts w:ascii="Times New Roman" w:hAnsi="Times New Roman" w:eastAsia="宋体" w:cs="Times New Roman"/>
      <w:b/>
      <w:bCs/>
      <w:szCs w:val="24"/>
    </w:rPr>
  </w:style>
  <w:style w:type="character" w:styleId="1002" w:customStyle="1">
    <w:name w:val="标题 Char3"/>
    <w:basedOn w:val="910"/>
    <w:link w:val="712"/>
    <w:uiPriority w:val="10"/>
    <w:qFormat/>
    <w:rPr>
      <w:rFonts w:ascii="Cambria" w:hAnsi="Cambria" w:eastAsia="宋体" w:cs="Times New Roman"/>
      <w:b/>
      <w:bCs/>
      <w:sz w:val="32"/>
      <w:szCs w:val="32"/>
    </w:rPr>
  </w:style>
  <w:style w:type="character" w:styleId="1003" w:customStyle="1">
    <w:name w:val=" Char Char4"/>
    <w:link w:val="712"/>
    <w:uiPriority w:val="0"/>
    <w:qFormat/>
    <w:rPr>
      <w:b/>
      <w:bCs/>
      <w:sz w:val="24"/>
      <w:szCs w:val="24"/>
    </w:rPr>
  </w:style>
  <w:style w:type="character" w:styleId="1004" w:customStyle="1">
    <w:name w:val="纯文本 Char3"/>
    <w:link w:val="712"/>
    <w:uiPriority w:val="0"/>
    <w:qFormat/>
    <w:rPr>
      <w:rFonts w:ascii="宋体" w:hAnsi="Courier New" w:eastAsia="宋体"/>
    </w:rPr>
  </w:style>
  <w:style w:type="character" w:styleId="1005" w:customStyle="1">
    <w:name w:val="二级标题2 Char"/>
    <w:link w:val="1006"/>
    <w:uiPriority w:val="0"/>
    <w:qFormat/>
    <w:rPr>
      <w:rFonts w:ascii="华文中宋" w:hAnsi="华文中宋" w:eastAsia="华文中宋"/>
      <w:b/>
      <w:bCs/>
      <w:sz w:val="24"/>
      <w:szCs w:val="24"/>
    </w:rPr>
  </w:style>
  <w:style w:type="paragraph" w:styleId="1006" w:customStyle="1">
    <w:name w:val="二级标题2"/>
    <w:basedOn w:val="902"/>
    <w:next w:val="930"/>
    <w:link w:val="1005"/>
    <w:uiPriority w:val="0"/>
    <w:qFormat/>
    <w:pPr>
      <w:spacing w:before="0" w:after="0" w:line="360" w:lineRule="auto"/>
    </w:pPr>
    <w:rPr>
      <w:rFonts w:ascii="华文中宋" w:hAnsi="华文中宋" w:eastAsia="华文中宋"/>
      <w:sz w:val="24"/>
      <w:szCs w:val="24"/>
    </w:rPr>
  </w:style>
  <w:style w:type="character" w:styleId="1007" w:customStyle="1">
    <w:name w:val="font31"/>
    <w:link w:val="712"/>
    <w:uiPriority w:val="0"/>
    <w:qFormat/>
    <w:rPr>
      <w:rFonts w:hint="eastAsia" w:ascii="宋体" w:hAnsi="宋体" w:eastAsia="宋体" w:cs="宋体"/>
      <w:color w:val="000000"/>
      <w:sz w:val="22"/>
      <w:szCs w:val="22"/>
      <w:u w:val="none"/>
    </w:rPr>
  </w:style>
  <w:style w:type="character" w:styleId="1008" w:customStyle="1">
    <w:name w:val="Default Char"/>
    <w:link w:val="1009"/>
    <w:uiPriority w:val="99"/>
    <w:qFormat/>
    <w:rPr>
      <w:rFonts w:ascii="MS Mincho" w:hAnsi="Calibri"/>
      <w:color w:val="000000"/>
      <w:sz w:val="21"/>
      <w:szCs w:val="24"/>
      <w:lang w:val="en-US" w:eastAsia="zh-CN" w:bidi="ar-SA"/>
    </w:rPr>
  </w:style>
  <w:style w:type="paragraph" w:styleId="1009" w:customStyle="1">
    <w:name w:val="Default"/>
    <w:link w:val="1008"/>
    <w:uiPriority w:val="99"/>
    <w:qFormat/>
    <w:pPr>
      <w:widowControl w:val="off"/>
    </w:pPr>
    <w:rPr>
      <w:rFonts w:hint="default" w:ascii="MS Mincho" w:hAnsi="Calibri" w:eastAsia="宋体" w:cs="Times New Roman"/>
      <w:color w:val="000000"/>
      <w:sz w:val="21"/>
      <w:szCs w:val="24"/>
      <w:lang w:val="en-US" w:eastAsia="zh-CN" w:bidi="ar-SA"/>
    </w:rPr>
  </w:style>
  <w:style w:type="character" w:styleId="1010" w:customStyle="1">
    <w:name w:val="Char Char51"/>
    <w:link w:val="712"/>
    <w:uiPriority w:val="0"/>
    <w:qFormat/>
    <w:rPr>
      <w:sz w:val="18"/>
      <w:szCs w:val="18"/>
    </w:rPr>
  </w:style>
  <w:style w:type="character" w:styleId="1011" w:customStyle="1">
    <w:name w:val="H4 Char"/>
    <w:link w:val="712"/>
    <w:uiPriority w:val="0"/>
    <w:qFormat/>
    <w:rPr>
      <w:rFonts w:ascii="Arial" w:hAnsi="Arial" w:eastAsia="黑体"/>
      <w:b/>
      <w:bCs/>
      <w:sz w:val="28"/>
      <w:szCs w:val="28"/>
      <w:lang w:val="en-US" w:eastAsia="zh-CN" w:bidi="ar-SA"/>
    </w:rPr>
  </w:style>
  <w:style w:type="character" w:styleId="1012" w:customStyle="1">
    <w:name w:val="Char Char21"/>
    <w:link w:val="712"/>
    <w:uiPriority w:val="0"/>
    <w:qFormat/>
    <w:rPr>
      <w:rFonts w:ascii="Arial" w:hAnsi="Arial" w:eastAsia="黑体"/>
      <w:sz w:val="21"/>
      <w:szCs w:val="21"/>
    </w:rPr>
  </w:style>
  <w:style w:type="character" w:styleId="1013" w:customStyle="1">
    <w:name w:val="Char Char11"/>
    <w:link w:val="712"/>
    <w:uiPriority w:val="0"/>
    <w:qFormat/>
    <w:rPr>
      <w:sz w:val="18"/>
      <w:szCs w:val="18"/>
    </w:rPr>
  </w:style>
  <w:style w:type="character" w:styleId="1014" w:customStyle="1">
    <w:name w:val="Char Char"/>
    <w:link w:val="712"/>
    <w:uiPriority w:val="0"/>
    <w:qFormat/>
    <w:rPr>
      <w:sz w:val="18"/>
      <w:szCs w:val="18"/>
    </w:rPr>
  </w:style>
  <w:style w:type="character" w:styleId="1015" w:customStyle="1">
    <w:name w:val="批注主题 Char1"/>
    <w:basedOn w:val="976"/>
    <w:link w:val="712"/>
    <w:uiPriority w:val="99"/>
    <w:semiHidden/>
    <w:qFormat/>
    <w:rPr>
      <w:b/>
      <w:bCs/>
    </w:rPr>
  </w:style>
  <w:style w:type="character" w:styleId="1016" w:customStyle="1">
    <w:name w:val="H5 Char"/>
    <w:link w:val="712"/>
    <w:uiPriority w:val="0"/>
    <w:qFormat/>
    <w:rPr>
      <w:rFonts w:eastAsia="黑体"/>
      <w:b/>
      <w:bCs/>
      <w:sz w:val="28"/>
      <w:szCs w:val="28"/>
      <w:lang w:val="en-US" w:eastAsia="zh-CN" w:bidi="ar-SA"/>
    </w:rPr>
  </w:style>
  <w:style w:type="character" w:styleId="1017" w:customStyle="1">
    <w:name w:val="链接"/>
    <w:link w:val="712"/>
    <w:uiPriority w:val="0"/>
    <w:qFormat/>
    <w:rPr>
      <w:rFonts w:ascii="Times New Roman" w:eastAsia="宋体"/>
      <w:color w:val="0000ff"/>
      <w:sz w:val="21"/>
      <w:u w:val="single"/>
      <w:vertAlign w:val="baseline"/>
      <w:lang w:val="en-US" w:eastAsia="zh-CN"/>
    </w:rPr>
  </w:style>
  <w:style w:type="character" w:styleId="1018" w:customStyle="1">
    <w:name w:val=" Char Char3"/>
    <w:link w:val="712"/>
    <w:uiPriority w:val="0"/>
    <w:qFormat/>
    <w:rPr>
      <w:rFonts w:ascii="Arial" w:hAnsi="Arial" w:eastAsia="黑体"/>
      <w:sz w:val="24"/>
      <w:szCs w:val="24"/>
    </w:rPr>
  </w:style>
  <w:style w:type="character" w:styleId="1019" w:customStyle="1">
    <w:name w:val="Char Char411"/>
    <w:link w:val="712"/>
    <w:uiPriority w:val="0"/>
    <w:qFormat/>
    <w:rPr>
      <w:b/>
      <w:bCs/>
      <w:sz w:val="24"/>
      <w:szCs w:val="24"/>
    </w:rPr>
  </w:style>
  <w:style w:type="character" w:styleId="1020" w:customStyle="1">
    <w:name w:val="标题 Char2"/>
    <w:link w:val="712"/>
    <w:uiPriority w:val="10"/>
    <w:qFormat/>
    <w:rPr>
      <w:rFonts w:ascii="Cambria" w:hAnsi="Cambria" w:eastAsia="宋体" w:cs="Times New Roman"/>
      <w:b/>
      <w:bCs/>
      <w:sz w:val="32"/>
      <w:szCs w:val="32"/>
    </w:rPr>
  </w:style>
  <w:style w:type="character" w:styleId="1021" w:customStyle="1">
    <w:name w:val="无间隔 Char"/>
    <w:link w:val="712"/>
    <w:uiPriority w:val="0"/>
    <w:qFormat/>
    <w:rPr>
      <w:rFonts w:ascii="Calibri" w:hAnsi="Calibri"/>
      <w:sz w:val="22"/>
      <w:szCs w:val="22"/>
      <w:lang w:val="en-US" w:eastAsia="zh-CN" w:bidi="ar-SA"/>
    </w:rPr>
  </w:style>
  <w:style w:type="character" w:styleId="1022" w:customStyle="1">
    <w:name w:val="Char Char3"/>
    <w:link w:val="712"/>
    <w:uiPriority w:val="0"/>
    <w:qFormat/>
    <w:rPr>
      <w:rFonts w:ascii="Arial" w:hAnsi="Arial" w:eastAsia="黑体"/>
      <w:sz w:val="24"/>
      <w:szCs w:val="24"/>
    </w:rPr>
  </w:style>
  <w:style w:type="character" w:styleId="1023" w:customStyle="1">
    <w:name w:val="h3 Char"/>
    <w:link w:val="712"/>
    <w:uiPriority w:val="0"/>
    <w:qFormat/>
    <w:rPr>
      <w:b/>
      <w:bCs/>
      <w:sz w:val="32"/>
      <w:szCs w:val="32"/>
    </w:rPr>
  </w:style>
  <w:style w:type="character" w:styleId="1024" w:customStyle="1">
    <w:name w:val="Char Char5"/>
    <w:link w:val="712"/>
    <w:uiPriority w:val="0"/>
    <w:qFormat/>
    <w:rPr>
      <w:sz w:val="18"/>
      <w:szCs w:val="18"/>
    </w:rPr>
  </w:style>
  <w:style w:type="character" w:styleId="1025" w:customStyle="1">
    <w:name w:val="Char Char111"/>
    <w:link w:val="712"/>
    <w:uiPriority w:val="0"/>
    <w:qFormat/>
    <w:rPr>
      <w:sz w:val="18"/>
      <w:szCs w:val="18"/>
    </w:rPr>
  </w:style>
  <w:style w:type="character" w:styleId="1026" w:customStyle="1">
    <w:name w:val="H6 Char"/>
    <w:link w:val="712"/>
    <w:uiPriority w:val="0"/>
    <w:qFormat/>
    <w:rPr>
      <w:rFonts w:ascii="Arial" w:hAnsi="Arial" w:eastAsia="黑体"/>
      <w:b/>
      <w:bCs/>
      <w:sz w:val="24"/>
      <w:szCs w:val="24"/>
    </w:rPr>
  </w:style>
  <w:style w:type="paragraph" w:styleId="1027" w:customStyle="1">
    <w:name w:val="Sourcetext bullet"/>
    <w:basedOn w:val="1028"/>
    <w:uiPriority w:val="0"/>
    <w:qFormat/>
    <w:pPr>
      <w:numPr>
        <w:ilvl w:val="0"/>
        <w:numId w:val="2"/>
      </w:numPr>
      <w:ind w:left="2160"/>
    </w:pPr>
  </w:style>
  <w:style w:type="paragraph" w:styleId="1028" w:customStyle="1">
    <w:name w:val="Sourcetext"/>
    <w:basedOn w:val="712"/>
    <w:uiPriority w:val="0"/>
    <w:qFormat/>
    <w:pPr>
      <w:ind w:left="2160"/>
      <w:jc w:val="left"/>
      <w:spacing w:after="120"/>
      <w:widowControl/>
    </w:pPr>
    <w:rPr>
      <w:rFonts w:ascii="Century Schoolbook" w:hAnsi="Century Schoolbook"/>
      <w:sz w:val="20"/>
      <w:szCs w:val="20"/>
    </w:rPr>
  </w:style>
  <w:style w:type="paragraph" w:styleId="1029" w:customStyle="1">
    <w:name w:val=" Char Char1 Char Char Char"/>
    <w:basedOn w:val="712"/>
    <w:uiPriority w:val="0"/>
    <w:qFormat/>
    <w:rPr>
      <w:szCs w:val="20"/>
    </w:rPr>
  </w:style>
  <w:style w:type="paragraph" w:styleId="1030" w:customStyle="1">
    <w:name w:val="文章总标题"/>
    <w:basedOn w:val="712"/>
    <w:uiPriority w:val="0"/>
    <w:qFormat/>
    <w:pPr>
      <w:jc w:val="center"/>
      <w:spacing w:before="566" w:after="544" w:line="566" w:lineRule="atLeast"/>
      <w:widowControl/>
    </w:pPr>
    <w:rPr>
      <w:rFonts w:ascii="Arial" w:eastAsia="黑体"/>
      <w:color w:val="000000"/>
      <w:sz w:val="54"/>
      <w:szCs w:val="20"/>
    </w:rPr>
  </w:style>
  <w:style w:type="paragraph" w:styleId="1031" w:customStyle="1">
    <w:name w:val="xl27"/>
    <w:basedOn w:val="712"/>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32" w:customStyle="1">
    <w:name w:val="font8"/>
    <w:basedOn w:val="712"/>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33" w:customStyle="1">
    <w:name w:val="无间隔"/>
    <w:uiPriority w:val="0"/>
    <w:qFormat/>
    <w:rPr>
      <w:rFonts w:hint="default" w:ascii="Calibri" w:hAnsi="Calibri" w:eastAsia="宋体" w:cs="Times New Roman"/>
      <w:sz w:val="22"/>
      <w:szCs w:val="22"/>
      <w:lang w:val="en-US" w:eastAsia="zh-CN" w:bidi="ar-SA"/>
    </w:rPr>
  </w:style>
  <w:style w:type="paragraph" w:styleId="1034" w:customStyle="1">
    <w:name w:val="font5"/>
    <w:basedOn w:val="712"/>
    <w:uiPriority w:val="0"/>
    <w:qFormat/>
    <w:pPr>
      <w:jc w:val="left"/>
      <w:spacing w:before="100" w:beforeAutospacing="1" w:after="100" w:afterAutospacing="1"/>
      <w:widowControl/>
    </w:pPr>
    <w:rPr>
      <w:rFonts w:ascii="Arial" w:hAnsi="Arial" w:eastAsia="Arial Unicode MS" w:cs="Arial"/>
      <w:sz w:val="20"/>
      <w:szCs w:val="20"/>
    </w:rPr>
  </w:style>
  <w:style w:type="paragraph" w:styleId="1035" w:customStyle="1">
    <w:name w:val="章标题"/>
    <w:basedOn w:val="712"/>
    <w:uiPriority w:val="0"/>
    <w:qFormat/>
    <w:pPr>
      <w:jc w:val="center"/>
      <w:spacing w:before="158" w:after="153" w:line="323" w:lineRule="atLeast"/>
      <w:widowControl/>
    </w:pPr>
    <w:rPr>
      <w:rFonts w:ascii="Arial" w:eastAsia="黑体"/>
      <w:color w:val="000000"/>
      <w:sz w:val="31"/>
      <w:szCs w:val="20"/>
    </w:rPr>
  </w:style>
  <w:style w:type="paragraph" w:styleId="1036" w:customStyle="1">
    <w:name w:val="font11"/>
    <w:basedOn w:val="712"/>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37" w:customStyle="1">
    <w:name w:val="xl46"/>
    <w:basedOn w:val="712"/>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38" w:customStyle="1">
    <w:name w:val="xl51"/>
    <w:basedOn w:val="712"/>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39" w:customStyle="1">
    <w:name w:val="xl55"/>
    <w:basedOn w:val="712"/>
    <w:uiPriority w:val="0"/>
    <w:qFormat/>
    <w:pPr>
      <w:jc w:val="center"/>
      <w:spacing w:before="100" w:beforeAutospacing="1" w:after="100" w:afterAutospacing="1"/>
      <w:widowControl/>
    </w:pPr>
    <w:rPr>
      <w:rFonts w:ascii="Arial" w:hAnsi="Arial" w:eastAsia="Arial Unicode MS" w:cs="Arial"/>
      <w:sz w:val="24"/>
    </w:rPr>
  </w:style>
  <w:style w:type="paragraph" w:styleId="1040" w:customStyle="1">
    <w:name w:val="HTML 预设格式1"/>
    <w:basedOn w:val="712"/>
    <w:uiPriority w:val="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41" w:customStyle="1">
    <w:name w:val="xl66"/>
    <w:basedOn w:val="712"/>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42" w:customStyle="1">
    <w:name w:val="xl2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43" w:customStyle="1">
    <w:name w:val="Char Char1 Char Char Char"/>
    <w:basedOn w:val="712"/>
    <w:uiPriority w:val="0"/>
    <w:qFormat/>
    <w:rPr>
      <w:szCs w:val="20"/>
    </w:rPr>
  </w:style>
  <w:style w:type="paragraph" w:styleId="1044" w:customStyle="1">
    <w:name w:val="列出段落3"/>
    <w:basedOn w:val="712"/>
    <w:uiPriority w:val="34"/>
    <w:qFormat/>
    <w:pPr>
      <w:ind w:firstLine="420"/>
    </w:pPr>
  </w:style>
  <w:style w:type="paragraph" w:styleId="1045" w:customStyle="1">
    <w:name w:val="样式1"/>
    <w:basedOn w:val="712"/>
    <w:uiPriority w:val="0"/>
    <w:qFormat/>
    <w:pPr>
      <w:ind w:left="709" w:hanging="709"/>
      <w:tabs>
        <w:tab w:val="left" w:pos="709" w:leader="none"/>
      </w:tabs>
    </w:pPr>
    <w:rPr>
      <w:rFonts w:ascii="宋体" w:hAnsi="宋体"/>
      <w:szCs w:val="21"/>
    </w:rPr>
  </w:style>
  <w:style w:type="paragraph" w:styleId="1046" w:customStyle="1">
    <w:name w:val="xl31"/>
    <w:basedOn w:val="712"/>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47" w:customStyle="1">
    <w:name w:val="IBM 正文"/>
    <w:basedOn w:val="712"/>
    <w:uiPriority w:val="0"/>
    <w:qFormat/>
    <w:pPr>
      <w:spacing w:line="360" w:lineRule="exact"/>
    </w:pPr>
    <w:rPr>
      <w:sz w:val="24"/>
      <w:szCs w:val="20"/>
    </w:rPr>
  </w:style>
  <w:style w:type="paragraph" w:styleId="1048" w:customStyle="1">
    <w:name w:val="font10"/>
    <w:basedOn w:val="71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49" w:customStyle="1">
    <w:name w:val="Char Char1 Char Char Char11"/>
    <w:basedOn w:val="712"/>
    <w:uiPriority w:val="0"/>
    <w:qFormat/>
    <w:pPr>
      <w:ind w:firstLine="200"/>
      <w:spacing w:line="360" w:lineRule="auto"/>
    </w:pPr>
    <w:rPr>
      <w:sz w:val="24"/>
      <w:szCs w:val="20"/>
    </w:rPr>
  </w:style>
  <w:style w:type="paragraph" w:styleId="1050" w:customStyle="1">
    <w:name w:val="xl29"/>
    <w:basedOn w:val="712"/>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1" w:customStyle="1">
    <w:name w:val="默认段落字体 Para Char Char Char Char Char Char Char"/>
    <w:basedOn w:val="924"/>
    <w:uiPriority w:val="0"/>
    <w:qFormat/>
    <w:pPr>
      <w:ind w:left="357"/>
      <w:jc w:val="left"/>
      <w:spacing w:line="436" w:lineRule="exact"/>
      <w:outlineLvl w:val="3"/>
    </w:pPr>
    <w:rPr>
      <w:rFonts w:ascii="Tahoma" w:hAnsi="Tahoma"/>
      <w:b/>
      <w:sz w:val="24"/>
    </w:rPr>
  </w:style>
  <w:style w:type="paragraph" w:styleId="1052" w:customStyle="1">
    <w:name w:val="xl38"/>
    <w:basedOn w:val="712"/>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53" w:customStyle="1">
    <w:name w:val="xl57"/>
    <w:basedOn w:val="712"/>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054" w:customStyle="1">
    <w:name w:val="??"/>
    <w:uiPriority w:val="0"/>
    <w:qFormat/>
    <w:pPr>
      <w:jc w:val="both"/>
      <w:widowControl w:val="off"/>
    </w:pPr>
    <w:rPr>
      <w:rFonts w:hint="default" w:ascii="Times New Roman" w:hAnsi="Times New Roman" w:eastAsia="宋体" w:cs="Times New Roman"/>
      <w:sz w:val="21"/>
      <w:szCs w:val="21"/>
      <w:lang w:val="en-US" w:eastAsia="en-US" w:bidi="ar-SA"/>
    </w:rPr>
  </w:style>
  <w:style w:type="paragraph" w:styleId="1055" w:customStyle="1">
    <w:name w:val="xl62"/>
    <w:basedOn w:val="712"/>
    <w:uiPriority w:val="0"/>
    <w:qFormat/>
    <w:pPr>
      <w:jc w:val="center"/>
      <w:spacing w:before="100" w:beforeAutospacing="1" w:after="100" w:afterAutospacing="1"/>
      <w:widowControl/>
    </w:pPr>
    <w:rPr>
      <w:rFonts w:ascii="Arial" w:hAnsi="Arial" w:eastAsia="Arial Unicode MS" w:cs="Arial"/>
      <w:sz w:val="24"/>
    </w:rPr>
  </w:style>
  <w:style w:type="paragraph" w:styleId="1056" w:customStyle="1">
    <w:name w:val="font12"/>
    <w:basedOn w:val="712"/>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57" w:customStyle="1">
    <w:name w:val="标题1"/>
    <w:basedOn w:val="712"/>
    <w:next w:val="712"/>
    <w:uiPriority w:val="0"/>
    <w:qFormat/>
    <w:pPr>
      <w:jc w:val="center"/>
      <w:spacing w:before="240" w:after="60"/>
      <w:outlineLvl w:val="0"/>
    </w:pPr>
    <w:rPr>
      <w:rFonts w:ascii="Cambria" w:hAnsi="Cambria"/>
      <w:b/>
      <w:bCs/>
      <w:sz w:val="32"/>
      <w:szCs w:val="32"/>
    </w:rPr>
  </w:style>
  <w:style w:type="paragraph" w:styleId="1058" w:customStyle="1">
    <w:name w:val="xl69"/>
    <w:basedOn w:val="712"/>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59" w:customStyle="1">
    <w:name w:val="正文 New"/>
    <w:uiPriority w:val="0"/>
    <w:qFormat/>
    <w:pPr>
      <w:jc w:val="both"/>
      <w:widowControl w:val="off"/>
    </w:pPr>
    <w:rPr>
      <w:rFonts w:hint="default" w:ascii="Calibri" w:hAnsi="Calibri" w:eastAsia="宋体" w:cs="Times New Roman"/>
      <w:sz w:val="21"/>
      <w:lang w:val="en-US" w:eastAsia="zh-CN" w:bidi="ar-SA"/>
    </w:rPr>
  </w:style>
  <w:style w:type="paragraph" w:styleId="1060" w:customStyle="1">
    <w:name w:val="xl56"/>
    <w:basedOn w:val="712"/>
    <w:uiPriority w:val="0"/>
    <w:qFormat/>
    <w:pPr>
      <w:jc w:val="right"/>
      <w:spacing w:before="100" w:beforeAutospacing="1" w:after="100" w:afterAutospacing="1"/>
      <w:widowControl/>
    </w:pPr>
    <w:rPr>
      <w:rFonts w:ascii="Arial" w:hAnsi="Arial" w:eastAsia="Arial Unicode MS" w:cs="Arial"/>
      <w:sz w:val="24"/>
    </w:rPr>
  </w:style>
  <w:style w:type="paragraph" w:styleId="1061" w:customStyle="1">
    <w:name w:val="纯文本1"/>
    <w:basedOn w:val="712"/>
    <w:next w:val="937"/>
    <w:uiPriority w:val="0"/>
    <w:qFormat/>
    <w:rPr>
      <w:rFonts w:ascii="宋体" w:hAnsi="Courier New"/>
      <w:szCs w:val="22"/>
    </w:rPr>
  </w:style>
  <w:style w:type="paragraph" w:styleId="1062" w:customStyle="1">
    <w:name w:val="xl73"/>
    <w:basedOn w:val="712"/>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63" w:customStyle="1">
    <w:name w:val="列出段落2"/>
    <w:basedOn w:val="712"/>
    <w:uiPriority w:val="34"/>
    <w:qFormat/>
    <w:pPr>
      <w:ind w:firstLine="420"/>
    </w:pPr>
  </w:style>
  <w:style w:type="paragraph" w:styleId="1064" w:customStyle="1">
    <w:name w:val="xl72"/>
    <w:basedOn w:val="71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5" w:customStyle="1">
    <w:name w:val="目录3"/>
    <w:basedOn w:val="712"/>
    <w:uiPriority w:val="0"/>
    <w:qFormat/>
    <w:pPr>
      <w:ind w:firstLine="419"/>
      <w:spacing w:line="317" w:lineRule="atLeast"/>
      <w:widowControl/>
      <w:tabs>
        <w:tab w:val="left" w:pos="7370" w:leader="dot"/>
      </w:tabs>
    </w:pPr>
    <w:rPr>
      <w:color w:val="000000"/>
      <w:szCs w:val="20"/>
    </w:rPr>
  </w:style>
  <w:style w:type="paragraph" w:styleId="1066" w:customStyle="1">
    <w:name w:val="xl44"/>
    <w:basedOn w:val="712"/>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067" w:customStyle="1">
    <w:name w:val="xl47"/>
    <w:basedOn w:val="712"/>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68" w:customStyle="1">
    <w:name w:val="列出段落"/>
    <w:basedOn w:val="712"/>
    <w:uiPriority w:val="34"/>
    <w:qFormat/>
    <w:pPr>
      <w:ind w:firstLine="420"/>
    </w:pPr>
    <w:rPr>
      <w:rFonts w:ascii="Calibri" w:hAnsi="Calibri"/>
    </w:rPr>
  </w:style>
  <w:style w:type="paragraph" w:styleId="1069" w:customStyle="1">
    <w:name w:val="xl49"/>
    <w:basedOn w:val="712"/>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70" w:customStyle="1">
    <w:name w:val="xl34"/>
    <w:basedOn w:val="712"/>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1" w:customStyle="1">
    <w:name w:val="目录标题"/>
    <w:basedOn w:val="712"/>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1072" w:customStyle="1">
    <w:name w:val="xl39"/>
    <w:basedOn w:val="712"/>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73" w:customStyle="1">
    <w:name w:val="节标题"/>
    <w:basedOn w:val="712"/>
    <w:uiPriority w:val="0"/>
    <w:qFormat/>
    <w:pPr>
      <w:jc w:val="center"/>
      <w:spacing w:line="289" w:lineRule="atLeast"/>
      <w:widowControl/>
    </w:pPr>
    <w:rPr>
      <w:color w:val="000000"/>
      <w:sz w:val="28"/>
      <w:szCs w:val="20"/>
    </w:rPr>
  </w:style>
  <w:style w:type="paragraph" w:styleId="1074" w:customStyle="1">
    <w:name w:val="xl53"/>
    <w:basedOn w:val="7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75" w:customStyle="1">
    <w:name w:val="xl32"/>
    <w:basedOn w:val="712"/>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6" w:customStyle="1">
    <w:name w:val="Char Char1 Char Char Char2"/>
    <w:basedOn w:val="712"/>
    <w:uiPriority w:val="0"/>
    <w:qFormat/>
    <w:rPr>
      <w:szCs w:val="20"/>
    </w:rPr>
  </w:style>
  <w:style w:type="paragraph" w:styleId="1077" w:customStyle="1">
    <w:name w:val="标题 41"/>
    <w:basedOn w:val="712"/>
    <w:next w:val="1078"/>
    <w:uiPriority w:val="0"/>
    <w:qFormat/>
    <w:pPr>
      <w:keepLines/>
      <w:keepNext/>
      <w:spacing w:before="280" w:after="290" w:line="376" w:lineRule="auto"/>
      <w:outlineLvl w:val="3"/>
    </w:pPr>
    <w:rPr>
      <w:rFonts w:ascii="Arial" w:hAnsi="Arial" w:eastAsia="黑体" w:cs="Arial"/>
      <w:b/>
      <w:bCs/>
      <w:sz w:val="28"/>
      <w:szCs w:val="28"/>
    </w:rPr>
  </w:style>
  <w:style w:type="paragraph" w:styleId="1078" w:customStyle="1">
    <w:name w:val="正文缩进1"/>
    <w:basedOn w:val="712"/>
    <w:uiPriority w:val="0"/>
    <w:qFormat/>
    <w:pPr>
      <w:ind w:firstLine="420"/>
    </w:pPr>
  </w:style>
  <w:style w:type="paragraph" w:styleId="1079" w:customStyle="1">
    <w:name w:val="Char"/>
    <w:basedOn w:val="712"/>
    <w:uiPriority w:val="0"/>
    <w:qFormat/>
    <w:pPr>
      <w:ind w:left="360" w:hanging="360"/>
      <w:keepLines/>
      <w:keepNext/>
      <w:pageBreakBefore/>
      <w:tabs>
        <w:tab w:val="left" w:pos="360" w:leader="none"/>
      </w:tabs>
    </w:pPr>
    <w:rPr>
      <w:sz w:val="22"/>
    </w:rPr>
  </w:style>
  <w:style w:type="paragraph" w:styleId="1080" w:customStyle="1">
    <w:name w:val="xl45"/>
    <w:basedOn w:val="712"/>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081" w:customStyle="1">
    <w:name w:val="xl54"/>
    <w:basedOn w:val="71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82" w:customStyle="1">
    <w:name w:val="题目项目"/>
    <w:basedOn w:val="712"/>
    <w:uiPriority w:val="0"/>
    <w:qFormat/>
    <w:pPr>
      <w:numPr>
        <w:ilvl w:val="0"/>
        <w:numId w:val="3"/>
      </w:numPr>
    </w:pPr>
  </w:style>
  <w:style w:type="paragraph" w:styleId="1083" w:customStyle="1">
    <w:name w:val="xl52"/>
    <w:basedOn w:val="71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4" w:customStyle="1">
    <w:name w:val="xl48"/>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85" w:customStyle="1">
    <w:name w:val="p0"/>
    <w:basedOn w:val="712"/>
    <w:uiPriority w:val="99"/>
    <w:qFormat/>
    <w:pPr>
      <w:widowControl/>
    </w:pPr>
    <w:rPr>
      <w:rFonts w:ascii="Calibri" w:hAnsi="Calibri"/>
      <w:szCs w:val="21"/>
    </w:rPr>
  </w:style>
  <w:style w:type="paragraph" w:styleId="10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font9"/>
    <w:basedOn w:val="71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88" w:customStyle="1">
    <w:name w:val="font6"/>
    <w:basedOn w:val="712"/>
    <w:uiPriority w:val="0"/>
    <w:qFormat/>
    <w:pPr>
      <w:jc w:val="left"/>
      <w:spacing w:before="100" w:beforeAutospacing="1" w:after="100" w:afterAutospacing="1"/>
      <w:widowControl/>
    </w:pPr>
    <w:rPr>
      <w:rFonts w:ascii="Arial" w:hAnsi="Arial" w:eastAsia="Arial Unicode MS" w:cs="Arial"/>
      <w:sz w:val="18"/>
      <w:szCs w:val="18"/>
    </w:rPr>
  </w:style>
  <w:style w:type="paragraph" w:styleId="1089" w:customStyle="1">
    <w:name w:val="默认段落字体 Para Char"/>
    <w:basedOn w:val="712"/>
    <w:uiPriority w:val="0"/>
    <w:qFormat/>
    <w:pPr>
      <w:spacing w:line="360" w:lineRule="auto"/>
    </w:pPr>
    <w:rPr>
      <w:sz w:val="24"/>
      <w:szCs w:val="20"/>
    </w:rPr>
  </w:style>
  <w:style w:type="paragraph" w:styleId="1090" w:customStyle="1">
    <w:name w:val="xl59"/>
    <w:basedOn w:val="712"/>
    <w:uiPriority w:val="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91" w:customStyle="1">
    <w:name w:val="font7"/>
    <w:basedOn w:val="712"/>
    <w:uiPriority w:val="0"/>
    <w:qFormat/>
    <w:pPr>
      <w:jc w:val="left"/>
      <w:spacing w:before="100" w:beforeAutospacing="1" w:after="100" w:afterAutospacing="1"/>
      <w:widowControl/>
    </w:pPr>
    <w:rPr>
      <w:rFonts w:hint="eastAsia" w:ascii="宋体" w:hAnsi="宋体" w:cs="Arial Unicode MS"/>
      <w:sz w:val="18"/>
      <w:szCs w:val="18"/>
    </w:rPr>
  </w:style>
  <w:style w:type="paragraph" w:styleId="1092" w:customStyle="1">
    <w:name w:val="xl74"/>
    <w:basedOn w:val="712"/>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93" w:customStyle="1">
    <w:name w:val="xl36"/>
    <w:basedOn w:val="712"/>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94" w:customStyle="1">
    <w:name w:val="xl65"/>
    <w:basedOn w:val="712"/>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095" w:customStyle="1">
    <w:name w:val="TOC 标题"/>
    <w:basedOn w:val="901"/>
    <w:next w:val="712"/>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96">
    <w:name w:val="List Paragraph"/>
    <w:basedOn w:val="712"/>
    <w:uiPriority w:val="34"/>
    <w:qFormat/>
    <w:pPr>
      <w:ind w:firstLine="420"/>
    </w:pPr>
  </w:style>
  <w:style w:type="paragraph" w:styleId="1097" w:customStyle="1">
    <w:name w:val="xl42"/>
    <w:basedOn w:val="712"/>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098" w:customStyle="1">
    <w:name w:val="目录2"/>
    <w:basedOn w:val="712"/>
    <w:uiPriority w:val="0"/>
    <w:qFormat/>
    <w:pPr>
      <w:ind w:firstLine="209"/>
      <w:spacing w:line="317" w:lineRule="atLeast"/>
      <w:widowControl/>
      <w:tabs>
        <w:tab w:val="left" w:pos="7370" w:leader="dot"/>
      </w:tabs>
    </w:pPr>
    <w:rPr>
      <w:color w:val="000000"/>
      <w:szCs w:val="20"/>
    </w:rPr>
  </w:style>
  <w:style w:type="paragraph" w:styleId="1099" w:customStyle="1">
    <w:name w:val="xl37"/>
    <w:basedOn w:val="712"/>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100" w:customStyle="1">
    <w:name w:val="Char Char1 Char Char Char1"/>
    <w:basedOn w:val="712"/>
    <w:uiPriority w:val="0"/>
    <w:qFormat/>
    <w:rPr>
      <w:szCs w:val="20"/>
    </w:rPr>
  </w:style>
  <w:style w:type="paragraph" w:styleId="1101" w:customStyle="1">
    <w:name w:val="标题 31"/>
    <w:basedOn w:val="712"/>
    <w:next w:val="1078"/>
    <w:uiPriority w:val="0"/>
    <w:qFormat/>
    <w:pPr>
      <w:keepLines/>
      <w:keepNext/>
      <w:spacing w:before="260" w:after="260" w:line="416" w:lineRule="auto"/>
      <w:outlineLvl w:val="2"/>
    </w:pPr>
    <w:rPr>
      <w:b/>
      <w:bCs/>
      <w:sz w:val="32"/>
      <w:szCs w:val="32"/>
    </w:rPr>
  </w:style>
  <w:style w:type="paragraph" w:styleId="1102" w:customStyle="1">
    <w:name w:val="正文2"/>
    <w:basedOn w:val="712"/>
    <w:uiPriority w:val="0"/>
    <w:qFormat/>
    <w:pPr>
      <w:ind w:firstLine="200"/>
      <w:jc w:val="left"/>
      <w:spacing w:after="160" w:line="360" w:lineRule="auto"/>
      <w:widowControl/>
    </w:pPr>
    <w:rPr>
      <w:rFonts w:ascii="Verdana" w:hAnsi="Verdana" w:eastAsia="黑体"/>
      <w:szCs w:val="20"/>
      <w:lang w:eastAsia="en-US"/>
    </w:rPr>
  </w:style>
  <w:style w:type="paragraph" w:styleId="1103" w:customStyle="1">
    <w:name w:val="文章附标题"/>
    <w:basedOn w:val="712"/>
    <w:uiPriority w:val="0"/>
    <w:qFormat/>
    <w:pPr>
      <w:jc w:val="center"/>
      <w:spacing w:before="187" w:after="175" w:line="374" w:lineRule="atLeast"/>
      <w:widowControl/>
    </w:pPr>
    <w:rPr>
      <w:color w:val="000000"/>
      <w:sz w:val="36"/>
      <w:szCs w:val="20"/>
    </w:rPr>
  </w:style>
  <w:style w:type="paragraph" w:styleId="1104" w:customStyle="1">
    <w:name w:val="xl60"/>
    <w:basedOn w:val="712"/>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05" w:customStyle="1">
    <w:name w:val="xl40"/>
    <w:basedOn w:val="712"/>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106" w:customStyle="1">
    <w:name w:val="xl68"/>
    <w:basedOn w:val="712"/>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107" w:customStyle="1">
    <w:name w:val="目录1"/>
    <w:basedOn w:val="712"/>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108" w:customStyle="1">
    <w:name w:val="NAP Normal"/>
    <w:basedOn w:val="712"/>
    <w:uiPriority w:val="0"/>
    <w:qFormat/>
    <w:pPr>
      <w:spacing w:line="240" w:lineRule="exact"/>
    </w:pPr>
    <w:rPr>
      <w:sz w:val="22"/>
      <w:szCs w:val="22"/>
    </w:rPr>
  </w:style>
  <w:style w:type="paragraph" w:styleId="1109" w:customStyle="1">
    <w:name w:val="xl30"/>
    <w:basedOn w:val="712"/>
    <w:uiPriority w:val="0"/>
    <w:qFormat/>
    <w:pPr>
      <w:jc w:val="left"/>
      <w:spacing w:before="100" w:beforeAutospacing="1" w:after="100" w:afterAutospacing="1"/>
      <w:widowControl/>
    </w:pPr>
    <w:rPr>
      <w:rFonts w:ascii="Arial" w:hAnsi="Arial" w:eastAsia="Arial Unicode MS" w:cs="Arial"/>
      <w:sz w:val="18"/>
      <w:szCs w:val="18"/>
    </w:rPr>
  </w:style>
  <w:style w:type="paragraph" w:styleId="1110" w:customStyle="1">
    <w:name w:val="批注主题1"/>
    <w:basedOn w:val="926"/>
    <w:next w:val="926"/>
    <w:uiPriority w:val="0"/>
    <w:qFormat/>
    <w:rPr>
      <w:rFonts w:ascii="Calibri" w:hAnsi="Calibri" w:eastAsia="宋体" w:cs="Times New Roman"/>
      <w:b/>
      <w:bCs/>
      <w:lang w:val="en-US" w:eastAsia="zh-CN"/>
    </w:rPr>
  </w:style>
  <w:style w:type="paragraph" w:styleId="1111" w:customStyle="1">
    <w:name w:val="小节标题"/>
    <w:basedOn w:val="712"/>
    <w:uiPriority w:val="0"/>
    <w:qFormat/>
    <w:pPr>
      <w:spacing w:before="175" w:after="102" w:line="351" w:lineRule="atLeast"/>
      <w:widowControl/>
    </w:pPr>
    <w:rPr>
      <w:rFonts w:eastAsia="黑体"/>
      <w:color w:val="000000"/>
      <w:szCs w:val="20"/>
    </w:rPr>
  </w:style>
  <w:style w:type="paragraph" w:styleId="1112" w:customStyle="1">
    <w:name w:val="xl61"/>
    <w:basedOn w:val="712"/>
    <w:uiPriority w:val="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13" w:customStyle="1">
    <w:name w:val="xl67"/>
    <w:basedOn w:val="712"/>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14" w:customStyle="1">
    <w:name w:val="xl33"/>
    <w:basedOn w:val="712"/>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115" w:customStyle="1">
    <w:name w:val="HTML 预设格式2"/>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16" w:customStyle="1">
    <w:name w:val="xl63"/>
    <w:basedOn w:val="712"/>
    <w:uiPriority w:val="0"/>
    <w:qFormat/>
    <w:pPr>
      <w:jc w:val="left"/>
      <w:spacing w:before="100" w:beforeAutospacing="1" w:after="100" w:afterAutospacing="1"/>
      <w:widowControl/>
    </w:pPr>
    <w:rPr>
      <w:rFonts w:hint="eastAsia" w:ascii="宋体" w:hAnsi="宋体" w:cs="Arial Unicode MS"/>
      <w:sz w:val="24"/>
    </w:rPr>
  </w:style>
  <w:style w:type="paragraph" w:styleId="1117" w:customStyle="1">
    <w:name w:val="xl43"/>
    <w:basedOn w:val="712"/>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118" w:customStyle="1">
    <w:name w:val="xl35"/>
    <w:basedOn w:val="712"/>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19" w:customStyle="1">
    <w:name w:val="HTML 预设格式11"/>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120" w:customStyle="1">
    <w:name w:val="副标题1"/>
    <w:basedOn w:val="712"/>
    <w:next w:val="712"/>
    <w:uiPriority w:val="0"/>
    <w:qFormat/>
    <w:pPr>
      <w:jc w:val="center"/>
      <w:spacing w:before="240" w:after="60" w:line="312" w:lineRule="auto"/>
      <w:outlineLvl w:val="1"/>
    </w:pPr>
    <w:rPr>
      <w:rFonts w:ascii="Cambria" w:hAnsi="Cambria"/>
      <w:b/>
      <w:bCs/>
      <w:sz w:val="32"/>
      <w:szCs w:val="32"/>
    </w:rPr>
  </w:style>
  <w:style w:type="paragraph" w:styleId="1121" w:customStyle="1">
    <w:name w:val="目录4"/>
    <w:basedOn w:val="712"/>
    <w:uiPriority w:val="0"/>
    <w:qFormat/>
    <w:pPr>
      <w:ind w:firstLine="629"/>
      <w:spacing w:line="317" w:lineRule="atLeast"/>
      <w:widowControl/>
      <w:tabs>
        <w:tab w:val="left" w:pos="7370" w:leader="dot"/>
      </w:tabs>
    </w:pPr>
    <w:rPr>
      <w:color w:val="000000"/>
      <w:szCs w:val="20"/>
    </w:rPr>
  </w:style>
  <w:style w:type="paragraph" w:styleId="1122" w:customStyle="1">
    <w:name w:val="TOC 标题1"/>
    <w:basedOn w:val="901"/>
    <w:next w:val="712"/>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123" w:customStyle="1">
    <w:name w:val="xl41"/>
    <w:basedOn w:val="712"/>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124" w:customStyle="1">
    <w:name w:val="xl64"/>
    <w:basedOn w:val="712"/>
    <w:uiPriority w:val="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125" w:customStyle="1">
    <w:name w:val="font13"/>
    <w:basedOn w:val="712"/>
    <w:uiPriority w:val="0"/>
    <w:qFormat/>
    <w:pPr>
      <w:jc w:val="left"/>
      <w:spacing w:before="100" w:beforeAutospacing="1" w:after="100" w:afterAutospacing="1"/>
      <w:widowControl/>
    </w:pPr>
    <w:rPr>
      <w:rFonts w:hint="eastAsia" w:ascii="宋体" w:hAnsi="宋体" w:cs="Arial Unicode MS"/>
      <w:sz w:val="20"/>
      <w:szCs w:val="20"/>
    </w:rPr>
  </w:style>
  <w:style w:type="paragraph" w:styleId="1126" w:customStyle="1">
    <w:name w:val="black1"/>
    <w:basedOn w:val="712"/>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27" w:customStyle="1">
    <w:name w:val="HTML 预设格式111"/>
    <w:basedOn w:val="7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8" w:customStyle="1">
    <w:name w:val="xl70"/>
    <w:basedOn w:val="712"/>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29" w:customStyle="1">
    <w:name w:val="xl50"/>
    <w:basedOn w:val="712"/>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30" w:customStyle="1">
    <w:name w:val="列出段落1"/>
    <w:basedOn w:val="712"/>
    <w:uiPriority w:val="34"/>
    <w:qFormat/>
    <w:pPr>
      <w:ind w:firstLine="420"/>
    </w:pPr>
  </w:style>
  <w:style w:type="paragraph" w:styleId="1131" w:customStyle="1">
    <w:name w:val="xl71"/>
    <w:basedOn w:val="712"/>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32" w:customStyle="1">
    <w:name w:val="xl58"/>
    <w:basedOn w:val="712"/>
    <w:uiPriority w:val="0"/>
    <w:qFormat/>
    <w:pPr>
      <w:jc w:val="left"/>
      <w:spacing w:before="100" w:beforeAutospacing="1" w:after="100" w:afterAutospacing="1"/>
      <w:widowControl/>
      <w:pBdr>
        <w:top w:val="single" w:color="000000" w:sz="8" w:space="0"/>
      </w:pBdr>
    </w:pPr>
    <w:rPr>
      <w:rFonts w:ascii="Arial" w:hAnsi="Arial" w:eastAsia="Arial Unicode MS" w:cs="Arial"/>
      <w:sz w:val="24"/>
    </w:rPr>
  </w:style>
  <w:style w:type="table" w:styleId="1133" w:customStyle="1">
    <w:name w:val="网格型1"/>
    <w:basedOn w:val="911"/>
    <w:uiPriority w:val="59"/>
    <w:qFormat/>
    <w:rPr>
      <w:rFonts w:ascii="Calibri" w:hAnsi="Calibri"/>
    </w:rPr>
    <w:tblPr/>
  </w:style>
  <w:style w:type="table" w:styleId="1134" w:customStyle="1">
    <w:name w:val="网格型4"/>
    <w:basedOn w:val="911"/>
    <w:uiPriority w:val="0"/>
    <w:qFormat/>
    <w:pPr>
      <w:jc w:val="both"/>
      <w:widowControl w:val="off"/>
    </w:pPr>
    <w:tblPr/>
  </w:style>
  <w:style w:type="table" w:styleId="1135" w:customStyle="1">
    <w:name w:val="网格型31"/>
    <w:basedOn w:val="911"/>
    <w:uiPriority w:val="59"/>
    <w:qFormat/>
    <w:rPr>
      <w:rFonts w:ascii="Calibri" w:hAnsi="Calibri"/>
    </w:rPr>
    <w:tblPr/>
  </w:style>
  <w:style w:type="table" w:styleId="1136" w:customStyle="1">
    <w:name w:val="网格型3"/>
    <w:basedOn w:val="911"/>
    <w:uiPriority w:val="59"/>
    <w:qFormat/>
    <w:rPr>
      <w:rFonts w:ascii="Calibri" w:hAnsi="Calibri"/>
    </w:rPr>
    <w:tblPr/>
  </w:style>
  <w:style w:type="table" w:styleId="1137" w:customStyle="1">
    <w:name w:val="网格型2"/>
    <w:basedOn w:val="911"/>
    <w:uiPriority w:val="59"/>
    <w:qFormat/>
    <w:rPr>
      <w:rFonts w:ascii="Calibri" w:hAnsi="Calibri"/>
    </w:rPr>
    <w:tblPr/>
  </w:style>
  <w:style w:type="numbering" w:styleId="10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刘承杰</cp:lastModifiedBy>
  <cp:revision>6</cp:revision>
  <dcterms:created xsi:type="dcterms:W3CDTF">2023-03-15T09:31:00Z</dcterms:created>
  <dcterms:modified xsi:type="dcterms:W3CDTF">2026-07-27T09:21:39Z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eyJoZGlkIjoiNjY0ZjQ5NjY1ODJiMmFlMTZhNDRlMGY0OGUzNjA2NzUiLCJ1c2VySWQiOiIyNTU1NjEyMzUifQ==</vt:lpwstr>
  </property>
  <property fmtid="{D5CDD505-2E9C-101B-9397-08002B2CF9AE}" pid="3" name="KSOProductBuildVer">
    <vt:lpwstr>2052-12.1.0.26895</vt:lpwstr>
  </property>
  <property fmtid="{D5CDD505-2E9C-101B-9397-08002B2CF9AE}" pid="4" name="ICV">
    <vt:lpwstr>E311C7A170C54639A5AAF8427CB7827E_12</vt:lpwstr>
  </property>
</Properties>
</file>