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Arial" w:hAnsi="Arial" w:eastAsia="黑体" w:cs="Arial"/>
          <w:b/>
          <w:bCs/>
          <w:sz w:val="48"/>
          <w:szCs w:val="48"/>
        </w:rPr>
      </w:pPr>
      <w:r>
        <w:rPr>
          <w:rFonts w:hint="eastAsia" w:ascii="Arial" w:hAnsi="Arial" w:eastAsia="黑体" w:cs="Arial"/>
          <w:b/>
          <w:bCs/>
          <w:sz w:val="48"/>
          <w:szCs w:val="48"/>
        </w:rPr>
        <w:t xml:space="preserve">学校明礼楼购置学习桌、床及床位局部改造项目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招标文件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项目编号：</w:t>
      </w:r>
      <w:r>
        <w:rPr>
          <w:rFonts w:hint="eastAsia" w:ascii="Arial" w:hAnsi="宋体" w:cs="Arial"/>
          <w:b/>
          <w:sz w:val="36"/>
          <w:szCs w:val="36"/>
          <w:lang w:eastAsia="zh-CN"/>
        </w:rPr>
        <w:t xml:space="preserve">JSZC-320000-AWXT-G2026-0005</w:t>
      </w:r>
      <w:r>
        <w:rPr>
          <w:rFonts w:hint="eastAsia" w:ascii="Arial" w:hAnsi="宋体" w:cs="Arial"/>
          <w:b/>
          <w:sz w:val="36"/>
          <w:szCs w:val="36"/>
        </w:rPr>
        <w:t xml:space="preserve"> </w:t>
      </w:r>
      <w:r/>
    </w:p>
    <w:p>
      <w:pPr>
        <w:jc w:val="center"/>
        <w:spacing w:line="360" w:lineRule="auto"/>
        <w:widowControl/>
        <w:rPr>
          <w:rFonts w:ascii="Arial" w:hAnsi="Arial" w:cs="Arial"/>
          <w:b/>
          <w:sz w:val="72"/>
          <w:szCs w:val="72"/>
        </w:rPr>
      </w:pPr>
      <w:r>
        <w:rPr>
          <w:rFonts w:ascii="Arial" w:hAnsi="Arial" w:cs="Arial"/>
          <w:b/>
          <w:sz w:val="72"/>
          <w:szCs w:val="72"/>
        </w:rPr>
      </w:r>
      <w:r/>
    </w:p>
    <w:p>
      <w:pP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江苏万享通咨询有限公司</w:t>
      </w:r>
      <w:r/>
    </w:p>
    <w:p>
      <w:pPr>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2026年5月</w:t>
      </w:r>
      <w:r/>
    </w:p>
    <w:p>
      <w:pPr>
        <w:pStyle w:val="1192"/>
        <w:jc w:val="center"/>
        <w:rPr>
          <w:rFonts w:hint="eastAsia" w:ascii="Arial" w:hAnsi="宋体" w:cs="Arial"/>
          <w:color w:val="auto"/>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hint="eastAsia" w:ascii="Arial" w:hAnsi="宋体" w:cs="Arial"/>
          <w:color w:val="auto"/>
          <w:sz w:val="36"/>
          <w:szCs w:val="36"/>
          <w:lang w:val="zh-CN"/>
        </w:rPr>
      </w:r>
      <w:r/>
    </w:p>
    <w:sdt>
      <w:sdtPr>
        <w15:appearance w15:val="boundingBox"/>
        <w15:color w:val="dbdbdb"/>
        <w:id w:val="147465980"/>
        <w:docPartObj>
          <w:docPartGallery w:val="Table of Contents"/>
          <w:docPartUnique w:val="true"/>
        </w:docPartObj>
        <w:rPr>
          <w:rFonts w:ascii="宋体" w:hAnsi="宋体"/>
        </w:rPr>
      </w:sdtPr>
      <w:sdtContent>
        <w:p>
          <w:pPr>
            <w:jc w:val="center"/>
            <w:spacing w:line="360" w:lineRule="auto"/>
            <w:rPr>
              <w:sz w:val="24"/>
            </w:rPr>
          </w:pPr>
          <w:r>
            <w:rPr>
              <w:rFonts w:ascii="宋体" w:hAnsi="宋体"/>
              <w:sz w:val="24"/>
            </w:rPr>
            <w:t xml:space="preserve">目录</w:t>
          </w:r>
          <w:r/>
        </w:p>
        <w:p>
          <w:pPr>
            <w:pStyle w:val="886"/>
            <w:tabs>
              <w:tab w:val="right" w:pos="8506" w:leader="dot"/>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r>
            <w:rPr>
              <w:rFonts w:ascii="Arial" w:hAnsi="Arial" w:cs="Arial"/>
            </w:rPr>
            <w:fldChar w:fldCharType="begin"/>
          </w:r>
          <w:r>
            <w:rPr>
              <w:rFonts w:ascii="Arial" w:hAnsi="Arial" w:cs="Arial"/>
            </w:rPr>
            <w:instrText xml:space="preserve"> HYPERLINK \l _Toc13503 </w:instrText>
          </w:r>
          <w:r>
            <w:rPr>
              <w:rFonts w:ascii="Arial" w:hAnsi="Arial" w:cs="Arial"/>
            </w:rPr>
            <w:fldChar w:fldCharType="separate"/>
          </w:r>
          <w:r>
            <w:rPr>
              <w:rFonts w:hint="eastAsia" w:ascii="Arial" w:cs="Arial"/>
            </w:rPr>
            <w:t xml:space="preserve">第一章招标公告</w:t>
          </w:r>
          <w:r>
            <w:tab/>
          </w:r>
          <w:r>
            <w:fldChar w:fldCharType="begin"/>
          </w:r>
          <w:r>
            <w:instrText xml:space="preserve"> PAGEREF _Toc13503 \h </w:instrText>
          </w:r>
          <w:r>
            <w:fldChar w:fldCharType="separate"/>
          </w:r>
          <w:r>
            <w:t xml:space="preserve">2</w:t>
          </w:r>
          <w:r>
            <w:fldChar w:fldCharType="end"/>
          </w:r>
          <w:r>
            <w:rPr>
              <w:rFonts w:ascii="Arial" w:hAnsi="Arial" w:cs="Arial"/>
            </w:rPr>
            <w:fldChar w:fldCharType="end"/>
          </w:r>
          <w:r/>
        </w:p>
        <w:p>
          <w:pPr>
            <w:pStyle w:val="886"/>
            <w:tabs>
              <w:tab w:val="right" w:pos="8506" w:leader="dot"/>
            </w:tabs>
          </w:pPr>
          <w:r>
            <w:rPr>
              <w:rFonts w:ascii="Arial" w:hAnsi="Arial" w:cs="Arial"/>
            </w:rPr>
            <w:fldChar w:fldCharType="begin"/>
          </w:r>
          <w:r>
            <w:rPr>
              <w:rFonts w:ascii="Arial" w:hAnsi="Arial" w:cs="Arial"/>
            </w:rPr>
            <w:instrText xml:space="preserve"> HYPERLINK \l _Toc12695 </w:instrText>
          </w:r>
          <w:r>
            <w:rPr>
              <w:rFonts w:ascii="Arial" w:hAnsi="Arial" w:cs="Arial"/>
            </w:rPr>
            <w:fldChar w:fldCharType="separate"/>
          </w:r>
          <w:r>
            <w:rPr>
              <w:rFonts w:hint="eastAsia" w:ascii="Arial" w:cs="Arial"/>
              <w:bCs/>
              <w:szCs w:val="44"/>
            </w:rPr>
            <w:t xml:space="preserve">第二章投标人须知</w:t>
          </w:r>
          <w:r>
            <w:tab/>
          </w:r>
          <w:r>
            <w:fldChar w:fldCharType="begin"/>
          </w:r>
          <w:r>
            <w:instrText xml:space="preserve"> PAGEREF _Toc12695 \h </w:instrText>
          </w:r>
          <w:r>
            <w:fldChar w:fldCharType="separate"/>
          </w:r>
          <w:r>
            <w:t xml:space="preserve">6</w:t>
          </w:r>
          <w:r>
            <w:fldChar w:fldCharType="end"/>
          </w:r>
          <w:r>
            <w:rPr>
              <w:rFonts w:ascii="Arial" w:hAnsi="Arial" w:cs="Arial"/>
            </w:rPr>
            <w:fldChar w:fldCharType="end"/>
          </w:r>
          <w:r/>
        </w:p>
        <w:p>
          <w:pPr>
            <w:pStyle w:val="886"/>
            <w:tabs>
              <w:tab w:val="right" w:pos="8506" w:leader="dot"/>
            </w:tabs>
          </w:pPr>
          <w:r>
            <w:rPr>
              <w:rFonts w:ascii="Arial" w:hAnsi="Arial" w:cs="Arial"/>
            </w:rPr>
            <w:fldChar w:fldCharType="begin"/>
          </w:r>
          <w:r>
            <w:rPr>
              <w:rFonts w:ascii="Arial" w:hAnsi="Arial" w:cs="Arial"/>
            </w:rPr>
            <w:instrText xml:space="preserve"> HYPERLINK \l _Toc18523 </w:instrText>
          </w:r>
          <w:r>
            <w:rPr>
              <w:rFonts w:ascii="Arial" w:hAnsi="Arial" w:cs="Arial"/>
            </w:rPr>
            <w:fldChar w:fldCharType="separate"/>
          </w:r>
          <w:r>
            <w:rPr>
              <w:rFonts w:hint="eastAsia" w:ascii="Arial" w:hAnsi="Arial" w:cs="Arial"/>
            </w:rPr>
            <w:t xml:space="preserve">第三章评标标准</w:t>
          </w:r>
          <w:r>
            <w:tab/>
          </w:r>
          <w:r>
            <w:fldChar w:fldCharType="begin"/>
          </w:r>
          <w:r>
            <w:instrText xml:space="preserve"> PAGEREF _Toc18523 \h </w:instrText>
          </w:r>
          <w:r>
            <w:fldChar w:fldCharType="separate"/>
          </w:r>
          <w:r>
            <w:t xml:space="preserve">19</w:t>
          </w:r>
          <w:r>
            <w:fldChar w:fldCharType="end"/>
          </w:r>
          <w:r>
            <w:rPr>
              <w:rFonts w:ascii="Arial" w:hAnsi="Arial" w:cs="Arial"/>
            </w:rPr>
            <w:fldChar w:fldCharType="end"/>
          </w:r>
          <w:r/>
        </w:p>
        <w:p>
          <w:pPr>
            <w:pStyle w:val="886"/>
            <w:tabs>
              <w:tab w:val="right" w:pos="8506" w:leader="dot"/>
            </w:tabs>
          </w:pPr>
          <w:r>
            <w:rPr>
              <w:rFonts w:ascii="Arial" w:hAnsi="Arial" w:cs="Arial"/>
            </w:rPr>
            <w:fldChar w:fldCharType="begin"/>
          </w:r>
          <w:r>
            <w:rPr>
              <w:rFonts w:ascii="Arial" w:hAnsi="Arial" w:cs="Arial"/>
            </w:rPr>
            <w:instrText xml:space="preserve"> HYPERLINK \l _Toc20506 </w:instrText>
          </w:r>
          <w:r>
            <w:rPr>
              <w:rFonts w:ascii="Arial" w:hAnsi="Arial" w:cs="Arial"/>
            </w:rPr>
            <w:fldChar w:fldCharType="separate"/>
          </w:r>
          <w:r>
            <w:rPr>
              <w:rFonts w:hint="eastAsia" w:ascii="Arial" w:hAnsi="Arial" w:cs="Arial"/>
            </w:rPr>
            <w:t xml:space="preserve">第四章采购需求</w:t>
          </w:r>
          <w:r>
            <w:tab/>
          </w:r>
          <w:r>
            <w:fldChar w:fldCharType="begin"/>
          </w:r>
          <w:r>
            <w:instrText xml:space="preserve"> PAGEREF _Toc20506 \h </w:instrText>
          </w:r>
          <w:r>
            <w:fldChar w:fldCharType="separate"/>
          </w:r>
          <w:r>
            <w:t xml:space="preserve">24</w:t>
          </w:r>
          <w:r>
            <w:fldChar w:fldCharType="end"/>
          </w:r>
          <w:r>
            <w:rPr>
              <w:rFonts w:ascii="Arial" w:hAnsi="Arial" w:cs="Arial"/>
            </w:rPr>
            <w:fldChar w:fldCharType="end"/>
          </w:r>
          <w:r/>
        </w:p>
        <w:p>
          <w:pPr>
            <w:pStyle w:val="886"/>
            <w:tabs>
              <w:tab w:val="right" w:pos="8506" w:leader="dot"/>
            </w:tabs>
          </w:pPr>
          <w:r>
            <w:rPr>
              <w:rFonts w:ascii="Arial" w:hAnsi="Arial" w:cs="Arial"/>
            </w:rPr>
            <w:fldChar w:fldCharType="begin"/>
          </w:r>
          <w:r>
            <w:rPr>
              <w:rFonts w:ascii="Arial" w:hAnsi="Arial" w:cs="Arial"/>
            </w:rPr>
            <w:instrText xml:space="preserve"> HYPERLINK \l _Toc14571 </w:instrText>
          </w:r>
          <w:r>
            <w:rPr>
              <w:rFonts w:ascii="Arial" w:hAnsi="Arial" w:cs="Arial"/>
            </w:rPr>
            <w:fldChar w:fldCharType="separate"/>
          </w:r>
          <w:r>
            <w:rPr>
              <w:rFonts w:hint="eastAsia" w:ascii="Arial" w:cs="Arial"/>
            </w:rPr>
            <w:t xml:space="preserve">第五章合同文本</w:t>
          </w:r>
          <w:r>
            <w:tab/>
          </w:r>
          <w:r>
            <w:fldChar w:fldCharType="begin"/>
          </w:r>
          <w:r>
            <w:instrText xml:space="preserve"> PAGEREF _Toc14571 \h </w:instrText>
          </w:r>
          <w:r>
            <w:fldChar w:fldCharType="separate"/>
          </w:r>
          <w:r>
            <w:t xml:space="preserve">35</w:t>
          </w:r>
          <w:r>
            <w:fldChar w:fldCharType="end"/>
          </w:r>
          <w:r>
            <w:rPr>
              <w:rFonts w:ascii="Arial" w:hAnsi="Arial" w:cs="Arial"/>
            </w:rPr>
            <w:fldChar w:fldCharType="end"/>
          </w:r>
          <w:r/>
        </w:p>
        <w:p>
          <w:pPr>
            <w:pStyle w:val="886"/>
            <w:tabs>
              <w:tab w:val="right" w:pos="8506" w:leader="dot"/>
            </w:tabs>
          </w:pPr>
          <w:r>
            <w:rPr>
              <w:rFonts w:ascii="Arial" w:hAnsi="Arial" w:cs="Arial"/>
            </w:rPr>
            <w:fldChar w:fldCharType="begin"/>
          </w:r>
          <w:r>
            <w:rPr>
              <w:rFonts w:ascii="Arial" w:hAnsi="Arial" w:cs="Arial"/>
            </w:rPr>
            <w:instrText xml:space="preserve"> HYPERLINK \l _Toc4542 </w:instrText>
          </w:r>
          <w:r>
            <w:rPr>
              <w:rFonts w:ascii="Arial" w:hAnsi="Arial" w:cs="Arial"/>
            </w:rPr>
            <w:fldChar w:fldCharType="separate"/>
          </w:r>
          <w:r>
            <w:rPr>
              <w:rFonts w:hint="eastAsia" w:ascii="Arial" w:hAnsi="Arial" w:cs="Arial"/>
            </w:rPr>
            <w:t xml:space="preserve">第六章附件</w:t>
          </w:r>
          <w:r>
            <w:tab/>
          </w:r>
          <w:r>
            <w:fldChar w:fldCharType="begin"/>
          </w:r>
          <w:r>
            <w:instrText xml:space="preserve"> PAGEREF _Toc4542 \h </w:instrText>
          </w:r>
          <w:r>
            <w:fldChar w:fldCharType="separate"/>
          </w:r>
          <w:r>
            <w:t xml:space="preserve">40</w:t>
          </w:r>
          <w:r>
            <w:fldChar w:fldCharType="end"/>
          </w:r>
          <w:r>
            <w:rPr>
              <w:rFonts w:ascii="Arial" w:hAnsi="Arial" w:cs="Arial"/>
            </w:rPr>
            <w:fldChar w:fldCharType="end"/>
          </w:r>
          <w:r/>
        </w:p>
        <w:p>
          <w:pPr>
            <w:jc w:val="center"/>
            <w:spacing w:line="360" w:lineRule="auto"/>
            <w:shd w:val="clear" w:color="auto" w:fill="ffffff"/>
            <w:widowControl/>
            <w:rPr>
              <w:rFonts w:ascii="Arial" w:hAnsi="Arial" w:cs="Arial"/>
              <w:szCs w:val="36"/>
            </w:rPr>
          </w:pPr>
          <w:r>
            <w:rPr>
              <w:rFonts w:ascii="Arial" w:hAnsi="Arial" w:cs="Arial"/>
            </w:rPr>
            <w:fldChar w:fldCharType="end"/>
          </w:r>
          <w:r/>
        </w:p>
      </w:sdtContent>
    </w:sdt>
    <w:p>
      <w:pPr>
        <w:jc w:val="center"/>
        <w:spacing w:line="360" w:lineRule="auto"/>
        <w:shd w:val="clear" w:color="auto" w:fill="ffffff"/>
        <w:widowControl/>
        <w:rPr>
          <w:rFonts w:ascii="Arial" w:hAnsi="Arial" w:cs="Arial"/>
          <w:szCs w:val="36"/>
        </w:rPr>
      </w:pPr>
      <w:r/>
      <w:bookmarkStart w:id="66" w:name="_GoBack"/>
      <w:r/>
      <w:bookmarkEnd w:id="66"/>
      <w:r/>
      <w:r/>
    </w:p>
    <w:p>
      <w:pPr>
        <w:jc w:val="left"/>
        <w:spacing w:line="576" w:lineRule="auto"/>
        <w:widowControl/>
        <w:rPr>
          <w:rFonts w:ascii="Arial" w:hAnsi="Arial" w:cs="Arial"/>
          <w:b/>
          <w:bCs/>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sz w:val="32"/>
          <w:szCs w:val="21"/>
        </w:rPr>
      </w:r>
      <w:r/>
    </w:p>
    <w:p>
      <w:pPr>
        <w:pStyle w:val="853"/>
        <w:numPr>
          <w:ilvl w:val="0"/>
          <w:numId w:val="0"/>
        </w:numPr>
        <w:spacing w:line="578" w:lineRule="auto"/>
        <w:rPr>
          <w:rFonts w:ascii="Arial" w:hAnsi="Arial" w:cs="Arial"/>
          <w:szCs w:val="21"/>
        </w:rPr>
      </w:pPr>
      <w:r/>
      <w:bookmarkStart w:id="0" w:name="_Toc17771"/>
      <w:r/>
      <w:bookmarkStart w:id="1" w:name="_Toc481057143"/>
      <w:r/>
      <w:bookmarkStart w:id="2" w:name="_Toc13503"/>
      <w:r>
        <w:rPr>
          <w:rFonts w:hint="eastAsia" w:ascii="Arial" w:cs="Arial"/>
        </w:rPr>
        <w:t xml:space="preserve">第一章招标公告</w:t>
      </w:r>
      <w:bookmarkEnd w:id="0"/>
      <w:r/>
      <w:bookmarkEnd w:id="1"/>
      <w:r/>
      <w:bookmarkEnd w:id="2"/>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spacing w:val="8"/>
          <w:szCs w:val="21"/>
        </w:rPr>
        <w:t xml:space="preserve">学校明礼楼购置学习桌、床及床位局部改造项目的潜在投标人应在江苏政府采购网获取招标文件，并于2026年</w:t>
      </w:r>
      <w:r>
        <w:rPr>
          <w:rFonts w:hint="eastAsia" w:ascii="Arial" w:hAnsi="Arial" w:cs="Arial"/>
          <w:spacing w:val="8"/>
          <w:szCs w:val="21"/>
          <w:lang w:val="en-US" w:eastAsia="zh-CN"/>
        </w:rPr>
        <w:t xml:space="preserve">6</w:t>
      </w:r>
      <w:r>
        <w:rPr>
          <w:rFonts w:hint="eastAsia" w:ascii="Arial" w:hAnsi="Arial" w:cs="Arial"/>
          <w:spacing w:val="8"/>
          <w:szCs w:val="21"/>
        </w:rPr>
        <w:t xml:space="preserve">月</w:t>
      </w:r>
      <w:r>
        <w:rPr>
          <w:rFonts w:hint="eastAsia" w:ascii="Arial" w:hAnsi="Arial" w:cs="Arial"/>
          <w:spacing w:val="8"/>
          <w:szCs w:val="21"/>
          <w:lang w:val="en-US" w:eastAsia="zh-CN"/>
        </w:rPr>
        <w:t xml:space="preserve">26</w:t>
      </w:r>
      <w:r>
        <w:rPr>
          <w:rFonts w:hint="eastAsia" w:ascii="Arial" w:hAnsi="Arial" w:cs="Arial"/>
          <w:spacing w:val="8"/>
          <w:szCs w:val="21"/>
        </w:rPr>
        <w:t xml:space="preserve">日</w:t>
      </w:r>
      <w:r>
        <w:rPr>
          <w:rFonts w:hint="eastAsia" w:ascii="Arial" w:hAnsi="Arial" w:cs="Arial"/>
          <w:spacing w:val="8"/>
          <w:szCs w:val="21"/>
          <w:lang w:val="en-US" w:eastAsia="zh-CN"/>
        </w:rPr>
        <w:t xml:space="preserve">9</w:t>
      </w:r>
      <w:r>
        <w:rPr>
          <w:rFonts w:hint="eastAsia" w:ascii="Arial" w:hAnsi="Arial" w:cs="Arial"/>
          <w:spacing w:val="8"/>
          <w:szCs w:val="21"/>
        </w:rPr>
        <w:t xml:space="preserve">点</w:t>
      </w:r>
      <w:r>
        <w:rPr>
          <w:rFonts w:hint="eastAsia" w:ascii="Arial" w:hAnsi="Arial" w:cs="Arial"/>
          <w:spacing w:val="8"/>
          <w:szCs w:val="21"/>
          <w:lang w:val="en-US" w:eastAsia="zh-CN"/>
        </w:rPr>
        <w:t xml:space="preserve">30</w:t>
      </w:r>
      <w:r>
        <w:rPr>
          <w:rFonts w:hint="eastAsia" w:ascii="Arial" w:hAnsi="Arial" w:cs="Arial"/>
          <w:spacing w:val="8"/>
          <w:szCs w:val="21"/>
        </w:rPr>
        <w:t xml:space="preserve">分（北京时间）前递交投标文件。</w:t>
      </w:r>
      <w:r/>
    </w:p>
    <w:p>
      <w:pPr>
        <w:ind w:firstLine="369"/>
        <w:spacing w:line="360" w:lineRule="auto"/>
        <w:shd w:val="clear" w:color="auto" w:fill="ffffff"/>
        <w:widowControl/>
        <w:rPr>
          <w:rFonts w:ascii="Arial" w:hAnsi="Arial" w:cs="Arial"/>
          <w:spacing w:val="8"/>
          <w:szCs w:val="21"/>
        </w:rPr>
      </w:pPr>
      <w:r>
        <w:rPr>
          <w:rFonts w:ascii="Arial" w:hAnsi="Arial" w:cs="Arial"/>
          <w:spacing w:val="8"/>
          <w:szCs w:val="21"/>
        </w:rPr>
      </w:r>
      <w:r/>
    </w:p>
    <w:p>
      <w:pPr>
        <w:ind w:firstLine="512"/>
        <w:spacing w:line="360" w:lineRule="auto"/>
        <w:shd w:val="clear" w:color="auto" w:fill="ffffff"/>
        <w:widowControl/>
        <w:rPr>
          <w:rFonts w:ascii="Arial" w:hAnsi="Arial" w:cs="Arial"/>
          <w:b/>
          <w:spacing w:val="8"/>
          <w:sz w:val="24"/>
        </w:rPr>
      </w:pPr>
      <w:r>
        <w:rPr>
          <w:rFonts w:ascii="Arial" w:hAnsi="Arial" w:cs="Arial"/>
          <w:spacing w:val="8"/>
          <w:sz w:val="24"/>
        </w:rPr>
        <w:t xml:space="preserve"> </w:t>
      </w:r>
      <w:r>
        <w:rPr>
          <w:rFonts w:hint="eastAsia" w:ascii="Arial" w:hAnsi="Arial" w:cs="Arial"/>
          <w:b/>
          <w:spacing w:val="8"/>
          <w:sz w:val="24"/>
        </w:rPr>
        <w:t xml:space="preserve">一、项目基本情况</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1.1</w:t>
      </w:r>
      <w:r>
        <w:rPr>
          <w:rFonts w:hint="eastAsia" w:ascii="Arial" w:hAnsi="Arial" w:cs="Arial"/>
          <w:spacing w:val="8"/>
          <w:szCs w:val="21"/>
        </w:rPr>
        <w:t xml:space="preserve">项目编号：</w:t>
      </w:r>
      <w:r>
        <w:rPr>
          <w:rFonts w:hint="eastAsia" w:ascii="Arial" w:hAnsi="Arial" w:cs="Arial"/>
          <w:spacing w:val="8"/>
          <w:szCs w:val="21"/>
          <w:lang w:eastAsia="zh-CN"/>
        </w:rPr>
        <w:t xml:space="preserve">JSZC-320000-AWXT-G2026-0005</w:t>
      </w:r>
      <w:r>
        <w:rPr>
          <w:rFonts w:hint="eastAsia" w:ascii="Arial" w:hAnsi="Arial" w:cs="Arial"/>
          <w:spacing w:val="8"/>
          <w:szCs w:val="21"/>
        </w:rPr>
        <w:t xml:space="preserve">  </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1.2</w:t>
      </w:r>
      <w:r>
        <w:rPr>
          <w:rFonts w:hint="eastAsia" w:ascii="Arial" w:hAnsi="Arial" w:cs="Arial"/>
          <w:spacing w:val="8"/>
          <w:szCs w:val="21"/>
        </w:rPr>
        <w:t xml:space="preserve">项目名称：学校明礼楼购置学习桌、床及床位局部改造项目</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1.3采购方式：公开招标</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4预算金额：</w:t>
      </w:r>
      <w:r>
        <w:rPr>
          <w:rFonts w:hint="eastAsia" w:ascii="Arial" w:hAnsi="Arial" w:cs="Arial"/>
          <w:spacing w:val="8"/>
          <w:szCs w:val="21"/>
          <w:lang w:eastAsia="zh-CN"/>
        </w:rPr>
        <w:t xml:space="preserve">154.5</w:t>
      </w:r>
      <w:r>
        <w:rPr>
          <w:rFonts w:hint="eastAsia" w:ascii="Arial" w:hAnsi="Arial" w:cs="Arial"/>
          <w:spacing w:val="8"/>
          <w:szCs w:val="21"/>
        </w:rPr>
        <w:t xml:space="preserve">万元</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w:t>
      </w:r>
      <w:r>
        <w:rPr>
          <w:rFonts w:hint="eastAsia" w:ascii="Arial" w:hAnsi="Arial" w:cs="Arial"/>
          <w:spacing w:val="8"/>
          <w:szCs w:val="21"/>
          <w:lang w:eastAsia="zh-CN"/>
        </w:rPr>
        <w:t xml:space="preserve">154.5</w:t>
      </w:r>
      <w:r>
        <w:rPr>
          <w:rFonts w:hint="eastAsia" w:ascii="Arial" w:hAnsi="Arial" w:cs="Arial"/>
          <w:spacing w:val="8"/>
          <w:szCs w:val="21"/>
        </w:rPr>
        <w:t xml:space="preserve">万元</w:t>
      </w:r>
      <w:r/>
    </w:p>
    <w:p>
      <w:pPr>
        <w:ind w:firstLine="452"/>
        <w:spacing w:line="360" w:lineRule="auto"/>
        <w:shd w:val="clear" w:color="auto" w:fill="ffffff"/>
        <w:widowControl/>
        <w:rPr>
          <w:rFonts w:hint="eastAsia" w:ascii="宋体" w:hAnsi="宋体" w:cs="Arial"/>
          <w:spacing w:val="8"/>
        </w:rPr>
      </w:pPr>
      <w:r>
        <w:rPr>
          <w:rFonts w:hint="eastAsia" w:ascii="宋体" w:hAnsi="宋体" w:cs="Arial"/>
          <w:spacing w:val="8"/>
        </w:rPr>
        <w:t xml:space="preserve">1.6项目概况：购置学习桌3人位659套，4人位20套;购置床22组，改造床位315组。具体采购需求详见招标文件要求。</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1.7合同履行期限：</w:t>
      </w:r>
      <w:r>
        <w:rPr>
          <w:rFonts w:hint="eastAsia"/>
        </w:rPr>
        <w:t xml:space="preserve">合同签订后30日历天内，送货安装调试完毕。</w:t>
      </w:r>
      <w:r/>
    </w:p>
    <w:p>
      <w:pPr>
        <w:ind w:firstLine="452"/>
        <w:spacing w:line="360" w:lineRule="auto"/>
        <w:shd w:val="clear" w:color="auto" w:fill="ffffff"/>
        <w:widowControl/>
        <w:rPr>
          <w:rFonts w:hint="eastAsia" w:ascii="Arial" w:hAnsi="Arial" w:eastAsia="宋体" w:cs="Arial"/>
          <w:spacing w:val="8"/>
          <w:szCs w:val="21"/>
          <w:lang w:val="en-US" w:eastAsia="zh-CN"/>
        </w:rPr>
      </w:pPr>
      <w:r>
        <w:rPr>
          <w:rFonts w:hint="eastAsia" w:ascii="Arial" w:hAnsi="Arial" w:cs="Arial"/>
          <w:spacing w:val="8"/>
          <w:szCs w:val="21"/>
        </w:rPr>
        <w:t xml:space="preserve">1.8行业划分：</w:t>
      </w:r>
      <w:r>
        <w:rPr>
          <w:rFonts w:hint="eastAsia" w:ascii="宋体" w:hAnsi="宋体" w:cs="Arial"/>
          <w:spacing w:val="8"/>
        </w:rPr>
        <w:t xml:space="preserve">工业</w:t>
      </w:r>
      <w:r>
        <w:rPr>
          <w:rFonts w:hint="eastAsia" w:ascii="宋体" w:hAnsi="宋体" w:cs="Arial"/>
          <w:spacing w:val="8"/>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52"/>
        <w:spacing w:line="360" w:lineRule="auto"/>
        <w:shd w:val="clear" w:color="auto" w:fill="ffffff"/>
        <w:widowControl/>
        <w:rPr>
          <w:rFonts w:hint="eastAsia" w:ascii="Arial" w:hAnsi="Arial" w:eastAsia="宋体" w:cs="Arial"/>
          <w:spacing w:val="8"/>
          <w:szCs w:val="21"/>
          <w:lang w:eastAsia="zh-CN"/>
        </w:rPr>
      </w:pPr>
      <w:r>
        <w:rPr>
          <w:rFonts w:hint="eastAsia" w:ascii="Arial" w:hAnsi="Arial" w:cs="Arial"/>
          <w:spacing w:val="8"/>
          <w:szCs w:val="21"/>
        </w:rPr>
        <w:t xml:space="preserve">1.9</w:t>
      </w:r>
      <w:r>
        <w:rPr>
          <w:rFonts w:hint="eastAsia" w:ascii="宋体" w:hAnsi="宋体" w:cs="Arial"/>
          <w:spacing w:val="8"/>
        </w:rPr>
        <w:t xml:space="preserve">本项目为非专门面向中小企业（或监狱企业或残疾人福利性单位）采购</w:t>
      </w:r>
      <w:r>
        <w:rPr>
          <w:rFonts w:hint="eastAsia" w:ascii="宋体" w:hAnsi="宋体" w:cs="Arial"/>
          <w:spacing w:val="8"/>
          <w:lang w:eastAsia="zh-CN"/>
        </w:rPr>
        <w:t xml:space="preserve">。</w:t>
      </w:r>
      <w:r/>
    </w:p>
    <w:p>
      <w:pPr>
        <w:ind w:firstLine="452"/>
        <w:spacing w:line="360" w:lineRule="auto"/>
        <w:shd w:val="clear" w:color="auto" w:fill="ffffff"/>
        <w:widowControl/>
        <w:rPr>
          <w:rFonts w:hint="eastAsia" w:eastAsia="宋体"/>
          <w:lang w:eastAsia="zh-CN"/>
        </w:rPr>
      </w:pPr>
      <w:r>
        <w:rPr>
          <w:rFonts w:ascii="Arial" w:hAnsi="Arial" w:cs="Arial"/>
          <w:spacing w:val="8"/>
          <w:szCs w:val="21"/>
        </w:rPr>
        <w:t xml:space="preserve">1.</w:t>
      </w:r>
      <w:r>
        <w:rPr>
          <w:rFonts w:hint="eastAsia" w:ascii="Arial" w:hAnsi="Arial" w:cs="Arial"/>
          <w:spacing w:val="8"/>
          <w:szCs w:val="21"/>
        </w:rPr>
        <w:t xml:space="preserve">10</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接受联合体投标</w:t>
      </w:r>
      <w:r>
        <w:rPr>
          <w:rFonts w:hint="eastAsia" w:ascii="Arial" w:hAnsi="Arial" w:cs="Arial"/>
          <w:spacing w:val="8"/>
          <w:szCs w:val="21"/>
          <w:lang w:eastAsia="zh-CN"/>
        </w:rPr>
        <w:t xml:space="preserve">。</w:t>
      </w:r>
      <w:r/>
    </w:p>
    <w:p>
      <w:pPr>
        <w:ind w:firstLine="452"/>
        <w:spacing w:line="360" w:lineRule="auto"/>
        <w:shd w:val="clear" w:color="auto" w:fill="ffffff"/>
        <w:widowControl/>
        <w:rPr>
          <w:rFonts w:hint="eastAsia" w:eastAsia="宋体"/>
          <w:lang w:eastAsia="zh-CN"/>
        </w:rPr>
      </w:pPr>
      <w:r>
        <w:rPr>
          <w:rFonts w:ascii="Arial" w:hAnsi="Arial" w:cs="Arial"/>
          <w:spacing w:val="8"/>
          <w:szCs w:val="21"/>
        </w:rPr>
        <w:t xml:space="preserve">1.</w:t>
      </w:r>
      <w:r>
        <w:rPr>
          <w:rFonts w:hint="eastAsia" w:ascii="Arial" w:hAnsi="Arial" w:cs="Arial"/>
          <w:spacing w:val="8"/>
          <w:szCs w:val="21"/>
        </w:rPr>
        <w:t xml:space="preserve">1</w:t>
      </w:r>
      <w:r>
        <w:rPr>
          <w:rFonts w:hint="eastAsia" w:ascii="Arial" w:hAnsi="Arial" w:cs="Arial"/>
          <w:spacing w:val="8"/>
          <w:szCs w:val="21"/>
          <w:lang w:val="en-US" w:eastAsia="zh-CN"/>
        </w:rPr>
        <w:t xml:space="preserve">1</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w:t>
      </w:r>
      <w:r>
        <w:rPr>
          <w:rFonts w:hint="eastAsia" w:ascii="Arial" w:hAnsi="Arial" w:cs="Arial"/>
          <w:spacing w:val="8"/>
          <w:szCs w:val="21"/>
        </w:rPr>
        <w:t xml:space="preserve">进口产品</w:t>
      </w:r>
      <w:r>
        <w:rPr>
          <w:rFonts w:ascii="Arial" w:hAnsi="Arial" w:cs="Arial"/>
          <w:spacing w:val="8"/>
          <w:szCs w:val="21"/>
        </w:rPr>
        <w:t xml:space="preserve">投标</w:t>
      </w:r>
      <w:r>
        <w:rPr>
          <w:rFonts w:hint="eastAsia" w:ascii="Arial" w:hAnsi="Arial" w:cs="Arial"/>
          <w:spacing w:val="8"/>
          <w:szCs w:val="21"/>
          <w:lang w:eastAsia="zh-CN"/>
        </w:rPr>
        <w:t xml:space="preserve">。</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二、申请人的资格要求：</w:t>
      </w:r>
      <w:r/>
    </w:p>
    <w:p>
      <w:pPr>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p>
    <w:p>
      <w:pPr>
        <w:ind w:firstLine="424"/>
        <w:spacing w:line="460" w:lineRule="exact"/>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p>
    <w:p>
      <w:pPr>
        <w:ind w:firstLine="424"/>
        <w:spacing w:line="460" w:lineRule="exact"/>
        <w:rPr>
          <w:rFonts w:ascii="Arial" w:hAnsi="Arial" w:cs="Arial"/>
          <w:bCs/>
          <w:szCs w:val="21"/>
        </w:rPr>
      </w:pPr>
      <w:r>
        <w:rPr>
          <w:rFonts w:hint="eastAsia" w:ascii="Arial" w:hAnsi="Arial" w:cs="Arial"/>
          <w:bCs/>
          <w:szCs w:val="21"/>
        </w:rPr>
        <w:t xml:space="preserve">（2）具有良好的商业信誉和健全的财务会计制度（提供2025年度财务报告，或投标截止时间前六个月内银行出具的资信证明）；</w:t>
      </w:r>
      <w:r/>
    </w:p>
    <w:p>
      <w:pPr>
        <w:ind w:firstLine="424"/>
        <w:spacing w:line="460" w:lineRule="exact"/>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r>
        <w:rPr>
          <w:rFonts w:ascii="Calibri" w:hAnsi="Calibri" w:cs="Calibri"/>
          <w:bCs/>
          <w:szCs w:val="21"/>
        </w:rPr>
        <w:t xml:space="preserve">①</w:t>
      </w:r>
      <w:r>
        <w:rPr>
          <w:rFonts w:hint="eastAsia" w:ascii="Arial" w:hAnsi="Arial" w:cs="Arial"/>
          <w:bCs/>
          <w:szCs w:val="21"/>
        </w:rPr>
        <w:t xml:space="preserve">提供缴纳税收的凭证；</w:t>
      </w:r>
      <w:r>
        <w:rPr>
          <w:rFonts w:ascii="Calibri" w:hAnsi="Calibri" w:cs="Calibri"/>
          <w:bCs/>
          <w:szCs w:val="21"/>
        </w:rPr>
        <w:t xml:space="preserve">②</w:t>
      </w:r>
      <w:r>
        <w:rPr>
          <w:rFonts w:hint="eastAsia" w:ascii="Arial" w:hAnsi="Arial" w:cs="Arial"/>
          <w:bCs/>
          <w:szCs w:val="21"/>
        </w:rPr>
        <w:t xml:space="preserve">提供缴纳社会保险的凭据，依法享受免缴、缓缴的，提供证明材料）；</w:t>
      </w:r>
      <w:r/>
    </w:p>
    <w:p>
      <w:pPr>
        <w:ind w:firstLine="424"/>
        <w:spacing w:line="460" w:lineRule="exact"/>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p>
    <w:p>
      <w:pPr>
        <w:ind w:firstLine="370"/>
        <w:spacing w:line="460" w:lineRule="atLeast"/>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Arial" w:hAnsi="Arial" w:cs="Arial"/>
          <w:bCs/>
          <w:szCs w:val="21"/>
        </w:rPr>
        <w:t xml:space="preserve">（6）法律、行政法规规定的其他条件</w:t>
      </w:r>
      <w:r>
        <w:rPr>
          <w:rFonts w:hint="eastAsia" w:ascii="Arial" w:hAnsi="Arial" w:cs="Arial"/>
          <w:bCs/>
          <w:szCs w:val="21"/>
          <w:lang w:eastAsia="zh-CN"/>
        </w:rPr>
        <w:t xml:space="preserve">；</w:t>
      </w:r>
      <w:r/>
    </w:p>
    <w:p>
      <w:pPr>
        <w:ind w:firstLine="370"/>
        <w:spacing w:line="460" w:lineRule="exact"/>
        <w:shd w:val="clear" w:color="auto" w:fill="ffffff"/>
        <w:widowControl/>
        <w:rPr>
          <w:rFonts w:ascii="Arial" w:hAnsi="Arial" w:cs="Arial"/>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本项目</w:t>
      </w:r>
      <w:r>
        <w:rPr>
          <w:rFonts w:hint="eastAsia" w:ascii="Arial" w:hAnsi="Arial" w:cs="Arial"/>
          <w:b/>
          <w:spacing w:val="8"/>
          <w:szCs w:val="21"/>
          <w:lang w:val="en-US" w:eastAsia="zh-CN"/>
        </w:rPr>
        <w:t xml:space="preserve">不</w:t>
      </w:r>
      <w:r>
        <w:rPr>
          <w:rFonts w:hint="eastAsia" w:ascii="Arial" w:hAnsi="Arial" w:cs="Arial"/>
          <w:b/>
          <w:spacing w:val="8"/>
          <w:szCs w:val="21"/>
        </w:rPr>
        <w:t xml:space="preserve">专门面向中小企业采购（残疾人福利性单位、监狱企业视同小型、微型企业）。</w:t>
      </w:r>
      <w:r/>
    </w:p>
    <w:p>
      <w:pPr>
        <w:ind w:firstLine="370"/>
        <w:spacing w:line="460" w:lineRule="exact"/>
        <w:shd w:val="clear" w:color="auto" w:fill="ffffff"/>
        <w:widowControl/>
        <w:rPr>
          <w:rFonts w:ascii="Arial" w:hAnsi="Arial" w:cs="Arial"/>
          <w:b/>
          <w:szCs w:val="21"/>
        </w:rPr>
      </w:pPr>
      <w:r>
        <w:rPr>
          <w:rFonts w:hint="eastAsia" w:ascii="Arial" w:hAnsi="Arial" w:cs="Arial"/>
          <w:b/>
          <w:spacing w:val="8"/>
          <w:szCs w:val="21"/>
        </w:rPr>
        <w:t xml:space="preserve">2.3</w:t>
      </w:r>
      <w:r>
        <w:rPr>
          <w:rFonts w:hint="eastAsia" w:ascii="Arial" w:hAnsi="Arial" w:cs="Arial"/>
          <w:b/>
          <w:szCs w:val="21"/>
        </w:rPr>
        <w:t xml:space="preserve">采购人根据采购项目的特殊要求规定的特定条件，并提供符合特殊要求的证明材料或者情况说明：未被“信用中国”网站（www.creditchina.gov.cn）列入失信被执行人、重大税收违法案件当事人名单、政府采购严重失信行为记录名单。</w:t>
      </w:r>
      <w:r/>
    </w:p>
    <w:p>
      <w:pPr>
        <w:ind w:firstLine="456"/>
        <w:spacing w:line="460" w:lineRule="exact"/>
        <w:rPr>
          <w:rFonts w:ascii="Arial" w:hAnsi="Arial" w:cs="Arial"/>
          <w:bCs/>
          <w:szCs w:val="21"/>
        </w:rPr>
      </w:pPr>
      <w:r>
        <w:rPr>
          <w:rFonts w:ascii="Arial" w:hAnsi="Arial" w:cs="Arial"/>
          <w:spacing w:val="8"/>
          <w:szCs w:val="21"/>
        </w:rPr>
        <w:t xml:space="preserve">2.4</w:t>
      </w:r>
      <w:r>
        <w:rPr>
          <w:rFonts w:ascii="Arial" w:hAnsi="Arial" w:cs="Arial"/>
          <w:bCs/>
          <w:szCs w:val="21"/>
        </w:rPr>
        <w:t xml:space="preserve">第2.1（5）条所称重大违法记录，是指供应商因违法经营受到刑事处罚或者责令停产停业、吊销许可证或者执照、较大数额罚款等行政处罚。</w:t>
      </w:r>
      <w:r/>
    </w:p>
    <w:p>
      <w:pPr>
        <w:ind w:firstLine="424"/>
        <w:spacing w:line="460" w:lineRule="exact"/>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56"/>
        <w:spacing w:line="460" w:lineRule="exact"/>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56"/>
        <w:spacing w:line="460" w:lineRule="exact"/>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ind w:firstLine="456"/>
        <w:spacing w:line="460" w:lineRule="exact"/>
        <w:rPr>
          <w:rFonts w:ascii="Arial" w:hAnsi="Arial" w:cs="Arial"/>
          <w:bCs/>
          <w:szCs w:val="21"/>
        </w:rPr>
      </w:pPr>
      <w:r>
        <w:rPr>
          <w:rFonts w:ascii="Arial" w:hAnsi="Arial" w:cs="Arial"/>
          <w:bCs/>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szCs w:val="21"/>
        </w:rPr>
        <w:t xml:space="preserve">在进行资格审查的同时</w:t>
      </w:r>
      <w:r>
        <w:rPr>
          <w:rFonts w:ascii="Arial" w:hAnsi="Arial" w:cs="Arial"/>
          <w:bCs/>
          <w:szCs w:val="21"/>
        </w:rPr>
        <w:t xml:space="preserve">，</w:t>
      </w:r>
      <w:r>
        <w:rPr>
          <w:rFonts w:hint="eastAsia" w:ascii="Arial" w:hAnsi="Arial" w:cs="Arial"/>
          <w:bCs/>
          <w:szCs w:val="21"/>
        </w:rPr>
        <w:t xml:space="preserve">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网站等渠道查询投标人信用记录并保存。</w:t>
      </w:r>
      <w:r/>
    </w:p>
    <w:p>
      <w:pPr>
        <w:ind w:firstLine="456"/>
        <w:rPr>
          <w:rFonts w:ascii="Arial" w:hAnsi="Arial" w:cs="Arial"/>
          <w:bCs/>
          <w:szCs w:val="21"/>
        </w:rPr>
      </w:pPr>
      <w:r>
        <w:rPr>
          <w:rFonts w:ascii="Arial" w:hAnsi="Arial" w:cs="Arial"/>
          <w:bCs/>
          <w:szCs w:val="21"/>
        </w:rPr>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三、获取招标文件</w:t>
      </w:r>
      <w:r/>
    </w:p>
    <w:p>
      <w:pPr>
        <w:ind w:firstLine="452"/>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3.1</w:t>
      </w:r>
      <w:r>
        <w:rPr>
          <w:rFonts w:hint="eastAsia" w:ascii="宋体" w:hAnsi="宋体" w:cs="宋体"/>
          <w:bCs/>
          <w:szCs w:val="21"/>
        </w:rPr>
        <w:t xml:space="preserve">时间：自招标文件公告发布之日起5个工作日。</w:t>
      </w:r>
      <w:r/>
    </w:p>
    <w:p>
      <w:pPr>
        <w:ind w:firstLine="452"/>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3.2</w:t>
      </w:r>
      <w:r>
        <w:rPr>
          <w:rFonts w:hint="eastAsia" w:ascii="宋体" w:hAnsi="宋体" w:cs="宋体"/>
          <w:bCs/>
          <w:szCs w:val="21"/>
        </w:rPr>
        <w:t xml:space="preserve">地点：江苏政府采购网（http://www.ccgp-jiangsu.gov.cn/）。</w:t>
      </w:r>
      <w:r/>
    </w:p>
    <w:p>
      <w:pPr>
        <w:ind w:firstLine="452"/>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3.3</w:t>
      </w:r>
      <w:r>
        <w:rPr>
          <w:rFonts w:hint="eastAsia" w:ascii="宋体" w:hAnsi="宋体" w:cs="宋体"/>
          <w:bCs/>
          <w:szCs w:val="21"/>
        </w:rPr>
        <w:t xml:space="preserve">方式：网上下载</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四、提交投标文件截止时间、开标时间和地点</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4.1提交投标文件截止及开标时间：</w:t>
      </w:r>
      <w:r>
        <w:rPr>
          <w:rFonts w:hint="eastAsia" w:ascii="Arial" w:hAnsi="Arial" w:cs="Arial"/>
          <w:bCs/>
          <w:szCs w:val="21"/>
        </w:rPr>
        <w:t xml:space="preserve">2026年</w:t>
      </w:r>
      <w:r>
        <w:rPr>
          <w:rFonts w:hint="eastAsia" w:ascii="Arial" w:hAnsi="Arial" w:cs="Arial"/>
          <w:bCs/>
          <w:szCs w:val="21"/>
          <w:lang w:val="en-US" w:eastAsia="zh-CN"/>
        </w:rPr>
        <w:t xml:space="preserve">6</w:t>
      </w:r>
      <w:r>
        <w:rPr>
          <w:rFonts w:hint="eastAsia" w:ascii="Arial" w:hAnsi="Arial" w:cs="Arial"/>
          <w:bCs/>
          <w:szCs w:val="21"/>
        </w:rPr>
        <w:t xml:space="preserve">月</w:t>
      </w:r>
      <w:r>
        <w:rPr>
          <w:rFonts w:hint="eastAsia" w:ascii="Arial" w:hAnsi="Arial" w:cs="Arial"/>
          <w:bCs/>
          <w:szCs w:val="21"/>
          <w:lang w:val="en-US" w:eastAsia="zh-CN"/>
        </w:rPr>
        <w:t xml:space="preserve">26</w:t>
      </w:r>
      <w:r>
        <w:rPr>
          <w:rFonts w:hint="eastAsia" w:ascii="Arial" w:hAnsi="Arial" w:cs="Arial"/>
          <w:bCs/>
          <w:szCs w:val="21"/>
        </w:rPr>
        <w:t xml:space="preserve">日</w:t>
      </w:r>
      <w:r>
        <w:rPr>
          <w:rFonts w:hint="eastAsia" w:ascii="Arial" w:hAnsi="Arial" w:cs="Arial"/>
          <w:bCs/>
          <w:szCs w:val="21"/>
          <w:lang w:val="en-US" w:eastAsia="zh-CN"/>
        </w:rPr>
        <w:t xml:space="preserve">9</w:t>
      </w:r>
      <w:r>
        <w:rPr>
          <w:rFonts w:hint="eastAsia" w:ascii="Arial" w:hAnsi="Arial" w:cs="Arial"/>
          <w:bCs/>
          <w:szCs w:val="21"/>
        </w:rPr>
        <w:t xml:space="preserve">点</w:t>
      </w:r>
      <w:r>
        <w:rPr>
          <w:rFonts w:hint="eastAsia" w:ascii="Arial" w:hAnsi="Arial" w:cs="Arial"/>
          <w:bCs/>
          <w:szCs w:val="21"/>
          <w:lang w:val="en-US" w:eastAsia="zh-CN"/>
        </w:rPr>
        <w:t xml:space="preserve">30</w:t>
      </w:r>
      <w:r>
        <w:rPr>
          <w:rFonts w:hint="eastAsia" w:ascii="Arial" w:hAnsi="Arial" w:cs="Arial"/>
          <w:bCs/>
          <w:szCs w:val="21"/>
        </w:rPr>
        <w:t xml:space="preserve">分</w:t>
      </w:r>
      <w:r>
        <w:rPr>
          <w:rFonts w:ascii="Arial" w:hAnsi="Arial" w:cs="Arial"/>
          <w:spacing w:val="8"/>
          <w:szCs w:val="21"/>
        </w:rPr>
        <w:t xml:space="preserve">（北京时间）</w:t>
      </w:r>
      <w:r/>
    </w:p>
    <w:p>
      <w:pPr>
        <w:ind w:firstLine="452"/>
        <w:spacing w:line="360" w:lineRule="auto"/>
        <w:rPr>
          <w:rFonts w:ascii="Arial" w:hAnsi="Arial" w:cs="Arial"/>
          <w:spacing w:val="8"/>
          <w:szCs w:val="21"/>
        </w:rPr>
      </w:pPr>
      <w:r>
        <w:rPr>
          <w:rFonts w:ascii="Arial" w:hAnsi="Arial" w:cs="Arial"/>
          <w:spacing w:val="8"/>
          <w:szCs w:val="21"/>
        </w:rPr>
        <w:t xml:space="preserve">4.2提交投标文件地点：</w:t>
      </w:r>
      <w:r>
        <w:rPr>
          <w:rFonts w:ascii="Arial" w:hAnsi="Arial" w:cs="Arial"/>
          <w:szCs w:val="21"/>
        </w:rPr>
        <w:t xml:space="preserve">江苏省政府采购管理交易系统</w:t>
      </w:r>
      <w:r>
        <w:rPr>
          <w:rFonts w:ascii="Arial" w:hAnsi="Arial" w:cs="Arial"/>
          <w:spacing w:val="8"/>
          <w:szCs w:val="21"/>
        </w:rPr>
        <w:t xml:space="preserve">（苏采云）（网址：</w:t>
      </w:r>
      <w:r>
        <w:fldChar w:fldCharType="begin"/>
      </w:r>
      <w:r>
        <w:instrText xml:space="preserve"> HYPERLINK "http://jszfcg.jsczt.cn/）" </w:instrText>
      </w:r>
      <w:r>
        <w:fldChar w:fldCharType="separate"/>
      </w:r>
      <w:r>
        <w:rPr>
          <w:rStyle w:val="907"/>
          <w:rFonts w:ascii="Arial" w:hAnsi="Arial" w:cs="Arial"/>
          <w:color w:val="auto"/>
          <w:spacing w:val="8"/>
          <w:szCs w:val="21"/>
        </w:rPr>
        <w:t xml:space="preserve">http://jszfcg.jsczt.cn/）</w:t>
      </w:r>
      <w:r>
        <w:rPr>
          <w:rStyle w:val="907"/>
          <w:rFonts w:ascii="Arial" w:hAnsi="Arial" w:cs="Arial"/>
          <w:color w:val="auto"/>
          <w:spacing w:val="8"/>
          <w:szCs w:val="21"/>
        </w:rPr>
        <w:fldChar w:fldCharType="end"/>
      </w:r>
      <w:r/>
    </w:p>
    <w:p>
      <w:pPr>
        <w:ind w:firstLine="452"/>
        <w:spacing w:line="360" w:lineRule="auto"/>
        <w:shd w:val="clear" w:color="auto" w:fill="ffffff"/>
        <w:widowControl/>
        <w:rPr>
          <w:rFonts w:hint="eastAsia" w:ascii="Arial" w:hAnsi="Arial" w:eastAsia="宋体" w:cs="Arial"/>
          <w:spacing w:val="8"/>
          <w:szCs w:val="21"/>
          <w:lang w:eastAsia="zh-CN"/>
        </w:rPr>
      </w:pPr>
      <w:r>
        <w:rPr>
          <w:rFonts w:ascii="Arial" w:hAnsi="Arial" w:cs="Arial"/>
          <w:spacing w:val="8"/>
          <w:szCs w:val="21"/>
        </w:rPr>
        <w:t xml:space="preserve">4.3开标地点：“苏采云”开标大厅</w:t>
      </w:r>
      <w:r>
        <w:rPr>
          <w:rFonts w:hint="eastAsia" w:ascii="Arial" w:hAnsi="Arial" w:cs="Arial"/>
          <w:spacing w:val="8"/>
          <w:szCs w:val="21"/>
          <w:lang w:eastAsia="zh-CN"/>
        </w:rPr>
        <w:t xml:space="preserve">。</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五、公告期限</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自本公告发布之日起</w:t>
      </w:r>
      <w:r>
        <w:rPr>
          <w:rFonts w:ascii="Arial" w:hAnsi="Arial" w:cs="Arial"/>
          <w:spacing w:val="8"/>
          <w:szCs w:val="21"/>
        </w:rPr>
        <w:t xml:space="preserve">5</w:t>
      </w:r>
      <w:r>
        <w:rPr>
          <w:rFonts w:hint="eastAsia" w:ascii="Arial" w:hAnsi="Arial" w:cs="Arial"/>
          <w:spacing w:val="8"/>
          <w:szCs w:val="21"/>
        </w:rPr>
        <w:t xml:space="preserve">个工作日。</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六、其他补充事宜</w:t>
      </w:r>
      <w:r/>
    </w:p>
    <w:p>
      <w:pPr>
        <w:ind w:firstLine="420"/>
        <w:spacing w:line="360" w:lineRule="auto"/>
        <w:rPr>
          <w:rFonts w:ascii="Arial" w:hAnsi="Arial" w:cs="Arial"/>
          <w:bCs/>
          <w:szCs w:val="21"/>
          <w:lang w:val="zh-CN"/>
        </w:rPr>
      </w:pPr>
      <w:r>
        <w:rPr>
          <w:rFonts w:ascii="Arial" w:hAnsi="Arial" w:cs="Arial"/>
          <w:bCs/>
          <w:szCs w:val="21"/>
          <w:lang w:val="zh-CN"/>
        </w:rPr>
        <w:t xml:space="preserve">6.1本项目在江苏政府采购网、中国政府采购网网站发布公告。</w:t>
      </w:r>
      <w:r/>
    </w:p>
    <w:p>
      <w:pPr>
        <w:ind w:firstLine="420"/>
        <w:spacing w:line="360" w:lineRule="auto"/>
        <w:rPr>
          <w:rFonts w:ascii="Arial" w:hAnsi="Arial" w:cs="Arial"/>
          <w:bCs/>
          <w:szCs w:val="21"/>
        </w:rPr>
      </w:pPr>
      <w:r>
        <w:rPr>
          <w:rFonts w:ascii="Arial" w:hAnsi="Arial" w:cs="Arial"/>
          <w:bCs/>
          <w:szCs w:val="21"/>
          <w:lang w:val="zh-CN"/>
        </w:rPr>
        <w:t xml:space="preserve">6.</w:t>
      </w:r>
      <w:r>
        <w:rPr>
          <w:rFonts w:ascii="Arial" w:hAnsi="Arial" w:cs="Arial"/>
          <w:bCs/>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bCs/>
          <w:szCs w:val="21"/>
        </w:rPr>
      </w:pPr>
      <w:r>
        <w:rPr>
          <w:rFonts w:ascii="Arial" w:hAnsi="Arial" w:cs="Arial"/>
          <w:bCs/>
          <w:szCs w:val="21"/>
        </w:rPr>
        <w:t xml:space="preserve">操作手册下载地址：http://www.ccgp-jiangsu.gov.cn/jiangsu/zlxz/ee/ee3a4bc5a3454aa2b0d9312230633ce9.html</w:t>
      </w:r>
      <w:r/>
    </w:p>
    <w:p>
      <w:pPr>
        <w:ind w:firstLine="420"/>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szCs w:val="21"/>
        </w:rPr>
      </w:pPr>
      <w:r>
        <w:rPr>
          <w:rFonts w:ascii="Arial" w:hAnsi="Arial" w:cs="Arial"/>
          <w:bCs/>
          <w:szCs w:val="21"/>
        </w:rPr>
        <w:t xml:space="preserve">有关本次招标的事项若存在变动或修改，请及时关注“江苏政府采购网”（www.ccgp-jiangsu.gov.cn）更正公告。</w:t>
      </w:r>
      <w:r/>
    </w:p>
    <w:p>
      <w:pPr>
        <w:ind w:firstLine="452"/>
        <w:spacing w:line="360" w:lineRule="auto"/>
        <w:rPr>
          <w:rFonts w:ascii="Arial" w:hAnsi="Arial" w:cs="Arial"/>
          <w:bCs/>
          <w:szCs w:val="21"/>
        </w:rPr>
      </w:pPr>
      <w:r>
        <w:rPr>
          <w:rFonts w:ascii="Arial" w:hAnsi="Arial" w:cs="Arial"/>
          <w:bCs/>
          <w:szCs w:val="21"/>
        </w:rPr>
        <w:t xml:space="preserve">6.</w:t>
      </w:r>
      <w:r>
        <w:rPr>
          <w:rFonts w:hint="eastAsia" w:ascii="Arial" w:hAnsi="Arial" w:cs="Arial"/>
          <w:bCs/>
          <w:szCs w:val="21"/>
        </w:rPr>
        <w:t xml:space="preserve">3</w:t>
      </w:r>
      <w:r>
        <w:rPr>
          <w:rFonts w:ascii="Arial" w:hAnsi="Arial" w:cs="Arial"/>
          <w:bCs/>
          <w:szCs w:val="21"/>
        </w:rPr>
        <w:t xml:space="preserve"> </w:t>
      </w:r>
      <w:r>
        <w:rPr>
          <w:rFonts w:hint="eastAsia" w:ascii="Arial" w:hAnsi="Arial" w:cs="Arial"/>
          <w:bCs/>
          <w:szCs w:val="21"/>
        </w:rPr>
        <w:t xml:space="preserve">踏勘</w:t>
      </w:r>
      <w:r>
        <w:rPr>
          <w:rFonts w:ascii="Arial" w:hAnsi="Arial" w:cs="Arial"/>
          <w:bCs/>
          <w:szCs w:val="21"/>
        </w:rPr>
        <w:t xml:space="preserve">现场：</w:t>
      </w:r>
      <w:r>
        <w:rPr>
          <w:rFonts w:hint="eastAsia" w:ascii="Arial" w:hAnsi="Arial" w:cs="Arial"/>
          <w:bCs/>
          <w:szCs w:val="21"/>
        </w:rPr>
        <w:t xml:space="preserve">自行踏勘现场</w:t>
      </w:r>
      <w:r/>
    </w:p>
    <w:p>
      <w:pPr>
        <w:ind w:firstLine="452"/>
        <w:spacing w:line="360" w:lineRule="auto"/>
        <w:rPr>
          <w:rFonts w:ascii="Arial" w:hAnsi="Arial" w:cs="Arial"/>
          <w:bCs/>
          <w:szCs w:val="21"/>
        </w:rPr>
      </w:pPr>
      <w:r>
        <w:rPr>
          <w:rFonts w:hint="eastAsia" w:ascii="Arial" w:hAnsi="Arial" w:cs="Arial"/>
          <w:bCs/>
          <w:szCs w:val="21"/>
        </w:rPr>
        <w:t xml:space="preserve">踏勘时间：须在报名截止后两个工作日内完成现场踏勘</w:t>
      </w:r>
      <w:r/>
    </w:p>
    <w:p>
      <w:pPr>
        <w:ind w:firstLine="452"/>
        <w:spacing w:line="360" w:lineRule="auto"/>
        <w:rPr>
          <w:rFonts w:hint="eastAsia" w:ascii="宋体" w:hAnsi="宋体" w:cs="宋体"/>
          <w:spacing w:val="8"/>
          <w:szCs w:val="21"/>
        </w:rPr>
      </w:pPr>
      <w:r>
        <w:rPr>
          <w:rFonts w:hint="eastAsia" w:ascii="Arial" w:hAnsi="Arial" w:cs="Arial"/>
          <w:bCs/>
          <w:szCs w:val="21"/>
        </w:rPr>
        <w:t xml:space="preserve">现场联系人</w:t>
      </w:r>
      <w:r>
        <w:rPr>
          <w:rFonts w:hint="eastAsia" w:ascii="宋体" w:hAnsi="宋体" w:cs="宋体"/>
          <w:spacing w:val="8"/>
          <w:szCs w:val="21"/>
        </w:rPr>
        <w:t xml:space="preserve">：顾老师</w:t>
      </w:r>
      <w:r/>
    </w:p>
    <w:p>
      <w:pPr>
        <w:ind w:firstLine="420"/>
        <w:spacing w:line="360" w:lineRule="auto"/>
        <w:shd w:val="clear" w:color="auto" w:fill="ffffff"/>
        <w:widowControl/>
        <w:rPr>
          <w:rFonts w:hint="eastAsia" w:ascii="宋体" w:hAnsi="宋体" w:cs="宋体"/>
          <w:spacing w:val="8"/>
          <w:szCs w:val="21"/>
          <w:lang w:val="zh-CN"/>
        </w:rPr>
      </w:pPr>
      <w:r>
        <w:rPr>
          <w:rFonts w:hint="eastAsia" w:ascii="宋体" w:hAnsi="宋体" w:cs="宋体"/>
          <w:spacing w:val="8"/>
          <w:szCs w:val="21"/>
        </w:rPr>
        <w:t xml:space="preserve">联系方式</w:t>
      </w:r>
      <w:r>
        <w:rPr>
          <w:rFonts w:hint="eastAsia" w:ascii="宋体" w:hAnsi="宋体" w:cs="宋体"/>
          <w:spacing w:val="8"/>
          <w:szCs w:val="21"/>
          <w:lang w:val="zh-CN"/>
        </w:rPr>
        <w:t xml:space="preserve">：0510-68781109</w:t>
      </w:r>
      <w:r/>
    </w:p>
    <w:p>
      <w:pPr>
        <w:ind w:firstLine="420"/>
        <w:spacing w:line="360" w:lineRule="auto"/>
        <w:shd w:val="clear" w:color="auto" w:fill="ffffff"/>
        <w:widowControl/>
        <w:rPr>
          <w:rFonts w:hint="default" w:ascii="宋体" w:hAnsi="宋体" w:eastAsia="宋体" w:cs="宋体"/>
          <w:spacing w:val="8"/>
          <w:szCs w:val="21"/>
          <w:lang w:val="en-US" w:eastAsia="zh-CN"/>
        </w:rPr>
      </w:pPr>
      <w:r>
        <w:rPr>
          <w:rFonts w:hint="eastAsia" w:ascii="宋体" w:hAnsi="宋体" w:cs="宋体"/>
          <w:spacing w:val="8"/>
          <w:szCs w:val="21"/>
          <w:lang w:val="en-US" w:eastAsia="zh-CN"/>
        </w:rPr>
        <w:t xml:space="preserve">6.4其他补充事宜</w:t>
      </w:r>
      <w:r/>
    </w:p>
    <w:p>
      <w:pPr>
        <w:ind w:firstLine="452"/>
        <w:spacing w:line="360" w:lineRule="auto"/>
        <w:rPr>
          <w:rFonts w:hint="eastAsia" w:ascii="Arial" w:hAnsi="Arial" w:cs="Arial"/>
          <w:bCs/>
          <w:szCs w:val="21"/>
          <w:lang w:val="zh-CN"/>
        </w:rPr>
      </w:pPr>
      <w:r>
        <w:rPr>
          <w:rFonts w:hint="eastAsia" w:ascii="Arial" w:hAnsi="Arial" w:cs="Arial"/>
          <w:bCs/>
          <w:szCs w:val="21"/>
          <w:lang w:val="zh-CN"/>
        </w:rPr>
        <w:t xml:space="preserve">1.因供应商可能会存在操作不熟练、业务不熟悉等因素，为保证开评标流程顺利，供应商如有问题应及时反馈，供应商在投标文件递交截止时间前网上上传电子投标文件。</w:t>
      </w:r>
      <w:r/>
    </w:p>
    <w:p>
      <w:pPr>
        <w:ind w:firstLine="452"/>
        <w:spacing w:line="360" w:lineRule="auto"/>
        <w:rPr>
          <w:rFonts w:hint="eastAsia" w:ascii="Arial" w:hAnsi="Arial" w:cs="Arial"/>
          <w:bCs/>
          <w:szCs w:val="21"/>
          <w:lang w:val="zh-CN"/>
        </w:rPr>
      </w:pPr>
      <w:r>
        <w:rPr>
          <w:rFonts w:hint="eastAsia" w:ascii="Arial" w:hAnsi="Arial" w:cs="Arial"/>
          <w:bCs/>
          <w:szCs w:val="21"/>
          <w:lang w:val="zh-CN"/>
        </w:rPr>
        <w:t xml:space="preserve">2.本项目为不见面开标，仅需在任意地点登录苏采云平台参加开标会议，供应商无需到达开标现场。</w:t>
      </w:r>
      <w:r/>
    </w:p>
    <w:p>
      <w:pPr>
        <w:ind w:firstLine="452"/>
        <w:spacing w:line="360" w:lineRule="auto"/>
        <w:rPr>
          <w:rFonts w:hint="eastAsia" w:ascii="Arial" w:hAnsi="Arial" w:cs="Arial"/>
          <w:bCs/>
          <w:szCs w:val="21"/>
          <w:lang w:val="zh-CN"/>
        </w:rPr>
      </w:pPr>
      <w:r>
        <w:rPr>
          <w:rFonts w:hint="eastAsia" w:ascii="Arial" w:hAnsi="Arial" w:cs="Arial"/>
          <w:bCs/>
          <w:szCs w:val="21"/>
          <w:lang w:val="zh-CN"/>
        </w:rPr>
        <w:t xml:space="preserve">3.纸质投标文件：本项目为不见面开标，供应商无需递交纸质投标文件至现场，中标后中标供应商向采购代理机构提供与电子投标文件完全一致的纸质投标文件（3份：一正、二副）。</w:t>
      </w:r>
      <w:r/>
    </w:p>
    <w:p>
      <w:pPr>
        <w:ind w:firstLine="452"/>
        <w:spacing w:line="360" w:lineRule="auto"/>
        <w:rPr>
          <w:rFonts w:hint="eastAsia" w:ascii="Arial" w:hAnsi="宋体" w:cs="Arial"/>
          <w:szCs w:val="21"/>
        </w:rPr>
      </w:pPr>
      <w:r>
        <w:rPr>
          <w:rFonts w:hint="eastAsia" w:ascii="Arial" w:hAnsi="Arial" w:cs="Arial"/>
          <w:bCs/>
          <w:szCs w:val="21"/>
          <w:lang w:val="zh-CN"/>
        </w:rPr>
        <w:t xml:space="preserve">4.供应商请仔细阅读供应商注册流程和招标文件中关于电子开评标等相关事项，如有问题可发送邮件或电话咨询。</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七、对本次招标提出询问，请按以下方式联系</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7.1采购人信息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名称：江苏省无锡交通高等职业技术学校</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地址：无锡市滨湖区荣巷街道钱荣路98号</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联系人：王老师</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联系方式</w:t>
      </w:r>
      <w:r>
        <w:rPr>
          <w:rFonts w:hint="eastAsia" w:ascii="宋体" w:hAnsi="宋体" w:cs="宋体"/>
          <w:spacing w:val="8"/>
          <w:szCs w:val="21"/>
          <w:lang w:val="zh-CN"/>
        </w:rPr>
        <w:t xml:space="preserve">：0510-68781109</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7.2采购代理机构信息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名 称：江苏万享通咨询有限公司</w:t>
      </w:r>
      <w:r/>
    </w:p>
    <w:p>
      <w:pPr>
        <w:ind w:firstLine="467"/>
        <w:spacing w:line="360" w:lineRule="auto"/>
        <w:rPr>
          <w:rFonts w:hint="eastAsia" w:ascii="宋体" w:hAnsi="宋体" w:cs="宋体"/>
          <w:spacing w:val="8"/>
          <w:szCs w:val="21"/>
        </w:rPr>
      </w:pPr>
      <w:r>
        <w:rPr>
          <w:rFonts w:hint="eastAsia" w:ascii="宋体" w:hAnsi="宋体" w:cs="宋体"/>
          <w:spacing w:val="8"/>
          <w:szCs w:val="21"/>
        </w:rPr>
        <w:t xml:space="preserve">地址：无锡市滨湖区鸿桥路879号15楼</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7.3项目联系方式</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项目联系人：王乾、张娜娜、徐嘉怡</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电　话：0510-83131355</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电子邮箱：694999734@qq.com</w:t>
      </w:r>
      <w:r/>
    </w:p>
    <w:p>
      <w:pPr>
        <w:ind w:firstLine="452"/>
        <w:spacing w:line="360" w:lineRule="auto"/>
        <w:rPr>
          <w:rFonts w:hint="eastAsia" w:ascii="宋体" w:hAnsi="宋体" w:cs="宋体"/>
          <w:spacing w:val="8"/>
          <w:szCs w:val="21"/>
        </w:rPr>
      </w:pPr>
      <w:r>
        <w:rPr>
          <w:rFonts w:hint="eastAsia" w:ascii="宋体" w:hAnsi="宋体" w:cs="宋体"/>
          <w:spacing w:val="8"/>
          <w:szCs w:val="21"/>
        </w:rPr>
      </w:r>
      <w:bookmarkEnd w:id="3"/>
      <w:r/>
    </w:p>
    <w:p>
      <w:pPr>
        <w:ind w:firstLine="643"/>
        <w:jc w:val="center"/>
        <w:spacing w:line="360" w:lineRule="auto"/>
        <w:rPr>
          <w:rFonts w:hint="eastAsia" w:ascii="Arial" w:cs="Arial"/>
          <w:b/>
          <w:bCs/>
          <w:sz w:val="32"/>
          <w:szCs w:val="44"/>
        </w:rPr>
        <w:outlineLvl w:val="0"/>
      </w:pPr>
      <w:r/>
      <w:bookmarkStart w:id="4" w:name="_Toc15050"/>
      <w:r/>
      <w:r/>
    </w:p>
    <w:p>
      <w:pPr>
        <w:rPr>
          <w:rFonts w:hint="eastAsia" w:ascii="Arial" w:cs="Arial"/>
          <w:b/>
          <w:bCs/>
          <w:sz w:val="32"/>
          <w:szCs w:val="44"/>
        </w:rPr>
      </w:pPr>
      <w:r>
        <w:rPr>
          <w:rFonts w:hint="eastAsia" w:ascii="Arial" w:cs="Arial"/>
          <w:b/>
          <w:bCs/>
          <w:sz w:val="32"/>
          <w:szCs w:val="44"/>
        </w:rPr>
        <w:br w:type="page" w:clear="all"/>
      </w:r>
      <w:r/>
    </w:p>
    <w:p>
      <w:pPr>
        <w:ind w:firstLine="643"/>
        <w:jc w:val="center"/>
        <w:spacing w:line="360" w:lineRule="auto"/>
        <w:rPr>
          <w:rFonts w:ascii="Arial" w:cs="Arial"/>
          <w:b/>
          <w:bCs/>
          <w:sz w:val="32"/>
          <w:szCs w:val="44"/>
        </w:rPr>
        <w:outlineLvl w:val="0"/>
      </w:pPr>
      <w:r/>
      <w:bookmarkStart w:id="5" w:name="_Toc12695"/>
      <w:r>
        <w:rPr>
          <w:rFonts w:hint="eastAsia" w:ascii="Arial" w:cs="Arial"/>
          <w:b/>
          <w:bCs/>
          <w:sz w:val="32"/>
          <w:szCs w:val="44"/>
        </w:rPr>
        <w:t xml:space="preserve">第二章</w:t>
      </w:r>
      <w:bookmarkStart w:id="6" w:name="_Toc452625218"/>
      <w:r>
        <w:rPr>
          <w:rFonts w:hint="eastAsia" w:ascii="Arial" w:cs="Arial"/>
          <w:b/>
          <w:bCs/>
          <w:sz w:val="32"/>
          <w:szCs w:val="44"/>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 本国产品支持政策</w:t>
      </w:r>
      <w:r/>
    </w:p>
    <w:p>
      <w:pPr>
        <w:ind w:firstLine="420"/>
        <w:spacing w:line="360" w:lineRule="auto"/>
        <w:shd w:val="clear" w:color="auto" w:fill="ffffff"/>
        <w:widowControl/>
      </w:pPr>
      <w:r>
        <w:rPr>
          <w:rFonts w:hint="eastAsia" w:ascii="Arial" w:hAnsi="Arial" w:cs="Arial"/>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915"/>
        <w:spacing w:line="360" w:lineRule="auto"/>
        <w:rPr>
          <w:rFonts w:ascii="Arial" w:hAnsi="Arial" w:cs="Arial"/>
          <w:color w:val="000000"/>
          <w:szCs w:val="21"/>
        </w:rPr>
      </w:pPr>
      <w:r>
        <w:rPr>
          <w:rFonts w:ascii="Arial" w:hAnsi="Arial" w:cs="Arial"/>
          <w:color w:val="000000"/>
          <w:szCs w:val="21"/>
        </w:rPr>
        <w:t xml:space="preserve">（1）招标公告；</w:t>
      </w:r>
      <w:r/>
    </w:p>
    <w:p>
      <w:pPr>
        <w:pStyle w:val="915"/>
        <w:spacing w:line="360" w:lineRule="auto"/>
        <w:rPr>
          <w:rFonts w:ascii="Arial" w:hAnsi="Arial" w:cs="Arial"/>
          <w:color w:val="000000"/>
          <w:szCs w:val="21"/>
        </w:rPr>
      </w:pPr>
      <w:r>
        <w:rPr>
          <w:rFonts w:ascii="Arial" w:hAnsi="Arial" w:cs="Arial"/>
          <w:color w:val="000000"/>
          <w:szCs w:val="21"/>
        </w:rPr>
        <w:t xml:space="preserve">（2）投标人须知；</w:t>
      </w:r>
      <w:r/>
    </w:p>
    <w:p>
      <w:pPr>
        <w:pStyle w:val="915"/>
        <w:spacing w:line="360" w:lineRule="auto"/>
        <w:rPr>
          <w:rFonts w:ascii="Arial" w:hAnsi="Arial" w:cs="Arial"/>
          <w:color w:val="000000"/>
          <w:szCs w:val="21"/>
        </w:rPr>
      </w:pPr>
      <w:r>
        <w:rPr>
          <w:rFonts w:ascii="Arial" w:hAnsi="Arial" w:cs="Arial"/>
          <w:color w:val="000000"/>
          <w:szCs w:val="21"/>
        </w:rPr>
        <w:t xml:space="preserve">（3）评标标准；</w:t>
      </w:r>
      <w:r/>
    </w:p>
    <w:p>
      <w:pPr>
        <w:pStyle w:val="915"/>
        <w:spacing w:line="360" w:lineRule="auto"/>
        <w:rPr>
          <w:rFonts w:ascii="Arial" w:hAnsi="Arial" w:cs="Arial"/>
          <w:color w:val="000000"/>
          <w:szCs w:val="21"/>
        </w:rPr>
      </w:pPr>
      <w:r>
        <w:rPr>
          <w:rFonts w:ascii="Arial" w:hAnsi="Arial" w:cs="Arial"/>
          <w:color w:val="000000"/>
          <w:szCs w:val="21"/>
        </w:rPr>
        <w:t xml:space="preserve">（4）采购需求；</w:t>
      </w:r>
      <w:r/>
    </w:p>
    <w:p>
      <w:pPr>
        <w:pStyle w:val="915"/>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915"/>
        <w:spacing w:line="360" w:lineRule="auto"/>
        <w:rPr>
          <w:rFonts w:ascii="Arial" w:hAnsi="Arial" w:cs="Arial"/>
          <w:color w:val="000000"/>
          <w:szCs w:val="21"/>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hint="eastAsia"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hint="eastAsia"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hint="eastAsia"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p>
    <w:p>
      <w:pPr>
        <w:pStyle w:val="1120"/>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p>
    <w:p>
      <w:pPr>
        <w:pStyle w:val="1120"/>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p>
    <w:p>
      <w:pPr>
        <w:pStyle w:val="1120"/>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Arial" w:cs="Arial"/>
          <w:bCs/>
          <w:color w:val="000000"/>
          <w:szCs w:val="21"/>
        </w:rPr>
        <w:t xml:space="preserve"> </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6</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7</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hint="eastAsia"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Arial" w:cs="Arial"/>
          <w:b/>
          <w:szCs w:val="21"/>
        </w:rPr>
      </w:pPr>
      <w:r>
        <w:rPr>
          <w:rFonts w:ascii="Arial" w:hAnsi="Arial" w:cs="Arial"/>
          <w:b/>
          <w:szCs w:val="21"/>
        </w:rPr>
        <w:t xml:space="preserve">16.2 </w:t>
      </w:r>
      <w:r>
        <w:rPr>
          <w:rFonts w:hint="eastAsia" w:ascii="Arial" w:hAnsi="Arial" w:cs="Arial"/>
          <w:b/>
          <w:szCs w:val="21"/>
        </w:rPr>
        <w:t xml:space="preserve">招标代理服务费：本次招标，招标代理服务费已考虑在项目预算内，中标人参照《招标代理服务费管理暂行办法》（国家发展计划委员会计价格【2002】1980号）招标收费基准费率70%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2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211"/>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）投标文件含有采购人不能接受的附加条件的；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7" w:name="OLE_LINK3"/>
      <w:r/>
      <w:bookmarkStart w:id="8"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7"/>
      <w:r>
        <w:rPr>
          <w:rFonts w:ascii="Arial" w:hAnsi="Arial" w:cs="Arial"/>
          <w:b/>
          <w:color w:val="000000"/>
          <w:szCs w:val="21"/>
        </w:rPr>
        <w:t xml:space="preserve">。</w:t>
      </w:r>
      <w:bookmarkEnd w:id="8"/>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pStyle w:val="901"/>
        <w:ind w:left="0"/>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5"/>
        <w:spacing w:line="360" w:lineRule="auto"/>
        <w:rPr>
          <w:rFonts w:hint="eastAsia"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915"/>
        <w:spacing w:line="360" w:lineRule="auto"/>
        <w:rPr>
          <w:rFonts w:hint="eastAsia"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rPr>
        <w:t xml:space="preserve">以书面形式向</w:t>
      </w:r>
      <w:r>
        <w:rPr>
          <w:rFonts w:ascii="Arial" w:hAnsi="Arial" w:cs="Arial"/>
          <w:color w:val="000000"/>
          <w:szCs w:val="21"/>
        </w:rPr>
        <w:t xml:space="preserve">采购人或采购代理机构</w:t>
      </w:r>
      <w:r>
        <w:rPr>
          <w:rFonts w:hint="eastAsia" w:ascii="Arial" w:hAnsi="Arial" w:cs="Arial"/>
          <w:color w:val="000000"/>
          <w:szCs w:val="21"/>
        </w:rPr>
        <w:t xml:space="preserve">提出质疑</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5</w:t>
      </w:r>
      <w:r>
        <w:rPr>
          <w:rFonts w:ascii="Arial" w:hAnsi="Arial" w:cs="Arial"/>
          <w:color w:val="00000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rPr>
        <w:t xml:space="preserve">财政部门将依法予以处罚</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6</w:t>
      </w:r>
      <w:r>
        <w:rPr>
          <w:rFonts w:ascii="Arial" w:hAnsi="Arial" w:cs="Arial"/>
          <w:color w:val="000000"/>
          <w:szCs w:val="21"/>
        </w:rPr>
        <w:t xml:space="preserve">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915"/>
        <w:ind w:firstLine="0"/>
        <w:spacing w:line="360" w:lineRule="auto"/>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rPr>
      </w:pPr>
      <w:r>
        <w:rPr>
          <w:rFonts w:ascii="Arial" w:hAnsi="Arial" w:cs="Arial"/>
        </w:rPr>
        <w:br w:type="page" w:clear="all"/>
      </w:r>
      <w:r/>
    </w:p>
    <w:p>
      <w:pPr>
        <w:pStyle w:val="853"/>
        <w:numPr>
          <w:ilvl w:val="0"/>
          <w:numId w:val="0"/>
        </w:numPr>
        <w:spacing w:before="0" w:after="0" w:line="240" w:lineRule="auto"/>
        <w:rPr>
          <w:rFonts w:ascii="Arial" w:hAnsi="Arial" w:cs="Arial"/>
        </w:rPr>
      </w:pPr>
      <w:r/>
      <w:bookmarkStart w:id="9" w:name="_Toc481057145"/>
      <w:r/>
      <w:bookmarkStart w:id="10" w:name="_Toc24664"/>
      <w:r/>
      <w:bookmarkStart w:id="11" w:name="_Toc18523"/>
      <w:r>
        <w:rPr>
          <w:rFonts w:hint="eastAsia" w:ascii="Arial" w:hAnsi="Arial" w:cs="Arial"/>
        </w:rPr>
        <w:t xml:space="preserve">第三章评标标准</w:t>
      </w:r>
      <w:bookmarkEnd w:id="9"/>
      <w:r/>
      <w:bookmarkEnd w:id="10"/>
      <w:r/>
      <w:bookmarkEnd w:id="11"/>
      <w:r/>
      <w:r/>
    </w:p>
    <w:p>
      <w:r/>
      <w:r/>
    </w:p>
    <w:p>
      <w:pPr>
        <w:ind w:firstLine="420"/>
        <w:rPr>
          <w:rFonts w:hint="eastAsia"/>
          <w:lang w:val="en-US" w:eastAsia="zh-CN"/>
        </w:rPr>
      </w:pPr>
      <w:r>
        <w:rPr>
          <w:rFonts w:hint="eastAsia"/>
          <w:lang w:val="en-US"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863"/>
        <w:tblW w:w="9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145"/>
        <w:gridCol w:w="7258"/>
        <w:gridCol w:w="675"/>
      </w:tblGrid>
      <w:tr>
        <w:trPr>
          <w:jc w:val="center"/>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jc w:val="center"/>
              <w:spacing w:line="400" w:lineRule="exact"/>
              <w:rPr>
                <w:rFonts w:hint="eastAsia" w:ascii="宋体" w:hAnsi="宋体" w:cs="宋体"/>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pPr>
              <w:jc w:val="center"/>
              <w:spacing w:line="400" w:lineRule="exact"/>
              <w:rPr>
                <w:rFonts w:hint="eastAsia" w:ascii="宋体" w:hAnsi="宋体" w:cs="宋体"/>
                <w:bCs/>
                <w:szCs w:val="21"/>
              </w:rPr>
            </w:pPr>
            <w:r>
              <w:rPr>
                <w:rFonts w:hint="eastAsia" w:ascii="宋体" w:hAnsi="宋体" w:cs="宋体"/>
                <w:b/>
                <w:bCs/>
                <w:szCs w:val="21"/>
              </w:rPr>
              <w:t xml:space="preserve">评分因素</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pPr>
              <w:jc w:val="center"/>
              <w:spacing w:line="400" w:lineRule="exact"/>
              <w:rPr>
                <w:rFonts w:hint="eastAsia" w:ascii="宋体" w:hAnsi="宋体" w:cs="宋体"/>
                <w:bCs/>
                <w:szCs w:val="21"/>
              </w:rPr>
            </w:pPr>
            <w:r>
              <w:rPr>
                <w:rFonts w:hint="eastAsia" w:ascii="宋体" w:hAnsi="宋体" w:cs="宋体"/>
                <w:b/>
                <w:bCs/>
                <w:szCs w:val="21"/>
              </w:rPr>
              <w:t xml:space="preserve">评审标准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400" w:lineRule="exact"/>
              <w:rPr>
                <w:rFonts w:hint="eastAsia" w:ascii="宋体" w:hAnsi="宋体" w:cs="宋体"/>
                <w:bCs/>
                <w:szCs w:val="21"/>
              </w:rPr>
            </w:pPr>
            <w:r>
              <w:rPr>
                <w:rFonts w:hint="eastAsia" w:ascii="宋体" w:hAnsi="宋体" w:cs="宋体"/>
                <w:b/>
                <w:bCs/>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tcPr>
          <w:p>
            <w:r>
              <w:rPr>
                <w:rFonts w:hint="eastAsia"/>
              </w:rPr>
              <w:t xml:space="preserve">价格分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tcPr>
          <w:p>
            <w:r>
              <w:rPr>
                <w:rFonts w:hint="eastAsia"/>
              </w:rPr>
              <w:t xml:space="preserve">采用低价优先法计算，即满足招标文件要求且投标价格最低的投标报价为评标基准价，其价格分为满分。其他投标人的价格分统一按照下列公式计算：</w:t>
            </w:r>
            <w:r/>
          </w:p>
          <w:p>
            <w:r>
              <w:rPr>
                <w:rFonts w:hint="eastAsia"/>
              </w:rPr>
              <w:t xml:space="preserve">投标报价得分=(评标基准价／投标报价)×价格权值×100。</w:t>
            </w:r>
            <w:r/>
          </w:p>
          <w:p>
            <w:r>
              <w:rPr>
                <w:rFonts w:hint="eastAsia"/>
              </w:rPr>
              <w:t xml:space="preserve">关于价格扣除详见本章第二部分“落实政府采购政策的价格调整”。</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35</w:t>
            </w:r>
            <w:r/>
          </w:p>
        </w:tc>
      </w:tr>
      <w:tr>
        <w:trPr>
          <w:jc w:val="center"/>
          <w:trHeight w:val="90"/>
        </w:trPr>
        <w:tc>
          <w:tcPr>
            <w:tcBorders>
              <w:left w:val="single" w:color="auto" w:sz="4" w:space="0"/>
              <w:right w:val="single" w:color="auto" w:sz="4" w:space="0"/>
            </w:tcBorders>
            <w:tcW w:w="605" w:type="dxa"/>
            <w:vAlign w:val="center"/>
            <w:textDirection w:val="lrTb"/>
            <w:noWrap/>
          </w:tcPr>
          <w:p>
            <w:r>
              <w:rPr>
                <w:rFonts w:hint="eastAsia"/>
              </w:rPr>
              <w:t xml:space="preserve">2</w:t>
            </w:r>
            <w:r/>
          </w:p>
        </w:tc>
        <w:tc>
          <w:tcPr>
            <w:tcBorders>
              <w:left w:val="single" w:color="auto" w:sz="4" w:space="0"/>
              <w:right w:val="single" w:color="auto" w:sz="4" w:space="0"/>
            </w:tcBorders>
            <w:tcW w:w="1145" w:type="dxa"/>
            <w:vAlign w:val="center"/>
            <w:textDirection w:val="lrTb"/>
            <w:noWrap/>
          </w:tcPr>
          <w:p>
            <w:r>
              <w:rPr>
                <w:rFonts w:hint="eastAsia"/>
              </w:rPr>
              <w:t xml:space="preserve">投标人综合情况</w:t>
            </w:r>
            <w:r/>
          </w:p>
        </w:tc>
        <w:tc>
          <w:tcPr>
            <w:tcBorders>
              <w:top w:val="single" w:color="auto" w:sz="4" w:space="0"/>
              <w:left w:val="single" w:color="auto" w:sz="4" w:space="0"/>
              <w:right w:val="single" w:color="auto" w:sz="4" w:space="0"/>
            </w:tcBorders>
            <w:tcW w:w="7258" w:type="dxa"/>
            <w:vAlign w:val="center"/>
            <w:textDirection w:val="lrTb"/>
            <w:noWrap/>
          </w:tcPr>
          <w:p>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8</w:t>
            </w:r>
            <w:r/>
          </w:p>
        </w:tc>
      </w:tr>
      <w:tr>
        <w:trPr>
          <w:jc w:val="center"/>
          <w:trHeight w:val="935"/>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 </w:t>
            </w:r>
            <w:r/>
          </w:p>
          <w:p>
            <w:r>
              <w:rPr>
                <w:rFonts w:hint="eastAsia"/>
              </w:rPr>
              <w:t xml:space="preserve">2.1</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2.1 业绩（3分）：投标人自2022年1月1日以来（以合同签订时间为准）具有与本项目类似项目案例的，每提供一个得1分，本项最高得3分（投标时须提供有效合同扫描件、发票、验收证明）</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3</w:t>
            </w:r>
            <w:r/>
          </w:p>
        </w:tc>
      </w:tr>
      <w:tr>
        <w:trPr>
          <w:jc w:val="center"/>
          <w:trHeight w:val="1274"/>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2.2</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2.2 体系认证证书（3分）：投标人具有有效期内质量管理体系认证、环境管理体系认证、职业健康安全管理体系认证。每项有效证书得1分，本项最高得3分（投标时须提供证书扫描件及该证书在“国家市场监督管理总局-全国认证认可信息公共服务平台”网站查询到的有效认证截图）</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3</w:t>
            </w:r>
            <w:r/>
          </w:p>
        </w:tc>
      </w:tr>
      <w:tr>
        <w:trPr>
          <w:jc w:val="center"/>
          <w:trHeight w:val="90"/>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2.3</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2.3环保产品认证证书（1分）：投标人具有有效期内的CQC中国环保产品认证证书 （投标时须提供证书扫描件及该证书在“国家市场监督管理总局-全国认证认可信息公共服务平台”网站查询到的有效认证截图）</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50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2.4</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2.4 中国环境标志产品认证证书（1分）：投标人具有有效期内的中国环境标志产品认证证书 （投标时须提供证书扫描件及该证书在“国家市场监督管理总局-全国认证认可信息公共服务平台”网站查询到的有效认证截图）</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501"/>
        </w:trPr>
        <w:tc>
          <w:tcPr>
            <w:tcBorders>
              <w:left w:val="single" w:color="auto" w:sz="4" w:space="0"/>
              <w:right w:val="single" w:color="auto" w:sz="4" w:space="0"/>
            </w:tcBorders>
            <w:tcW w:w="605" w:type="dxa"/>
            <w:vAlign w:val="center"/>
            <w:textDirection w:val="lrTb"/>
            <w:noWrap/>
          </w:tcPr>
          <w:p>
            <w:r>
              <w:rPr>
                <w:rFonts w:hint="eastAsia"/>
              </w:rPr>
              <w:t xml:space="preserve">3</w:t>
            </w:r>
            <w:r/>
          </w:p>
        </w:tc>
        <w:tc>
          <w:tcPr>
            <w:tcBorders>
              <w:left w:val="single" w:color="auto" w:sz="4" w:space="0"/>
              <w:right w:val="single" w:color="auto" w:sz="4" w:space="0"/>
            </w:tcBorders>
            <w:tcW w:w="1145" w:type="dxa"/>
            <w:vAlign w:val="center"/>
            <w:textDirection w:val="lrTb"/>
            <w:noWrap/>
          </w:tcPr>
          <w:p>
            <w:r>
              <w:rPr>
                <w:rFonts w:hint="eastAsia"/>
              </w:rPr>
              <w:t xml:space="preserve">售后服务</w:t>
            </w:r>
            <w:r/>
          </w:p>
        </w:tc>
        <w:tc>
          <w:tcPr>
            <w:tcBorders>
              <w:top w:val="single" w:color="auto" w:sz="4" w:space="0"/>
              <w:left w:val="single" w:color="auto" w:sz="4" w:space="0"/>
              <w:right w:val="single" w:color="auto" w:sz="4" w:space="0"/>
            </w:tcBorders>
            <w:tcW w:w="7258" w:type="dxa"/>
            <w:vAlign w:val="center"/>
            <w:textDirection w:val="lrTb"/>
            <w:noWrap/>
          </w:tcPr>
          <w:p>
            <w:pPr>
              <w:jc w:val="left"/>
              <w:rPr>
                <w:rFonts w:hint="eastAsia" w:ascii="宋体" w:hAnsi="宋体" w:cs="Courier New"/>
                <w:color w:val="000000"/>
                <w:szCs w:val="21"/>
              </w:rPr>
            </w:pPr>
            <w:r>
              <w:rPr>
                <w:rFonts w:ascii="宋体" w:hAnsi="宋体" w:cs="Courier New"/>
                <w:color w:val="000000"/>
                <w:szCs w:val="21"/>
              </w:rPr>
              <w:t xml:space="preserve">满足招标文件免费质保期3年要求后,每增加1年得</w:t>
            </w:r>
            <w:r>
              <w:rPr>
                <w:rFonts w:hint="eastAsia" w:ascii="宋体" w:hAnsi="宋体" w:cs="Courier New"/>
                <w:color w:val="000000"/>
                <w:szCs w:val="21"/>
              </w:rPr>
              <w:t xml:space="preserve">0.5</w:t>
            </w:r>
            <w:r>
              <w:rPr>
                <w:rFonts w:ascii="宋体" w:hAnsi="宋体" w:cs="Courier New"/>
                <w:color w:val="000000"/>
                <w:szCs w:val="21"/>
              </w:rPr>
              <w:t xml:space="preserve">分，最高得</w:t>
            </w:r>
            <w:r>
              <w:rPr>
                <w:rFonts w:hint="eastAsia" w:ascii="宋体" w:hAnsi="宋体" w:cs="Courier New"/>
                <w:color w:val="000000"/>
                <w:szCs w:val="21"/>
              </w:rPr>
              <w:t xml:space="preserve">1</w:t>
            </w:r>
            <w:r>
              <w:rPr>
                <w:rFonts w:ascii="宋体" w:hAnsi="宋体" w:cs="Courier New"/>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501"/>
        </w:trPr>
        <w:tc>
          <w:tcPr>
            <w:tcBorders>
              <w:left w:val="single" w:color="auto" w:sz="4" w:space="0"/>
              <w:right w:val="single" w:color="auto" w:sz="4" w:space="0"/>
            </w:tcBorders>
            <w:tcW w:w="605" w:type="dxa"/>
            <w:vAlign w:val="center"/>
            <w:textDirection w:val="lrTb"/>
            <w:noWrap/>
          </w:tcPr>
          <w:p>
            <w:r>
              <w:rPr>
                <w:rFonts w:hint="eastAsia"/>
              </w:rPr>
              <w:t xml:space="preserve">4</w:t>
            </w:r>
            <w:r/>
          </w:p>
        </w:tc>
        <w:tc>
          <w:tcPr>
            <w:tcBorders>
              <w:left w:val="single" w:color="auto" w:sz="4" w:space="0"/>
              <w:right w:val="single" w:color="auto" w:sz="4" w:space="0"/>
            </w:tcBorders>
            <w:tcW w:w="1145" w:type="dxa"/>
            <w:vAlign w:val="center"/>
            <w:textDirection w:val="lrTb"/>
            <w:noWrap/>
          </w:tcPr>
          <w:p>
            <w:r>
              <w:rPr>
                <w:rFonts w:hint="eastAsia"/>
              </w:rPr>
              <w:t xml:space="preserve">产品性能</w:t>
            </w:r>
            <w:r/>
          </w:p>
        </w:tc>
        <w:tc>
          <w:tcPr>
            <w:tcBorders>
              <w:top w:val="single" w:color="auto" w:sz="4" w:space="0"/>
              <w:left w:val="single" w:color="auto" w:sz="4" w:space="0"/>
              <w:right w:val="single" w:color="auto" w:sz="4" w:space="0"/>
            </w:tcBorders>
            <w:tcW w:w="7258" w:type="dxa"/>
            <w:vAlign w:val="center"/>
            <w:textDirection w:val="lrTb"/>
            <w:noWrap/>
          </w:tcPr>
          <w:p>
            <w:r/>
            <w:bookmarkStart w:id="12" w:name="OLE_LINK20"/>
            <w:r>
              <w:rPr>
                <w:rFonts w:hint="eastAsia"/>
              </w:rPr>
              <w:t xml:space="preserve">所投产品原材料和成品检测报告，投标单位或生产厂家须提供具有CMA标识的检测报告扫描件，检测项目需涵盖要求中的所有项目，与要求中所对应的产品名称不同但内容实质相同的视作等同。提供有效的检测报告得分，不提供或提供不完整不得分</w:t>
            </w:r>
            <w:bookmarkEnd w:id="12"/>
            <w:r>
              <w:rPr>
                <w:rFonts w:hint="eastAsia"/>
              </w:rPr>
              <w:t xml:space="preserve">。</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8</w:t>
            </w:r>
            <w:r/>
          </w:p>
        </w:tc>
      </w:tr>
      <w:tr>
        <w:trPr>
          <w:jc w:val="center"/>
          <w:trHeight w:val="1024"/>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4.1</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4.1 E0级实木多层板（1分）</w:t>
            </w:r>
            <w:r/>
          </w:p>
          <w:p>
            <w:r>
              <w:rPr>
                <w:rFonts w:hint="eastAsia"/>
              </w:rPr>
              <w:t xml:space="preserve">检测依据：GB/T 29899-2024、GB 8624-2012或其最新标准</w:t>
            </w:r>
            <w:r/>
          </w:p>
          <w:p>
            <w:r>
              <w:rPr>
                <w:rFonts w:hint="eastAsia"/>
              </w:rPr>
              <w:t xml:space="preserve">检测项目包含：①挥发性有机化合物释放浓度(7d)：苯、甲苯、二甲苯、总挥发性有机化合物(TVOC)未检出；② 燃烧性能：燃烧增长速率指数FIGRA0.2MJ≤60W/s、60s内无燃烧滴落物引燃滤纸现象、烟气毒性等级达到准安全一级ZA1；满足全部参数得1分，不满足参数或检测缺项不得分。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38"/>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4.2</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4.2 封边条（1分）： </w:t>
            </w:r>
            <w:r/>
          </w:p>
          <w:p>
            <w:r>
              <w:rPr>
                <w:rFonts w:hint="eastAsia"/>
              </w:rPr>
              <w:t xml:space="preserve">检测依据：GB/T 40908-2021、GB/T 40906-2021、GB/T 40971-2021、QB/T 4371-2012、或其最新标准</w:t>
            </w:r>
            <w:r/>
          </w:p>
          <w:p>
            <w:r>
              <w:rPr>
                <w:rFonts w:hint="eastAsia"/>
              </w:rPr>
              <w:t xml:space="preserve">检测项目包含：①多溴联苯未检出；②邻苯二甲酸酯增塑剂未检出；③多环芳烃未检出；④抗菌性能（≥2个菌种）抑菌率≥99.9%。满足全部参数得1分，不满足参数或检测缺项不得分。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38"/>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4.3</w:t>
            </w:r>
            <w:r/>
          </w:p>
        </w:tc>
        <w:tc>
          <w:tcPr>
            <w:tcBorders>
              <w:top w:val="single" w:color="auto" w:sz="4" w:space="0"/>
              <w:left w:val="single" w:color="auto" w:sz="4" w:space="0"/>
              <w:right w:val="single" w:color="auto" w:sz="4" w:space="0"/>
            </w:tcBorders>
            <w:tcW w:w="7258" w:type="dxa"/>
            <w:vAlign w:val="center"/>
            <w:textDirection w:val="lrTb"/>
            <w:noWrap/>
          </w:tcPr>
          <w:p>
            <w:pPr>
              <w:rPr>
                <w:lang w:eastAsia="en-US"/>
              </w:rPr>
            </w:pPr>
            <w:r>
              <w:rPr>
                <w:rFonts w:hint="eastAsia"/>
              </w:rPr>
              <w:t xml:space="preserve">4</w:t>
            </w:r>
            <w:r>
              <w:rPr>
                <w:rFonts w:hint="eastAsia"/>
                <w:lang w:eastAsia="en-US"/>
              </w:rPr>
              <w:t xml:space="preserve">.</w:t>
            </w:r>
            <w:r>
              <w:rPr>
                <w:rFonts w:hint="eastAsia"/>
              </w:rPr>
              <w:t xml:space="preserve">3</w:t>
            </w:r>
            <w:r>
              <w:rPr>
                <w:rFonts w:hint="eastAsia"/>
                <w:lang w:eastAsia="en-US"/>
              </w:rPr>
              <w:t xml:space="preserve"> </w:t>
            </w:r>
            <w:r>
              <w:rPr>
                <w:rFonts w:hint="eastAsia"/>
              </w:rPr>
              <w:t xml:space="preserve">阻尼</w:t>
            </w:r>
            <w:r>
              <w:rPr>
                <w:rFonts w:hint="eastAsia"/>
                <w:lang w:eastAsia="en-US"/>
              </w:rPr>
              <w:t xml:space="preserve">铰链（1分）：</w:t>
            </w:r>
            <w:r/>
          </w:p>
          <w:p>
            <w:pPr>
              <w:rPr>
                <w:lang w:eastAsia="en-US"/>
              </w:rPr>
            </w:pPr>
            <w:r>
              <w:rPr>
                <w:rFonts w:hint="eastAsia"/>
                <w:lang w:eastAsia="en-US"/>
              </w:rPr>
              <w:t xml:space="preserve">检测依据：QB/T 3826-1999、QB/T 3827-1999、QB/T 3828-1999、GB/T 10125-2021、GB/T 1741-2020、QB/T 4371-2012、QB/T 2189-2013或其最新标准</w:t>
            </w:r>
            <w:r/>
          </w:p>
          <w:p>
            <w:r>
              <w:rPr>
                <w:rFonts w:hint="eastAsia"/>
              </w:rPr>
              <w:t xml:space="preserve">检测项目包含：①中性盐雾试验100h 10级、乙酸盐雾试验100h 10级、铜盐加速乙酸盐雾试验100h 10级、铜加速乙酸盐雾试验100h 10级；②耐霉菌性等级（≥3个菌种）0级；③抗菌性能（≥2个菌种）抑菌率≥99.9%；④功能(操作力、垂直静载荷、水平静载荷、耐久性&gt;12万次、下沉量)。满足全部参数得1分，不满足参数或检测缺项不得分。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38"/>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4.4</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4.4 导轨（1分） </w:t>
            </w:r>
            <w:r/>
          </w:p>
          <w:p>
            <w:r>
              <w:rPr>
                <w:rFonts w:hint="eastAsia"/>
              </w:rPr>
              <w:t xml:space="preserve">检测依据：QB/T 2454-2013、QB/T 3827-1999或其最新标准</w:t>
            </w:r>
            <w:r/>
          </w:p>
          <w:p>
            <w:r>
              <w:rPr>
                <w:rFonts w:hint="eastAsia"/>
              </w:rPr>
              <w:t xml:space="preserve">检测项目包含：①功能：耐久性(300000次)符合；②乙酸盐雾试验(18h)：镀(涂)层对基体的保护等级10级、镀(涂)层本身耐腐蚀等级10级；满足全部参数得1分，不满足参数或检测缺项不得分。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4.5</w:t>
            </w:r>
            <w:r/>
          </w:p>
        </w:tc>
        <w:tc>
          <w:tcPr>
            <w:tcBorders>
              <w:top w:val="single" w:color="auto" w:sz="4" w:space="0"/>
              <w:left w:val="single" w:color="auto" w:sz="4" w:space="0"/>
              <w:right w:val="single" w:color="auto" w:sz="4" w:space="0"/>
            </w:tcBorders>
            <w:tcW w:w="7258" w:type="dxa"/>
            <w:vAlign w:val="center"/>
            <w:textDirection w:val="lrTb"/>
            <w:noWrap/>
          </w:tcPr>
          <w:p>
            <w:pPr>
              <w:rPr>
                <w:lang w:eastAsia="en-US"/>
              </w:rPr>
            </w:pPr>
            <w:r>
              <w:rPr>
                <w:rFonts w:hint="eastAsia"/>
              </w:rPr>
              <w:t xml:space="preserve">4</w:t>
            </w:r>
            <w:r>
              <w:rPr>
                <w:rFonts w:hint="eastAsia"/>
                <w:lang w:eastAsia="en-US"/>
              </w:rPr>
              <w:t xml:space="preserve">.</w:t>
            </w:r>
            <w:r>
              <w:rPr>
                <w:rFonts w:hint="eastAsia"/>
              </w:rPr>
              <w:t xml:space="preserve">5</w:t>
            </w:r>
            <w:r>
              <w:rPr>
                <w:rFonts w:hint="eastAsia"/>
                <w:lang w:eastAsia="en-US"/>
              </w:rPr>
              <w:t xml:space="preserve"> 立柱（1分）</w:t>
            </w:r>
            <w:r/>
          </w:p>
          <w:p>
            <w:pPr>
              <w:rPr>
                <w:lang w:eastAsia="en-US"/>
              </w:rPr>
            </w:pPr>
            <w:r>
              <w:rPr>
                <w:rFonts w:hint="eastAsia"/>
                <w:lang w:eastAsia="en-US"/>
              </w:rPr>
              <w:t xml:space="preserve">检测依据：GB/T 3325-2024</w:t>
            </w:r>
            <w:r>
              <w:rPr>
                <w:rFonts w:hint="eastAsia"/>
              </w:rPr>
              <w:t xml:space="preserve">、</w:t>
            </w:r>
            <w:r>
              <w:rPr>
                <w:rFonts w:hint="eastAsia"/>
                <w:lang w:eastAsia="en-US"/>
              </w:rPr>
              <w:t xml:space="preserve">GB/T 35607-2024</w:t>
            </w:r>
            <w:r>
              <w:rPr>
                <w:rFonts w:hint="eastAsia"/>
              </w:rPr>
              <w:t xml:space="preserve">、</w:t>
            </w:r>
            <w:r>
              <w:rPr>
                <w:rFonts w:hint="eastAsia"/>
                <w:lang w:eastAsia="en-US"/>
              </w:rPr>
              <w:t xml:space="preserve">GB/T228.1-2021</w:t>
            </w:r>
            <w:r>
              <w:rPr>
                <w:rFonts w:hint="eastAsia"/>
              </w:rPr>
              <w:t xml:space="preserve">、</w:t>
            </w:r>
            <w:r>
              <w:rPr>
                <w:rFonts w:hint="eastAsia"/>
                <w:lang w:eastAsia="en-US"/>
              </w:rPr>
              <w:t xml:space="preserve">QB/T 4767-2014</w:t>
            </w:r>
            <w:r>
              <w:rPr>
                <w:rFonts w:hint="eastAsia"/>
              </w:rPr>
              <w:t xml:space="preserve">、</w:t>
            </w:r>
            <w:r>
              <w:rPr>
                <w:rFonts w:hint="eastAsia"/>
                <w:lang w:eastAsia="en-US"/>
              </w:rPr>
              <w:t xml:space="preserve">QB/T3826-1999</w:t>
            </w:r>
            <w:r>
              <w:rPr>
                <w:rFonts w:hint="eastAsia"/>
              </w:rPr>
              <w:t xml:space="preserve">、</w:t>
            </w:r>
            <w:r>
              <w:rPr>
                <w:rFonts w:hint="eastAsia"/>
                <w:lang w:eastAsia="en-US"/>
              </w:rPr>
              <w:t xml:space="preserve">QB/T3832-1999或其最新标准</w:t>
            </w:r>
            <w:r/>
          </w:p>
          <w:p>
            <w:r>
              <w:rPr>
                <w:rFonts w:hint="eastAsia"/>
              </w:rPr>
              <w:t xml:space="preserve">检测项目包含：①金属喷漆（塑）涂层：硬度（铅笔硬度）；②家具涂层可迁移元素：锑、砷、钡、镉、铬、 铅、汞、硒 均未检出；③抗拉强度≥400 N/mm2、下屈服强度≥270 N/mm2、断后伸长率≥32% ；④金属喷涂层：涂层厚度：60-130μm；⑤耐腐蚀试验：中性盐雾100h，10级；满足全部参数得1分，不满足参数或检测缺项不得分。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4.6</w:t>
            </w:r>
            <w:r/>
          </w:p>
        </w:tc>
        <w:tc>
          <w:tcPr>
            <w:tcBorders>
              <w:top w:val="single" w:color="auto" w:sz="4" w:space="0"/>
              <w:left w:val="single" w:color="auto" w:sz="4" w:space="0"/>
              <w:right w:val="single" w:color="auto" w:sz="4" w:space="0"/>
            </w:tcBorders>
            <w:tcW w:w="7258" w:type="dxa"/>
            <w:vAlign w:val="center"/>
            <w:textDirection w:val="lrTb"/>
            <w:noWrap/>
          </w:tcPr>
          <w:p>
            <w:pPr>
              <w:rPr>
                <w:lang w:eastAsia="en-US"/>
              </w:rPr>
            </w:pPr>
            <w:r>
              <w:rPr>
                <w:rFonts w:hint="eastAsia"/>
              </w:rPr>
              <w:t xml:space="preserve">4</w:t>
            </w:r>
            <w:r>
              <w:rPr>
                <w:rFonts w:hint="eastAsia"/>
                <w:lang w:eastAsia="en-US"/>
              </w:rPr>
              <w:t xml:space="preserve">.</w:t>
            </w:r>
            <w:r>
              <w:rPr>
                <w:rFonts w:hint="eastAsia"/>
              </w:rPr>
              <w:t xml:space="preserve">6</w:t>
            </w:r>
            <w:r>
              <w:rPr>
                <w:rFonts w:hint="eastAsia"/>
                <w:lang w:eastAsia="en-US"/>
              </w:rPr>
              <w:t xml:space="preserve"> 床厅（1分）</w:t>
            </w:r>
            <w:r/>
          </w:p>
          <w:p>
            <w:pPr>
              <w:rPr>
                <w:lang w:eastAsia="en-US"/>
              </w:rPr>
            </w:pPr>
            <w:r>
              <w:rPr>
                <w:rFonts w:hint="eastAsia"/>
                <w:lang w:eastAsia="en-US"/>
              </w:rPr>
              <w:t xml:space="preserve">检测依据：GB/T 3325-2024</w:t>
            </w:r>
            <w:r>
              <w:rPr>
                <w:rFonts w:hint="eastAsia"/>
              </w:rPr>
              <w:t xml:space="preserve">、</w:t>
            </w:r>
            <w:r>
              <w:rPr>
                <w:rFonts w:hint="eastAsia"/>
                <w:lang w:eastAsia="en-US"/>
              </w:rPr>
              <w:t xml:space="preserve">QB/T 4767-2014</w:t>
            </w:r>
            <w:r>
              <w:rPr>
                <w:rFonts w:hint="eastAsia"/>
              </w:rPr>
              <w:t xml:space="preserve">、</w:t>
            </w:r>
            <w:r>
              <w:rPr>
                <w:rFonts w:hint="eastAsia"/>
                <w:lang w:eastAsia="en-US"/>
              </w:rPr>
              <w:t xml:space="preserve">GB/T 35607-2024</w:t>
            </w:r>
            <w:r>
              <w:rPr>
                <w:rFonts w:hint="eastAsia"/>
              </w:rPr>
              <w:t xml:space="preserve">、</w:t>
            </w:r>
            <w:r>
              <w:rPr>
                <w:rFonts w:hint="eastAsia"/>
                <w:lang w:eastAsia="en-US"/>
              </w:rPr>
              <w:t xml:space="preserve">QB/T 3827-1999</w:t>
            </w:r>
            <w:r>
              <w:rPr>
                <w:rFonts w:hint="eastAsia"/>
              </w:rPr>
              <w:t xml:space="preserve">、</w:t>
            </w:r>
            <w:r>
              <w:rPr>
                <w:rFonts w:hint="eastAsia"/>
                <w:lang w:eastAsia="en-US"/>
              </w:rPr>
              <w:t xml:space="preserve">QB/T 3832-1999</w:t>
            </w:r>
            <w:r>
              <w:rPr>
                <w:rFonts w:hint="eastAsia"/>
              </w:rPr>
              <w:t xml:space="preserve">、</w:t>
            </w:r>
            <w:r>
              <w:rPr>
                <w:rFonts w:hint="eastAsia"/>
                <w:lang w:eastAsia="en-US"/>
              </w:rPr>
              <w:t xml:space="preserve">QB/T 4371-2012</w:t>
            </w:r>
            <w:r>
              <w:rPr>
                <w:rFonts w:hint="eastAsia"/>
              </w:rPr>
              <w:t xml:space="preserve">、</w:t>
            </w:r>
            <w:r>
              <w:rPr>
                <w:rFonts w:hint="eastAsia"/>
                <w:lang w:eastAsia="en-US"/>
              </w:rPr>
              <w:t xml:space="preserve">GB/T 231.1-2018</w:t>
            </w:r>
            <w:r>
              <w:rPr>
                <w:rFonts w:hint="eastAsia"/>
              </w:rPr>
              <w:t xml:space="preserve">、</w:t>
            </w:r>
            <w:r>
              <w:rPr>
                <w:rFonts w:hint="eastAsia"/>
                <w:lang w:eastAsia="en-US"/>
              </w:rPr>
              <w:t xml:space="preserve">GB/T 228.1-2021或其最新标准</w:t>
            </w:r>
            <w:r/>
          </w:p>
          <w:p>
            <w:r>
              <w:rPr>
                <w:rFonts w:hint="eastAsia"/>
              </w:rPr>
              <w:t xml:space="preserve">检测项目包含：①金属喷漆（塑）涂层：硬度（铅笔硬度H，应无塑性变形和/或内聚破坏）；②环境属性-家具涂层可迁移元素：锑、砷、钡、镉、铬、 铅、汞、硒 均未检出；③耐腐蚀试验：乙酸盐雾连续喷雾100h，涂层本身的耐腐蚀等级10级，涂层对基体的保护等级10级；④抗拉强度≥400N/mm2，下屈服强度≥280 N/mm2，断后伸长率≥33%；⑤金属喷涂层：附着力；⑥金黄色葡萄球菌；⑦布氏硬度 ；满足全部参数得1分，不满足参数或检测缺项不得分。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4.7</w:t>
            </w:r>
            <w:r/>
          </w:p>
        </w:tc>
        <w:tc>
          <w:tcPr>
            <w:tcBorders>
              <w:top w:val="single" w:color="auto" w:sz="4" w:space="0"/>
              <w:left w:val="single" w:color="auto" w:sz="4" w:space="0"/>
              <w:right w:val="single" w:color="auto" w:sz="4" w:space="0"/>
            </w:tcBorders>
            <w:tcW w:w="7258" w:type="dxa"/>
            <w:vAlign w:val="center"/>
            <w:textDirection w:val="lrTb"/>
            <w:noWrap/>
          </w:tcPr>
          <w:p>
            <w:pPr>
              <w:rPr>
                <w:lang w:eastAsia="en-US"/>
              </w:rPr>
            </w:pPr>
            <w:r>
              <w:rPr>
                <w:rFonts w:hint="eastAsia"/>
              </w:rPr>
              <w:t xml:space="preserve">4</w:t>
            </w:r>
            <w:r>
              <w:rPr>
                <w:rFonts w:hint="eastAsia"/>
                <w:lang w:eastAsia="en-US"/>
              </w:rPr>
              <w:t xml:space="preserve">.</w:t>
            </w:r>
            <w:r>
              <w:rPr>
                <w:rFonts w:hint="eastAsia"/>
              </w:rPr>
              <w:t xml:space="preserve">7</w:t>
            </w:r>
            <w:r>
              <w:rPr>
                <w:rFonts w:hint="eastAsia"/>
                <w:lang w:eastAsia="en-US"/>
              </w:rPr>
              <w:t xml:space="preserve"> 床撑（1分）</w:t>
            </w:r>
            <w:r/>
          </w:p>
          <w:p>
            <w:pPr>
              <w:rPr>
                <w:lang w:eastAsia="en-US"/>
              </w:rPr>
            </w:pPr>
            <w:r>
              <w:rPr>
                <w:rFonts w:hint="eastAsia"/>
                <w:lang w:eastAsia="en-US"/>
              </w:rPr>
              <w:t xml:space="preserve">检测依据：GB/T 3325-2024</w:t>
            </w:r>
            <w:r>
              <w:rPr>
                <w:rFonts w:hint="eastAsia"/>
              </w:rPr>
              <w:t xml:space="preserve">、</w:t>
            </w:r>
            <w:r>
              <w:rPr>
                <w:rFonts w:hint="eastAsia"/>
                <w:lang w:eastAsia="en-US"/>
              </w:rPr>
              <w:t xml:space="preserve">GB/T 35607-2024</w:t>
            </w:r>
            <w:r>
              <w:rPr>
                <w:rFonts w:hint="eastAsia"/>
              </w:rPr>
              <w:t xml:space="preserve">、</w:t>
            </w:r>
            <w:r>
              <w:rPr>
                <w:rFonts w:hint="eastAsia"/>
                <w:lang w:eastAsia="en-US"/>
              </w:rPr>
              <w:t xml:space="preserve">QB/T3828-1999</w:t>
            </w:r>
            <w:r>
              <w:rPr>
                <w:rFonts w:hint="eastAsia"/>
              </w:rPr>
              <w:t xml:space="preserve">、</w:t>
            </w:r>
            <w:r>
              <w:rPr>
                <w:rFonts w:hint="eastAsia"/>
                <w:lang w:eastAsia="en-US"/>
              </w:rPr>
              <w:t xml:space="preserve">QB/T 3832-1999</w:t>
            </w:r>
            <w:r>
              <w:rPr>
                <w:rFonts w:hint="eastAsia"/>
              </w:rPr>
              <w:t xml:space="preserve">、</w:t>
            </w:r>
            <w:r>
              <w:rPr>
                <w:rFonts w:hint="eastAsia"/>
                <w:lang w:eastAsia="en-US"/>
              </w:rPr>
              <w:t xml:space="preserve">GB/T 4336-2016或其最新标准</w:t>
            </w:r>
            <w:r/>
          </w:p>
          <w:p>
            <w:r>
              <w:rPr>
                <w:rFonts w:hint="eastAsia"/>
              </w:rPr>
              <w:t xml:space="preserve">检测项目包含：①金属喷漆（塑）涂层：硬度≥H；②耐腐蚀试验：铜盐加速盐雾连续喷雾100h，涂层本身的耐腐蚀等级10级，涂层对基体的保护等级10级；③化学成分：Mn，S，P，C，Si；④家具涂层可迁移元素8项；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4.8</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4.8环氧聚酯热固粉末（1分）</w:t>
            </w:r>
            <w:r/>
          </w:p>
          <w:p>
            <w:r>
              <w:rPr>
                <w:rFonts w:hint="eastAsia"/>
              </w:rPr>
              <w:t xml:space="preserve">检测依据：HG/T2006-2022、GB18581-2020、GB/T3325-2024、或其最新标准</w:t>
            </w:r>
            <w:r/>
          </w:p>
          <w:p>
            <w:r>
              <w:rPr>
                <w:rFonts w:hint="eastAsia"/>
              </w:rPr>
              <w:t xml:space="preserve">检测项目包含：①附着力；②总铅含量；③可溶性重金属含量：镉含量、铬含量、汞含量；④理化性能-金属喷漆（塑）涂层：硬度；满足全部参数得1分，不满足参数或检测缺项不得分。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w:t>
            </w:r>
            <w:r/>
          </w:p>
        </w:tc>
      </w:tr>
      <w:tr>
        <w:trPr>
          <w:jc w:val="center"/>
          <w:trHeight w:val="606"/>
        </w:trPr>
        <w:tc>
          <w:tcPr>
            <w:tcBorders>
              <w:left w:val="single" w:color="auto" w:sz="4" w:space="0"/>
              <w:right w:val="single" w:color="auto" w:sz="4" w:space="0"/>
            </w:tcBorders>
            <w:tcW w:w="605" w:type="dxa"/>
            <w:vAlign w:val="center"/>
            <w:textDirection w:val="lrTb"/>
            <w:noWrap/>
          </w:tcPr>
          <w:p>
            <w:r>
              <w:rPr>
                <w:rFonts w:hint="eastAsia"/>
              </w:rPr>
              <w:t xml:space="preserve">5</w:t>
            </w:r>
            <w:r/>
          </w:p>
        </w:tc>
        <w:tc>
          <w:tcPr>
            <w:tcBorders>
              <w:left w:val="single" w:color="auto" w:sz="4" w:space="0"/>
              <w:right w:val="single" w:color="auto" w:sz="4" w:space="0"/>
            </w:tcBorders>
            <w:tcW w:w="1145" w:type="dxa"/>
            <w:vAlign w:val="center"/>
            <w:textDirection w:val="lrTb"/>
            <w:noWrap/>
          </w:tcPr>
          <w:p>
            <w:r>
              <w:rPr>
                <w:rFonts w:hint="eastAsia" w:ascii="宋体" w:hAnsi="宋体" w:cs="宋体"/>
                <w:b/>
                <w:bCs/>
                <w:color w:val="000000"/>
              </w:rPr>
              <w:t xml:space="preserve">5.项目方案</w:t>
            </w:r>
            <w:r/>
          </w:p>
        </w:tc>
        <w:tc>
          <w:tcPr>
            <w:tcBorders>
              <w:top w:val="single" w:color="auto" w:sz="4" w:space="0"/>
              <w:left w:val="single" w:color="auto" w:sz="4" w:space="0"/>
              <w:right w:val="single" w:color="auto" w:sz="4" w:space="0"/>
            </w:tcBorders>
            <w:tcW w:w="7258" w:type="dxa"/>
            <w:vAlign w:val="center"/>
            <w:textDirection w:val="lrTb"/>
            <w:noWrap/>
          </w:tcPr>
          <w:p>
            <w:pPr>
              <w:rPr>
                <w:b/>
                <w:bCs/>
              </w:rPr>
            </w:pPr>
            <w:r>
              <w:t xml:space="preserve">项目方案部分（项目实施方案、项目安装方案、质量控制保障方案、售后服务管理及措施）的总页码控制在4000页之内，超出限定页数的内容，不予纳入评审范畴，不计评分分值。</w:t>
            </w:r>
            <w:r>
              <w:rPr>
                <w:rFonts w:hint="eastAsia"/>
              </w:rPr>
              <w:t xml:space="preserve">  </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39</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5.1</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5.1项目实施方案：</w:t>
            </w:r>
            <w:r/>
          </w:p>
          <w:p>
            <w:r>
              <w:rPr>
                <w:rFonts w:hint="eastAsia"/>
              </w:rPr>
              <w:t xml:space="preserve">①整体进度计划（3分）</w:t>
            </w:r>
            <w:r/>
          </w:p>
          <w:p>
            <w:r>
              <w:rPr>
                <w:rFonts w:hint="eastAsia"/>
              </w:rPr>
              <w:t xml:space="preserve">②产品生产工艺质量标准（3分）</w:t>
            </w:r>
            <w:r/>
          </w:p>
          <w:p>
            <w:r>
              <w:rPr>
                <w:rFonts w:hint="eastAsia"/>
              </w:rPr>
              <w:t xml:space="preserve">③产品生产质量控制措施（3分）</w:t>
            </w:r>
            <w:r/>
          </w:p>
          <w:p>
            <w:r>
              <w:rPr>
                <w:rFonts w:hint="eastAsia"/>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1.5分；方案普通且不太完整，针对性、可操作性一般，与项目实际情况符合度一般的，得0.5分；方案无可操作性，不符合项目实际情况或未提供方案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9</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5.2</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5.2项目安装方案：</w:t>
            </w:r>
            <w:r/>
          </w:p>
          <w:p>
            <w:r>
              <w:rPr>
                <w:rFonts w:hint="eastAsia"/>
              </w:rPr>
              <w:t xml:space="preserve">①施工方案（3分）</w:t>
            </w:r>
            <w:r/>
          </w:p>
          <w:p>
            <w:r>
              <w:rPr>
                <w:rFonts w:hint="eastAsia"/>
              </w:rPr>
              <w:t xml:space="preserve">②安全文明安装及环境保护措施（3分）</w:t>
            </w:r>
            <w:r/>
          </w:p>
          <w:p>
            <w:r>
              <w:rPr>
                <w:rFonts w:hint="eastAsia"/>
              </w:rPr>
              <w:t xml:space="preserve">③安装管理制度及成品保护措施（3分）</w:t>
            </w:r>
            <w:r/>
          </w:p>
          <w:p>
            <w:r>
              <w:rPr>
                <w:rFonts w:hint="eastAsia"/>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1.5分；方案普通且不太完整，针对性、可操作性一般，与项目实际情况符合度一般的，得0.5分；方案无可操作性，不符合项目实际情况或未提供方案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9</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5.3</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5.3质量控制保障方案：</w:t>
            </w:r>
            <w:r/>
          </w:p>
          <w:p>
            <w:r>
              <w:rPr>
                <w:rFonts w:hint="eastAsia"/>
              </w:rPr>
              <w:t xml:space="preserve">①产品质量控制方案（4分）</w:t>
            </w:r>
            <w:r/>
          </w:p>
          <w:p>
            <w:r>
              <w:rPr>
                <w:rFonts w:hint="eastAsia"/>
              </w:rPr>
              <w:t xml:space="preserve">②原材料采购保障方案（4分）</w:t>
            </w:r>
            <w:r/>
          </w:p>
          <w:p>
            <w:r>
              <w:rPr>
                <w:rFonts w:hint="eastAsia"/>
              </w:rPr>
              <w:t xml:space="preserve">③投标产品加工工序质量控制点检验（4分）</w:t>
            </w:r>
            <w:r/>
          </w:p>
          <w:p>
            <w:r>
              <w:rPr>
                <w:rFonts w:hint="eastAsia"/>
              </w:rPr>
              <w:t xml:space="preserve">投标人须针对上述每条内容进行阐述，阐述内容必须满足采购需求。每项内的打分标准如下：方案详细完整，针对性强、可操作性强，符合项目实际情况的，得4分；方案详细但不太完整，针对性强、可操作性一般，基本符合项目实际情况的，得2分；方案普通且不太完整，针对性、可操作性一般，与项目实际情况符合度一般的，得0.5分；方案无可操作性，不符合项目实际情况或未提供方案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12</w:t>
            </w:r>
            <w:r/>
          </w:p>
        </w:tc>
      </w:tr>
      <w:tr>
        <w:trPr>
          <w:jc w:val="center"/>
          <w:trHeight w:val="1461"/>
        </w:trPr>
        <w:tc>
          <w:tcPr>
            <w:tcBorders>
              <w:left w:val="single" w:color="auto" w:sz="4" w:space="0"/>
              <w:right w:val="single" w:color="auto" w:sz="4" w:space="0"/>
            </w:tcBorders>
            <w:tcW w:w="605" w:type="dxa"/>
            <w:vAlign w:val="center"/>
            <w:textDirection w:val="lrTb"/>
            <w:noWrap/>
          </w:tcPr>
          <w:p>
            <w:r/>
            <w:r/>
          </w:p>
        </w:tc>
        <w:tc>
          <w:tcPr>
            <w:tcBorders>
              <w:left w:val="single" w:color="auto" w:sz="4" w:space="0"/>
              <w:right w:val="single" w:color="auto" w:sz="4" w:space="0"/>
            </w:tcBorders>
            <w:tcW w:w="1145" w:type="dxa"/>
            <w:vAlign w:val="center"/>
            <w:textDirection w:val="lrTb"/>
            <w:noWrap/>
          </w:tcPr>
          <w:p>
            <w:r>
              <w:rPr>
                <w:rFonts w:hint="eastAsia"/>
              </w:rPr>
              <w:t xml:space="preserve">5.4</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5.4售后服务管理及措施：</w:t>
            </w:r>
            <w:r/>
          </w:p>
          <w:p>
            <w:r>
              <w:rPr>
                <w:rFonts w:hint="eastAsia"/>
              </w:rPr>
              <w:t xml:space="preserve">①售后服务承诺（3分）</w:t>
            </w:r>
            <w:r/>
          </w:p>
          <w:p>
            <w:r>
              <w:rPr>
                <w:rFonts w:hint="eastAsia"/>
              </w:rPr>
              <w:t xml:space="preserve">②现场服务措施及故障解决能力（3分）</w:t>
            </w:r>
            <w:r/>
          </w:p>
          <w:p>
            <w:r>
              <w:rPr>
                <w:rFonts w:hint="eastAsia"/>
              </w:rPr>
              <w:t xml:space="preserve">③应急服务响应时间及售后服务回访（3分）</w:t>
            </w:r>
            <w:r/>
          </w:p>
          <w:p>
            <w:r>
              <w:rPr>
                <w:rFonts w:hint="eastAsia"/>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1.5分；方案普通且不太完整，针对性、可操作性一般，与项目实际情况符合度一般的，得0.5分；方案无可操作性，不符合项目实际情况或未提供方案的，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9</w:t>
            </w:r>
            <w:r/>
          </w:p>
        </w:tc>
      </w:tr>
      <w:tr>
        <w:trPr>
          <w:jc w:val="center"/>
          <w:trHeight w:val="1461"/>
        </w:trPr>
        <w:tc>
          <w:tcPr>
            <w:tcBorders>
              <w:left w:val="single" w:color="auto" w:sz="4" w:space="0"/>
              <w:right w:val="single" w:color="auto" w:sz="4" w:space="0"/>
            </w:tcBorders>
            <w:tcW w:w="605" w:type="dxa"/>
            <w:vAlign w:val="center"/>
            <w:textDirection w:val="lrTb"/>
            <w:noWrap/>
          </w:tcPr>
          <w:p>
            <w:r>
              <w:rPr>
                <w:rFonts w:hint="eastAsia"/>
              </w:rPr>
              <w:t xml:space="preserve">6</w:t>
            </w:r>
            <w:r/>
          </w:p>
        </w:tc>
        <w:tc>
          <w:tcPr>
            <w:tcBorders>
              <w:left w:val="single" w:color="auto" w:sz="4" w:space="0"/>
              <w:right w:val="single" w:color="auto" w:sz="4" w:space="0"/>
            </w:tcBorders>
            <w:tcW w:w="1145" w:type="dxa"/>
            <w:vAlign w:val="center"/>
            <w:textDirection w:val="lrTb"/>
            <w:noWrap/>
          </w:tcPr>
          <w:p>
            <w:r>
              <w:rPr>
                <w:rFonts w:hint="eastAsia" w:ascii="宋体" w:hAnsi="宋体" w:cs="宋体"/>
                <w:b/>
                <w:bCs/>
                <w:color w:val="000000"/>
              </w:rPr>
              <w:t xml:space="preserve">6.产品设计方案</w:t>
            </w:r>
            <w:r/>
          </w:p>
        </w:tc>
        <w:tc>
          <w:tcPr>
            <w:tcBorders>
              <w:top w:val="single" w:color="auto" w:sz="4" w:space="0"/>
              <w:left w:val="single" w:color="auto" w:sz="4" w:space="0"/>
              <w:right w:val="single" w:color="auto" w:sz="4" w:space="0"/>
            </w:tcBorders>
            <w:tcW w:w="7258" w:type="dxa"/>
            <w:vAlign w:val="center"/>
            <w:textDirection w:val="lrTb"/>
            <w:noWrap/>
          </w:tcPr>
          <w:p>
            <w:r>
              <w:rPr>
                <w:rFonts w:hint="eastAsia"/>
              </w:rPr>
              <w:t xml:space="preserve">6.1二连二人位床（3分）：</w:t>
            </w:r>
            <w:r>
              <w:rPr>
                <w:rFonts w:hint="eastAsia"/>
                <w:lang w:val="zh-CN"/>
              </w:rPr>
              <w:t xml:space="preserve">①</w:t>
            </w:r>
            <w:r>
              <w:rPr>
                <w:rFonts w:hint="eastAsia"/>
              </w:rPr>
              <w:t xml:space="preserve">三视图；</w:t>
            </w:r>
            <w:r>
              <w:rPr>
                <w:rFonts w:hint="eastAsia"/>
                <w:lang w:val="zh-CN"/>
              </w:rPr>
              <w:t xml:space="preserve">②</w:t>
            </w:r>
            <w:r>
              <w:rPr>
                <w:rFonts w:hint="eastAsia"/>
              </w:rPr>
              <w:t xml:space="preserve">单体效果图；</w:t>
            </w:r>
            <w:r/>
          </w:p>
          <w:p>
            <w:r>
              <w:rPr>
                <w:rFonts w:hint="eastAsia"/>
              </w:rPr>
              <w:t xml:space="preserve">6.2书桌柜（3分）：</w:t>
            </w:r>
            <w:r>
              <w:rPr>
                <w:rFonts w:hint="eastAsia"/>
                <w:lang w:val="zh-CN"/>
              </w:rPr>
              <w:t xml:space="preserve">①</w:t>
            </w:r>
            <w:r>
              <w:rPr>
                <w:rFonts w:hint="eastAsia"/>
              </w:rPr>
              <w:t xml:space="preserve">三视图；</w:t>
            </w:r>
            <w:r>
              <w:rPr>
                <w:rFonts w:hint="eastAsia"/>
                <w:lang w:val="zh-CN"/>
              </w:rPr>
              <w:t xml:space="preserve">②</w:t>
            </w:r>
            <w:r>
              <w:rPr>
                <w:rFonts w:hint="eastAsia"/>
              </w:rPr>
              <w:t xml:space="preserve">单体效果图；</w:t>
            </w:r>
            <w:r/>
          </w:p>
          <w:p>
            <w:r>
              <w:rPr>
                <w:rFonts w:hint="eastAsia"/>
              </w:rPr>
              <w:t xml:space="preserve">6.3 AB楼6人间宿舍（3分）：</w:t>
            </w:r>
            <w:r>
              <w:rPr>
                <w:rFonts w:hint="eastAsia"/>
                <w:lang w:val="zh-CN"/>
              </w:rPr>
              <w:t xml:space="preserve">①</w:t>
            </w:r>
            <w:r>
              <w:rPr>
                <w:rFonts w:hint="eastAsia"/>
              </w:rPr>
              <w:t xml:space="preserve">平面布局图；</w:t>
            </w:r>
            <w:r>
              <w:rPr>
                <w:rFonts w:hint="eastAsia"/>
                <w:lang w:val="zh-CN"/>
              </w:rPr>
              <w:t xml:space="preserve">②</w:t>
            </w:r>
            <w:r>
              <w:rPr>
                <w:rFonts w:hint="eastAsia"/>
              </w:rPr>
              <w:t xml:space="preserve">整体效果图</w:t>
            </w:r>
            <w:r/>
          </w:p>
          <w:p>
            <w:r>
              <w:rPr>
                <w:rFonts w:hint="eastAsia"/>
              </w:rPr>
              <w:t xml:space="preserve">投标人须针对上述每条内容进行阐述，阐述内容必须满足采购需求。每项内的打分标准如下：投标人须针对上要求，完整提供所有对应产品及宿舍的全部图纸、效果</w:t>
            </w:r>
            <w:r>
              <w:rPr>
                <w:rFonts w:hint="eastAsia"/>
              </w:rPr>
              <w:t xml:space="preserve">图（含各分项要求的三视图、单体效果图、平面布局图、整体效果图），且所有图纸及效果图内容清晰、设计合理、细节详尽、覆盖全面，完全贴合本项目实际需求、针对性突出，设计方案具备极强可落地性和可行性的，得3分；投标人提供的图纸、效果图内容不完整，或图纸、效果图非专门针对本项目定制（与本项目需求脱节），或设计内容无法满足本项目实际使用需求、可行性不足的，得1.5分；方案普通且不太完整，针对性、可操作性一般，与项目实际情况符合度一般的，得0.5分；投标人未按上述要求提供任何图纸、效果图相关内容的，视为无效响应，不得分。</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9</w:t>
            </w:r>
            <w:r/>
          </w:p>
        </w:tc>
      </w:tr>
      <w:tr>
        <w:trPr>
          <w:jc w:val="center"/>
          <w:trHeight w:val="90"/>
        </w:trPr>
        <w:tc>
          <w:tcPr>
            <w:gridSpan w:val="3"/>
            <w:tcBorders>
              <w:left w:val="single" w:color="auto" w:sz="4" w:space="0"/>
              <w:right w:val="single" w:color="auto" w:sz="4" w:space="0"/>
            </w:tcBorders>
            <w:tcW w:w="9008" w:type="dxa"/>
            <w:vAlign w:val="center"/>
            <w:textDirection w:val="lrTb"/>
            <w:noWrap/>
          </w:tcPr>
          <w:p>
            <w:pPr>
              <w:ind w:firstLine="630"/>
              <w:jc w:val="center"/>
              <w:spacing w:line="400" w:lineRule="exact"/>
              <w:rPr>
                <w:rFonts w:hint="eastAsia" w:ascii="宋体" w:hAnsi="宋体" w:cs="宋体"/>
                <w:bCs/>
                <w:szCs w:val="21"/>
              </w:rPr>
            </w:pPr>
            <w:r>
              <w:rPr>
                <w:rFonts w:hint="eastAsia" w:ascii="宋体" w:hAnsi="宋体" w:cs="宋体"/>
                <w:szCs w:val="21"/>
              </w:rPr>
              <w:t xml:space="preserve">合    计</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r>
              <w:rPr>
                <w:rFonts w:hint="eastAsia"/>
              </w:rPr>
              <w:t xml:space="preserve">100</w:t>
            </w:r>
            <w:r/>
          </w:p>
        </w:tc>
      </w:tr>
    </w:tbl>
    <w:p>
      <w:pPr>
        <w:pStyle w:val="926"/>
        <w:ind w:firstLine="0"/>
        <w:rPr>
          <w:rFonts w:hint="eastAsia" w:ascii="宋体" w:hAnsi="宋体" w:cs="宋体"/>
          <w:spacing w:val="8"/>
          <w:szCs w:val="21"/>
        </w:rPr>
      </w:pPr>
      <w:r>
        <w:rPr>
          <w:rFonts w:hint="eastAsia" w:ascii="宋体" w:hAnsi="宋体" w:cs="宋体"/>
          <w:spacing w:val="8"/>
          <w:szCs w:val="21"/>
        </w:rPr>
      </w:r>
      <w:r/>
    </w:p>
    <w:p>
      <w:pPr>
        <w:ind w:firstLine="420"/>
        <w:spacing w:line="360" w:lineRule="auto"/>
        <w:rPr>
          <w:rFonts w:ascii="Arial" w:hAnsi="Arial" w:cs="Arial"/>
          <w:bCs/>
        </w:rPr>
      </w:pPr>
      <w:r>
        <w:rPr>
          <w:rFonts w:hint="eastAsia" w:ascii="Arial" w:hAnsi="Arial" w:cs="Arial"/>
          <w:bCs/>
        </w:rPr>
        <w:t xml:space="preserve">说明：</w:t>
      </w:r>
      <w:r/>
    </w:p>
    <w:p>
      <w:pPr>
        <w:ind w:firstLine="420"/>
        <w:spacing w:line="360" w:lineRule="auto"/>
        <w:rPr>
          <w:rFonts w:ascii="Arial" w:hAnsi="Arial" w:cs="Arial"/>
          <w:bCs/>
        </w:rPr>
      </w:pPr>
      <w:r>
        <w:rPr>
          <w:rFonts w:hint="eastAsia" w:ascii="Arial" w:hAnsi="Arial" w:cs="Arial"/>
          <w:bCs/>
        </w:rPr>
        <w:t xml:space="preserve">1.所有认证、证明和业绩均以有效清晰的证明文件的复印件为依据。</w:t>
      </w:r>
      <w:r/>
    </w:p>
    <w:p>
      <w:pPr>
        <w:ind w:firstLine="420"/>
        <w:spacing w:line="360" w:lineRule="auto"/>
        <w:rPr>
          <w:rFonts w:hint="eastAsia" w:ascii="Arial" w:hAnsi="Arial" w:cs="Arial"/>
          <w:bCs/>
        </w:rPr>
      </w:pPr>
      <w:r>
        <w:rPr>
          <w:rFonts w:hint="eastAsia" w:ascii="Arial" w:hAnsi="Arial" w:cs="Arial"/>
          <w:bCs/>
        </w:rPr>
        <w:t xml:space="preserve">2.落实政府采购政策的价格调整</w:t>
      </w:r>
      <w:r/>
    </w:p>
    <w:p>
      <w:pPr>
        <w:ind w:firstLine="420"/>
        <w:spacing w:line="360" w:lineRule="auto"/>
        <w:rPr>
          <w:rFonts w:ascii="Arial" w:hAnsi="Arial" w:cs="Arial"/>
          <w:bCs/>
        </w:rPr>
      </w:pPr>
      <w:r>
        <w:rPr>
          <w:rFonts w:hint="eastAsia" w:ascii="Arial" w:hAnsi="Arial" w:cs="Arial"/>
          <w:bCs/>
        </w:rPr>
        <w:t xml:space="preserve">小微企业价格扣除</w:t>
      </w:r>
      <w:r/>
    </w:p>
    <w:p>
      <w:pPr>
        <w:ind w:firstLine="420"/>
        <w:spacing w:line="360" w:lineRule="auto"/>
        <w:rPr>
          <w:rFonts w:ascii="Arial" w:hAnsi="Arial" w:cs="Arial"/>
          <w:bCs/>
        </w:rPr>
      </w:pPr>
      <w:r>
        <w:rPr>
          <w:rFonts w:hint="eastAsia" w:ascii="Arial" w:hAnsi="Arial" w:cs="Arial"/>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rPr>
      </w:pPr>
      <w:r>
        <w:rPr>
          <w:rFonts w:hint="eastAsia" w:ascii="Arial" w:hAnsi="Arial" w:cs="Arial"/>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rPr>
      </w:pPr>
      <w:r>
        <w:rPr>
          <w:rFonts w:hint="eastAsia" w:ascii="Arial" w:hAnsi="Arial" w:cs="Arial"/>
          <w:bCs/>
        </w:rPr>
        <w:t xml:space="preserve">3.监狱和戒毒企业的价格扣除</w:t>
      </w:r>
      <w:r/>
    </w:p>
    <w:p>
      <w:pPr>
        <w:ind w:firstLine="420"/>
        <w:spacing w:line="360" w:lineRule="auto"/>
        <w:rPr>
          <w:rFonts w:ascii="Arial" w:hAnsi="Arial" w:cs="Arial"/>
          <w:bCs/>
        </w:rPr>
      </w:pPr>
      <w:r>
        <w:rPr>
          <w:rFonts w:hint="eastAsia" w:ascii="Arial" w:hAnsi="Arial" w:cs="Arial"/>
          <w:bCs/>
        </w:rPr>
        <w:t xml:space="preserve">3.1 本项目对监狱和戒毒企业，给予10%的价格扣除，用扣除后的价格参与评审。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rPr>
      </w:pPr>
      <w:r>
        <w:rPr>
          <w:rFonts w:hint="eastAsia" w:ascii="Arial" w:hAnsi="Arial" w:cs="Arial"/>
          <w:bCs/>
        </w:rPr>
        <w:t xml:space="preserve">3.3 监狱企业标准请参照《关于政府采购支持监狱企业发展有关问题的通知》（财库〔2014〕68号）。</w:t>
      </w:r>
      <w:r/>
    </w:p>
    <w:p>
      <w:pPr>
        <w:ind w:firstLine="420"/>
        <w:spacing w:line="360" w:lineRule="auto"/>
        <w:rPr>
          <w:rFonts w:ascii="Arial" w:hAnsi="Arial" w:cs="Arial"/>
          <w:bCs/>
        </w:rPr>
      </w:pPr>
      <w:r>
        <w:rPr>
          <w:rFonts w:hint="eastAsia" w:ascii="Arial" w:hAnsi="Arial" w:cs="Arial"/>
          <w:bCs/>
        </w:rPr>
        <w:t xml:space="preserve">4.残疾人福利性单位的价格扣除</w:t>
      </w:r>
      <w:r/>
    </w:p>
    <w:p>
      <w:pPr>
        <w:ind w:firstLine="420"/>
        <w:spacing w:line="360" w:lineRule="auto"/>
        <w:rPr>
          <w:rFonts w:ascii="Arial" w:hAnsi="Arial" w:cs="Arial"/>
          <w:bCs/>
        </w:rPr>
      </w:pPr>
      <w:r>
        <w:rPr>
          <w:rFonts w:hint="eastAsia" w:ascii="Arial" w:hAnsi="Arial" w:cs="Arial"/>
          <w:bCs/>
        </w:rPr>
        <w:t xml:space="preserve">4.1 本项目对残疾人福利性单位，给予10%的价格扣除，用扣除后的价格参与评审。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4.2 残疾人福利性单位需提供《残疾人福利性单位声明函》。</w:t>
      </w:r>
      <w:r/>
    </w:p>
    <w:p>
      <w:pPr>
        <w:ind w:firstLine="420"/>
        <w:spacing w:line="360" w:lineRule="auto"/>
        <w:rPr>
          <w:rFonts w:ascii="Arial" w:hAnsi="Arial" w:cs="Arial"/>
          <w:bCs/>
        </w:rPr>
      </w:pPr>
      <w:r>
        <w:rPr>
          <w:rFonts w:hint="eastAsia" w:ascii="Arial" w:hAnsi="Arial" w:cs="Arial"/>
          <w:bCs/>
        </w:rPr>
        <w:t xml:space="preserve">4.3 残疾人福利性单位标准请参照《关于促进残疾人就业政府采购政策的通知》（财库〔2017〕141号）。</w:t>
      </w:r>
      <w:r/>
    </w:p>
    <w:p>
      <w:pPr>
        <w:ind w:firstLine="420"/>
        <w:spacing w:line="360" w:lineRule="auto"/>
        <w:rPr>
          <w:rFonts w:ascii="Arial" w:hAnsi="Arial" w:cs="Arial"/>
          <w:bCs/>
        </w:rPr>
      </w:pPr>
      <w:r>
        <w:rPr>
          <w:rFonts w:hint="eastAsia" w:ascii="Arial" w:hAnsi="Arial" w:cs="Arial"/>
          <w:bCs/>
        </w:rPr>
        <w:t xml:space="preserve">5.监狱企业、残疾人福利性单位属于小型、微型企业的，不重复享受政策。</w:t>
      </w:r>
      <w:r/>
    </w:p>
    <w:p>
      <w:pPr>
        <w:ind w:left="420"/>
        <w:spacing w:line="360" w:lineRule="auto"/>
        <w:rPr>
          <w:rFonts w:ascii="Arial" w:hAnsi="Arial" w:cs="Arial"/>
          <w:bCs/>
        </w:rPr>
      </w:pPr>
      <w:r>
        <w:rPr>
          <w:rFonts w:hint="eastAsia" w:ascii="Arial" w:hAnsi="Arial" w:cs="Arial"/>
          <w:bCs/>
        </w:rPr>
        <w:t xml:space="preserve">6.本国产品的价格扣除</w:t>
      </w:r>
      <w:r/>
    </w:p>
    <w:p>
      <w:pPr>
        <w:ind w:firstLine="420"/>
        <w:spacing w:line="360" w:lineRule="auto"/>
        <w:rPr>
          <w:rFonts w:ascii="Arial" w:hAnsi="Arial" w:cs="Arial"/>
          <w:bCs/>
        </w:rPr>
      </w:pPr>
      <w:r>
        <w:rPr>
          <w:rFonts w:hint="eastAsia" w:ascii="Arial" w:hAnsi="Arial" w:cs="Arial"/>
          <w:bCs/>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Arial" w:hAnsi="Arial" w:cs="Arial"/>
          <w:bCs/>
        </w:rPr>
      </w:pPr>
      <w:r>
        <w:rPr>
          <w:rFonts w:hint="eastAsia" w:ascii="Arial" w:hAnsi="Arial" w:cs="Arial"/>
          <w:bCs/>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sz w:val="32"/>
          <w:szCs w:val="44"/>
        </w:rPr>
      </w:pPr>
      <w:r>
        <w:rPr>
          <w:rFonts w:hint="eastAsia" w:ascii="Arial" w:hAnsi="Arial" w:cs="Arial"/>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rPr>
        <w:br w:type="page" w:clear="all"/>
      </w:r>
      <w:r/>
    </w:p>
    <w:p>
      <w:pPr>
        <w:pStyle w:val="853"/>
        <w:numPr>
          <w:ilvl w:val="0"/>
          <w:numId w:val="0"/>
        </w:numPr>
        <w:spacing w:before="0" w:after="0"/>
        <w:tabs>
          <w:tab w:val="left" w:pos="333" w:leader="none"/>
          <w:tab w:val="center" w:pos="4402" w:leader="none"/>
        </w:tabs>
        <w:rPr>
          <w:rFonts w:ascii="Arial" w:hAnsi="Arial" w:cs="Arial"/>
        </w:rPr>
      </w:pPr>
      <w:r/>
      <w:bookmarkStart w:id="13" w:name="_Toc15774"/>
      <w:r/>
      <w:bookmarkStart w:id="14" w:name="_Toc20506"/>
      <w:r>
        <w:rPr>
          <w:rFonts w:hint="eastAsia" w:ascii="Arial" w:hAnsi="Arial" w:cs="Arial"/>
        </w:rPr>
        <w:t xml:space="preserve">第四章采购需求</w:t>
      </w:r>
      <w:bookmarkEnd w:id="13"/>
      <w:r/>
      <w:bookmarkEnd w:id="14"/>
      <w:r/>
      <w:bookmarkStart w:id="15" w:name="_Toc481057147"/>
      <w:r/>
      <w:bookmarkEnd w:id="15"/>
      <w:r/>
      <w:r/>
    </w:p>
    <w:p>
      <w:pPr>
        <w:ind w:firstLine="602"/>
        <w:jc w:val="left"/>
        <w:spacing w:line="360" w:lineRule="auto"/>
        <w:widowControl/>
        <w:rPr>
          <w:rFonts w:hint="eastAsia" w:ascii="宋体" w:hAnsi="宋体"/>
          <w:b/>
          <w:color w:val="000000"/>
          <w:sz w:val="32"/>
          <w:szCs w:val="32"/>
        </w:rPr>
      </w:pPr>
      <w:r>
        <w:rPr>
          <w:rFonts w:hint="eastAsia" w:ascii="宋体" w:hAnsi="宋体"/>
          <w:b/>
          <w:color w:val="000000"/>
          <w:sz w:val="32"/>
          <w:szCs w:val="32"/>
        </w:rPr>
        <w:t xml:space="preserve">一、商务要求</w:t>
      </w:r>
      <w:r/>
    </w:p>
    <w:p>
      <w:pPr>
        <w:ind w:firstLine="480"/>
        <w:spacing w:line="360" w:lineRule="auto"/>
        <w:rPr>
          <w:rFonts w:ascii="Arial" w:hAnsi="Arial" w:cs="Arial"/>
          <w:sz w:val="24"/>
        </w:rPr>
      </w:pPr>
      <w:r>
        <w:rPr>
          <w:rFonts w:hint="eastAsia" w:ascii="Arial" w:hAnsi="Arial" w:cs="Arial"/>
          <w:sz w:val="24"/>
        </w:rPr>
        <w:t xml:space="preserve">商务要求是指取得采购标的的时间、地点、财务和服务要求，包括交付（实施）的时间（期限）和地点（范围），付款条件（进度和方法），包装和运输，售后服务，保险等。其内容包含但不限于以下内容：</w:t>
      </w:r>
      <w:r/>
    </w:p>
    <w:p>
      <w:pPr>
        <w:ind w:firstLine="480"/>
        <w:spacing w:line="360" w:lineRule="auto"/>
        <w:rPr>
          <w:rFonts w:ascii="Arial" w:hAnsi="Arial" w:cs="Arial"/>
          <w:sz w:val="24"/>
        </w:rPr>
      </w:pPr>
      <w:r>
        <w:rPr>
          <w:rFonts w:hint="eastAsia" w:ascii="Arial" w:hAnsi="Arial" w:cs="Arial"/>
          <w:sz w:val="24"/>
        </w:rPr>
        <w:t xml:space="preserve">1.需实现的功能或者目标，以及为落实政府采购政策需满足的要求；</w:t>
      </w:r>
      <w:r/>
    </w:p>
    <w:p>
      <w:pPr>
        <w:ind w:firstLine="480"/>
        <w:spacing w:line="360" w:lineRule="auto"/>
        <w:rPr>
          <w:rFonts w:ascii="Arial" w:hAnsi="Arial" w:cs="Arial"/>
          <w:sz w:val="24"/>
        </w:rPr>
      </w:pPr>
      <w:r>
        <w:rPr>
          <w:rFonts w:hint="eastAsia" w:ascii="Arial" w:hAnsi="Arial" w:cs="Arial"/>
          <w:sz w:val="24"/>
        </w:rPr>
        <w:t xml:space="preserve">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480"/>
        <w:spacing w:line="360" w:lineRule="auto"/>
        <w:rPr>
          <w:rFonts w:ascii="Arial" w:hAnsi="Arial" w:cs="Arial"/>
          <w:sz w:val="24"/>
        </w:rPr>
      </w:pPr>
      <w:r>
        <w:rPr>
          <w:rFonts w:hint="eastAsia" w:ascii="Arial" w:hAnsi="Arial" w:cs="Arial"/>
          <w:sz w:val="24"/>
        </w:rPr>
        <w:t xml:space="preserve">2.采购标的需执行的国家相关标准、行业标准、地方标准或者其他标准、规范；</w:t>
      </w:r>
      <w:r/>
    </w:p>
    <w:p>
      <w:pPr>
        <w:ind w:firstLine="480"/>
        <w:spacing w:line="360" w:lineRule="auto"/>
        <w:rPr>
          <w:rFonts w:ascii="Arial" w:hAnsi="Arial" w:cs="Arial"/>
          <w:sz w:val="24"/>
        </w:rPr>
      </w:pPr>
      <w:r>
        <w:rPr>
          <w:rFonts w:hint="eastAsia" w:ascii="Arial" w:hAnsi="Arial" w:cs="Arial"/>
          <w:sz w:val="24"/>
        </w:rPr>
        <w:t xml:space="preserve">2.1、江苏省教育厅2023年4月29日印发的《学生宿舍用床安全栏板改造技术指南》；</w:t>
      </w:r>
      <w:r/>
    </w:p>
    <w:p>
      <w:pPr>
        <w:ind w:firstLine="480"/>
        <w:spacing w:line="360" w:lineRule="auto"/>
        <w:rPr>
          <w:rFonts w:ascii="Arial" w:hAnsi="Arial" w:cs="Arial"/>
          <w:sz w:val="24"/>
        </w:rPr>
      </w:pPr>
      <w:r>
        <w:rPr>
          <w:rFonts w:hint="eastAsia" w:ascii="Arial" w:hAnsi="Arial" w:cs="Arial"/>
          <w:sz w:val="24"/>
        </w:rPr>
        <w:t xml:space="preserve">2.2、应符合但不限于下面列出的关于实木类家具安全、试验和检测要求，实木类家具搬运、家具安装等相关标准。如：</w:t>
      </w:r>
      <w:r/>
    </w:p>
    <w:p>
      <w:pPr>
        <w:ind w:firstLine="480"/>
        <w:spacing w:line="360" w:lineRule="auto"/>
        <w:rPr>
          <w:rFonts w:ascii="Arial" w:hAnsi="Arial" w:cs="Arial"/>
          <w:sz w:val="24"/>
        </w:rPr>
      </w:pPr>
      <w:r>
        <w:rPr>
          <w:rFonts w:hint="eastAsia" w:ascii="Arial" w:hAnsi="Arial" w:cs="Arial"/>
          <w:sz w:val="24"/>
        </w:rPr>
        <w:t xml:space="preserve">GB/T 28202-2020《家具工业术语》</w:t>
      </w:r>
      <w:r/>
    </w:p>
    <w:p>
      <w:pPr>
        <w:ind w:firstLine="480"/>
        <w:spacing w:line="360" w:lineRule="auto"/>
        <w:rPr>
          <w:rFonts w:ascii="Arial" w:hAnsi="Arial" w:cs="Arial"/>
          <w:sz w:val="24"/>
        </w:rPr>
      </w:pPr>
      <w:r>
        <w:rPr>
          <w:rFonts w:hint="eastAsia" w:ascii="Arial" w:hAnsi="Arial" w:cs="Arial"/>
          <w:sz w:val="24"/>
        </w:rPr>
        <w:t xml:space="preserve">GB/T 3324-2024  《木家具通用技术条件》</w:t>
      </w:r>
      <w:r/>
    </w:p>
    <w:p>
      <w:pPr>
        <w:ind w:firstLine="480"/>
        <w:spacing w:line="360" w:lineRule="auto"/>
        <w:rPr>
          <w:rFonts w:ascii="Arial" w:hAnsi="Arial" w:cs="Arial"/>
          <w:sz w:val="24"/>
        </w:rPr>
      </w:pPr>
      <w:r>
        <w:rPr>
          <w:rFonts w:hint="eastAsia" w:ascii="Arial" w:hAnsi="Arial" w:cs="Arial"/>
          <w:sz w:val="24"/>
        </w:rPr>
        <w:t xml:space="preserve">GB/T 32445-2015《家具用材料分类》</w:t>
      </w:r>
      <w:r/>
    </w:p>
    <w:p>
      <w:pPr>
        <w:ind w:firstLine="480"/>
        <w:spacing w:line="360" w:lineRule="auto"/>
        <w:rPr>
          <w:rFonts w:ascii="Arial" w:hAnsi="Arial" w:cs="Arial"/>
          <w:sz w:val="24"/>
        </w:rPr>
      </w:pPr>
      <w:r>
        <w:rPr>
          <w:rFonts w:hint="eastAsia" w:ascii="Arial" w:hAnsi="Arial" w:cs="Arial"/>
          <w:sz w:val="24"/>
        </w:rPr>
        <w:t xml:space="preserve">GB 24430.1-2009 《家用双层床 安全第 1 部分:要求》</w:t>
      </w:r>
      <w:r/>
    </w:p>
    <w:p>
      <w:pPr>
        <w:ind w:firstLine="480"/>
        <w:spacing w:line="360" w:lineRule="auto"/>
        <w:rPr>
          <w:rFonts w:ascii="Arial" w:hAnsi="Arial" w:cs="Arial"/>
          <w:sz w:val="24"/>
        </w:rPr>
      </w:pPr>
      <w:r>
        <w:rPr>
          <w:rFonts w:hint="eastAsia" w:ascii="Arial" w:hAnsi="Arial" w:cs="Arial"/>
          <w:sz w:val="24"/>
        </w:rPr>
        <w:t xml:space="preserve">GB/T 24430.2-2009 《家用双层床安全第 2 部分:试验》</w:t>
      </w:r>
      <w:r/>
    </w:p>
    <w:p>
      <w:pPr>
        <w:ind w:firstLine="480"/>
        <w:spacing w:line="360" w:lineRule="auto"/>
        <w:rPr>
          <w:rFonts w:ascii="Arial" w:hAnsi="Arial" w:cs="Arial"/>
          <w:sz w:val="24"/>
        </w:rPr>
      </w:pPr>
      <w:r>
        <w:rPr>
          <w:rFonts w:hint="eastAsia" w:ascii="Arial" w:hAnsi="Arial" w:cs="Arial"/>
          <w:sz w:val="24"/>
        </w:rPr>
        <w:t xml:space="preserve">GB/T 3328-2016 《家具 床类主要尺寸》</w:t>
      </w:r>
      <w:r/>
    </w:p>
    <w:p>
      <w:pPr>
        <w:ind w:firstLine="480"/>
        <w:spacing w:line="360" w:lineRule="auto"/>
        <w:rPr>
          <w:rFonts w:ascii="Arial" w:hAnsi="Arial" w:cs="Arial"/>
          <w:sz w:val="24"/>
        </w:rPr>
      </w:pPr>
      <w:r>
        <w:rPr>
          <w:rFonts w:hint="eastAsia" w:ascii="Arial" w:hAnsi="Arial" w:cs="Arial"/>
          <w:sz w:val="24"/>
        </w:rPr>
        <w:t xml:space="preserve">QB/T 4452-2013 《木家具 极限与配合》</w:t>
      </w:r>
      <w:r/>
    </w:p>
    <w:p>
      <w:pPr>
        <w:ind w:firstLine="480"/>
        <w:spacing w:line="360" w:lineRule="auto"/>
        <w:rPr>
          <w:rFonts w:ascii="Arial" w:hAnsi="Arial" w:cs="Arial"/>
          <w:sz w:val="24"/>
        </w:rPr>
      </w:pPr>
      <w:r>
        <w:rPr>
          <w:rFonts w:hint="eastAsia" w:ascii="Arial" w:hAnsi="Arial" w:cs="Arial"/>
          <w:sz w:val="24"/>
        </w:rPr>
        <w:t xml:space="preserve">GB/T 10357.1-2024  《家具力学性能试验  第1部分：桌类强度和耐久性》</w:t>
      </w:r>
      <w:r/>
    </w:p>
    <w:p>
      <w:pPr>
        <w:ind w:firstLine="480"/>
        <w:spacing w:line="360" w:lineRule="auto"/>
        <w:rPr>
          <w:rFonts w:ascii="Arial" w:hAnsi="Arial" w:cs="Arial"/>
          <w:sz w:val="24"/>
        </w:rPr>
      </w:pPr>
      <w:r>
        <w:rPr>
          <w:rFonts w:hint="eastAsia" w:ascii="Arial" w:hAnsi="Arial" w:cs="Arial"/>
          <w:sz w:val="24"/>
        </w:rPr>
        <w:t xml:space="preserve">GB 28008-2024 《家具结构安全技术规范》</w:t>
      </w:r>
      <w:r/>
    </w:p>
    <w:p>
      <w:pPr>
        <w:ind w:firstLine="480"/>
        <w:spacing w:line="360" w:lineRule="auto"/>
        <w:rPr>
          <w:rFonts w:ascii="Arial" w:hAnsi="Arial" w:cs="Arial"/>
          <w:sz w:val="24"/>
        </w:rPr>
      </w:pPr>
      <w:r>
        <w:rPr>
          <w:rFonts w:hint="eastAsia" w:ascii="Arial" w:hAnsi="Arial" w:cs="Arial"/>
          <w:sz w:val="24"/>
        </w:rPr>
        <w:t xml:space="preserve">QB/T 8096-2024 《五金配件 阻尼导轨通用技术条件》</w:t>
      </w:r>
      <w:r/>
    </w:p>
    <w:p>
      <w:pPr>
        <w:ind w:firstLine="480"/>
        <w:spacing w:line="360" w:lineRule="auto"/>
        <w:rPr>
          <w:rFonts w:ascii="Arial" w:hAnsi="Arial" w:cs="Arial"/>
          <w:sz w:val="24"/>
        </w:rPr>
      </w:pPr>
      <w:r>
        <w:rPr>
          <w:rFonts w:hint="eastAsia" w:ascii="Arial" w:hAnsi="Arial" w:cs="Arial"/>
          <w:sz w:val="24"/>
        </w:rPr>
        <w:t xml:space="preserve">GB/T 35607-2024 《绿色产品评价 家具》</w:t>
      </w:r>
      <w:r/>
    </w:p>
    <w:p>
      <w:pPr>
        <w:ind w:firstLine="480"/>
        <w:spacing w:line="360" w:lineRule="auto"/>
        <w:rPr>
          <w:rFonts w:ascii="Arial" w:hAnsi="Arial" w:cs="Arial"/>
          <w:sz w:val="24"/>
        </w:rPr>
      </w:pPr>
      <w:r>
        <w:rPr>
          <w:rFonts w:hint="eastAsia" w:ascii="Arial" w:hAnsi="Arial" w:cs="Arial"/>
          <w:sz w:val="24"/>
        </w:rPr>
        <w:t xml:space="preserve">GB/T 4893 《家具表面漆膜理化性能试验》系列国家标准</w:t>
      </w:r>
      <w:r/>
    </w:p>
    <w:p>
      <w:pPr>
        <w:ind w:firstLine="480"/>
        <w:spacing w:line="360" w:lineRule="auto"/>
        <w:rPr>
          <w:rFonts w:ascii="Arial" w:hAnsi="Arial" w:cs="Arial"/>
          <w:sz w:val="24"/>
        </w:rPr>
      </w:pPr>
      <w:r>
        <w:rPr>
          <w:rFonts w:hint="eastAsia" w:ascii="Arial" w:hAnsi="Arial" w:cs="Arial"/>
          <w:sz w:val="24"/>
        </w:rPr>
        <w:t xml:space="preserve">GB/T 4893.10-2024 《家具表面漆膜理化性能试验 第10部分：耐划痕测定法》</w:t>
      </w:r>
      <w:r/>
    </w:p>
    <w:p>
      <w:pPr>
        <w:ind w:firstLine="480"/>
        <w:spacing w:line="360" w:lineRule="auto"/>
        <w:rPr>
          <w:rFonts w:ascii="Arial" w:hAnsi="Arial" w:cs="Arial"/>
          <w:sz w:val="24"/>
        </w:rPr>
      </w:pPr>
      <w:r>
        <w:rPr>
          <w:rFonts w:hint="eastAsia" w:ascii="Arial" w:hAnsi="Arial" w:cs="Arial"/>
          <w:sz w:val="24"/>
        </w:rPr>
        <w:t xml:space="preserve">GB 18584-2024 家具中有害物质限量。</w:t>
      </w:r>
      <w:r/>
    </w:p>
    <w:p>
      <w:pPr>
        <w:ind w:firstLine="480"/>
        <w:spacing w:line="360" w:lineRule="auto"/>
        <w:rPr>
          <w:rFonts w:ascii="Arial" w:hAnsi="Arial" w:cs="Arial"/>
          <w:sz w:val="24"/>
        </w:rPr>
      </w:pPr>
      <w:r>
        <w:rPr>
          <w:rFonts w:hint="eastAsia" w:ascii="Arial" w:hAnsi="Arial" w:cs="Arial"/>
          <w:sz w:val="24"/>
        </w:rPr>
        <w:t xml:space="preserve">2.3、满足国家相关标准、行业标准、地方标准或者其他标准、规范；</w:t>
      </w:r>
      <w:r/>
    </w:p>
    <w:p>
      <w:pPr>
        <w:ind w:firstLine="480"/>
        <w:spacing w:line="360" w:lineRule="auto"/>
        <w:rPr>
          <w:rFonts w:ascii="Arial" w:hAnsi="Arial" w:cs="Arial"/>
          <w:sz w:val="24"/>
        </w:rPr>
      </w:pPr>
      <w:r>
        <w:rPr>
          <w:rFonts w:hint="eastAsia" w:ascii="Arial" w:hAnsi="Arial" w:cs="Arial"/>
          <w:sz w:val="24"/>
        </w:rPr>
        <w:t xml:space="preserve">2.4、符合采购文件项目需求。</w:t>
      </w:r>
      <w:r/>
    </w:p>
    <w:p>
      <w:pPr>
        <w:ind w:firstLine="480"/>
        <w:spacing w:line="360" w:lineRule="auto"/>
        <w:rPr>
          <w:rFonts w:ascii="Arial" w:hAnsi="Arial" w:cs="Arial"/>
          <w:sz w:val="24"/>
        </w:rPr>
      </w:pPr>
      <w:r>
        <w:rPr>
          <w:rFonts w:hint="eastAsia" w:ascii="Arial" w:hAnsi="Arial" w:cs="Arial"/>
          <w:sz w:val="24"/>
        </w:rPr>
        <w:t xml:space="preserve">2.5、投标供应商应保证提供的产品不得侵犯第三方专利权、商标权和设计权、版权等。否则，投标供应商应负全部责任，并承担由此引起的一切后果。</w:t>
      </w:r>
      <w:r/>
    </w:p>
    <w:p>
      <w:pPr>
        <w:ind w:firstLine="480"/>
        <w:spacing w:line="360" w:lineRule="auto"/>
        <w:rPr>
          <w:rFonts w:ascii="Arial" w:hAnsi="Arial" w:cs="Arial"/>
          <w:sz w:val="28"/>
          <w:szCs w:val="28"/>
        </w:rPr>
      </w:pPr>
      <w:r>
        <w:rPr>
          <w:rFonts w:hint="eastAsia" w:ascii="Arial" w:hAnsi="Arial" w:cs="Arial"/>
          <w:sz w:val="24"/>
        </w:rPr>
        <w:t xml:space="preserve">3.采购标的需满足的质量、安全、技术规格、物理特性等要求；</w:t>
      </w:r>
      <w:r/>
    </w:p>
    <w:p>
      <w:pPr>
        <w:rPr>
          <w:rFonts w:ascii="Arial" w:hAnsi="Arial" w:cs="Arial"/>
        </w:rPr>
      </w:pPr>
      <w:r>
        <w:rPr>
          <w:rFonts w:ascii="Arial" w:hAnsi="Arial" w:cs="Arial"/>
        </w:rPr>
      </w:r>
      <w:r/>
    </w:p>
    <w:p>
      <w:pPr>
        <w:jc w:val="left"/>
        <w:widowControl/>
        <w:rPr>
          <w:rFonts w:hint="eastAsia" w:ascii="宋体" w:hAnsi="宋体" w:cs="宋体"/>
          <w:b/>
          <w:bCs/>
          <w:color w:val="000000"/>
          <w:sz w:val="32"/>
          <w:szCs w:val="32"/>
          <w:lang w:bidi="ar"/>
        </w:rPr>
      </w:pPr>
      <w:r>
        <w:rPr>
          <w:rFonts w:hint="eastAsia" w:ascii="宋体" w:hAnsi="宋体" w:cs="宋体"/>
          <w:b/>
          <w:bCs/>
          <w:color w:val="000000"/>
          <w:sz w:val="32"/>
          <w:szCs w:val="32"/>
          <w:lang w:bidi="ar"/>
        </w:rPr>
      </w:r>
      <w:r/>
    </w:p>
    <w:p>
      <w:pPr>
        <w:ind w:firstLine="602"/>
        <w:jc w:val="left"/>
        <w:spacing w:line="360" w:lineRule="auto"/>
        <w:widowControl/>
        <w:rPr>
          <w:rFonts w:hint="eastAsia" w:ascii="宋体" w:hAnsi="宋体"/>
          <w:b/>
          <w:color w:val="000000"/>
          <w:sz w:val="32"/>
          <w:szCs w:val="32"/>
        </w:rPr>
      </w:pPr>
      <w:r>
        <w:rPr>
          <w:rFonts w:hint="eastAsia" w:ascii="宋体" w:hAnsi="宋体"/>
          <w:b/>
          <w:color w:val="000000"/>
          <w:sz w:val="32"/>
          <w:szCs w:val="32"/>
        </w:rPr>
        <w:t xml:space="preserve">二、技术参数要求</w:t>
      </w:r>
      <w:r/>
    </w:p>
    <w:p>
      <w:pPr>
        <w:jc w:val="left"/>
        <w:widowControl/>
        <w:rPr>
          <w:rFonts w:hint="eastAsia" w:ascii="宋体" w:hAnsi="宋体" w:cs="宋体"/>
          <w:b/>
          <w:bCs/>
          <w:color w:val="000000"/>
          <w:sz w:val="32"/>
          <w:szCs w:val="32"/>
          <w:lang w:bidi="ar"/>
        </w:rPr>
      </w:pPr>
      <w:r>
        <w:rPr>
          <w:rFonts w:hint="eastAsia" w:ascii="宋体" w:hAnsi="宋体" w:cs="宋体"/>
          <w:b/>
          <w:bCs/>
          <w:color w:val="000000"/>
          <w:sz w:val="32"/>
          <w:szCs w:val="32"/>
          <w:lang w:bidi="ar"/>
        </w:rPr>
      </w:r>
      <w:r/>
    </w:p>
    <w:p>
      <w:pPr>
        <w:jc w:val="lef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1.书桌柜（多层板木质柜）</w:t>
      </w:r>
      <w:r/>
    </w:p>
    <w:p>
      <w:pPr>
        <w:spacing w:after="120"/>
        <w:rPr>
          <w:rFonts w:hint="eastAsia" w:ascii="宋体" w:hAnsi="宋体" w:cs="宋体"/>
          <w:sz w:val="24"/>
          <w:szCs w:val="24"/>
        </w:rPr>
      </w:pPr>
      <w:r>
        <w:rPr>
          <w:rFonts w:hint="eastAsia" w:ascii="宋体" w:hAnsi="宋体" w:cs="宋体"/>
          <w:sz w:val="24"/>
          <w:szCs w:val="24"/>
        </w:rPr>
        <w:t xml:space="preserve">1、整体规格：≥L2400×W600×H1640mm</w:t>
      </w:r>
      <w:r/>
    </w:p>
    <w:p>
      <w:pPr>
        <w:spacing w:after="120"/>
        <w:rPr>
          <w:rFonts w:hint="eastAsia" w:ascii="宋体" w:hAnsi="宋体" w:cs="宋体"/>
          <w:sz w:val="24"/>
          <w:szCs w:val="24"/>
        </w:rPr>
      </w:pPr>
      <w:r>
        <w:rPr>
          <w:rFonts w:hint="eastAsia" w:ascii="宋体" w:hAnsi="宋体" w:cs="宋体"/>
          <w:sz w:val="24"/>
          <w:szCs w:val="24"/>
        </w:rPr>
        <w:t xml:space="preserve">2、技术参数</w:t>
      </w:r>
      <w:r/>
    </w:p>
    <w:p>
      <w:pPr>
        <w:spacing w:after="120"/>
        <w:rPr>
          <w:rFonts w:hint="eastAsia" w:ascii="宋体" w:hAnsi="宋体" w:cs="宋体"/>
          <w:sz w:val="24"/>
          <w:szCs w:val="24"/>
        </w:rPr>
      </w:pPr>
      <w:r>
        <w:rPr>
          <w:rFonts w:hint="eastAsia" w:ascii="宋体" w:hAnsi="宋体" w:cs="宋体"/>
          <w:sz w:val="24"/>
          <w:szCs w:val="24"/>
        </w:rPr>
        <w:t xml:space="preserve">2.1.基材：台面采用25mm厚国家环保标准E0级实木多层板，抽屉底板采用5mm厚国家环保标准E0级实木多层板，其他部位板材采用18mm厚国家环保标准E0级实木多层板，经过防火、防烫、防划、防潮、防酸碱、防污等处理。面材：采用优质三聚氰胺贴面，美观耐用。</w:t>
      </w:r>
      <w:r/>
    </w:p>
    <w:p>
      <w:pPr>
        <w:spacing w:after="120"/>
        <w:rPr>
          <w:rFonts w:hint="eastAsia" w:ascii="宋体" w:hAnsi="宋体" w:cs="宋体"/>
          <w:sz w:val="24"/>
          <w:szCs w:val="24"/>
        </w:rPr>
      </w:pPr>
      <w:r>
        <w:rPr>
          <w:rFonts w:hint="eastAsia" w:ascii="宋体" w:hAnsi="宋体" w:cs="宋体"/>
          <w:sz w:val="24"/>
          <w:szCs w:val="24"/>
        </w:rPr>
        <w:t xml:space="preserve">2.2.封边：采用优质同色PVC封边条，厚度≥2mm，无鼓包，无龟裂，无变色，无起皱,耐干热、耐磨、耐老化.</w:t>
      </w:r>
      <w:r/>
    </w:p>
    <w:p>
      <w:pPr>
        <w:spacing w:after="120"/>
        <w:rPr>
          <w:rFonts w:hint="eastAsia" w:ascii="宋体" w:hAnsi="宋体" w:cs="宋体"/>
          <w:sz w:val="24"/>
          <w:szCs w:val="24"/>
        </w:rPr>
      </w:pPr>
      <w:r>
        <w:rPr>
          <w:rFonts w:hint="eastAsia" w:ascii="宋体" w:hAnsi="宋体" w:cs="宋体"/>
          <w:sz w:val="24"/>
          <w:szCs w:val="24"/>
        </w:rPr>
        <w:t xml:space="preserve">2.3.优质五金配件：阻尼铰链，精工一体压铸成型，表面电泳电镀处理，不生锈，抗氧化，耐腐蚀。      </w:t>
      </w:r>
      <w:r/>
    </w:p>
    <w:p>
      <w:pPr>
        <w:spacing w:after="120"/>
        <w:rPr>
          <w:rFonts w:hint="eastAsia" w:ascii="宋体" w:hAnsi="宋体" w:cs="宋体"/>
          <w:sz w:val="24"/>
          <w:szCs w:val="24"/>
        </w:rPr>
      </w:pPr>
      <w:r>
        <w:rPr>
          <w:rFonts w:hint="eastAsia" w:ascii="宋体" w:hAnsi="宋体" w:cs="宋体"/>
          <w:sz w:val="24"/>
          <w:szCs w:val="24"/>
        </w:rPr>
        <w:t xml:space="preserve">2.4.胶粘剂：采用优质环保乳胶胶水，粘性强，久不分层，具有防水、防潮、耐油等特点；                                             </w:t>
      </w:r>
      <w:r/>
    </w:p>
    <w:p>
      <w:pPr>
        <w:spacing w:after="120"/>
        <w:rPr>
          <w:rFonts w:hint="eastAsia" w:ascii="宋体" w:hAnsi="宋体" w:cs="宋体"/>
          <w:sz w:val="24"/>
          <w:szCs w:val="24"/>
        </w:rPr>
      </w:pPr>
      <w:r>
        <w:rPr>
          <w:rFonts w:hint="eastAsia" w:ascii="宋体" w:hAnsi="宋体" w:cs="宋体"/>
          <w:sz w:val="24"/>
          <w:szCs w:val="24"/>
        </w:rPr>
        <w:t xml:space="preserve">2.5 桌上第一层空格注意根据墙插需要做镂空处理。</w:t>
      </w:r>
      <w:r/>
    </w:p>
    <w:p>
      <w:pPr>
        <w:spacing w:after="120"/>
        <w:rPr>
          <w:rFonts w:hint="eastAsia" w:ascii="宋体" w:hAnsi="宋体" w:cs="宋体"/>
          <w:sz w:val="24"/>
          <w:szCs w:val="24"/>
        </w:rPr>
      </w:pPr>
      <w:r>
        <w:rPr>
          <w:rFonts w:hint="eastAsia" w:ascii="宋体" w:hAnsi="宋体" w:cs="宋体"/>
          <w:sz w:val="24"/>
          <w:szCs w:val="24"/>
        </w:rPr>
        <w:t xml:space="preserve">2.6拉手：采用优质铝合金暗拉手。所有抽屉和门不带锁。</w:t>
      </w:r>
      <w:r/>
    </w:p>
    <w:p>
      <w:pPr>
        <w:jc w:val="lef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2.床下书桌柜（多层板木质柜）</w:t>
      </w:r>
      <w:r/>
    </w:p>
    <w:p>
      <w:pPr>
        <w:spacing w:after="120"/>
        <w:rPr>
          <w:rFonts w:hint="eastAsia" w:ascii="宋体" w:hAnsi="宋体" w:cs="宋体"/>
          <w:sz w:val="24"/>
          <w:szCs w:val="24"/>
        </w:rPr>
      </w:pPr>
      <w:r>
        <w:rPr>
          <w:rFonts w:hint="eastAsia" w:ascii="宋体" w:hAnsi="宋体" w:cs="宋体"/>
          <w:sz w:val="24"/>
          <w:szCs w:val="24"/>
        </w:rPr>
        <w:t xml:space="preserve">1、整体规格：≥L1900×W600×H1640mm</w:t>
      </w:r>
      <w:r/>
    </w:p>
    <w:p>
      <w:pPr>
        <w:spacing w:after="120"/>
        <w:rPr>
          <w:rFonts w:hint="eastAsia" w:ascii="宋体" w:hAnsi="宋体" w:cs="宋体"/>
          <w:sz w:val="24"/>
          <w:szCs w:val="24"/>
        </w:rPr>
      </w:pPr>
      <w:r>
        <w:rPr>
          <w:rFonts w:hint="eastAsia" w:ascii="宋体" w:hAnsi="宋体" w:cs="宋体"/>
          <w:sz w:val="24"/>
          <w:szCs w:val="24"/>
        </w:rPr>
        <w:t xml:space="preserve">2、技术参数</w:t>
      </w:r>
      <w:r/>
    </w:p>
    <w:p>
      <w:pPr>
        <w:spacing w:after="120"/>
        <w:rPr>
          <w:rFonts w:hint="eastAsia" w:ascii="宋体" w:hAnsi="宋体" w:cs="宋体"/>
          <w:sz w:val="24"/>
          <w:szCs w:val="24"/>
        </w:rPr>
      </w:pPr>
      <w:r>
        <w:rPr>
          <w:rFonts w:hint="eastAsia" w:ascii="宋体" w:hAnsi="宋体" w:cs="宋体"/>
          <w:sz w:val="24"/>
          <w:szCs w:val="24"/>
        </w:rPr>
        <w:t xml:space="preserve">2.1.基材：台面采用25mm厚国家环保标准E0级实木多层板，抽屉底板采用5mm厚国家环保标准E0级实木多层板，其他部位板材采用18mm厚国家环保标准E0级实木多层板，经过防火、防烫、防划、防潮、防酸碱、防污等处理。面材：采用优质三聚氰胺贴面，美观耐用。</w:t>
      </w:r>
      <w:r/>
    </w:p>
    <w:p>
      <w:pPr>
        <w:spacing w:after="120"/>
        <w:rPr>
          <w:rFonts w:hint="eastAsia" w:ascii="宋体" w:hAnsi="宋体" w:cs="宋体"/>
          <w:sz w:val="24"/>
          <w:szCs w:val="24"/>
        </w:rPr>
      </w:pPr>
      <w:r>
        <w:rPr>
          <w:rFonts w:hint="eastAsia" w:ascii="宋体" w:hAnsi="宋体" w:cs="宋体"/>
          <w:sz w:val="24"/>
          <w:szCs w:val="24"/>
        </w:rPr>
        <w:t xml:space="preserve">2.2.封边：采用优质同色PVC封边条，厚度≥2mm，无鼓包，无龟裂，无变色，无起皱,耐干热、耐磨、耐老化.</w:t>
      </w:r>
      <w:r/>
    </w:p>
    <w:p>
      <w:pPr>
        <w:spacing w:after="120"/>
        <w:rPr>
          <w:rFonts w:hint="eastAsia" w:ascii="宋体" w:hAnsi="宋体" w:cs="宋体"/>
          <w:sz w:val="24"/>
          <w:szCs w:val="24"/>
        </w:rPr>
      </w:pPr>
      <w:r>
        <w:rPr>
          <w:rFonts w:hint="eastAsia" w:ascii="宋体" w:hAnsi="宋体" w:cs="宋体"/>
          <w:sz w:val="24"/>
          <w:szCs w:val="24"/>
        </w:rPr>
        <w:t xml:space="preserve">2.3.优质五金配件：阻尼铰链，精工一体压铸成型，表面电泳电镀处理，不生锈，抗氧化，耐腐蚀。      </w:t>
      </w:r>
      <w:r/>
    </w:p>
    <w:p>
      <w:pPr>
        <w:spacing w:after="120"/>
        <w:rPr>
          <w:rFonts w:hint="eastAsia" w:ascii="宋体" w:hAnsi="宋体" w:cs="宋体"/>
          <w:sz w:val="24"/>
          <w:szCs w:val="24"/>
        </w:rPr>
      </w:pPr>
      <w:r>
        <w:rPr>
          <w:rFonts w:hint="eastAsia" w:ascii="宋体" w:hAnsi="宋体" w:cs="宋体"/>
          <w:sz w:val="24"/>
          <w:szCs w:val="24"/>
        </w:rPr>
        <w:t xml:space="preserve">2.4.胶粘剂：采用优质环保乳胶胶水，粘性强，久不分层，具有防水、防潮、耐油等特点；                                             </w:t>
      </w:r>
      <w:r/>
    </w:p>
    <w:p>
      <w:pPr>
        <w:spacing w:after="120"/>
        <w:rPr>
          <w:rFonts w:hint="eastAsia" w:ascii="宋体" w:hAnsi="宋体" w:cs="宋体"/>
          <w:sz w:val="24"/>
          <w:szCs w:val="24"/>
        </w:rPr>
      </w:pPr>
      <w:r>
        <w:rPr>
          <w:rFonts w:hint="eastAsia" w:ascii="宋体" w:hAnsi="宋体" w:cs="宋体"/>
          <w:sz w:val="24"/>
          <w:szCs w:val="24"/>
        </w:rPr>
        <w:t xml:space="preserve">2.5 桌上第一层空格注意根据墙插需要做镂空处理。</w:t>
      </w:r>
      <w:r/>
    </w:p>
    <w:p>
      <w:pPr>
        <w:spacing w:after="120"/>
        <w:rPr>
          <w:sz w:val="24"/>
          <w:szCs w:val="24"/>
        </w:rPr>
      </w:pPr>
      <w:r>
        <w:rPr>
          <w:rFonts w:hint="eastAsia" w:ascii="宋体" w:hAnsi="宋体" w:cs="宋体"/>
          <w:sz w:val="24"/>
          <w:szCs w:val="24"/>
        </w:rPr>
        <w:t xml:space="preserve">2.6拉手：采用优质铝合金暗拉手。所有抽屉和门不带锁。</w:t>
      </w:r>
      <w:r/>
    </w:p>
    <w:p>
      <w:pPr>
        <w:jc w:val="left"/>
        <w:widowControl/>
        <w:rPr>
          <w:sz w:val="24"/>
          <w:szCs w:val="24"/>
        </w:rPr>
      </w:pPr>
      <w:r>
        <w:rPr>
          <w:rFonts w:hint="eastAsia" w:ascii="宋体" w:hAnsi="宋体" w:cs="宋体"/>
          <w:b/>
          <w:bCs/>
          <w:color w:val="000000"/>
          <w:sz w:val="24"/>
          <w:szCs w:val="24"/>
          <w:lang w:bidi="ar"/>
        </w:rPr>
        <w:t xml:space="preserve">3.二连二人位床：</w:t>
      </w:r>
      <w:r/>
    </w:p>
    <w:p>
      <w:pPr>
        <w:jc w:val="left"/>
        <w:spacing w:line="360" w:lineRule="auto"/>
        <w:widowControl/>
        <w:rPr>
          <w:sz w:val="24"/>
          <w:szCs w:val="24"/>
        </w:rPr>
      </w:pPr>
      <w:r>
        <w:rPr>
          <w:rFonts w:hint="eastAsia" w:ascii="宋体" w:hAnsi="宋体" w:cs="宋体"/>
          <w:sz w:val="24"/>
          <w:szCs w:val="24"/>
        </w:rPr>
        <w:t xml:space="preserve">1、整体规格：L3932×W922×H2100mm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2、技术参数</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 边立柱：采用周长≥290mm冷轧钢板，经一次辊压焊接成型的闭口管，立柱成型后截面尺寸≥60×110mm或≥80×80mm，管材厚度≥1.2mm；管材外观为斜平面设计，整体立面≥10面，提升整体力学性能；内置凹型加强筋宽≥25mm深3mm，结构连接处截面≥35mm，提升整体结构稳固度，立柱两端有尾翼设计，便于隐藏挂件，尖角部位为圆弧角设计，人体易接触部位确保不被碰伤。立柱上下端配脚内外塞。</w:t>
      </w:r>
      <w:r/>
    </w:p>
    <w:p>
      <w:pPr>
        <w:ind w:firstLine="480"/>
        <w:jc w:val="left"/>
        <w:spacing w:line="360" w:lineRule="auto"/>
        <w:widowControl/>
        <w:rPr>
          <w:sz w:val="24"/>
          <w:szCs w:val="24"/>
          <w:lang w:eastAsia="en-US"/>
        </w:rPr>
      </w:pPr>
      <w:r>
        <w:rPr>
          <w:sz w:val="24"/>
          <w:szCs w:val="24"/>
          <w:lang w:eastAsia="en-US"/>
        </w:rPr>
        <mc:AlternateContent>
          <mc:Choice Requires="wpg">
            <w:drawing>
              <wp:inline xmlns:wp="http://schemas.openxmlformats.org/drawingml/2006/wordprocessingDrawing" distT="0" distB="0" distL="0" distR="0">
                <wp:extent cx="1196340" cy="1123315"/>
                <wp:effectExtent l="0" t="0" r="3810" b="635"/>
                <wp:docPr id="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2"/>
                        <pic:cNvPicPr>
                          <a:picLocks noChangeAspect="1"/>
                        </pic:cNvPicPr>
                        <pic:nvPr/>
                      </pic:nvPicPr>
                      <pic:blipFill>
                        <a:blip r:embed="rId19"/>
                        <a:stretch/>
                      </pic:blipFill>
                      <pic:spPr bwMode="auto">
                        <a:xfrm>
                          <a:off x="0" y="0"/>
                          <a:ext cx="1196340" cy="1123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4.2pt;height:88.4pt;mso-wrap-distance-left:0.0pt;mso-wrap-distance-top:0.0pt;mso-wrap-distance-right:0.0pt;mso-wrap-distance-bottom:0.0pt;" stroked="f">
                <v:path textboxrect="0,0,0,0"/>
                <v:imagedata r:id="rId19" o:title=""/>
              </v:shape>
            </w:pict>
          </mc:Fallback>
        </mc:AlternateContent>
      </w:r>
      <w:r>
        <w:rPr>
          <w:sz w:val="24"/>
          <w:szCs w:val="24"/>
          <w:lang w:eastAsia="en-US"/>
        </w:rPr>
        <mc:AlternateContent>
          <mc:Choice Requires="wpg">
            <w:drawing>
              <wp:inline xmlns:wp="http://schemas.openxmlformats.org/drawingml/2006/wordprocessingDrawing" distT="0" distB="0" distL="0" distR="0">
                <wp:extent cx="1074420" cy="1091565"/>
                <wp:effectExtent l="0" t="0" r="11430" b="13335"/>
                <wp:docPr id="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3"/>
                        <pic:cNvPicPr>
                          <a:picLocks noChangeAspect="1"/>
                        </pic:cNvPicPr>
                        <pic:nvPr/>
                      </pic:nvPicPr>
                      <pic:blipFill>
                        <a:blip r:embed="rId20"/>
                        <a:stretch/>
                      </pic:blipFill>
                      <pic:spPr bwMode="auto">
                        <a:xfrm>
                          <a:off x="0" y="0"/>
                          <a:ext cx="1074420" cy="109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4.6pt;height:86.0pt;mso-wrap-distance-left:0.0pt;mso-wrap-distance-top:0.0pt;mso-wrap-distance-right:0.0pt;mso-wrap-distance-bottom:0.0pt;" stroked="f">
                <v:path textboxrect="0,0,0,0"/>
                <v:imagedata r:id="rId20" o:title=""/>
              </v:shape>
            </w:pict>
          </mc:Fallback>
        </mc:AlternateConten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 中立柱：采用周长≥275mm冷轧带钢，经一次辊压焊接成型的T型闭口管，外观规格≥42*102mm，壁厚≥1.2mm，正面为斜平面设计，后部为平面。管材结构连接处截面≥35mm，尖角部位为圆弧角设计，提升整体结构稳固度，人体易接触部位确保不被碰伤，整体美观大气、牢固。立柱上下端口需用一次成型塑料脚套封住，全封闭。</w:t>
      </w:r>
      <w:r/>
    </w:p>
    <w:p>
      <w:pPr>
        <w:jc w:val="left"/>
        <w:widowControl/>
        <w:rPr>
          <w:sz w:val="24"/>
          <w:szCs w:val="24"/>
        </w:rPr>
      </w:pPr>
      <w:r>
        <w:rPr>
          <w:sz w:val="24"/>
          <w:szCs w:val="24"/>
          <w:lang w:eastAsia="en-US"/>
        </w:rPr>
        <mc:AlternateContent>
          <mc:Choice Requires="wpg">
            <w:drawing>
              <wp:inline xmlns:wp="http://schemas.openxmlformats.org/drawingml/2006/wordprocessingDrawing" distT="0" distB="0" distL="0" distR="0">
                <wp:extent cx="1428115" cy="1007745"/>
                <wp:effectExtent l="0" t="0" r="635" b="1905"/>
                <wp:docPr id="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4"/>
                        <pic:cNvPicPr>
                          <a:picLocks noChangeAspect="1"/>
                        </pic:cNvPicPr>
                        <pic:nvPr/>
                      </pic:nvPicPr>
                      <pic:blipFill>
                        <a:blip r:embed="rId21"/>
                        <a:stretch/>
                      </pic:blipFill>
                      <pic:spPr bwMode="auto">
                        <a:xfrm>
                          <a:off x="0" y="0"/>
                          <a:ext cx="1428115" cy="1007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2.4pt;height:79.3pt;mso-wrap-distance-left:0.0pt;mso-wrap-distance-top:0.0pt;mso-wrap-distance-right:0.0pt;mso-wrap-distance-bottom:0.0pt;" stroked="f">
                <v:path textboxrect="0,0,0,0"/>
                <v:imagedata r:id="rId21" o:title=""/>
              </v:shape>
            </w:pict>
          </mc:Fallback>
        </mc:AlternateContent>
      </w:r>
      <w:r>
        <w:rPr>
          <w:sz w:val="24"/>
          <w:szCs w:val="24"/>
          <w:lang w:eastAsia="en-US"/>
        </w:rPr>
        <mc:AlternateContent>
          <mc:Choice Requires="wpg">
            <w:drawing>
              <wp:inline xmlns:wp="http://schemas.openxmlformats.org/drawingml/2006/wordprocessingDrawing" distT="0" distB="0" distL="0" distR="0">
                <wp:extent cx="1304290" cy="701675"/>
                <wp:effectExtent l="0" t="0" r="10160" b="3175"/>
                <wp:docPr id="1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5"/>
                        <pic:cNvPicPr>
                          <a:picLocks noChangeAspect="1"/>
                        </pic:cNvPicPr>
                        <pic:nvPr/>
                      </pic:nvPicPr>
                      <pic:blipFill>
                        <a:blip r:embed="rId22"/>
                        <a:stretch/>
                      </pic:blipFill>
                      <pic:spPr bwMode="auto">
                        <a:xfrm>
                          <a:off x="0" y="0"/>
                          <a:ext cx="1304290" cy="701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7pt;height:55.2pt;mso-wrap-distance-left:0.0pt;mso-wrap-distance-top:0.0pt;mso-wrap-distance-right:0.0pt;mso-wrap-distance-bottom:0.0pt;" stroked="f">
                <v:path textboxrect="0,0,0,0"/>
                <v:imagedata r:id="rId22" o:title=""/>
              </v:shape>
            </w:pict>
          </mc:Fallback>
        </mc:AlternateConten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2.3 床厅：采用周长≥280mm冷轧带钢，经一次辊压焊接成型的闭口管，成型后截面尺寸≥50×100mm，管材厚度≥1.2mm；管材外观上端为直线型，下端为斜平面设计，美观且防碰撞，整体立面≥8面；床厅内侧有加宽台阶设计，向内延伸17mm，高度为15mm，增加床厅承受力以及避免床撑下落的风险。</w:t>
      </w:r>
      <w:r/>
    </w:p>
    <w:p>
      <w:pPr>
        <w:ind w:firstLine="480"/>
        <w:jc w:val="left"/>
        <w:spacing w:line="360" w:lineRule="auto"/>
        <w:widowControl/>
        <w:rPr>
          <w:rFonts w:hint="eastAsia" w:ascii="宋体" w:hAnsi="宋体" w:cs="宋体"/>
          <w:sz w:val="24"/>
          <w:szCs w:val="24"/>
        </w:rPr>
      </w:pPr>
      <w:r>
        <w:rPr>
          <w:sz w:val="24"/>
          <w:szCs w:val="24"/>
          <w:lang w:eastAsia="en-US"/>
        </w:rPr>
        <mc:AlternateContent>
          <mc:Choice Requires="wpg">
            <w:drawing>
              <wp:inline xmlns:wp="http://schemas.openxmlformats.org/drawingml/2006/wordprocessingDrawing" distT="0" distB="0" distL="0" distR="0">
                <wp:extent cx="1809115" cy="1101090"/>
                <wp:effectExtent l="0" t="0" r="635" b="3810"/>
                <wp:docPr id="1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6"/>
                        <pic:cNvPicPr>
                          <a:picLocks noChangeAspect="1"/>
                        </pic:cNvPicPr>
                        <pic:nvPr/>
                      </pic:nvPicPr>
                      <pic:blipFill>
                        <a:blip r:embed="rId23"/>
                        <a:stretch/>
                      </pic:blipFill>
                      <pic:spPr bwMode="auto">
                        <a:xfrm>
                          <a:off x="0" y="0"/>
                          <a:ext cx="1809115" cy="1101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2.4pt;height:86.7pt;mso-wrap-distance-left:0.0pt;mso-wrap-distance-top:0.0pt;mso-wrap-distance-right:0.0pt;mso-wrap-distance-bottom:0.0pt;" stroked="f">
                <v:path textboxrect="0,0,0,0"/>
                <v:imagedata r:id="rId23" o:title=""/>
              </v:shape>
            </w:pict>
          </mc:Fallback>
        </mc:AlternateContent>
      </w:r>
      <w:r>
        <w:rPr>
          <w:sz w:val="24"/>
          <w:szCs w:val="24"/>
          <w:lang w:eastAsia="en-US"/>
        </w:rPr>
        <mc:AlternateContent>
          <mc:Choice Requires="wpg">
            <w:drawing>
              <wp:inline xmlns:wp="http://schemas.openxmlformats.org/drawingml/2006/wordprocessingDrawing" distT="0" distB="0" distL="0" distR="0">
                <wp:extent cx="905510" cy="1161415"/>
                <wp:effectExtent l="0" t="0" r="8890" b="635"/>
                <wp:docPr id="1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7"/>
                        <pic:cNvPicPr>
                          <a:picLocks noChangeAspect="1"/>
                        </pic:cNvPicPr>
                        <pic:nvPr/>
                      </pic:nvPicPr>
                      <pic:blipFill>
                        <a:blip r:embed="rId24"/>
                        <a:stretch/>
                      </pic:blipFill>
                      <pic:spPr bwMode="auto">
                        <a:xfrm>
                          <a:off x="0" y="0"/>
                          <a:ext cx="905510" cy="116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1.3pt;height:91.4pt;mso-wrap-distance-left:0.0pt;mso-wrap-distance-top:0.0pt;mso-wrap-distance-right:0.0pt;mso-wrap-distance-bottom:0.0pt;" stroked="f">
                <v:path textboxrect="0,0,0,0"/>
                <v:imagedata r:id="rId24" o:title=""/>
              </v:shape>
            </w:pict>
          </mc:Fallback>
        </mc:AlternateConten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 前</w:t>
      </w:r>
      <w:r>
        <w:rPr>
          <w:rFonts w:hint="eastAsia" w:ascii="宋体" w:hAnsi="宋体" w:cs="宋体"/>
          <w:sz w:val="24"/>
          <w:szCs w:val="24"/>
          <w:lang w:val="zh-TW" w:eastAsia="zh-TW"/>
        </w:rPr>
        <w:t xml:space="preserve">护栏</w:t>
      </w:r>
      <w:r>
        <w:rPr>
          <w:rFonts w:hint="eastAsia" w:ascii="宋体" w:hAnsi="宋体" w:cs="宋体"/>
          <w:sz w:val="24"/>
          <w:szCs w:val="24"/>
        </w:rPr>
        <w:t xml:space="preserve">：整体外规尺寸≥1200mm×350mm，主管采用≥20×40×1.0mm的D型钢管，上端圆弧型防止磕碰，竖管采用≥20×20mm方管；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 床头护栏：高度≥450mm，底部采用规格30×60mm壁厚≥1.0mm矩形碳素钢管；护栏上端采用规格20×40×1.0mm的D型钢管，上端圆弧型防止磕碰，竖管采用≥20×20mm方管；</w:t>
      </w:r>
      <w:r/>
    </w:p>
    <w:p>
      <w:pPr>
        <w:ind w:firstLine="480"/>
        <w:jc w:val="left"/>
        <w:spacing w:line="360" w:lineRule="auto"/>
        <w:widowControl/>
        <w:tabs>
          <w:tab w:val="left" w:pos="1848" w:leader="none"/>
        </w:tabs>
        <w:rPr>
          <w:rFonts w:hint="eastAsia" w:ascii="宋体" w:hAnsi="宋体" w:cs="宋体"/>
          <w:sz w:val="24"/>
          <w:szCs w:val="24"/>
        </w:rPr>
      </w:pPr>
      <w:r>
        <w:rPr>
          <w:rFonts w:hint="eastAsia" w:ascii="宋体" w:hAnsi="宋体" w:cs="宋体"/>
          <w:sz w:val="24"/>
          <w:szCs w:val="24"/>
        </w:rPr>
        <w:t xml:space="preserve">2.6 </w:t>
      </w:r>
      <w:r>
        <w:rPr>
          <w:rFonts w:hint="eastAsia" w:ascii="宋体" w:hAnsi="宋体" w:cs="宋体"/>
          <w:sz w:val="24"/>
          <w:szCs w:val="24"/>
          <w:highlight w:val="none"/>
          <w:lang w:val="zh-CN"/>
        </w:rPr>
        <w:t xml:space="preserve">爬梯:</w:t>
      </w:r>
      <w:r>
        <w:rPr>
          <w:rFonts w:hint="eastAsia" w:ascii="宋体" w:hAnsi="宋体" w:cs="宋体"/>
          <w:sz w:val="24"/>
          <w:szCs w:val="24"/>
          <w:highlight w:val="none"/>
        </w:rPr>
        <w:t xml:space="preserve">整体宽度≥550×100mm(具体尺寸中标后根据现场再定)，</w:t>
      </w:r>
      <w:r>
        <w:rPr>
          <w:rFonts w:hint="eastAsia" w:ascii="宋体" w:hAnsi="宋体" w:cs="宋体"/>
          <w:sz w:val="24"/>
          <w:szCs w:val="24"/>
          <w:lang w:val="zh-CN"/>
        </w:rPr>
        <w:t xml:space="preserve">支撑柱采用</w:t>
      </w:r>
      <w:r>
        <w:rPr>
          <w:rFonts w:hint="eastAsia" w:ascii="宋体" w:hAnsi="宋体" w:cs="宋体"/>
          <w:sz w:val="24"/>
          <w:szCs w:val="24"/>
        </w:rPr>
        <w:t xml:space="preserve">φ32mm钢管</w:t>
      </w:r>
      <w:r>
        <w:rPr>
          <w:rFonts w:hint="eastAsia" w:ascii="宋体" w:hAnsi="宋体" w:cs="宋体"/>
          <w:sz w:val="24"/>
          <w:szCs w:val="24"/>
          <w:lang w:val="zh-CN"/>
        </w:rPr>
        <w:t xml:space="preserve">，材料厚度≥1.2mm。爬梯踏板</w:t>
      </w:r>
      <w:r>
        <w:rPr>
          <w:rFonts w:hint="eastAsia" w:ascii="宋体" w:hAnsi="宋体" w:cs="宋体"/>
          <w:sz w:val="24"/>
          <w:szCs w:val="24"/>
        </w:rPr>
        <w:t xml:space="preserve">采用中空吹塑</w:t>
      </w:r>
      <w:r>
        <w:rPr>
          <w:rFonts w:hint="eastAsia" w:ascii="宋体" w:hAnsi="宋体" w:cs="宋体"/>
          <w:sz w:val="24"/>
          <w:szCs w:val="24"/>
          <w:lang w:val="zh-CN"/>
        </w:rPr>
        <w:t xml:space="preserve">一次成形防滑脚踏板，</w:t>
      </w:r>
      <w:r>
        <w:rPr>
          <w:rFonts w:hint="eastAsia" w:ascii="宋体" w:hAnsi="宋体" w:cs="宋体"/>
          <w:sz w:val="24"/>
          <w:szCs w:val="24"/>
        </w:rPr>
        <w:t xml:space="preserve">踏板下方加固20×30mm的矩形碳素钢管</w:t>
      </w:r>
      <w:r>
        <w:rPr>
          <w:rFonts w:hint="eastAsia" w:ascii="宋体" w:hAnsi="宋体" w:cs="宋体"/>
          <w:sz w:val="24"/>
          <w:szCs w:val="24"/>
          <w:lang w:val="zh-CN"/>
        </w:rPr>
        <w:t xml:space="preserve">；</w:t>
      </w:r>
      <w:r>
        <w:rPr>
          <w:rFonts w:hint="eastAsia" w:ascii="宋体" w:hAnsi="宋体" w:cs="宋体"/>
          <w:sz w:val="24"/>
          <w:szCs w:val="24"/>
        </w:rPr>
        <w:t xml:space="preserve">共5步踏板，具有防滑、安全性好、美观大方等功能；</w:t>
      </w:r>
      <w:r>
        <w:rPr>
          <w:rFonts w:hint="eastAsia" w:ascii="宋体" w:hAnsi="宋体" w:cs="宋体"/>
          <w:sz w:val="24"/>
          <w:szCs w:val="24"/>
          <w:lang w:val="zh-CN"/>
        </w:rPr>
        <w:t xml:space="preserve">内镶夜间荧光条；</w:t>
      </w:r>
      <w:r>
        <w:rPr>
          <w:rFonts w:hint="eastAsia" w:ascii="宋体" w:hAnsi="宋体" w:cs="宋体"/>
          <w:sz w:val="24"/>
          <w:szCs w:val="24"/>
        </w:rPr>
        <w:t xml:space="preserve">爬梯上部安装与床连接的塑料件采用 PP 塑料外套,减少钢件连接的噪音,要求塑料外套贴合紧密。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2.7 床撑：采用规格≥</w:t>
      </w:r>
      <w:r>
        <w:rPr>
          <w:rFonts w:ascii="宋体" w:hAnsi="宋体" w:cs="宋体"/>
          <w:sz w:val="24"/>
          <w:szCs w:val="24"/>
        </w:rPr>
        <w:t xml:space="preserve">2</w:t>
      </w:r>
      <w:r>
        <w:rPr>
          <w:rFonts w:hint="eastAsia" w:ascii="宋体" w:hAnsi="宋体" w:cs="宋体"/>
          <w:sz w:val="24"/>
          <w:szCs w:val="24"/>
        </w:rPr>
        <w:t xml:space="preserve">0mm×30mm，</w:t>
      </w:r>
      <w:r>
        <w:rPr>
          <w:rFonts w:hint="eastAsia" w:ascii="宋体" w:hAnsi="宋体"/>
          <w:sz w:val="24"/>
          <w:szCs w:val="24"/>
        </w:rPr>
        <w:t xml:space="preserve">厚度≥1.0mm的</w:t>
      </w:r>
      <w:r>
        <w:rPr>
          <w:rFonts w:hint="eastAsia" w:ascii="宋体" w:hAnsi="宋体" w:cs="宋体"/>
          <w:sz w:val="24"/>
          <w:szCs w:val="24"/>
        </w:rPr>
        <w:t xml:space="preserve">高频焊接闭口管，与前后床厅采用嵌入式固定连接，防止床厅变形,床撑不易脱落，整体床铺衬数量≥5根。</w:t>
      </w:r>
      <w:r/>
    </w:p>
    <w:p>
      <w:pPr>
        <w:ind w:firstLine="480"/>
        <w:jc w:val="left"/>
        <w:spacing w:line="360" w:lineRule="auto"/>
        <w:widowControl/>
        <w:tabs>
          <w:tab w:val="left" w:pos="1848" w:leader="none"/>
        </w:tabs>
        <w:rPr>
          <w:rFonts w:hint="eastAsia" w:ascii="宋体" w:hAnsi="宋体" w:cs="宋体"/>
          <w:sz w:val="24"/>
          <w:szCs w:val="24"/>
        </w:rPr>
      </w:pPr>
      <w:r>
        <w:rPr>
          <w:rFonts w:hint="eastAsia" w:ascii="宋体" w:hAnsi="宋体" w:cs="宋体"/>
          <w:sz w:val="24"/>
          <w:szCs w:val="24"/>
        </w:rPr>
        <w:t xml:space="preserve">2.8 卡式连接件（隐藏式）：卡式连接件采用优质钢板经冲压拉伸一次成型，成型后外形规格高不小于200mm，单面宽度不小于25mm,厚度不小于2.0mm，不少于3个挂齿，通过与卡式连接件无缝式下压连接，实现使用后越用越紧的状态，安装完成后挂齿完全隐藏，从正面看不到任何挂齿。挂齿由导向段和锁紧段组成，安装时床挂件与立柱齐平，整体全隐装，无须螺栓连接，更美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2.9铺板：不含床板。</w:t>
      </w:r>
      <w:r/>
    </w:p>
    <w:p>
      <w:pPr>
        <w:ind w:firstLine="480"/>
        <w:spacing w:after="120"/>
        <w:rPr>
          <w:sz w:val="24"/>
          <w:szCs w:val="24"/>
        </w:rPr>
      </w:pPr>
      <w:r>
        <w:rPr>
          <w:rFonts w:hint="eastAsia" w:ascii="宋体" w:hAnsi="宋体" w:cs="宋体"/>
          <w:sz w:val="24"/>
          <w:szCs w:val="24"/>
        </w:rPr>
        <w:t xml:space="preserve">2.10 蚊帐杆：</w:t>
      </w:r>
      <w:r>
        <w:rPr>
          <w:rFonts w:hint="eastAsia" w:ascii="宋体" w:hAnsi="宋体" w:cs="宋体"/>
          <w:sz w:val="24"/>
          <w:szCs w:val="24"/>
          <w:lang w:val="zh-CN"/>
        </w:rPr>
        <w:t xml:space="preserve">采用</w:t>
      </w:r>
      <w:r>
        <w:rPr>
          <w:rFonts w:hint="eastAsia" w:ascii="宋体" w:hAnsi="宋体" w:cs="宋体"/>
          <w:sz w:val="24"/>
          <w:szCs w:val="24"/>
        </w:rPr>
        <w:t xml:space="preserve">φ16mm钢管</w:t>
      </w:r>
      <w:r>
        <w:rPr>
          <w:rFonts w:hint="eastAsia" w:ascii="宋体" w:hAnsi="宋体" w:cs="宋体"/>
          <w:sz w:val="24"/>
          <w:szCs w:val="24"/>
          <w:lang w:val="zh-CN"/>
        </w:rPr>
        <w:t xml:space="preserve">，材料厚度≥1.</w:t>
      </w:r>
      <w:r>
        <w:rPr>
          <w:rFonts w:hint="eastAsia" w:ascii="宋体" w:hAnsi="宋体" w:cs="宋体"/>
          <w:sz w:val="24"/>
          <w:szCs w:val="24"/>
        </w:rPr>
        <w:t xml:space="preserve">0</w:t>
      </w:r>
      <w:r>
        <w:rPr>
          <w:rFonts w:hint="eastAsia" w:ascii="宋体" w:hAnsi="宋体" w:cs="宋体"/>
          <w:sz w:val="24"/>
          <w:szCs w:val="24"/>
          <w:lang w:val="zh-CN"/>
        </w:rPr>
        <w:t xml:space="preserve">mm。</w:t>
      </w:r>
      <w:r/>
    </w:p>
    <w:p>
      <w:pPr>
        <w:ind w:left="420"/>
        <w:jc w:val="left"/>
        <w:spacing w:line="360" w:lineRule="auto"/>
        <w:widowControl/>
        <w:tabs>
          <w:tab w:val="left" w:pos="1848" w:leader="none"/>
        </w:tabs>
        <w:rPr>
          <w:rFonts w:hint="eastAsia" w:ascii="宋体" w:hAnsi="宋体" w:cs="宋体"/>
          <w:sz w:val="24"/>
          <w:szCs w:val="24"/>
        </w:rPr>
      </w:pPr>
      <w:r>
        <w:rPr>
          <w:rFonts w:hint="eastAsia" w:ascii="宋体" w:hAnsi="宋体" w:cs="宋体"/>
          <w:sz w:val="24"/>
          <w:szCs w:val="24"/>
        </w:rPr>
        <w:t xml:space="preserve">3、工艺要求及标准</w:t>
      </w:r>
      <w:r/>
    </w:p>
    <w:p>
      <w:pPr>
        <w:ind w:firstLine="480"/>
        <w:jc w:val="left"/>
        <w:spacing w:line="360" w:lineRule="auto"/>
        <w:widowControl/>
        <w:tabs>
          <w:tab w:val="left" w:pos="1848" w:leader="none"/>
        </w:tabs>
        <w:rPr>
          <w:rFonts w:hint="eastAsia" w:ascii="宋体" w:hAnsi="宋体" w:cs="宋体"/>
          <w:sz w:val="24"/>
          <w:szCs w:val="24"/>
        </w:rPr>
      </w:pPr>
      <w:r>
        <w:rPr>
          <w:rFonts w:hint="eastAsia" w:ascii="宋体" w:hAnsi="宋体" w:cs="宋体"/>
          <w:sz w:val="24"/>
          <w:szCs w:val="24"/>
        </w:rPr>
        <w:t xml:space="preserve">3.1焊接：采用二氧化碳气体保护焊，焊点应满焊、均匀、牢固、平整，无漏焊、假焊、裂纹、烧穿、毛刺、表面气孔、夹渣、焊疤堆积等缺陷，焊接后打磨平、除刺及抛光。</w:t>
      </w:r>
      <w:r/>
    </w:p>
    <w:p>
      <w:pPr>
        <w:ind w:firstLine="480"/>
        <w:jc w:val="left"/>
        <w:spacing w:line="360" w:lineRule="auto"/>
        <w:widowControl/>
        <w:tabs>
          <w:tab w:val="left" w:pos="1848" w:leader="none"/>
        </w:tabs>
        <w:rPr>
          <w:rFonts w:hint="eastAsia" w:ascii="宋体" w:hAnsi="宋体"/>
          <w:b/>
          <w:color w:val="000000"/>
          <w:sz w:val="40"/>
          <w:szCs w:val="40"/>
        </w:rPr>
      </w:pPr>
      <w:r>
        <w:rPr>
          <w:rFonts w:hint="eastAsia" w:ascii="宋体" w:hAnsi="宋体" w:cs="宋体"/>
          <w:sz w:val="24"/>
          <w:szCs w:val="24"/>
        </w:rPr>
        <w:t xml:space="preserve">3.2喷塑：采用优质环保产品环氧聚脂塑粉静电喷塑，经过“除油—水洗—酸洗—除锈—清洗—中和—陶化—水洗—烘干—喷涂—高温固化”十一工位处理，表面光滑平整，色泽均匀，喷塑层无漏喷、起泡、模糊、划痕或碰伤等缺陷。</w:t>
      </w:r>
      <w:r/>
    </w:p>
    <w:p>
      <w:pPr>
        <w:ind w:firstLine="602"/>
        <w:jc w:val="left"/>
        <w:spacing w:line="360" w:lineRule="auto"/>
        <w:widowControl/>
        <w:rPr>
          <w:rFonts w:hint="eastAsia" w:ascii="宋体" w:hAnsi="宋体"/>
          <w:b/>
          <w:color w:val="000000"/>
          <w:sz w:val="32"/>
          <w:szCs w:val="32"/>
        </w:rPr>
      </w:pPr>
      <w:r>
        <w:rPr>
          <w:rFonts w:hint="eastAsia" w:ascii="宋体" w:hAnsi="宋体"/>
          <w:b/>
          <w:color w:val="000000"/>
          <w:sz w:val="32"/>
          <w:szCs w:val="32"/>
        </w:rPr>
        <w:t xml:space="preserve">三、平面图</w:t>
      </w:r>
      <w:r/>
    </w:p>
    <w:tbl>
      <w:tblPr>
        <w:tblStyle w:val="863"/>
        <w:tblW w:w="9640" w:type="dxa"/>
        <w:tblInd w:w="93" w:type="dxa"/>
        <w:tblLayout w:type="autofit"/>
        <w:tblCellMar>
          <w:left w:w="108" w:type="dxa"/>
          <w:top w:w="0" w:type="dxa"/>
          <w:right w:w="108" w:type="dxa"/>
          <w:bottom w:w="0" w:type="dxa"/>
        </w:tblCellMar>
        <w:tblLook w:val="04A0" w:firstRow="1" w:lastRow="0" w:firstColumn="1" w:lastColumn="0" w:noHBand="0" w:noVBand="1"/>
      </w:tblPr>
      <w:tblGrid>
        <w:gridCol w:w="9640"/>
      </w:tblGrid>
      <w:tr>
        <w:trPr>
          <w:trHeight w:val="1410"/>
        </w:trPr>
        <w:tc>
          <w:tcPr>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widowControl/>
              <w:rPr>
                <w:rFonts w:hint="eastAsia" w:ascii="宋体" w:hAnsi="宋体" w:cs="宋体"/>
                <w:color w:val="000000"/>
                <w:sz w:val="22"/>
                <w:szCs w:val="22"/>
              </w:rPr>
            </w:pPr>
            <w:r>
              <w:rPr>
                <w:rFonts w:hint="eastAsia" w:ascii="宋体" w:hAnsi="宋体" w:cs="宋体"/>
                <w:b/>
                <w:bCs/>
                <w:color w:val="000000"/>
                <w:sz w:val="40"/>
                <w:szCs w:val="40"/>
              </w:rPr>
              <w:t xml:space="preserve">AB楼4人间平面图：</w:t>
            </w:r>
            <w:r/>
          </w:p>
        </w:tc>
      </w:tr>
      <w:tr>
        <w:trPr>
          <w:trHeight w:val="9694"/>
        </w:trPr>
        <w:tc>
          <w:tcPr>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jc w:val="both"/>
              <w:widowControl/>
              <w:rPr>
                <w:sz w:val="24"/>
                <w:lang w:eastAsia="en-US"/>
              </w:rPr>
            </w:pPr>
            <w:r>
              <w:rPr>
                <w:sz w:val="24"/>
                <w:lang w:eastAsia="en-US"/>
              </w:rPr>
            </w:r>
            <w:r/>
          </w:p>
          <w:p>
            <w:pPr>
              <w:jc w:val="center"/>
              <w:widowControl/>
              <w:rPr>
                <w:rFonts w:hint="eastAsia" w:ascii="宋体" w:hAnsi="宋体" w:cs="宋体"/>
                <w:color w:val="000000"/>
                <w:sz w:val="22"/>
                <w:szCs w:val="22"/>
              </w:rPr>
            </w:pPr>
            <w:r>
              <w:rPr>
                <w:sz w:val="24"/>
                <w:lang w:eastAsia="en-US"/>
              </w:rPr>
              <mc:AlternateContent>
                <mc:Choice Requires="wpg">
                  <w:drawing>
                    <wp:inline xmlns:wp="http://schemas.openxmlformats.org/drawingml/2006/wordprocessingDrawing" distT="0" distB="0" distL="0" distR="0">
                      <wp:extent cx="4104005" cy="5813425"/>
                      <wp:effectExtent l="0" t="0" r="10795" b="1587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25"/>
                              <a:stretch/>
                            </pic:blipFill>
                            <pic:spPr bwMode="auto">
                              <a:xfrm>
                                <a:off x="0" y="0"/>
                                <a:ext cx="4104005" cy="581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3.1pt;height:457.8pt;mso-wrap-distance-left:0.0pt;mso-wrap-distance-top:0.0pt;mso-wrap-distance-right:0.0pt;mso-wrap-distance-bottom:0.0pt;" stroked="f">
                      <v:path textboxrect="0,0,0,0"/>
                      <v:imagedata r:id="rId25" o:title=""/>
                    </v:shape>
                  </w:pict>
                </mc:Fallback>
              </mc:AlternateContent>
            </w:r>
            <w:r/>
          </w:p>
        </w:tc>
      </w:tr>
    </w:tbl>
    <w:p>
      <w:pPr>
        <w:jc w:val="left"/>
        <w:widowControl/>
        <w:rPr>
          <w:sz w:val="24"/>
          <w:lang w:eastAsia="en-US"/>
        </w:rPr>
      </w:pPr>
      <w:r>
        <w:rPr>
          <w:sz w:val="24"/>
          <w:lang w:eastAsia="en-US"/>
        </w:rPr>
      </w:r>
      <w:r/>
    </w:p>
    <w:tbl>
      <w:tblPr>
        <w:tblStyle w:val="863"/>
        <w:tblW w:w="9640" w:type="dxa"/>
        <w:tblInd w:w="93" w:type="dxa"/>
        <w:tblLayout w:type="autofit"/>
        <w:tblCellMar>
          <w:left w:w="108" w:type="dxa"/>
          <w:top w:w="0" w:type="dxa"/>
          <w:right w:w="108" w:type="dxa"/>
          <w:bottom w:w="0" w:type="dxa"/>
        </w:tblCellMar>
        <w:tblLook w:val="04A0" w:firstRow="1" w:lastRow="0" w:firstColumn="1" w:lastColumn="0" w:noHBand="0" w:noVBand="1"/>
      </w:tblPr>
      <w:tblGrid>
        <w:gridCol w:w="9640"/>
      </w:tblGrid>
      <w:tr>
        <w:trPr>
          <w:trHeight w:val="1221"/>
        </w:trPr>
        <w:tc>
          <w:tcPr>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b/>
                <w:bCs/>
                <w:color w:val="000000"/>
                <w:sz w:val="40"/>
                <w:szCs w:val="40"/>
              </w:rPr>
              <w:t xml:space="preserve">AB楼6人间平面图：</w:t>
            </w:r>
            <w:r/>
          </w:p>
        </w:tc>
      </w:tr>
      <w:tr>
        <w:trPr>
          <w:trHeight w:val="10910"/>
        </w:trPr>
        <w:tc>
          <w:tcPr>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jc w:val="center"/>
              <w:widowControl/>
              <w:rPr>
                <w:rFonts w:hint="eastAsia" w:ascii="宋体" w:hAnsi="宋体" w:cs="宋体"/>
                <w:color w:val="000000"/>
                <w:sz w:val="22"/>
                <w:szCs w:val="22"/>
              </w:rPr>
            </w:pPr>
            <w:r>
              <w:rPr>
                <w:sz w:val="24"/>
                <w:lang w:eastAsia="en-US"/>
              </w:rPr>
              <mc:AlternateContent>
                <mc:Choice Requires="wpg">
                  <w:drawing>
                    <wp:inline xmlns:wp="http://schemas.openxmlformats.org/drawingml/2006/wordprocessingDrawing" distT="0" distB="0" distL="0" distR="0">
                      <wp:extent cx="4742815" cy="6089650"/>
                      <wp:effectExtent l="0" t="0" r="635" b="6350"/>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26"/>
                              <a:stretch/>
                            </pic:blipFill>
                            <pic:spPr bwMode="auto">
                              <a:xfrm>
                                <a:off x="0" y="0"/>
                                <a:ext cx="4742815" cy="608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3.4pt;height:479.5pt;mso-wrap-distance-left:0.0pt;mso-wrap-distance-top:0.0pt;mso-wrap-distance-right:0.0pt;mso-wrap-distance-bottom:0.0pt;" stroked="f">
                      <v:path textboxrect="0,0,0,0"/>
                      <v:imagedata r:id="rId26" o:title=""/>
                    </v:shape>
                  </w:pict>
                </mc:Fallback>
              </mc:AlternateContent>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bl>
    <w:p>
      <w:pPr>
        <w:jc w:val="left"/>
        <w:widowControl/>
        <w:rPr>
          <w:sz w:val="24"/>
          <w:lang w:eastAsia="en-US"/>
        </w:rPr>
      </w:pPr>
      <w:r>
        <w:rPr>
          <w:sz w:val="24"/>
          <w:lang w:eastAsia="en-US"/>
        </w:rPr>
      </w:r>
      <w:r/>
    </w:p>
    <w:tbl>
      <w:tblPr>
        <w:tblStyle w:val="863"/>
        <w:tblW w:w="9846" w:type="dxa"/>
        <w:tblInd w:w="93" w:type="dxa"/>
        <w:tblLayout w:type="autofit"/>
        <w:tblCellMar>
          <w:left w:w="108" w:type="dxa"/>
          <w:top w:w="0" w:type="dxa"/>
          <w:right w:w="108" w:type="dxa"/>
          <w:bottom w:w="0" w:type="dxa"/>
        </w:tblCellMar>
        <w:tblLook w:val="04A0" w:firstRow="1" w:lastRow="0" w:firstColumn="1" w:lastColumn="0" w:noHBand="0" w:noVBand="1"/>
      </w:tblPr>
      <w:tblGrid>
        <w:gridCol w:w="9846"/>
      </w:tblGrid>
      <w:tr>
        <w:trPr>
          <w:trHeight w:val="1640"/>
        </w:trPr>
        <w:tc>
          <w:tcPr>
            <w:tcBorders>
              <w:top w:val="single" w:color="000000" w:sz="4" w:space="0"/>
              <w:left w:val="single" w:color="000000" w:sz="4" w:space="0"/>
              <w:bottom w:val="single" w:color="000000" w:sz="4" w:space="0"/>
              <w:right w:val="single" w:color="000000" w:sz="4" w:space="0"/>
            </w:tcBorders>
            <w:tcW w:w="9846"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b/>
                <w:bCs/>
                <w:color w:val="000000"/>
                <w:sz w:val="40"/>
                <w:szCs w:val="40"/>
              </w:rPr>
              <w:t xml:space="preserve">招待所6人间平面图：</w:t>
            </w:r>
            <w:r/>
          </w:p>
        </w:tc>
      </w:tr>
      <w:tr>
        <w:trPr>
          <w:trHeight w:val="11806"/>
        </w:trPr>
        <w:tc>
          <w:tcPr>
            <w:tcBorders>
              <w:top w:val="single" w:color="000000" w:sz="4" w:space="0"/>
              <w:left w:val="single" w:color="000000" w:sz="4" w:space="0"/>
              <w:bottom w:val="single" w:color="000000" w:sz="4" w:space="0"/>
              <w:right w:val="single" w:color="000000" w:sz="4" w:space="0"/>
            </w:tcBorders>
            <w:tcW w:w="9846" w:type="dxa"/>
            <w:vAlign w:val="center"/>
            <w:textDirection w:val="lrTb"/>
            <w:noWrap/>
          </w:tcPr>
          <w:p>
            <w:pPr>
              <w:jc w:val="center"/>
              <w:widowControl/>
              <w:rPr>
                <w:rFonts w:hint="eastAsia" w:ascii="宋体" w:hAnsi="宋体" w:cs="宋体"/>
                <w:color w:val="000000"/>
                <w:sz w:val="22"/>
                <w:szCs w:val="22"/>
              </w:rPr>
            </w:pPr>
            <w:r>
              <w:rPr>
                <w:sz w:val="24"/>
                <w:lang w:eastAsia="en-US"/>
              </w:rPr>
              <mc:AlternateContent>
                <mc:Choice Requires="wpg">
                  <w:drawing>
                    <wp:inline xmlns:wp="http://schemas.openxmlformats.org/drawingml/2006/wordprocessingDrawing" distT="0" distB="0" distL="0" distR="0">
                      <wp:extent cx="5363210" cy="7516495"/>
                      <wp:effectExtent l="0" t="0" r="0" b="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27"/>
                              <a:srcRect l="0" t="3749" r="0" b="0"/>
                              <a:stretch/>
                            </pic:blipFill>
                            <pic:spPr bwMode="auto">
                              <a:xfrm>
                                <a:off x="0" y="0"/>
                                <a:ext cx="5363210" cy="7516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2.3pt;height:591.9pt;mso-wrap-distance-left:0.0pt;mso-wrap-distance-top:0.0pt;mso-wrap-distance-right:0.0pt;mso-wrap-distance-bottom:0.0pt;" stroked="f">
                      <v:path textboxrect="0,0,0,0"/>
                      <v:imagedata r:id="rId27" o:title=""/>
                    </v:shape>
                  </w:pict>
                </mc:Fallback>
              </mc:AlternateContent>
            </w:r>
            <w:r/>
          </w:p>
        </w:tc>
      </w:tr>
      <w:tr>
        <w:trPr>
          <w:trHeight w:val="1399"/>
        </w:trPr>
        <w:tc>
          <w:tcPr>
            <w:tcBorders>
              <w:top w:val="single" w:color="000000" w:sz="4" w:space="0"/>
              <w:left w:val="single" w:color="000000" w:sz="4" w:space="0"/>
              <w:bottom w:val="single" w:color="000000" w:sz="4" w:space="0"/>
              <w:right w:val="single" w:color="000000" w:sz="4" w:space="0"/>
            </w:tcBorders>
            <w:tcW w:w="9846"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b/>
                <w:bCs/>
                <w:color w:val="000000"/>
                <w:sz w:val="40"/>
                <w:szCs w:val="40"/>
              </w:rPr>
              <w:t xml:space="preserve">招待所10人间改成8人间平面图：</w:t>
            </w:r>
            <w:r/>
          </w:p>
        </w:tc>
      </w:tr>
      <w:tr>
        <w:trPr>
          <w:trHeight w:val="11427"/>
        </w:trPr>
        <w:tc>
          <w:tcPr>
            <w:tcBorders>
              <w:top w:val="single" w:color="000000" w:sz="4" w:space="0"/>
              <w:left w:val="single" w:color="000000" w:sz="4" w:space="0"/>
              <w:bottom w:val="single" w:color="000000" w:sz="4" w:space="0"/>
              <w:right w:val="single" w:color="000000" w:sz="4" w:space="0"/>
            </w:tcBorders>
            <w:tcW w:w="9846" w:type="dxa"/>
            <w:vAlign w:val="center"/>
            <w:textDirection w:val="lrTb"/>
            <w:noWrap/>
          </w:tcPr>
          <w:p>
            <w:pPr>
              <w:jc w:val="left"/>
              <w:widowControl/>
              <w:rPr>
                <w:rFonts w:hint="eastAsia" w:ascii="宋体" w:hAnsi="宋体" w:cs="宋体"/>
                <w:color w:val="000000"/>
                <w:sz w:val="22"/>
                <w:szCs w:val="22"/>
              </w:rPr>
            </w:pPr>
            <w:r>
              <w:rPr>
                <w:sz w:val="24"/>
                <w:lang w:eastAsia="en-US"/>
              </w:rPr>
              <mc:AlternateContent>
                <mc:Choice Requires="wpg">
                  <w:drawing>
                    <wp:inline xmlns:wp="http://schemas.openxmlformats.org/drawingml/2006/wordprocessingDrawing" distT="0" distB="0" distL="0" distR="0">
                      <wp:extent cx="6102350" cy="6311265"/>
                      <wp:effectExtent l="0" t="0" r="12700" b="1333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8"/>
                              <a:stretch/>
                            </pic:blipFill>
                            <pic:spPr bwMode="auto">
                              <a:xfrm>
                                <a:off x="0" y="0"/>
                                <a:ext cx="6102350" cy="631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0.5pt;height:496.9pt;mso-wrap-distance-left:0.0pt;mso-wrap-distance-top:0.0pt;mso-wrap-distance-right:0.0pt;mso-wrap-distance-bottom:0.0pt;" stroked="f">
                      <v:path textboxrect="0,0,0,0"/>
                      <v:imagedata r:id="rId28" o:title=""/>
                    </v:shape>
                  </w:pict>
                </mc:Fallback>
              </mc:AlternateContent>
            </w:r>
            <w:r/>
          </w:p>
        </w:tc>
      </w:tr>
    </w:tbl>
    <w:p>
      <w:pPr>
        <w:ind w:firstLine="480"/>
        <w:rPr>
          <w:color w:val="000000"/>
          <w:sz w:val="24"/>
          <w:szCs w:val="24"/>
        </w:rPr>
      </w:pPr>
      <w:r>
        <w:rPr>
          <w:rFonts w:hint="eastAsia" w:ascii="宋体" w:hAnsi="宋体"/>
          <w:b/>
          <w:color w:val="000000"/>
          <w:sz w:val="24"/>
          <w:szCs w:val="24"/>
        </w:rPr>
        <w:t xml:space="preserve">备注：</w:t>
      </w:r>
      <w:r>
        <w:rPr>
          <w:rFonts w:ascii="宋体" w:hAnsi="宋体" w:cs="宋体"/>
          <w:color w:val="000000"/>
          <w:sz w:val="24"/>
          <w:szCs w:val="24"/>
        </w:rPr>
        <w:t xml:space="preserve">1.家具颜色：中标单位在中标后提供色板给甲方，按甲方选定的颜色生产。</w:t>
      </w:r>
      <w:r/>
    </w:p>
    <w:p>
      <w:pPr>
        <w:ind w:firstLine="480"/>
        <w:jc w:val="left"/>
        <w:spacing w:line="431" w:lineRule="exact"/>
        <w:rPr>
          <w:color w:val="000000"/>
          <w:sz w:val="24"/>
          <w:szCs w:val="24"/>
        </w:rPr>
      </w:pPr>
      <w:r>
        <w:rPr>
          <w:rFonts w:ascii="宋体" w:hAnsi="宋体" w:cs="宋体"/>
          <w:color w:val="000000"/>
          <w:sz w:val="24"/>
          <w:szCs w:val="24"/>
        </w:rPr>
        <w:t xml:space="preserve">2.中标单位在中标后自行复核现场实际尺寸及家具方向，确保家具能够正常安装。</w:t>
      </w:r>
      <w:r/>
    </w:p>
    <w:p>
      <w:pPr>
        <w:ind w:firstLine="480"/>
        <w:jc w:val="left"/>
        <w:spacing w:line="431" w:lineRule="exact"/>
        <w:rPr>
          <w:color w:val="000000"/>
          <w:sz w:val="24"/>
          <w:szCs w:val="24"/>
        </w:rPr>
      </w:pPr>
      <w:r>
        <w:rPr>
          <w:rFonts w:ascii="宋体" w:hAnsi="宋体" w:cs="宋体"/>
          <w:color w:val="000000"/>
          <w:sz w:val="24"/>
          <w:szCs w:val="24"/>
        </w:rPr>
        <w:t xml:space="preserve">3.所有供应商提供的家具及原材料须达到或优于国家相关标准及招标文件的要求。</w:t>
      </w:r>
      <w:r/>
    </w:p>
    <w:p>
      <w:pPr>
        <w:rPr>
          <w:sz w:val="24"/>
          <w:szCs w:val="24"/>
        </w:rPr>
      </w:pPr>
      <w:r>
        <w:rPr>
          <w:sz w:val="24"/>
          <w:szCs w:val="24"/>
        </w:rPr>
      </w:r>
      <w:r/>
    </w:p>
    <w:p>
      <w:pPr>
        <w:ind w:firstLine="602"/>
        <w:jc w:val="left"/>
        <w:spacing w:line="360" w:lineRule="auto"/>
        <w:widowControl/>
        <w:rPr>
          <w:rFonts w:hint="eastAsia" w:ascii="宋体" w:hAnsi="宋体"/>
          <w:b/>
          <w:color w:val="000000"/>
          <w:sz w:val="32"/>
          <w:szCs w:val="32"/>
        </w:rPr>
      </w:pPr>
      <w:r>
        <w:rPr>
          <w:rFonts w:hint="eastAsia" w:ascii="宋体" w:hAnsi="宋体"/>
          <w:b/>
          <w:color w:val="000000"/>
          <w:sz w:val="32"/>
          <w:szCs w:val="32"/>
        </w:rPr>
        <w:t xml:space="preserve">四、项目需求清单数量</w:t>
      </w:r>
      <w:r/>
    </w:p>
    <w:tbl>
      <w:tblPr>
        <w:tblStyle w:val="86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903"/>
        <w:gridCol w:w="1795"/>
        <w:gridCol w:w="1844"/>
        <w:gridCol w:w="1203"/>
        <w:gridCol w:w="1276"/>
      </w:tblGrid>
      <w:tr>
        <w:trPr>
          <w:trHeight w:val="8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微软雅黑" w:hAnsi="微软雅黑" w:eastAsia="微软雅黑" w:cs="微软雅黑"/>
                <w:b/>
                <w:bCs/>
                <w:color w:val="000000"/>
                <w:sz w:val="24"/>
                <w:lang w:eastAsia="en-US"/>
              </w:rPr>
            </w:pPr>
            <w:r>
              <w:rPr>
                <w:rFonts w:hint="eastAsia" w:ascii="微软雅黑" w:hAnsi="微软雅黑" w:eastAsia="微软雅黑" w:cs="微软雅黑"/>
                <w:b/>
                <w:bCs/>
                <w:color w:val="000000"/>
                <w:sz w:val="24"/>
                <w:lang w:bidi="ar"/>
              </w:rPr>
              <w:t xml:space="preserve">备注</w:t>
            </w:r>
            <w:r/>
          </w:p>
        </w:tc>
      </w:tr>
      <w:tr>
        <w:trPr>
          <w:trHeight w:val="693"/>
        </w:trPr>
        <w:tc>
          <w:tcPr>
            <w:gridSpan w:val="6"/>
            <w:shd w:val="clear" w:color="auto" w:fill="c2e5f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AB楼4人间（1</w:t>
            </w:r>
            <w:r>
              <w:rPr>
                <w:rFonts w:hint="eastAsia" w:ascii="宋体" w:hAnsi="宋体" w:cs="宋体"/>
                <w:b/>
                <w:bCs/>
                <w:color w:val="000000"/>
                <w:sz w:val="24"/>
              </w:rPr>
              <w:t xml:space="preserve">6</w:t>
            </w:r>
            <w:r>
              <w:rPr>
                <w:rFonts w:hint="eastAsia" w:ascii="宋体" w:hAnsi="宋体" w:cs="宋体"/>
                <w:b/>
                <w:bCs/>
                <w:color w:val="000000"/>
                <w:sz w:val="24"/>
                <w:lang w:eastAsia="en-US"/>
              </w:rPr>
              <w:t xml:space="preserve">间）</w:t>
            </w:r>
            <w:r/>
          </w:p>
        </w:tc>
      </w:tr>
      <w:tr>
        <w:trPr>
          <w:trHeight w:val="2482"/>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eastAsia="en-US"/>
              </w:rPr>
            </w:pPr>
            <w:r>
              <w:rPr>
                <w:rFonts w:hint="eastAsia" w:ascii="宋体" w:hAnsi="宋体" w:cs="宋体"/>
                <w:b/>
                <w:bCs/>
                <w:color w:val="000000"/>
                <w:sz w:val="32"/>
                <w:szCs w:val="32"/>
                <w:lang w:bidi="ar"/>
              </w:rPr>
              <w:t xml:space="preserve">1</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rPr>
              <w:t xml:space="preserve">书</w:t>
            </w:r>
            <w:r>
              <w:rPr>
                <w:rFonts w:hint="eastAsia" w:ascii="宋体" w:hAnsi="宋体" w:cs="宋体"/>
                <w:b/>
                <w:bCs/>
                <w:color w:val="000000"/>
                <w:sz w:val="24"/>
                <w:lang w:eastAsia="en-US"/>
              </w:rPr>
              <w:t xml:space="preserve">桌柜</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2400*600*1640</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16</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r>
        <w:trPr>
          <w:trHeight w:val="782"/>
        </w:trPr>
        <w:tc>
          <w:tcPr>
            <w:gridSpan w:val="6"/>
            <w:shd w:val="clear" w:color="auto" w:fill="c2e5f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AB楼6人间（315间）</w:t>
            </w:r>
            <w:r/>
          </w:p>
        </w:tc>
      </w:tr>
      <w:tr>
        <w:trPr>
          <w:trHeight w:val="2646"/>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eastAsia="en-US"/>
              </w:rPr>
            </w:pPr>
            <w:r>
              <w:rPr>
                <w:rFonts w:hint="eastAsia" w:ascii="宋体" w:hAnsi="宋体" w:cs="宋体"/>
                <w:b/>
                <w:bCs/>
                <w:color w:val="000000"/>
                <w:sz w:val="32"/>
                <w:szCs w:val="32"/>
                <w:lang w:bidi="ar"/>
              </w:rPr>
              <w:t xml:space="preserve">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床下</w:t>
            </w:r>
            <w:r>
              <w:rPr>
                <w:rFonts w:hint="eastAsia" w:ascii="宋体" w:hAnsi="宋体" w:cs="宋体"/>
                <w:b/>
                <w:bCs/>
                <w:color w:val="000000"/>
                <w:sz w:val="24"/>
              </w:rPr>
              <w:t xml:space="preserve">书</w:t>
            </w:r>
            <w:r>
              <w:rPr>
                <w:rFonts w:hint="eastAsia" w:ascii="宋体" w:hAnsi="宋体" w:cs="宋体"/>
                <w:b/>
                <w:bCs/>
                <w:color w:val="000000"/>
                <w:sz w:val="24"/>
                <w:lang w:eastAsia="en-US"/>
              </w:rPr>
              <w:t xml:space="preserve">桌柜组合</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1900</w:t>
            </w:r>
            <w:r>
              <w:rPr>
                <w:rFonts w:hint="eastAsia" w:ascii="宋体" w:hAnsi="宋体" w:cs="宋体"/>
                <w:b/>
                <w:bCs/>
                <w:color w:val="000000"/>
                <w:sz w:val="24"/>
              </w:rPr>
              <w:t xml:space="preserve">*</w:t>
            </w:r>
            <w:r>
              <w:rPr>
                <w:rFonts w:hint="eastAsia" w:ascii="宋体" w:hAnsi="宋体" w:cs="宋体"/>
                <w:b/>
                <w:bCs/>
                <w:color w:val="000000"/>
                <w:sz w:val="24"/>
                <w:lang w:eastAsia="en-US"/>
              </w:rPr>
              <w:t xml:space="preserve">600</w:t>
            </w:r>
            <w:r>
              <w:rPr>
                <w:rFonts w:hint="eastAsia" w:ascii="宋体" w:hAnsi="宋体" w:cs="宋体"/>
                <w:b/>
                <w:bCs/>
                <w:color w:val="000000"/>
                <w:sz w:val="24"/>
              </w:rPr>
              <w:t xml:space="preserve">*</w:t>
            </w:r>
            <w:r>
              <w:rPr>
                <w:rFonts w:hint="eastAsia" w:ascii="宋体" w:hAnsi="宋体" w:cs="宋体"/>
                <w:b/>
                <w:bCs/>
                <w:color w:val="000000"/>
                <w:sz w:val="24"/>
                <w:lang w:eastAsia="en-US"/>
              </w:rPr>
              <w:t xml:space="preserve">1640</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615</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r>
        <w:trPr>
          <w:trHeight w:val="887"/>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eastAsia="en-US"/>
              </w:rPr>
            </w:pPr>
            <w:r>
              <w:rPr>
                <w:rFonts w:hint="eastAsia" w:ascii="宋体" w:hAnsi="宋体" w:cs="宋体"/>
                <w:b/>
                <w:bCs/>
                <w:color w:val="000000"/>
                <w:sz w:val="32"/>
                <w:szCs w:val="32"/>
                <w:lang w:bidi="ar"/>
              </w:rPr>
              <w:t xml:space="preserve">3</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改造床位</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315</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r>
        <w:trPr>
          <w:trHeight w:val="700"/>
        </w:trPr>
        <w:tc>
          <w:tcPr>
            <w:gridSpan w:val="6"/>
            <w:shd w:val="clear" w:color="auto" w:fill="c2e5f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招待所6人间（2</w:t>
            </w:r>
            <w:r>
              <w:rPr>
                <w:rFonts w:hint="eastAsia" w:ascii="宋体" w:hAnsi="宋体" w:cs="宋体"/>
                <w:b/>
                <w:bCs/>
                <w:color w:val="000000"/>
                <w:sz w:val="24"/>
              </w:rPr>
              <w:t xml:space="preserve">2</w:t>
            </w:r>
            <w:r>
              <w:rPr>
                <w:rFonts w:hint="eastAsia" w:ascii="宋体" w:hAnsi="宋体" w:cs="宋体"/>
                <w:b/>
                <w:bCs/>
                <w:color w:val="000000"/>
                <w:sz w:val="24"/>
                <w:lang w:eastAsia="en-US"/>
              </w:rPr>
              <w:t xml:space="preserve">间）</w:t>
            </w:r>
            <w:r/>
          </w:p>
        </w:tc>
      </w:tr>
      <w:tr>
        <w:trPr>
          <w:trHeight w:val="282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bidi="ar"/>
              </w:rPr>
            </w:pPr>
            <w:r>
              <w:rPr>
                <w:rFonts w:hint="eastAsia" w:ascii="宋体" w:hAnsi="宋体" w:cs="宋体"/>
                <w:b/>
                <w:bCs/>
                <w:color w:val="000000"/>
                <w:sz w:val="32"/>
                <w:szCs w:val="32"/>
                <w:lang w:bidi="ar"/>
              </w:rPr>
              <w:t xml:space="preserve">4</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bidi="ar"/>
              </w:rPr>
              <w:t xml:space="preserve">二联二人位</w:t>
            </w:r>
            <w:r>
              <w:rPr>
                <w:rFonts w:hint="eastAsia" w:ascii="宋体" w:hAnsi="宋体" w:cs="宋体"/>
                <w:b/>
                <w:bCs/>
                <w:color w:val="000000"/>
                <w:sz w:val="24"/>
                <w:lang w:eastAsia="en-US"/>
              </w:rPr>
              <w:t xml:space="preserve">床</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t xml:space="preserve">3932*922*2100</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22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lang w:bidi="ar"/>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r>
        <w:trPr>
          <w:trHeight w:val="282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bidi="ar"/>
              </w:rPr>
            </w:pPr>
            <w:r>
              <w:rPr>
                <w:rFonts w:hint="eastAsia" w:ascii="宋体" w:hAnsi="宋体" w:cs="宋体"/>
                <w:b/>
                <w:bCs/>
                <w:color w:val="000000"/>
                <w:sz w:val="32"/>
                <w:szCs w:val="32"/>
                <w:lang w:bidi="ar"/>
              </w:rPr>
              <w:t xml:space="preserve">5</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rPr>
              <w:t xml:space="preserve">床下书</w:t>
            </w:r>
            <w:r>
              <w:rPr>
                <w:rFonts w:hint="eastAsia" w:ascii="宋体" w:hAnsi="宋体" w:cs="宋体"/>
                <w:b/>
                <w:bCs/>
                <w:color w:val="000000"/>
                <w:sz w:val="24"/>
                <w:lang w:eastAsia="en-US"/>
              </w:rPr>
              <w:t xml:space="preserve">桌柜</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bookmarkStart w:id="16" w:name="OLE_LINK5"/>
            <w:r>
              <w:rPr>
                <w:rFonts w:hint="eastAsia" w:ascii="宋体" w:hAnsi="宋体" w:cs="宋体"/>
                <w:b/>
                <w:bCs/>
                <w:color w:val="000000"/>
                <w:sz w:val="24"/>
                <w:lang w:eastAsia="en-US"/>
              </w:rPr>
              <w:t xml:space="preserve">1900</w:t>
            </w:r>
            <w:r>
              <w:rPr>
                <w:rFonts w:hint="eastAsia" w:ascii="宋体" w:hAnsi="宋体" w:cs="宋体"/>
                <w:b/>
                <w:bCs/>
                <w:color w:val="000000"/>
                <w:sz w:val="24"/>
              </w:rPr>
              <w:t xml:space="preserve">*</w:t>
            </w:r>
            <w:r>
              <w:rPr>
                <w:rFonts w:hint="eastAsia" w:ascii="宋体" w:hAnsi="宋体" w:cs="宋体"/>
                <w:b/>
                <w:bCs/>
                <w:color w:val="000000"/>
                <w:sz w:val="24"/>
                <w:lang w:eastAsia="en-US"/>
              </w:rPr>
              <w:t xml:space="preserve">600</w:t>
            </w:r>
            <w:r>
              <w:rPr>
                <w:rFonts w:hint="eastAsia" w:ascii="宋体" w:hAnsi="宋体" w:cs="宋体"/>
                <w:b/>
                <w:bCs/>
                <w:color w:val="000000"/>
                <w:sz w:val="24"/>
              </w:rPr>
              <w:t xml:space="preserve">*</w:t>
            </w:r>
            <w:r>
              <w:rPr>
                <w:rFonts w:hint="eastAsia" w:ascii="宋体" w:hAnsi="宋体" w:cs="宋体"/>
                <w:b/>
                <w:bCs/>
                <w:color w:val="000000"/>
                <w:sz w:val="24"/>
                <w:lang w:eastAsia="en-US"/>
              </w:rPr>
              <w:t xml:space="preserve">1640</w:t>
            </w:r>
            <w:bookmarkEnd w:id="16"/>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44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lang w:bidi="ar"/>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r>
        <w:trPr>
          <w:trHeight w:val="610"/>
        </w:trPr>
        <w:tc>
          <w:tcPr>
            <w:gridSpan w:val="6"/>
            <w:shd w:val="clear" w:color="auto" w:fill="c2e5f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cs="宋体"/>
                <w:b/>
                <w:bCs/>
                <w:color w:val="000000"/>
                <w:sz w:val="24"/>
              </w:rPr>
            </w:pPr>
            <w:r>
              <w:rPr>
                <w:rFonts w:hint="eastAsia" w:ascii="宋体" w:hAnsi="宋体" w:cs="宋体"/>
                <w:b/>
                <w:bCs/>
                <w:color w:val="000000"/>
                <w:sz w:val="24"/>
              </w:rPr>
              <w:t xml:space="preserve">招待所10人间改成8人间（2间）</w:t>
            </w:r>
            <w:r/>
          </w:p>
        </w:tc>
      </w:tr>
      <w:tr>
        <w:trPr>
          <w:trHeight w:val="282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widowControl/>
              <w:rPr>
                <w:rFonts w:hint="eastAsia" w:ascii="宋体" w:hAnsi="宋体" w:cs="宋体"/>
                <w:b/>
                <w:bCs/>
                <w:color w:val="000000"/>
                <w:sz w:val="32"/>
                <w:szCs w:val="32"/>
                <w:lang w:bidi="ar"/>
              </w:rPr>
            </w:pPr>
            <w:r>
              <w:rPr>
                <w:rFonts w:hint="eastAsia" w:ascii="宋体" w:hAnsi="宋体" w:cs="宋体"/>
                <w:b/>
                <w:bCs/>
                <w:color w:val="000000"/>
                <w:sz w:val="32"/>
                <w:szCs w:val="32"/>
                <w:lang w:bidi="ar"/>
              </w:rPr>
              <w:t xml:space="preserve">6</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widowControl/>
              <w:rPr>
                <w:rFonts w:hint="eastAsia" w:ascii="宋体" w:hAnsi="宋体" w:cs="宋体"/>
                <w:b/>
                <w:bCs/>
                <w:color w:val="000000"/>
                <w:sz w:val="24"/>
                <w:lang w:eastAsia="en-US"/>
              </w:rPr>
            </w:pPr>
            <w:r>
              <w:rPr>
                <w:rFonts w:hint="eastAsia" w:ascii="宋体" w:hAnsi="宋体" w:cs="宋体"/>
                <w:b/>
                <w:bCs/>
                <w:color w:val="000000"/>
                <w:sz w:val="24"/>
              </w:rPr>
              <w:t xml:space="preserve">书</w:t>
            </w:r>
            <w:r>
              <w:rPr>
                <w:rFonts w:hint="eastAsia" w:ascii="宋体" w:hAnsi="宋体" w:cs="宋体"/>
                <w:b/>
                <w:bCs/>
                <w:color w:val="000000"/>
                <w:sz w:val="24"/>
                <w:lang w:eastAsia="en-US"/>
              </w:rPr>
              <w:t xml:space="preserve">桌柜</w:t>
            </w:r>
            <w:r/>
          </w:p>
        </w:tc>
        <w:tc>
          <w:tcPr>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jc w:val="center"/>
              <w:widowControl/>
              <w:rPr>
                <w:rFonts w:hint="eastAsia" w:ascii="宋体" w:hAnsi="宋体" w:cs="宋体"/>
                <w:b/>
                <w:bCs/>
                <w:color w:val="000000"/>
                <w:sz w:val="24"/>
                <w:lang w:eastAsia="en-US"/>
              </w:rPr>
            </w:pPr>
            <w:r/>
            <w:bookmarkStart w:id="17" w:name="OLE_LINK6"/>
            <w:r>
              <w:rPr>
                <w:rFonts w:hint="eastAsia" w:ascii="宋体" w:hAnsi="宋体" w:cs="宋体"/>
                <w:b/>
                <w:bCs/>
                <w:color w:val="000000"/>
                <w:sz w:val="24"/>
                <w:lang w:eastAsia="en-US"/>
              </w:rPr>
              <w:t xml:space="preserve">2400*600*1640</w:t>
            </w:r>
            <w:bookmarkEnd w:id="17"/>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widowControl/>
              <w:rPr>
                <w:rFonts w:hint="eastAsia" w:ascii="宋体" w:hAnsi="宋体" w:cs="宋体"/>
                <w:b/>
                <w:bCs/>
                <w:color w:val="000000"/>
                <w:sz w:val="36"/>
                <w:szCs w:val="36"/>
                <w:lang w:eastAsia="en-US"/>
              </w:rPr>
            </w:pPr>
            <w:r>
              <w:rPr>
                <w:rFonts w:hint="eastAsia" w:ascii="宋体" w:hAnsi="宋体" w:cs="宋体"/>
                <w:b/>
                <w:bCs/>
                <w:color w:val="000000"/>
                <w:sz w:val="36"/>
                <w:szCs w:val="36"/>
              </w:rPr>
              <w:t xml:space="preserve">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widowControl/>
              <w:rPr>
                <w:rFonts w:hint="eastAsia" w:ascii="宋体" w:hAnsi="宋体" w:cs="宋体"/>
                <w:b/>
                <w:bCs/>
                <w:color w:val="000000"/>
                <w:sz w:val="36"/>
                <w:szCs w:val="36"/>
                <w:lang w:bidi="ar"/>
              </w:rPr>
            </w:pPr>
            <w:r>
              <w:rPr>
                <w:rFonts w:hint="eastAsia" w:ascii="宋体" w:hAnsi="宋体" w:cs="宋体"/>
                <w:b/>
                <w:bCs/>
                <w:color w:val="000000"/>
                <w:sz w:val="36"/>
                <w:szCs w:val="36"/>
                <w:lang w:bidi="ar"/>
              </w:rPr>
              <w:t xml:space="preserve">组</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left"/>
              <w:widowControl/>
              <w:rPr>
                <w:rFonts w:hint="eastAsia" w:ascii="宋体" w:hAnsi="宋体" w:cs="宋体"/>
                <w:b/>
                <w:bCs/>
                <w:color w:val="000000"/>
                <w:sz w:val="24"/>
                <w:lang w:eastAsia="en-US"/>
              </w:rPr>
            </w:pPr>
            <w:r>
              <w:rPr>
                <w:rFonts w:hint="eastAsia" w:ascii="宋体" w:hAnsi="宋体" w:cs="宋体"/>
                <w:b/>
                <w:bCs/>
                <w:color w:val="000000"/>
                <w:sz w:val="24"/>
                <w:lang w:eastAsia="en-US"/>
              </w:rPr>
            </w:r>
            <w:r/>
          </w:p>
        </w:tc>
      </w:tr>
    </w:tbl>
    <w:p>
      <w:r/>
      <w:r/>
    </w:p>
    <w:p>
      <w:pPr>
        <w:ind w:firstLine="602"/>
        <w:jc w:val="left"/>
        <w:spacing w:line="360" w:lineRule="auto"/>
        <w:widowControl/>
        <w:rPr>
          <w:rFonts w:hint="eastAsia" w:ascii="宋体" w:hAnsi="宋体"/>
          <w:b/>
          <w:color w:val="000000"/>
          <w:sz w:val="32"/>
          <w:szCs w:val="32"/>
        </w:rPr>
      </w:pPr>
      <w:r/>
      <w:bookmarkStart w:id="18" w:name="_Toc9411"/>
      <w:r>
        <w:rPr>
          <w:rFonts w:hint="eastAsia" w:ascii="宋体" w:hAnsi="宋体"/>
          <w:b/>
          <w:color w:val="000000"/>
          <w:sz w:val="32"/>
          <w:szCs w:val="32"/>
        </w:rPr>
        <w:t xml:space="preserve">五、采购标的需满足的服务标准、期限、效率等要求</w:t>
      </w:r>
      <w:r/>
    </w:p>
    <w:p>
      <w:pPr>
        <w:ind w:firstLine="480"/>
        <w:spacing w:line="360" w:lineRule="auto"/>
        <w:rPr>
          <w:rFonts w:hint="eastAsia" w:ascii="宋体" w:hAnsi="宋体" w:cs="微软雅黑"/>
          <w:color w:val="000000"/>
          <w:sz w:val="24"/>
        </w:rPr>
      </w:pPr>
      <w:r>
        <w:rPr>
          <w:rFonts w:hint="eastAsia" w:ascii="宋体" w:hAnsi="宋体" w:cs="宋体"/>
          <w:color w:val="000000"/>
          <w:sz w:val="24"/>
          <w:szCs w:val="22"/>
        </w:rPr>
        <w:t xml:space="preserve">1.</w:t>
      </w:r>
      <w:r>
        <w:rPr>
          <w:rFonts w:ascii="宋体" w:hAnsi="宋体" w:cs="微软雅黑"/>
          <w:color w:val="000000"/>
          <w:sz w:val="24"/>
        </w:rPr>
        <w:t xml:space="preserve">中标供应商须在中标后的15天内，按照采购人的要求，于</w:t>
      </w:r>
      <w:r>
        <w:rPr>
          <w:rFonts w:hint="eastAsia" w:ascii="宋体" w:hAnsi="宋体" w:cs="微软雅黑"/>
          <w:color w:val="000000"/>
          <w:sz w:val="24"/>
        </w:rPr>
        <w:t xml:space="preserve">学校</w:t>
      </w:r>
      <w:r>
        <w:rPr>
          <w:rFonts w:ascii="宋体" w:hAnsi="宋体" w:cs="微软雅黑"/>
          <w:color w:val="000000"/>
          <w:sz w:val="24"/>
        </w:rPr>
        <w:t xml:space="preserve">公寓空置房间内</w:t>
      </w:r>
      <w:r>
        <w:rPr>
          <w:rFonts w:hint="eastAsia" w:ascii="宋体" w:hAnsi="宋体" w:cs="微软雅黑"/>
          <w:color w:val="000000"/>
          <w:sz w:val="24"/>
        </w:rPr>
        <w:t xml:space="preserve">送床下书桌柜（</w:t>
      </w:r>
      <w:r>
        <w:rPr>
          <w:rFonts w:hint="eastAsia" w:ascii="宋体" w:hAnsi="宋体" w:cs="宋体"/>
          <w:b/>
          <w:bCs/>
          <w:color w:val="000000"/>
          <w:sz w:val="24"/>
        </w:rPr>
        <w:t xml:space="preserve">1900*600*1640</w:t>
      </w:r>
      <w:r>
        <w:rPr>
          <w:rFonts w:hint="eastAsia" w:ascii="宋体" w:hAnsi="宋体" w:cs="微软雅黑"/>
          <w:color w:val="000000"/>
          <w:sz w:val="24"/>
        </w:rPr>
        <w:t xml:space="preserve">）和书桌柜（</w:t>
      </w:r>
      <w:r>
        <w:rPr>
          <w:rFonts w:hint="eastAsia" w:ascii="宋体" w:hAnsi="宋体" w:cs="宋体"/>
          <w:b/>
          <w:bCs/>
          <w:color w:val="000000"/>
          <w:sz w:val="24"/>
        </w:rPr>
        <w:t xml:space="preserve">2400*600*1640</w:t>
      </w:r>
      <w:r>
        <w:rPr>
          <w:rFonts w:hint="eastAsia" w:ascii="宋体" w:hAnsi="宋体" w:cs="微软雅黑"/>
          <w:color w:val="000000"/>
          <w:sz w:val="24"/>
        </w:rPr>
        <w:t xml:space="preserve">）各一套样品</w:t>
      </w:r>
      <w:r>
        <w:rPr>
          <w:rFonts w:ascii="宋体" w:hAnsi="宋体" w:cs="微软雅黑"/>
          <w:color w:val="000000"/>
          <w:sz w:val="24"/>
        </w:rPr>
        <w:t xml:space="preserve">，所有费用由中标供应商承担。</w:t>
      </w:r>
      <w:r/>
    </w:p>
    <w:p>
      <w:pPr>
        <w:ind w:firstLine="48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2.质保期自验收合格之日起3年，在质保期内全免费售后服务。</w:t>
      </w:r>
      <w:r/>
    </w:p>
    <w:p>
      <w:pPr>
        <w:ind w:firstLine="48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3.在质保期内，一旦发生质量问题，应在接到通知后的2小时内进行响应，并在24小时内组织人员到现场进行检修，确因产品本身质量问题的，将组织原厂人员进行维修、更换或退货处理，费用由中标供应商负责。产品出现故障48小时不能修复的，免费提供同等功能的产品供采购人使用，直至故障修复。</w:t>
      </w:r>
      <w:r/>
    </w:p>
    <w:p>
      <w:pPr>
        <w:ind w:firstLine="24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4.质保期满后，能根据采购人要求提供充足的备品、备件。</w:t>
      </w:r>
      <w:r/>
    </w:p>
    <w:p>
      <w:pPr>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注：上述要求供应商须提供承诺书，并加盖供应商公章。供应商能提供其他更优质的服务，可在承诺书中自行提供。</w:t>
      </w:r>
      <w:r/>
    </w:p>
    <w:p>
      <w:pPr>
        <w:ind w:firstLine="602"/>
        <w:jc w:val="left"/>
        <w:spacing w:line="360" w:lineRule="auto"/>
        <w:widowControl/>
        <w:rPr>
          <w:rFonts w:hint="eastAsia" w:ascii="宋体" w:hAnsi="宋体"/>
          <w:b/>
          <w:color w:val="000000"/>
          <w:sz w:val="32"/>
          <w:szCs w:val="32"/>
        </w:rPr>
      </w:pPr>
      <w:r>
        <w:rPr>
          <w:rFonts w:hint="eastAsia" w:ascii="宋体" w:hAnsi="宋体"/>
          <w:b/>
          <w:color w:val="000000"/>
          <w:sz w:val="32"/>
          <w:szCs w:val="32"/>
        </w:rPr>
        <w:t xml:space="preserve">六、采购标的的验收标准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1.供应商在交货及安装截止时间内集中交货、安装完毕。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货物到现场后，由采购人和供应商组织相关人员共同对到货货物的数量、外观、包装质量、技术资料等进行检查，双方书面确认后开始安装、调试，并随机抽取送权威检验机构对其有害物质限量进行检测。检测所产生的费用由</w:t>
      </w:r>
      <w:r>
        <w:rPr>
          <w:rFonts w:hint="eastAsia" w:ascii="宋体" w:hAnsi="宋体" w:cs="宋体"/>
          <w:color w:val="000000"/>
          <w:sz w:val="24"/>
          <w:szCs w:val="22"/>
        </w:rPr>
        <w:t xml:space="preserve">中标供应商</w:t>
      </w:r>
      <w:r>
        <w:rPr>
          <w:rFonts w:hint="eastAsia" w:ascii="宋体" w:hAnsi="宋体" w:cs="宋体"/>
          <w:color w:val="000000"/>
          <w:sz w:val="24"/>
        </w:rPr>
        <w:t xml:space="preserve">承担，抽检消耗的部件由供应商及时补充。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3.家具全部安装完毕后，中标供应商须进行空气质量检测，检测合格方通过验收，</w:t>
      </w:r>
      <w:r>
        <w:rPr>
          <w:rFonts w:hint="eastAsia" w:ascii="宋体" w:hAnsi="宋体" w:cs="微软雅黑"/>
          <w:color w:val="000000"/>
          <w:sz w:val="24"/>
        </w:rPr>
        <w:t xml:space="preserve">如交货安装完成后空气检测不合格，由中标供应商进行整改，在合同期限内达到国家空气健康标准；</w:t>
      </w:r>
      <w:r>
        <w:rPr>
          <w:rFonts w:hint="eastAsia" w:ascii="宋体" w:hAnsi="宋体" w:cs="宋体"/>
          <w:color w:val="000000"/>
          <w:sz w:val="24"/>
        </w:rPr>
        <w:t xml:space="preserve">；空气质量检测费用由宿舍维修改造工程中标供应商和本项目中标供应商各出资50%。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在验收过程中若发现数量不足或有质量、技术等问题，供应商应负责按照采购人的要求采取补足、更换或退货等措施妥善处理，并承担由此发生的一切费用和损失,当发现物理指标等不满足招标要求，则由审计部门进行审计，最终费用按照审计结果进行结算。</w:t>
      </w:r>
      <w:r/>
    </w:p>
    <w:p>
      <w:pPr>
        <w:spacing w:line="360" w:lineRule="auto"/>
        <w:rPr>
          <w:rFonts w:hint="eastAsia" w:ascii="宋体" w:hAnsi="宋体" w:cs="宋体"/>
          <w:color w:val="000000"/>
          <w:sz w:val="24"/>
        </w:rPr>
      </w:pPr>
      <w:r>
        <w:rPr>
          <w:rFonts w:hint="eastAsia" w:ascii="宋体" w:hAnsi="宋体" w:cs="宋体"/>
          <w:color w:val="000000"/>
          <w:sz w:val="24"/>
        </w:rPr>
        <w:t xml:space="preserve">5.交货安装完成后，则视为可正常使用所有设备，如若因检测报告提供不全、破坏性验收不合格或空气检测不合格，导致验收不合格，中标供应商必须及时整改，不影响采购人正常使用，由此造成的影响，由中标供应商自行承担。</w:t>
      </w:r>
      <w:r/>
    </w:p>
    <w:p>
      <w:pPr>
        <w:spacing w:line="360" w:lineRule="auto"/>
        <w:rPr>
          <w:rFonts w:hint="eastAsia" w:ascii="宋体" w:hAnsi="宋体"/>
          <w:b/>
          <w:color w:val="000000"/>
          <w:sz w:val="32"/>
          <w:szCs w:val="32"/>
        </w:rPr>
      </w:pPr>
      <w:r>
        <w:rPr>
          <w:rFonts w:hint="eastAsia" w:ascii="宋体" w:hAnsi="宋体"/>
          <w:b/>
          <w:color w:val="000000"/>
          <w:sz w:val="32"/>
          <w:szCs w:val="32"/>
        </w:rPr>
        <w:t xml:space="preserve">七、付款方式</w:t>
      </w:r>
      <w:r/>
    </w:p>
    <w:p>
      <w:pPr>
        <w:ind w:firstLine="480"/>
        <w:spacing w:line="360" w:lineRule="auto"/>
        <w:rPr>
          <w:rFonts w:hint="eastAsia" w:ascii="宋体" w:hAnsi="宋体"/>
          <w:color w:val="000000"/>
          <w:sz w:val="24"/>
        </w:rPr>
      </w:pPr>
      <w:r>
        <w:rPr>
          <w:rFonts w:hint="eastAsia" w:ascii="宋体" w:hAnsi="宋体"/>
          <w:color w:val="000000"/>
          <w:sz w:val="24"/>
        </w:rPr>
        <w:t xml:space="preserve">合同签订后，安装验收合格后一个月内支付至合同价的30%左右，六个月内支付至合同价的90%，质保到期后再清尾款(占合同总价的10%)。每次支付前，中标供应商均应出具在税务部门开具的正式税票。</w:t>
      </w:r>
      <w:r/>
    </w:p>
    <w:p>
      <w:pPr>
        <w:spacing w:line="360" w:lineRule="auto"/>
        <w:rPr>
          <w:sz w:val="24"/>
        </w:rPr>
      </w:pPr>
      <w:r>
        <w:rPr>
          <w:sz w:val="24"/>
        </w:rPr>
      </w:r>
      <w:r/>
    </w:p>
    <w:p>
      <w:pPr>
        <w:rPr>
          <w:rFonts w:ascii="Arial" w:hAnsi="Arial" w:cs="Arial"/>
          <w:b/>
          <w:bCs/>
          <w:sz w:val="32"/>
          <w:szCs w:val="44"/>
        </w:rPr>
      </w:pPr>
      <w:r/>
      <w:bookmarkStart w:id="19" w:name="_Toc15765"/>
      <w:r/>
      <w:bookmarkStart w:id="20" w:name="_Toc24367"/>
      <w:r>
        <w:rPr>
          <w:rFonts w:hint="eastAsia"/>
          <w:sz w:val="24"/>
        </w:rPr>
        <w:br w:type="page" w:clear="all"/>
      </w:r>
      <w:bookmarkEnd w:id="19"/>
      <w:r/>
      <w:bookmarkEnd w:id="20"/>
      <w:r/>
      <w:bookmarkStart w:id="21" w:name="_Toc29536"/>
      <w:r/>
      <w:bookmarkStart w:id="22" w:name="_Toc22776"/>
      <w:r/>
      <w:bookmarkStart w:id="23" w:name="_Toc39"/>
      <w:r/>
      <w:r/>
    </w:p>
    <w:p>
      <w:pPr>
        <w:pStyle w:val="853"/>
        <w:numPr>
          <w:ilvl w:val="0"/>
          <w:numId w:val="0"/>
        </w:numPr>
        <w:spacing w:line="578" w:lineRule="auto"/>
        <w:rPr>
          <w:rFonts w:hint="eastAsia" w:ascii="Arial" w:cs="Arial"/>
        </w:rPr>
      </w:pPr>
      <w:r/>
      <w:bookmarkStart w:id="24" w:name="_Toc14571"/>
      <w:r>
        <w:rPr>
          <w:rFonts w:hint="eastAsia" w:ascii="Arial" w:cs="Arial"/>
        </w:rPr>
        <w:t xml:space="preserve">第五章合同文本</w:t>
      </w:r>
      <w:bookmarkEnd w:id="21"/>
      <w:r/>
      <w:bookmarkEnd w:id="22"/>
      <w:r/>
      <w:bookmarkEnd w:id="23"/>
      <w:r/>
      <w:bookmarkEnd w:id="24"/>
      <w:r/>
      <w:r/>
    </w:p>
    <w:p>
      <w:pPr>
        <w:ind w:firstLine="480"/>
        <w:spacing w:line="400" w:lineRule="exact"/>
        <w:rPr>
          <w:rFonts w:hint="eastAsia" w:ascii="宋体" w:hAnsi="宋体"/>
          <w:bCs/>
          <w:sz w:val="24"/>
          <w:szCs w:val="21"/>
        </w:rPr>
      </w:pPr>
      <w:r>
        <w:rPr>
          <w:rFonts w:hint="eastAsia" w:ascii="宋体" w:hAnsi="宋体"/>
          <w:bCs/>
          <w:sz w:val="24"/>
          <w:szCs w:val="21"/>
        </w:rPr>
        <w:t xml:space="preserve">以下为中标后签订本项目合同的通用条款，中标人不得提出实质性的修改。</w:t>
      </w:r>
      <w:r/>
    </w:p>
    <w:p>
      <w:pPr>
        <w:ind w:firstLine="602"/>
        <w:jc w:val="center"/>
        <w:spacing w:line="400" w:lineRule="exact"/>
        <w:rPr>
          <w:rFonts w:hint="eastAsia" w:ascii="宋体" w:hAnsi="宋体"/>
          <w:b/>
          <w:color w:val="000000"/>
          <w:sz w:val="30"/>
          <w:szCs w:val="21"/>
        </w:rPr>
      </w:pPr>
      <w:r>
        <w:rPr>
          <w:rFonts w:hint="eastAsia" w:ascii="宋体" w:hAnsi="宋体"/>
          <w:b/>
          <w:color w:val="000000"/>
          <w:sz w:val="30"/>
          <w:szCs w:val="21"/>
        </w:rPr>
      </w:r>
      <w:r/>
    </w:p>
    <w:p>
      <w:pPr>
        <w:ind w:firstLine="602"/>
        <w:jc w:val="center"/>
        <w:spacing w:line="400" w:lineRule="exact"/>
        <w:rPr>
          <w:rFonts w:hint="eastAsia" w:ascii="宋体" w:hAnsi="宋体"/>
          <w:b/>
          <w:bCs/>
          <w:color w:val="000000"/>
          <w:sz w:val="30"/>
          <w:szCs w:val="20"/>
        </w:rPr>
      </w:pPr>
      <w:r>
        <w:rPr>
          <w:rFonts w:hint="eastAsia" w:ascii="宋体" w:hAnsi="宋体"/>
          <w:b/>
          <w:color w:val="000000"/>
          <w:sz w:val="30"/>
          <w:szCs w:val="21"/>
        </w:rPr>
        <w:t xml:space="preserve">江苏省政府采购合同（货物）（合同编号）</w:t>
      </w:r>
      <w:r/>
    </w:p>
    <w:p>
      <w:pPr>
        <w:spacing w:line="400" w:lineRule="exact"/>
        <w:rPr>
          <w:rFonts w:hint="eastAsia" w:ascii="宋体" w:hAnsi="宋体" w:cs="Courier New"/>
          <w:color w:val="000000"/>
          <w:sz w:val="24"/>
        </w:rPr>
      </w:pPr>
      <w:r>
        <w:rPr>
          <w:rFonts w:ascii="宋体" w:hAnsi="宋体" w:cs="Courier New"/>
          <w:color w:val="000000"/>
          <w:sz w:val="24"/>
        </w:rPr>
        <w:t xml:space="preserve">项目名称：</w:t>
      </w:r>
      <w:r/>
    </w:p>
    <w:p>
      <w:pPr>
        <w:spacing w:line="400" w:lineRule="exact"/>
        <w:rPr>
          <w:rFonts w:hint="eastAsia" w:ascii="宋体" w:hAnsi="宋体" w:cs="Courier New"/>
          <w:color w:val="000000"/>
          <w:sz w:val="24"/>
        </w:rPr>
      </w:pPr>
      <w:r>
        <w:rPr>
          <w:rFonts w:ascii="宋体" w:hAnsi="宋体" w:cs="Courier New"/>
          <w:color w:val="000000"/>
          <w:sz w:val="24"/>
        </w:rPr>
        <w:t xml:space="preserve">项目编号：</w:t>
      </w:r>
      <w:r/>
    </w:p>
    <w:p>
      <w:pPr>
        <w:spacing w:line="400" w:lineRule="exact"/>
        <w:rPr>
          <w:rFonts w:hint="eastAsia" w:ascii="宋体" w:hAnsi="宋体" w:cs="Courier New"/>
          <w:color w:val="000000"/>
          <w:sz w:val="24"/>
        </w:rPr>
      </w:pPr>
      <w:r>
        <w:rPr>
          <w:rFonts w:ascii="宋体" w:hAnsi="宋体" w:cs="Courier New"/>
          <w:color w:val="000000"/>
          <w:sz w:val="24"/>
        </w:rPr>
        <w:t xml:space="preserve">甲方：（买方、需方、采购人）_________</w:t>
      </w:r>
      <w:r/>
    </w:p>
    <w:p>
      <w:pPr>
        <w:spacing w:line="400" w:lineRule="exact"/>
        <w:rPr>
          <w:rFonts w:hint="eastAsia" w:ascii="宋体" w:hAnsi="宋体" w:cs="Courier New"/>
          <w:color w:val="000000"/>
          <w:sz w:val="24"/>
        </w:rPr>
      </w:pPr>
      <w:r>
        <w:rPr>
          <w:rFonts w:ascii="宋体" w:hAnsi="宋体" w:cs="Courier New"/>
          <w:color w:val="000000"/>
          <w:sz w:val="24"/>
        </w:rPr>
        <w:t xml:space="preserve">乙方：（卖方、供方、供应商）_________</w:t>
      </w:r>
      <w:r/>
    </w:p>
    <w:p>
      <w:pPr>
        <w:ind w:firstLine="480"/>
        <w:spacing w:line="400" w:lineRule="exact"/>
        <w:rPr>
          <w:rFonts w:hint="eastAsia" w:ascii="宋体" w:hAnsi="宋体" w:cs="Courier New"/>
          <w:b/>
          <w:color w:val="000000"/>
          <w:sz w:val="24"/>
        </w:rPr>
      </w:pPr>
      <w:r>
        <w:rPr>
          <w:rFonts w:ascii="宋体" w:hAnsi="宋体" w:cs="Courier New"/>
          <w:color w:val="000000"/>
          <w:sz w:val="24"/>
        </w:rPr>
        <w:t xml:space="preserve">甲、乙双方根据</w:t>
      </w:r>
      <w:r>
        <w:rPr>
          <w:rFonts w:hint="eastAsia" w:ascii="宋体" w:hAnsi="宋体" w:cs="Courier New"/>
          <w:color w:val="000000"/>
          <w:sz w:val="24"/>
        </w:rPr>
        <w:t xml:space="preserve">江苏万享通咨询有限公司</w:t>
      </w:r>
      <w:r>
        <w:rPr>
          <w:rFonts w:hint="eastAsia" w:ascii="宋体" w:hAnsi="宋体" w:cs="Courier New"/>
          <w:color w:val="000000"/>
          <w:sz w:val="24"/>
          <w:u w:val="single"/>
        </w:rPr>
        <w:t xml:space="preserve">            </w:t>
      </w:r>
      <w:r>
        <w:rPr>
          <w:rFonts w:ascii="宋体" w:hAnsi="宋体" w:cs="Courier New"/>
          <w:color w:val="000000"/>
          <w:sz w:val="24"/>
        </w:rPr>
        <w:t xml:space="preserve">项目公开招标的结果，签署本合同。</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一、</w:t>
      </w:r>
      <w:r>
        <w:rPr>
          <w:rFonts w:hint="eastAsia" w:ascii="宋体" w:hAnsi="宋体" w:cs="Courier New"/>
          <w:b/>
          <w:color w:val="000000"/>
          <w:sz w:val="24"/>
        </w:rPr>
        <w:t xml:space="preserve">合同</w:t>
      </w:r>
      <w:r>
        <w:rPr>
          <w:rFonts w:ascii="宋体" w:hAnsi="宋体" w:cs="Courier New"/>
          <w:b/>
          <w:color w:val="000000"/>
          <w:sz w:val="24"/>
        </w:rPr>
        <w:t xml:space="preserve">内容</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1.1 </w:t>
      </w:r>
      <w:r>
        <w:rPr>
          <w:rFonts w:hint="eastAsia" w:ascii="宋体" w:hAnsi="宋体" w:cs="Courier New"/>
          <w:color w:val="000000"/>
          <w:sz w:val="24"/>
        </w:rPr>
        <w:t xml:space="preserve">标的</w:t>
      </w:r>
      <w:r>
        <w:rPr>
          <w:rFonts w:ascii="宋体" w:hAnsi="宋体" w:cs="Courier New"/>
          <w:color w:val="000000"/>
          <w:sz w:val="24"/>
        </w:rPr>
        <w:t xml:space="preserve">名称：</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 标的质量：</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1.3 标的数量（规模）：</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1.4 履行时间（期限）：</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1.5 履行地点：</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 履行方式：</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1.7 包装方式：</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二、合同金额</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2.1</w:t>
      </w:r>
      <w:r>
        <w:rPr>
          <w:rFonts w:hAnsi="宋体"/>
          <w:sz w:val="24"/>
        </w:rPr>
        <w:t xml:space="preserve">本合同金额为（大写）： _____________</w:t>
      </w:r>
      <w:r>
        <w:rPr>
          <w:rFonts w:hint="eastAsia" w:hAnsi="宋体"/>
          <w:sz w:val="24"/>
        </w:rPr>
        <w:t xml:space="preserve">圆</w:t>
      </w:r>
      <w:r>
        <w:rPr>
          <w:rFonts w:hAnsi="宋体"/>
          <w:sz w:val="24"/>
        </w:rPr>
        <w:t xml:space="preserve">（______元）人民币</w:t>
      </w:r>
      <w:r>
        <w:rPr>
          <w:rFonts w:hint="eastAsia" w:hAnsi="宋体"/>
          <w:sz w:val="24"/>
        </w:rPr>
        <w:t xml:space="preserve">或其他币种</w:t>
      </w:r>
      <w:r>
        <w:rPr>
          <w:rFonts w:hAnsi="宋体"/>
          <w:sz w:val="24"/>
        </w:rPr>
        <w:t xml:space="preserve">。</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三、技术资料</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3.1乙方应按招标文件规定的时间向甲方提供使用货物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的有关技术资料。</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四、知识产权</w:t>
      </w:r>
      <w:r/>
    </w:p>
    <w:p>
      <w:pPr>
        <w:ind w:firstLine="480"/>
        <w:spacing w:line="400" w:lineRule="exact"/>
        <w:rPr>
          <w:rFonts w:hint="eastAsia" w:ascii="宋体" w:hAnsi="宋体"/>
          <w:color w:val="000000"/>
          <w:sz w:val="24"/>
          <w:szCs w:val="21"/>
        </w:rPr>
      </w:pPr>
      <w:r>
        <w:rPr>
          <w:rFonts w:hAnsi="宋体"/>
          <w:color w:val="000000"/>
          <w:sz w:val="24"/>
        </w:rPr>
        <w:t xml:space="preserve">4.1乙</w:t>
      </w:r>
      <w:r>
        <w:rPr>
          <w:rFonts w:hint="eastAsia" w:ascii="宋体" w:hAnsi="宋体"/>
          <w:color w:val="000000"/>
          <w:sz w:val="24"/>
          <w:szCs w:val="21"/>
        </w:rPr>
        <w:t xml:space="preserve">方应保证甲方在使用、接受本合同货物</w:t>
      </w:r>
      <w:r>
        <w:rPr>
          <w:rFonts w:hint="eastAsia" w:hAnsi="宋体"/>
          <w:color w:val="000000"/>
          <w:sz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rPr>
      </w:pPr>
      <w:r>
        <w:rPr>
          <w:rFonts w:hint="eastAsia" w:hAnsi="宋体"/>
          <w:sz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sz w:val="24"/>
          <w:u w:val="single"/>
        </w:rPr>
      </w:pPr>
      <w:r>
        <w:rPr>
          <w:rFonts w:ascii="宋体" w:hAnsi="宋体" w:cs="Courier New"/>
          <w:b/>
          <w:color w:val="000000"/>
          <w:sz w:val="24"/>
        </w:rPr>
        <w:t xml:space="preserve">五、产权担保</w:t>
      </w:r>
      <w:r/>
    </w:p>
    <w:p>
      <w:pPr>
        <w:ind w:firstLine="480"/>
        <w:spacing w:line="400" w:lineRule="exact"/>
        <w:rPr>
          <w:rFonts w:hint="eastAsia" w:ascii="宋体" w:hAnsi="宋体" w:cs="Courier New"/>
          <w:color w:val="000000"/>
          <w:sz w:val="24"/>
          <w:u w:val="single"/>
        </w:rPr>
      </w:pPr>
      <w:r>
        <w:rPr>
          <w:rFonts w:ascii="宋体" w:hAnsi="宋体" w:cs="Courier New"/>
          <w:color w:val="000000"/>
          <w:sz w:val="24"/>
        </w:rPr>
        <w:t xml:space="preserve">5.1 乙方保证所交付的货物</w:t>
      </w:r>
      <w:r>
        <w:rPr>
          <w:rFonts w:hint="eastAsia" w:ascii="宋体" w:hAnsi="宋体" w:cs="Courier New"/>
          <w:color w:val="000000"/>
          <w:sz w:val="24"/>
        </w:rPr>
        <w:t xml:space="preserve">（包含与货物相关的服务）</w:t>
      </w:r>
      <w:r>
        <w:rPr>
          <w:rFonts w:ascii="宋体" w:hAnsi="宋体" w:cs="Courier New"/>
          <w:color w:val="000000"/>
          <w:sz w:val="24"/>
        </w:rPr>
        <w:t xml:space="preserve">的所有权完全属于乙方且无任何抵押、查封等产权瑕疵。</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六、履约保证金</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6.1 乙方交纳人民币</w:t>
      </w:r>
      <w:r>
        <w:rPr>
          <w:rFonts w:hint="eastAsia" w:ascii="宋体" w:hAnsi="宋体" w:cs="Courier New"/>
          <w:color w:val="000000"/>
          <w:sz w:val="24"/>
          <w:u w:val="single"/>
        </w:rPr>
        <w:t xml:space="preserve">       </w:t>
      </w:r>
      <w:r>
        <w:rPr>
          <w:rFonts w:ascii="宋体" w:hAnsi="宋体" w:cs="Courier New"/>
          <w:color w:val="000000"/>
          <w:sz w:val="24"/>
        </w:rPr>
        <w:t xml:space="preserve">元作为本合同的履约保证金。</w:t>
      </w:r>
      <w:r>
        <w:rPr>
          <w:rFonts w:hint="eastAsia" w:ascii="宋体" w:hAnsi="宋体" w:cs="Courier New"/>
          <w:color w:val="000000"/>
          <w:sz w:val="24"/>
        </w:rPr>
        <w:t xml:space="preserve">（不得超过合同金额的10%）</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6.2合同履行结束后，甲方应及时退还交纳的履约保证金。</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6.2.1履约保证金退还方式：</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6.2.2履约保证金退还时间：</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6.2.3履约保证金退还条件：</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6.2.4履约保证金不予退还的情形：</w:t>
      </w:r>
      <w:r/>
    </w:p>
    <w:p>
      <w:pPr>
        <w:ind w:firstLine="482"/>
        <w:spacing w:line="400" w:lineRule="exact"/>
        <w:rPr>
          <w:rFonts w:hint="eastAsia" w:ascii="宋体" w:hAnsi="宋体" w:eastAsia="仿宋_GB2312"/>
          <w:b/>
          <w:color w:val="000000"/>
          <w:sz w:val="24"/>
        </w:rPr>
      </w:pPr>
      <w:r>
        <w:rPr>
          <w:rFonts w:hint="eastAsia" w:ascii="宋体" w:hAnsi="宋体"/>
          <w:b/>
          <w:color w:val="000000"/>
          <w:sz w:val="24"/>
        </w:rPr>
        <w:t xml:space="preserve">七、合同转包或分包</w:t>
      </w:r>
      <w:r/>
    </w:p>
    <w:p>
      <w:pPr>
        <w:ind w:firstLine="480"/>
        <w:spacing w:line="400" w:lineRule="exact"/>
        <w:rPr>
          <w:rFonts w:hint="eastAsia" w:ascii="宋体" w:hAnsi="宋体"/>
          <w:color w:val="000000"/>
          <w:sz w:val="24"/>
        </w:rPr>
      </w:pPr>
      <w:r>
        <w:rPr>
          <w:rFonts w:hint="eastAsia" w:ascii="宋体" w:hAnsi="宋体"/>
          <w:color w:val="000000"/>
          <w:sz w:val="24"/>
        </w:rPr>
        <w:t xml:space="preserve">7.1乙方不得将合同标的转包给他人履行。</w:t>
      </w:r>
      <w:r/>
    </w:p>
    <w:p>
      <w:pPr>
        <w:ind w:firstLine="480"/>
        <w:spacing w:line="400" w:lineRule="exact"/>
        <w:rPr>
          <w:rFonts w:hint="eastAsia" w:ascii="宋体" w:hAnsi="宋体"/>
          <w:color w:val="000000"/>
          <w:sz w:val="24"/>
        </w:rPr>
      </w:pPr>
      <w:r>
        <w:rPr>
          <w:rFonts w:hint="eastAsia" w:ascii="宋体" w:hAnsi="宋体"/>
          <w:sz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000000"/>
          <w:sz w:val="24"/>
        </w:rPr>
      </w:pPr>
      <w:r>
        <w:rPr>
          <w:rFonts w:ascii="宋体" w:hAnsi="宋体"/>
          <w:color w:val="000000"/>
          <w:sz w:val="24"/>
        </w:rPr>
        <w:t xml:space="preserve">7.3</w:t>
      </w:r>
      <w:r>
        <w:rPr>
          <w:rFonts w:hint="eastAsia" w:ascii="宋体" w:hAnsi="宋体"/>
          <w:color w:val="000000"/>
          <w:sz w:val="24"/>
        </w:rPr>
        <w:t xml:space="preserve">乙方如有转包或未经甲方同意的分包行为，甲方有权给予终止合同。</w:t>
      </w:r>
      <w:r/>
    </w:p>
    <w:p>
      <w:pPr>
        <w:ind w:firstLine="482"/>
        <w:spacing w:line="400" w:lineRule="exact"/>
        <w:rPr>
          <w:rFonts w:hint="eastAsia" w:ascii="宋体" w:hAnsi="宋体" w:cs="Courier New"/>
          <w:b/>
          <w:color w:val="000000"/>
          <w:sz w:val="24"/>
        </w:rPr>
      </w:pPr>
      <w:r>
        <w:rPr>
          <w:rFonts w:hint="eastAsia" w:ascii="宋体" w:hAnsi="宋体" w:cs="Courier New"/>
          <w:b/>
          <w:color w:val="000000"/>
          <w:sz w:val="24"/>
        </w:rPr>
        <w:t xml:space="preserve">八</w:t>
      </w:r>
      <w:r>
        <w:rPr>
          <w:rFonts w:ascii="宋体" w:hAnsi="宋体" w:cs="Courier New"/>
          <w:b/>
          <w:color w:val="000000"/>
          <w:sz w:val="24"/>
        </w:rPr>
        <w:t xml:space="preserve">、</w:t>
      </w:r>
      <w:r>
        <w:rPr>
          <w:rFonts w:hint="eastAsia" w:ascii="宋体" w:hAnsi="宋体" w:cs="Courier New"/>
          <w:b/>
          <w:color w:val="000000"/>
          <w:sz w:val="24"/>
        </w:rPr>
        <w:t xml:space="preserve">合同款项</w:t>
      </w:r>
      <w:r>
        <w:rPr>
          <w:rFonts w:ascii="宋体" w:hAnsi="宋体" w:cs="Courier New"/>
          <w:b/>
          <w:color w:val="000000"/>
          <w:sz w:val="24"/>
        </w:rPr>
        <w:t xml:space="preserve">支付</w:t>
      </w:r>
      <w:r/>
    </w:p>
    <w:p>
      <w:pPr>
        <w:ind w:firstLine="480"/>
        <w:spacing w:line="400" w:lineRule="exact"/>
        <w:rPr>
          <w:rFonts w:hint="eastAsia" w:ascii="宋体" w:hAnsi="宋体" w:cs="Courier New"/>
          <w:bCs/>
          <w:color w:val="000000"/>
          <w:sz w:val="24"/>
        </w:rPr>
      </w:pPr>
      <w:r>
        <w:rPr>
          <w:rFonts w:hint="eastAsia" w:ascii="宋体" w:hAnsi="宋体" w:cs="Courier New"/>
          <w:bCs/>
          <w:color w:val="000000"/>
          <w:sz w:val="24"/>
        </w:rPr>
        <w:t xml:space="preserve">8</w:t>
      </w:r>
      <w:r>
        <w:rPr>
          <w:rFonts w:ascii="宋体" w:hAnsi="宋体" w:cs="Courier New"/>
          <w:bCs/>
          <w:color w:val="000000"/>
          <w:sz w:val="24"/>
        </w:rPr>
        <w:t xml:space="preserve">.1</w:t>
      </w:r>
      <w:r>
        <w:rPr>
          <w:rFonts w:hint="eastAsia" w:ascii="宋体" w:hAnsi="宋体" w:cs="Courier New"/>
          <w:bCs/>
          <w:color w:val="000000"/>
          <w:sz w:val="24"/>
        </w:rPr>
        <w:t xml:space="preserve">合同款项的支付方式及进度安排</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合同签订后，安装验收合格后一个月内支付至合同价的30%左右，六个月内支付至合同价的90%，质保到期后再清尾款(占合同总价的10%)。每次支付前，乙方均应出具在税务部门开具的正式税票。</w:t>
      </w:r>
      <w:r/>
    </w:p>
    <w:p>
      <w:pPr>
        <w:ind w:firstLine="480"/>
        <w:jc w:val="left"/>
        <w:spacing w:line="360" w:lineRule="auto"/>
        <w:rPr>
          <w:rFonts w:hint="eastAsia" w:ascii="宋体" w:hAnsi="宋体" w:cs="Courier New"/>
          <w:bCs/>
          <w:color w:val="000000"/>
          <w:sz w:val="24"/>
        </w:rPr>
      </w:pPr>
      <w:r>
        <w:rPr>
          <w:rFonts w:hint="eastAsia" w:ascii="宋体" w:hAnsi="宋体"/>
          <w:bCs/>
          <w:color w:val="000000"/>
          <w:sz w:val="24"/>
        </w:rPr>
        <w:t xml:space="preserve">本项目付款前须按基建项目管理要求，经协同创新中心和科教中心项目跟踪审计单位审计后付款。</w:t>
      </w:r>
      <w:r/>
    </w:p>
    <w:p>
      <w:pPr>
        <w:ind w:firstLine="480"/>
        <w:spacing w:line="400" w:lineRule="exact"/>
        <w:rPr>
          <w:rFonts w:hint="eastAsia" w:ascii="宋体" w:hAnsi="宋体" w:cs="Courier New"/>
          <w:color w:val="000000"/>
          <w:sz w:val="24"/>
        </w:rPr>
      </w:pPr>
      <w:r>
        <w:rPr>
          <w:rFonts w:hint="eastAsia" w:ascii="宋体" w:hAnsi="宋体" w:cs="Courier New"/>
          <w:bCs/>
          <w:color w:val="000000"/>
          <w:sz w:val="24"/>
        </w:rPr>
        <w:t xml:space="preserve">8</w:t>
      </w:r>
      <w:r>
        <w:rPr>
          <w:rFonts w:ascii="宋体" w:hAnsi="宋体" w:cs="Courier New"/>
          <w:bCs/>
          <w:color w:val="000000"/>
          <w:sz w:val="24"/>
        </w:rPr>
        <w:t xml:space="preserve">.2</w:t>
      </w:r>
      <w:r>
        <w:rPr>
          <w:rFonts w:ascii="宋体" w:hAnsi="宋体" w:cs="Courier New"/>
          <w:color w:val="000000"/>
          <w:sz w:val="24"/>
        </w:rPr>
        <w:t xml:space="preserve">当采购数量与实际使用数量不一致时，</w:t>
      </w:r>
      <w:r>
        <w:rPr>
          <w:rFonts w:hint="eastAsia" w:ascii="宋体" w:hAnsi="宋体" w:cs="Courier New"/>
          <w:color w:val="000000"/>
          <w:sz w:val="24"/>
        </w:rPr>
        <w:t xml:space="preserve">乙方</w:t>
      </w:r>
      <w:r>
        <w:rPr>
          <w:rFonts w:ascii="宋体" w:hAnsi="宋体" w:cs="Courier New"/>
          <w:color w:val="000000"/>
          <w:sz w:val="24"/>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color w:val="000000"/>
          <w:sz w:val="24"/>
        </w:rPr>
      </w:pPr>
      <w:r>
        <w:rPr>
          <w:rFonts w:hint="eastAsia" w:ascii="宋体" w:hAnsi="宋体"/>
          <w:b/>
          <w:color w:val="000000"/>
          <w:sz w:val="24"/>
        </w:rPr>
        <w:t xml:space="preserve">九、税费</w:t>
      </w:r>
      <w:r/>
    </w:p>
    <w:p>
      <w:pPr>
        <w:ind w:firstLine="480"/>
        <w:spacing w:line="400" w:lineRule="exact"/>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本合同执行中相关的一切税费均由乙方负担。本项目约定增值税专用发票税率为13%，若乙方出具的增值税专用发票税率小于13%，则相应税金差额在货款中扣减。</w:t>
      </w:r>
      <w:r/>
    </w:p>
    <w:p>
      <w:pPr>
        <w:ind w:firstLine="482"/>
        <w:spacing w:line="400" w:lineRule="exact"/>
        <w:rPr>
          <w:rFonts w:hint="eastAsia" w:ascii="宋体" w:hAnsi="宋体" w:cs="Courier New"/>
          <w:color w:val="000000"/>
          <w:sz w:val="24"/>
        </w:rPr>
      </w:pPr>
      <w:r>
        <w:rPr>
          <w:rFonts w:ascii="宋体" w:hAnsi="宋体" w:cs="Courier New"/>
          <w:b/>
          <w:color w:val="000000"/>
          <w:sz w:val="24"/>
        </w:rPr>
        <w:t xml:space="preserve">十、质量</w:t>
      </w:r>
      <w:r>
        <w:rPr>
          <w:rFonts w:hint="eastAsia" w:ascii="宋体" w:hAnsi="宋体" w:cs="Courier New"/>
          <w:b/>
          <w:color w:val="000000"/>
          <w:sz w:val="24"/>
        </w:rPr>
        <w:t xml:space="preserve">保修范围和保修期</w:t>
      </w:r>
      <w:r>
        <w:rPr>
          <w:rFonts w:ascii="宋体" w:hAnsi="宋体" w:cs="Courier New"/>
          <w:b/>
          <w:color w:val="000000"/>
          <w:sz w:val="24"/>
        </w:rPr>
        <w:t xml:space="preserve">及售后服务</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⑴更换：由乙方承担所发生的全部费用。</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⑵贬值处理：由甲乙双方合议定价。</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.5上述的货物免费保修期为</w:t>
      </w:r>
      <w:r>
        <w:rPr>
          <w:rFonts w:ascii="宋体" w:hAnsi="宋体" w:cs="Courier New"/>
          <w:color w:val="000000"/>
          <w:sz w:val="24"/>
          <w:u w:val="single"/>
        </w:rPr>
        <w:t xml:space="preserve">     </w:t>
      </w:r>
      <w:r>
        <w:rPr>
          <w:rFonts w:ascii="宋体" w:hAnsi="宋体" w:cs="Courier New"/>
          <w:color w:val="000000"/>
          <w:sz w:val="24"/>
        </w:rPr>
        <w:t xml:space="preserve">年（自交货验收合格之日起计），因人为因素出现的故障不在免费保修范围内。超过保修期的机器设备，终</w:t>
      </w:r>
      <w:r>
        <w:rPr>
          <w:rFonts w:hint="eastAsia" w:ascii="宋体" w:hAnsi="宋体" w:cs="Courier New"/>
          <w:color w:val="000000"/>
          <w:sz w:val="24"/>
        </w:rPr>
        <w:t xml:space="preserve">身</w:t>
      </w:r>
      <w:r>
        <w:rPr>
          <w:rFonts w:ascii="宋体" w:hAnsi="宋体" w:cs="Courier New"/>
          <w:color w:val="000000"/>
          <w:sz w:val="24"/>
        </w:rPr>
        <w:t xml:space="preserve">维修，维修时只收部件成本费。</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一</w:t>
      </w:r>
      <w:r>
        <w:rPr>
          <w:rFonts w:ascii="宋体" w:hAnsi="宋体" w:cs="Courier New"/>
          <w:b/>
          <w:color w:val="000000"/>
          <w:sz w:val="24"/>
        </w:rPr>
        <w:t xml:space="preserve">、</w:t>
      </w:r>
      <w:r>
        <w:rPr>
          <w:rFonts w:hint="eastAsia" w:ascii="宋体" w:hAnsi="宋体" w:cs="Courier New"/>
          <w:b/>
          <w:color w:val="000000"/>
          <w:sz w:val="24"/>
        </w:rPr>
        <w:t xml:space="preserve">项目</w:t>
      </w:r>
      <w:r>
        <w:rPr>
          <w:rFonts w:ascii="宋体" w:hAnsi="宋体" w:cs="Courier New"/>
          <w:b/>
          <w:color w:val="000000"/>
          <w:sz w:val="24"/>
        </w:rPr>
        <w:t xml:space="preserve">验收</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11.1 甲方依法组织履约验收工作。</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rPr>
      </w:pPr>
      <w:r>
        <w:rPr>
          <w:rFonts w:hint="eastAsia" w:ascii="宋体" w:hAnsi="宋体" w:cs="Courier New"/>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二</w:t>
      </w:r>
      <w:r>
        <w:rPr>
          <w:rFonts w:ascii="宋体" w:hAnsi="宋体" w:cs="Courier New"/>
          <w:b/>
          <w:color w:val="000000"/>
          <w:sz w:val="24"/>
        </w:rPr>
        <w:t xml:space="preserve">、货物</w:t>
      </w:r>
      <w:r>
        <w:rPr>
          <w:rFonts w:hint="eastAsia" w:ascii="宋体" w:hAnsi="宋体" w:cs="Courier New"/>
          <w:b/>
          <w:color w:val="000000"/>
          <w:sz w:val="24"/>
        </w:rPr>
        <w:t xml:space="preserve">的</w:t>
      </w:r>
      <w:r>
        <w:rPr>
          <w:rFonts w:ascii="宋体" w:hAnsi="宋体" w:cs="Courier New"/>
          <w:b/>
          <w:color w:val="000000"/>
          <w:sz w:val="24"/>
        </w:rPr>
        <w:t xml:space="preserve">包装、发运及运输</w:t>
      </w:r>
      <w:r/>
    </w:p>
    <w:p>
      <w:pPr>
        <w:ind w:firstLine="480"/>
        <w:spacing w:line="400" w:lineRule="exact"/>
        <w:rPr>
          <w:rFonts w:hint="eastAsia" w:ascii="宋体" w:hAnsi="宋体" w:cs="Courier New"/>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.1 乙方应在货物发运前对其进行满足运输距离、防潮、防震、防锈和防破损装卸等</w:t>
      </w:r>
      <w:r>
        <w:rPr>
          <w:rFonts w:ascii="宋体" w:hAnsi="宋体" w:cs="Courier New"/>
          <w:sz w:val="24"/>
        </w:rPr>
        <w:t xml:space="preserve">要求包装，以保证货物安全运达甲方指定地点。</w:t>
      </w:r>
      <w:r>
        <w:rPr>
          <w:rFonts w:hint="eastAsia" w:ascii="宋体" w:hAnsi="宋体"/>
          <w:sz w:val="24"/>
        </w:rPr>
        <w:t xml:space="preserve">乙方对货物的包装应符合《商品包装政府采购需求标准（试行）》、《快递包装政府采购需求标准（试行）》的规定。</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.2 使用说明书、质量检验证明书、随配附件和工具以及清单一并附于货物内。</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.4 货物在交付甲方前发生的风险均由乙方负责。</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三</w:t>
      </w:r>
      <w:r>
        <w:rPr>
          <w:rFonts w:ascii="宋体" w:hAnsi="宋体" w:cs="Courier New"/>
          <w:b/>
          <w:color w:val="000000"/>
          <w:sz w:val="24"/>
        </w:rPr>
        <w:t xml:space="preserve">、违约责任</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.1 甲方无正当理由拒收货物的，甲方向乙方偿付拒收货款总值</w:t>
      </w:r>
      <w:r>
        <w:rPr>
          <w:rFonts w:hint="eastAsia" w:ascii="宋体" w:hAnsi="宋体" w:cs="Courier New"/>
          <w:color w:val="000000"/>
          <w:sz w:val="24"/>
          <w:u w:val="single"/>
        </w:rPr>
        <w:t xml:space="preserve">    </w:t>
      </w:r>
      <w:r>
        <w:rPr>
          <w:rFonts w:ascii="宋体" w:hAnsi="宋体" w:cs="Courier New"/>
          <w:color w:val="000000"/>
          <w:sz w:val="24"/>
        </w:rPr>
        <w:t xml:space="preserve">的违约金。</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.2 甲方无故逾期验收和办理货款支付手续的,甲方应按逾期付款总额每日</w:t>
      </w:r>
      <w:r>
        <w:rPr>
          <w:rFonts w:hint="eastAsia" w:ascii="宋体" w:hAnsi="宋体" w:cs="Courier New"/>
          <w:color w:val="000000"/>
          <w:sz w:val="24"/>
          <w:u w:val="single"/>
        </w:rPr>
        <w:t xml:space="preserve">    </w:t>
      </w:r>
      <w:r>
        <w:rPr>
          <w:rFonts w:ascii="宋体" w:hAnsi="宋体" w:cs="Courier New"/>
          <w:color w:val="000000"/>
          <w:sz w:val="24"/>
        </w:rPr>
        <w:t xml:space="preserve">向乙方支付违约金。</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u w:val="single"/>
        </w:rPr>
        <w:t xml:space="preserve">    </w:t>
      </w:r>
      <w:r>
        <w:rPr>
          <w:rFonts w:ascii="宋体" w:hAnsi="宋体" w:cs="Courier New"/>
          <w:color w:val="000000"/>
          <w:sz w:val="24"/>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四</w:t>
      </w:r>
      <w:r>
        <w:rPr>
          <w:rFonts w:ascii="宋体" w:hAnsi="宋体" w:cs="Courier New"/>
          <w:b/>
          <w:color w:val="000000"/>
          <w:sz w:val="24"/>
        </w:rPr>
        <w:t xml:space="preserve">、不可抗力事件处理</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.2 不可抗力事件发生后，应立即通知对方，并寄送有关权威机构出具的证明。</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w:t>
      </w:r>
      <w:r>
        <w:rPr>
          <w:rFonts w:ascii="宋体" w:hAnsi="宋体" w:cs="Courier New"/>
          <w:color w:val="000000"/>
          <w:sz w:val="24"/>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五</w:t>
      </w:r>
      <w:r>
        <w:rPr>
          <w:rFonts w:ascii="宋体" w:hAnsi="宋体" w:cs="Courier New"/>
          <w:b/>
          <w:color w:val="000000"/>
          <w:sz w:val="24"/>
        </w:rPr>
        <w:t xml:space="preserve">、</w:t>
      </w:r>
      <w:r>
        <w:rPr>
          <w:rFonts w:hint="eastAsia" w:ascii="宋体" w:hAnsi="宋体" w:cs="Courier New"/>
          <w:b/>
          <w:color w:val="000000"/>
          <w:sz w:val="24"/>
        </w:rPr>
        <w:t xml:space="preserve">解决争议的方法</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w:t>
      </w:r>
      <w:r>
        <w:rPr>
          <w:rFonts w:ascii="宋体" w:hAnsi="宋体" w:cs="Courier New"/>
          <w:color w:val="000000"/>
          <w:sz w:val="24"/>
        </w:rPr>
        <w:t xml:space="preserve">.1</w:t>
      </w:r>
      <w:r>
        <w:rPr>
          <w:rFonts w:hint="eastAsia" w:ascii="宋体" w:hAnsi="宋体" w:cs="Courier New"/>
          <w:color w:val="000000"/>
          <w:sz w:val="24"/>
        </w:rPr>
        <w:t xml:space="preserve">甲乙</w:t>
      </w:r>
      <w:r>
        <w:rPr>
          <w:rFonts w:ascii="宋体" w:hAnsi="宋体" w:cs="Courier New"/>
          <w:color w:val="000000"/>
          <w:sz w:val="24"/>
        </w:rPr>
        <w:t xml:space="preserve">双方</w:t>
      </w:r>
      <w:r>
        <w:rPr>
          <w:rFonts w:hint="eastAsia" w:ascii="宋体" w:hAnsi="宋体" w:cs="Courier New"/>
          <w:color w:val="000000"/>
          <w:sz w:val="24"/>
        </w:rPr>
        <w:t xml:space="preserve">因</w:t>
      </w:r>
      <w:r>
        <w:rPr>
          <w:rFonts w:ascii="宋体" w:hAnsi="宋体" w:cs="Courier New"/>
          <w:color w:val="000000"/>
          <w:sz w:val="24"/>
        </w:rPr>
        <w:t xml:space="preserve">合同</w:t>
      </w:r>
      <w:r>
        <w:rPr>
          <w:rFonts w:hint="eastAsia" w:ascii="宋体" w:hAnsi="宋体" w:cs="Courier New"/>
          <w:color w:val="000000"/>
          <w:sz w:val="24"/>
        </w:rPr>
        <w:t xml:space="preserve">签订、履行而</w:t>
      </w:r>
      <w:r>
        <w:rPr>
          <w:rFonts w:ascii="宋体" w:hAnsi="宋体" w:cs="Courier New"/>
          <w:color w:val="000000"/>
          <w:sz w:val="24"/>
        </w:rPr>
        <w:t xml:space="preserve">发生的一切争议，应通过</w:t>
      </w:r>
      <w:r>
        <w:rPr>
          <w:rFonts w:hint="eastAsia" w:ascii="宋体" w:hAnsi="宋体" w:cs="Courier New"/>
          <w:color w:val="000000"/>
          <w:sz w:val="24"/>
        </w:rPr>
        <w:t xml:space="preserve">友好</w:t>
      </w:r>
      <w:r>
        <w:rPr>
          <w:rFonts w:ascii="宋体" w:hAnsi="宋体" w:cs="Courier New"/>
          <w:color w:val="000000"/>
          <w:sz w:val="24"/>
        </w:rPr>
        <w:t xml:space="preserve">协商解决。如协商不成</w:t>
      </w:r>
      <w:r>
        <w:rPr>
          <w:rFonts w:hint="eastAsia" w:ascii="宋体" w:hAnsi="宋体" w:cs="Courier New"/>
          <w:color w:val="000000"/>
          <w:sz w:val="24"/>
        </w:rPr>
        <w:t xml:space="preserve">由甲方住所地人民</w:t>
      </w:r>
      <w:r>
        <w:rPr>
          <w:rFonts w:ascii="宋体" w:hAnsi="宋体" w:cs="Courier New"/>
          <w:color w:val="000000"/>
          <w:sz w:val="24"/>
        </w:rPr>
        <w:t xml:space="preserve">法院</w:t>
      </w:r>
      <w:r>
        <w:rPr>
          <w:rFonts w:hint="eastAsia" w:ascii="宋体" w:hAnsi="宋体" w:cs="Courier New"/>
          <w:color w:val="000000"/>
          <w:sz w:val="24"/>
        </w:rPr>
        <w:t xml:space="preserve">管辖。</w:t>
      </w:r>
      <w:r/>
    </w:p>
    <w:p>
      <w:pPr>
        <w:ind w:firstLine="482"/>
        <w:spacing w:line="400" w:lineRule="exact"/>
        <w:rPr>
          <w:rFonts w:hint="eastAsia" w:ascii="宋体" w:hAnsi="宋体" w:cs="Courier New"/>
          <w:b/>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六</w:t>
      </w:r>
      <w:r>
        <w:rPr>
          <w:rFonts w:ascii="宋体" w:hAnsi="宋体" w:cs="Courier New"/>
          <w:b/>
          <w:color w:val="000000"/>
          <w:sz w:val="24"/>
        </w:rPr>
        <w:t xml:space="preserve">、合同生效及其他</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w:t>
      </w:r>
      <w:r>
        <w:rPr>
          <w:rFonts w:ascii="宋体" w:hAnsi="宋体" w:cs="Courier New"/>
          <w:color w:val="000000"/>
          <w:sz w:val="24"/>
        </w:rPr>
        <w:t xml:space="preserve">.1 合同经双方法定代表人或授权委托代</w:t>
      </w:r>
      <w:r>
        <w:rPr>
          <w:rFonts w:hint="eastAsia" w:ascii="宋体" w:hAnsi="宋体" w:cs="Courier New"/>
          <w:color w:val="000000"/>
          <w:sz w:val="24"/>
        </w:rPr>
        <w:t xml:space="preserve">表</w:t>
      </w:r>
      <w:r>
        <w:rPr>
          <w:rFonts w:ascii="宋体" w:hAnsi="宋体" w:cs="Courier New"/>
          <w:color w:val="000000"/>
          <w:sz w:val="24"/>
        </w:rPr>
        <w:t xml:space="preserve">人签字并加盖单位公章后生效。</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w:t>
      </w:r>
      <w:r>
        <w:rPr>
          <w:rFonts w:ascii="宋体" w:hAnsi="宋体" w:cs="Courier New"/>
          <w:color w:val="000000"/>
          <w:sz w:val="24"/>
        </w:rPr>
        <w:t xml:space="preserve">.2本合同未尽事宜，遵照</w:t>
      </w:r>
      <w:r>
        <w:rPr>
          <w:rFonts w:hint="eastAsia" w:ascii="宋体" w:hAnsi="宋体" w:cs="Courier New"/>
          <w:color w:val="000000"/>
          <w:sz w:val="24"/>
        </w:rPr>
        <w:t xml:space="preserve">《中华人民共和国民法典》、《中华人民共和国政府采购法》</w:t>
      </w:r>
      <w:r>
        <w:rPr>
          <w:rFonts w:ascii="宋体" w:hAnsi="宋体" w:cs="Courier New"/>
          <w:color w:val="000000"/>
          <w:sz w:val="24"/>
        </w:rPr>
        <w:t xml:space="preserve">有关条文执行。</w:t>
      </w:r>
      <w:r/>
    </w:p>
    <w:p>
      <w:pPr>
        <w:ind w:firstLine="480"/>
        <w:spacing w:line="400" w:lineRule="exact"/>
        <w:rPr>
          <w:rFonts w:hint="eastAsia"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w:t>
      </w:r>
      <w:r>
        <w:rPr>
          <w:rFonts w:ascii="宋体" w:hAnsi="宋体" w:cs="Courier New"/>
          <w:color w:val="000000"/>
          <w:sz w:val="24"/>
        </w:rPr>
        <w:t xml:space="preserve">.</w:t>
      </w:r>
      <w:r>
        <w:rPr>
          <w:rFonts w:hint="eastAsia" w:ascii="宋体" w:hAnsi="宋体" w:cs="Courier New"/>
          <w:color w:val="000000"/>
          <w:sz w:val="24"/>
        </w:rPr>
        <w:t xml:space="preserve">3</w:t>
      </w:r>
      <w:r>
        <w:rPr>
          <w:rFonts w:ascii="宋体" w:hAnsi="宋体" w:cs="Courier New"/>
          <w:color w:val="000000"/>
          <w:sz w:val="24"/>
        </w:rPr>
        <w:t xml:space="preserve"> 本合同正本一式</w:t>
      </w:r>
      <w:r>
        <w:rPr>
          <w:rFonts w:hint="eastAsia" w:ascii="宋体" w:hAnsi="宋体" w:cs="Courier New"/>
          <w:color w:val="000000"/>
          <w:sz w:val="24"/>
        </w:rPr>
        <w:t xml:space="preserve">肆</w:t>
      </w:r>
      <w:r>
        <w:rPr>
          <w:rFonts w:ascii="宋体" w:hAnsi="宋体" w:cs="Courier New"/>
          <w:color w:val="000000"/>
          <w:sz w:val="24"/>
        </w:rPr>
        <w:t xml:space="preserve">份，具有同等法律效力，甲</w:t>
      </w:r>
      <w:r>
        <w:rPr>
          <w:rFonts w:hint="eastAsia" w:ascii="宋体" w:hAnsi="宋体" w:cs="Courier New"/>
          <w:color w:val="000000"/>
          <w:sz w:val="24"/>
        </w:rPr>
        <w:t xml:space="preserve">方、</w:t>
      </w:r>
      <w:r>
        <w:rPr>
          <w:rFonts w:ascii="宋体" w:hAnsi="宋体" w:cs="Courier New"/>
          <w:color w:val="000000"/>
          <w:sz w:val="24"/>
        </w:rPr>
        <w:t xml:space="preserve">乙方各执</w:t>
      </w:r>
      <w:r>
        <w:rPr>
          <w:rFonts w:hint="eastAsia" w:ascii="宋体" w:hAnsi="宋体" w:cs="Courier New"/>
          <w:color w:val="000000"/>
          <w:sz w:val="24"/>
        </w:rPr>
        <w:t xml:space="preserve">两</w:t>
      </w:r>
      <w:r>
        <w:rPr>
          <w:rFonts w:ascii="宋体" w:hAnsi="宋体" w:cs="Courier New"/>
          <w:color w:val="000000"/>
          <w:sz w:val="24"/>
        </w:rPr>
        <w:t xml:space="preserve">份。</w:t>
      </w:r>
      <w:r/>
    </w:p>
    <w:p>
      <w:pPr>
        <w:ind w:left="480" w:hanging="480"/>
        <w:spacing w:line="400" w:lineRule="exact"/>
        <w:rPr>
          <w:rFonts w:hint="eastAsia" w:ascii="宋体" w:hAnsi="宋体" w:cs="Courier New"/>
          <w:color w:val="000000"/>
          <w:sz w:val="24"/>
        </w:rPr>
      </w:pPr>
      <w:r>
        <w:rPr>
          <w:rFonts w:ascii="宋体" w:hAnsi="宋体" w:cs="Courier New"/>
          <w:color w:val="000000"/>
          <w:sz w:val="24"/>
        </w:rPr>
        <w:t xml:space="preserve">  甲方：                        乙方： </w:t>
      </w:r>
      <w:r/>
    </w:p>
    <w:p>
      <w:pPr>
        <w:spacing w:line="400" w:lineRule="exact"/>
        <w:rPr>
          <w:rFonts w:hint="eastAsia" w:ascii="宋体" w:hAnsi="宋体" w:cs="Courier New"/>
          <w:color w:val="000000"/>
          <w:sz w:val="24"/>
        </w:rPr>
      </w:pPr>
      <w:r>
        <w:rPr>
          <w:rFonts w:ascii="宋体" w:hAnsi="宋体" w:cs="Courier New"/>
          <w:color w:val="000000"/>
          <w:sz w:val="24"/>
        </w:rPr>
        <w:t xml:space="preserve">  地址：                       </w:t>
      </w:r>
      <w:r>
        <w:rPr>
          <w:rFonts w:hint="eastAsia" w:ascii="宋体" w:hAnsi="宋体" w:cs="Courier New"/>
          <w:color w:val="000000"/>
          <w:sz w:val="24"/>
        </w:rPr>
        <w:t xml:space="preserve"> </w:t>
      </w:r>
      <w:r>
        <w:rPr>
          <w:rFonts w:ascii="宋体" w:hAnsi="宋体" w:cs="Courier New"/>
          <w:color w:val="000000"/>
          <w:sz w:val="24"/>
        </w:rPr>
        <w:t xml:space="preserve">地址： </w:t>
      </w:r>
      <w:r/>
    </w:p>
    <w:p>
      <w:pPr>
        <w:spacing w:line="400" w:lineRule="exact"/>
        <w:rPr>
          <w:rFonts w:hint="eastAsia" w:ascii="宋体" w:hAnsi="宋体" w:cs="Courier New"/>
          <w:color w:val="000000"/>
          <w:sz w:val="24"/>
        </w:rPr>
      </w:pPr>
      <w:r>
        <w:rPr>
          <w:rFonts w:ascii="宋体" w:hAnsi="宋体" w:cs="Courier New"/>
          <w:color w:val="000000"/>
          <w:sz w:val="24"/>
        </w:rPr>
        <w:t xml:space="preserve">  法定代表人</w:t>
      </w:r>
      <w:r>
        <w:rPr>
          <w:rFonts w:hint="eastAsia" w:ascii="宋体" w:hAnsi="宋体" w:cs="Courier New"/>
          <w:color w:val="000000"/>
          <w:sz w:val="24"/>
        </w:rPr>
        <w:t xml:space="preserve">或授权代表</w:t>
      </w:r>
      <w:r>
        <w:rPr>
          <w:rFonts w:ascii="宋体" w:hAnsi="宋体" w:cs="Courier New"/>
          <w:color w:val="000000"/>
          <w:sz w:val="24"/>
        </w:rPr>
        <w:t xml:space="preserve">：        法定代表人</w:t>
      </w:r>
      <w:r>
        <w:rPr>
          <w:rFonts w:hint="eastAsia" w:ascii="宋体" w:hAnsi="宋体" w:cs="Courier New"/>
          <w:color w:val="000000"/>
          <w:sz w:val="24"/>
        </w:rPr>
        <w:t xml:space="preserve">或授权代表</w:t>
      </w:r>
      <w:r>
        <w:rPr>
          <w:rFonts w:ascii="宋体" w:hAnsi="宋体" w:cs="Courier New"/>
          <w:color w:val="000000"/>
          <w:sz w:val="24"/>
        </w:rPr>
        <w:t xml:space="preserve">：</w:t>
      </w:r>
      <w:r/>
    </w:p>
    <w:p>
      <w:pPr>
        <w:ind w:firstLine="240"/>
        <w:spacing w:line="400" w:lineRule="exact"/>
        <w:rPr>
          <w:rFonts w:ascii="宋体" w:hAnsi="Courier New" w:cs="Courier New"/>
          <w:color w:val="000000"/>
          <w:szCs w:val="21"/>
        </w:rPr>
      </w:pPr>
      <w:r>
        <w:rPr>
          <w:rFonts w:hint="eastAsia" w:ascii="宋体" w:hAnsi="宋体" w:cs="Courier New"/>
          <w:color w:val="000000"/>
          <w:sz w:val="24"/>
        </w:rPr>
        <w:t xml:space="preserve">联系电话：                    联系电话：          </w:t>
      </w:r>
      <w:r/>
    </w:p>
    <w:p>
      <w:pPr>
        <w:ind w:firstLine="240"/>
        <w:spacing w:line="400" w:lineRule="exact"/>
        <w:rPr>
          <w:rFonts w:hint="eastAsia" w:ascii="宋体" w:hAnsi="宋体" w:cs="Courier New"/>
          <w:color w:val="000000"/>
          <w:sz w:val="24"/>
        </w:rPr>
      </w:pPr>
      <w:r>
        <w:rPr>
          <w:rFonts w:ascii="宋体" w:hAnsi="宋体" w:cs="Courier New"/>
          <w:color w:val="000000"/>
          <w:sz w:val="24"/>
        </w:rPr>
        <w:t xml:space="preserve">签订日期：   年 </w:t>
      </w:r>
      <w:r>
        <w:rPr>
          <w:rFonts w:hint="eastAsia" w:ascii="宋体" w:hAnsi="宋体" w:cs="Courier New"/>
          <w:color w:val="000000"/>
          <w:sz w:val="24"/>
        </w:rPr>
        <w:t xml:space="preserve">  </w:t>
      </w:r>
      <w:r>
        <w:rPr>
          <w:rFonts w:ascii="宋体" w:hAnsi="宋体" w:cs="Courier New"/>
          <w:color w:val="000000"/>
          <w:sz w:val="24"/>
        </w:rPr>
        <w:t xml:space="preserve">月 </w:t>
      </w:r>
      <w:r>
        <w:rPr>
          <w:rFonts w:hint="eastAsia" w:ascii="宋体" w:hAnsi="宋体" w:cs="Courier New"/>
          <w:color w:val="000000"/>
          <w:sz w:val="24"/>
        </w:rPr>
        <w:t xml:space="preserve"> </w:t>
      </w:r>
      <w:r>
        <w:rPr>
          <w:rFonts w:ascii="宋体" w:hAnsi="宋体" w:cs="Courier New"/>
          <w:color w:val="000000"/>
          <w:sz w:val="24"/>
        </w:rPr>
        <w:t xml:space="preserve">日</w:t>
      </w:r>
      <w:r>
        <w:rPr>
          <w:rFonts w:hint="eastAsia" w:ascii="宋体" w:hAnsi="宋体" w:cs="Courier New"/>
          <w:color w:val="000000"/>
          <w:sz w:val="24"/>
        </w:rPr>
        <w:t xml:space="preserve">      </w:t>
      </w:r>
      <w:r>
        <w:rPr>
          <w:rFonts w:ascii="宋体" w:hAnsi="宋体" w:cs="Courier New"/>
          <w:color w:val="000000"/>
          <w:sz w:val="24"/>
        </w:rPr>
        <w:t xml:space="preserve">签订日期：   年 </w:t>
      </w:r>
      <w:r>
        <w:rPr>
          <w:rFonts w:hint="eastAsia" w:ascii="宋体" w:hAnsi="宋体" w:cs="Courier New"/>
          <w:color w:val="000000"/>
          <w:sz w:val="24"/>
        </w:rPr>
        <w:t xml:space="preserve">  </w:t>
      </w:r>
      <w:r>
        <w:rPr>
          <w:rFonts w:ascii="宋体" w:hAnsi="宋体" w:cs="Courier New"/>
          <w:color w:val="000000"/>
          <w:sz w:val="24"/>
        </w:rPr>
        <w:t xml:space="preserve">月 </w:t>
      </w:r>
      <w:r>
        <w:rPr>
          <w:rFonts w:hint="eastAsia" w:ascii="宋体" w:hAnsi="宋体" w:cs="Courier New"/>
          <w:color w:val="000000"/>
          <w:sz w:val="24"/>
        </w:rPr>
        <w:t xml:space="preserve"> </w:t>
      </w:r>
      <w:r>
        <w:rPr>
          <w:rFonts w:ascii="宋体" w:hAnsi="宋体" w:cs="Courier New"/>
          <w:color w:val="000000"/>
          <w:sz w:val="24"/>
        </w:rPr>
        <w:t xml:space="preserve">日</w:t>
      </w:r>
      <w:r/>
    </w:p>
    <w:p>
      <w:pPr>
        <w:ind w:firstLine="240"/>
        <w:jc w:val="left"/>
        <w:spacing w:line="400" w:lineRule="exact"/>
        <w:tabs>
          <w:tab w:val="left" w:pos="1765" w:leader="none"/>
          <w:tab w:val="center" w:pos="5608" w:leader="none"/>
        </w:tabs>
        <w:rPr>
          <w:rFonts w:hint="eastAsia" w:ascii="宋体" w:hAnsi="宋体" w:cs="Courier New"/>
          <w:color w:val="000000"/>
          <w:sz w:val="24"/>
        </w:rPr>
      </w:pPr>
      <w:r>
        <w:rPr>
          <w:rFonts w:hint="eastAsia" w:ascii="宋体" w:hAnsi="宋体" w:cs="Courier New"/>
          <w:color w:val="000000"/>
          <w:sz w:val="24"/>
        </w:rPr>
      </w:r>
      <w:r/>
    </w:p>
    <w:p>
      <w:pPr>
        <w:ind w:firstLine="240"/>
        <w:jc w:val="left"/>
        <w:spacing w:line="400" w:lineRule="exact"/>
        <w:tabs>
          <w:tab w:val="left" w:pos="1765" w:leader="none"/>
          <w:tab w:val="center" w:pos="5608" w:leader="none"/>
        </w:tabs>
        <w:rPr>
          <w:rFonts w:hint="eastAsia" w:ascii="宋体" w:hAnsi="宋体" w:cs="Courier New"/>
          <w:color w:val="000000"/>
          <w:sz w:val="24"/>
        </w:rPr>
      </w:pPr>
      <w:r>
        <w:rPr>
          <w:rFonts w:hint="eastAsia" w:ascii="宋体" w:hAnsi="宋体" w:cs="Courier New"/>
          <w:color w:val="000000"/>
          <w:sz w:val="24"/>
        </w:rPr>
        <w:t xml:space="preserve">见证方：江苏万享通咨询有限公司</w:t>
      </w:r>
      <w:r/>
    </w:p>
    <w:p>
      <w:pPr>
        <w:spacing w:line="400" w:lineRule="exact"/>
        <w:rPr>
          <w:rFonts w:hint="eastAsia" w:ascii="宋体" w:hAnsi="宋体" w:cs="Courier New"/>
          <w:color w:val="000000"/>
          <w:sz w:val="24"/>
        </w:rPr>
      </w:pPr>
      <w:r>
        <w:rPr>
          <w:rFonts w:ascii="宋体" w:hAnsi="宋体" w:cs="Courier New"/>
          <w:color w:val="000000"/>
          <w:sz w:val="24"/>
        </w:rPr>
        <w:t xml:space="preserve">  地址：</w:t>
      </w:r>
      <w:r/>
    </w:p>
    <w:p>
      <w:pPr>
        <w:spacing w:line="400" w:lineRule="exact"/>
        <w:rPr>
          <w:rFonts w:hint="eastAsia" w:ascii="宋体" w:hAnsi="宋体" w:cs="Courier New"/>
          <w:color w:val="000000"/>
          <w:sz w:val="24"/>
        </w:rPr>
      </w:pPr>
      <w:r>
        <w:rPr>
          <w:rFonts w:ascii="宋体" w:hAnsi="宋体" w:cs="Courier New"/>
          <w:color w:val="000000"/>
          <w:sz w:val="24"/>
        </w:rPr>
        <w:t xml:space="preserve">  法定代表人</w:t>
      </w:r>
      <w:r>
        <w:rPr>
          <w:rFonts w:hint="eastAsia" w:ascii="宋体" w:hAnsi="宋体" w:cs="Courier New"/>
          <w:color w:val="000000"/>
          <w:sz w:val="24"/>
        </w:rPr>
        <w:t xml:space="preserve">或授权代表</w:t>
      </w:r>
      <w:r>
        <w:rPr>
          <w:rFonts w:ascii="宋体" w:hAnsi="宋体" w:cs="Courier New"/>
          <w:color w:val="000000"/>
          <w:sz w:val="24"/>
        </w:rPr>
        <w:t xml:space="preserve">：</w:t>
      </w:r>
      <w:r/>
    </w:p>
    <w:p>
      <w:pPr>
        <w:ind w:firstLine="240"/>
        <w:spacing w:line="400" w:lineRule="exact"/>
        <w:rPr>
          <w:rFonts w:hint="eastAsia" w:ascii="宋体" w:hAnsi="宋体" w:cs="Courier New"/>
          <w:color w:val="000000"/>
          <w:sz w:val="24"/>
        </w:rPr>
      </w:pPr>
      <w:r>
        <w:rPr>
          <w:rFonts w:ascii="宋体" w:hAnsi="宋体" w:cs="Courier New"/>
          <w:color w:val="000000"/>
          <w:sz w:val="24"/>
        </w:rPr>
        <w:t xml:space="preserve">签订日期：  年 </w:t>
      </w:r>
      <w:r>
        <w:rPr>
          <w:rFonts w:hint="eastAsia" w:ascii="宋体" w:hAnsi="宋体" w:cs="Courier New"/>
          <w:color w:val="000000"/>
          <w:sz w:val="24"/>
        </w:rPr>
        <w:t xml:space="preserve">  </w:t>
      </w:r>
      <w:r>
        <w:rPr>
          <w:rFonts w:ascii="宋体" w:hAnsi="宋体" w:cs="Courier New"/>
          <w:color w:val="000000"/>
          <w:sz w:val="24"/>
        </w:rPr>
        <w:t xml:space="preserve">月 </w:t>
      </w:r>
      <w:r>
        <w:rPr>
          <w:rFonts w:hint="eastAsia" w:ascii="宋体" w:hAnsi="宋体" w:cs="Courier New"/>
          <w:color w:val="000000"/>
          <w:sz w:val="24"/>
        </w:rPr>
        <w:t xml:space="preserve"> </w:t>
      </w:r>
      <w:r>
        <w:rPr>
          <w:rFonts w:ascii="宋体" w:hAnsi="宋体" w:cs="Courier New"/>
          <w:color w:val="000000"/>
          <w:sz w:val="24"/>
        </w:rPr>
        <w:t xml:space="preserve"> 日</w:t>
      </w:r>
      <w:r/>
    </w:p>
    <w:p>
      <w:pPr>
        <w:spacing w:line="400" w:lineRule="exact"/>
        <w:rPr>
          <w:rFonts w:hint="eastAsia" w:ascii="宋体" w:hAnsi="宋体" w:cs="Courier New"/>
          <w:color w:val="000000"/>
          <w:sz w:val="24"/>
        </w:rPr>
      </w:pPr>
      <w:r>
        <w:rPr>
          <w:rFonts w:hint="eastAsia" w:ascii="宋体" w:hAnsi="宋体" w:cs="Courier New"/>
          <w:color w:val="000000"/>
          <w:sz w:val="24"/>
        </w:rPr>
      </w:r>
      <w:r/>
    </w:p>
    <w:p>
      <w:pPr>
        <w:spacing w:line="400" w:lineRule="exact"/>
        <w:rPr>
          <w:rFonts w:hint="eastAsia" w:ascii="宋体" w:hAnsi="宋体"/>
          <w:bCs/>
          <w:sz w:val="24"/>
        </w:rPr>
      </w:pPr>
      <w:r>
        <w:rPr>
          <w:rFonts w:hint="eastAsia" w:ascii="宋体" w:hAnsi="宋体"/>
          <w:bCs/>
          <w:sz w:val="24"/>
        </w:rPr>
      </w:r>
      <w:r/>
    </w:p>
    <w:p>
      <w:pPr>
        <w:ind w:right="-98"/>
        <w:spacing w:line="440" w:lineRule="atLeast"/>
        <w:rPr>
          <w:sz w:val="24"/>
          <w:szCs w:val="22"/>
        </w:rPr>
      </w:pPr>
      <w:r>
        <w:rPr>
          <w:sz w:val="24"/>
          <w:szCs w:val="22"/>
        </w:rPr>
      </w:r>
      <w:r/>
    </w:p>
    <w:p>
      <w:pPr>
        <w:spacing w:line="440" w:lineRule="exact"/>
        <w:rPr>
          <w:sz w:val="32"/>
          <w:szCs w:val="22"/>
        </w:rPr>
      </w:pPr>
      <w:r>
        <w:rPr>
          <w:sz w:val="32"/>
          <w:szCs w:val="22"/>
        </w:rPr>
      </w:r>
      <w:r/>
    </w:p>
    <w:p>
      <w:pPr>
        <w:rPr>
          <w:szCs w:val="22"/>
        </w:rPr>
      </w:pPr>
      <w:r>
        <w:rPr>
          <w:rFonts w:hint="eastAsia"/>
          <w:sz w:val="32"/>
          <w:szCs w:val="22"/>
        </w:rPr>
        <w:br w:type="page" w:clear="all"/>
      </w:r>
      <w:r/>
    </w:p>
    <w:p>
      <w:pPr>
        <w:pStyle w:val="853"/>
        <w:numPr>
          <w:ilvl w:val="0"/>
          <w:numId w:val="0"/>
        </w:numPr>
        <w:spacing w:line="578" w:lineRule="auto"/>
        <w:rPr>
          <w:rFonts w:ascii="Arial" w:hAnsi="Arial" w:cs="Arial"/>
        </w:rPr>
      </w:pPr>
      <w:r/>
      <w:bookmarkStart w:id="25" w:name="_Toc4542"/>
      <w:r>
        <w:rPr>
          <w:rFonts w:hint="eastAsia" w:ascii="Arial" w:hAnsi="Arial" w:cs="Arial"/>
        </w:rPr>
        <w:t xml:space="preserve">第六章附件</w:t>
      </w:r>
      <w:bookmarkEnd w:id="18"/>
      <w:r/>
      <w:bookmarkEnd w:id="25"/>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bookmarkStart w:id="26" w:name="_Toc14955_WPSOffice_Level1"/>
      <w:r>
        <w:rPr>
          <w:rFonts w:hint="eastAsia" w:ascii="Arial" w:hAnsi="Arial" w:eastAsia="黑体" w:cs="Arial"/>
          <w:sz w:val="44"/>
          <w:szCs w:val="44"/>
        </w:rPr>
        <w:t xml:space="preserve">投标文件</w:t>
      </w:r>
      <w:bookmarkEnd w:id="26"/>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ind w:firstLine="361"/>
        <w:rPr>
          <w:rFonts w:hint="eastAsia" w:ascii="宋体" w:hAnsi="宋体" w:cs="宋体"/>
          <w:b/>
          <w:bCs/>
          <w:sz w:val="36"/>
          <w:szCs w:val="36"/>
        </w:rPr>
      </w:pPr>
      <w:r/>
      <w:bookmarkStart w:id="27" w:name="_Toc29864_WPSOffice_Level1"/>
      <w:r>
        <w:rPr>
          <w:rFonts w:hint="eastAsia" w:ascii="宋体" w:hAnsi="宋体" w:cs="宋体"/>
          <w:b/>
          <w:bCs/>
          <w:sz w:val="36"/>
          <w:szCs w:val="36"/>
        </w:rPr>
        <w:t xml:space="preserve">项目名称：</w:t>
      </w:r>
      <w:bookmarkEnd w:id="27"/>
      <w:r/>
      <w:r/>
    </w:p>
    <w:p>
      <w:pPr>
        <w:pStyle w:val="915"/>
        <w:rPr>
          <w:rFonts w:hint="eastAsia" w:ascii="宋体" w:hAnsi="宋体" w:cs="宋体"/>
          <w:b/>
          <w:bCs/>
          <w:sz w:val="36"/>
          <w:szCs w:val="36"/>
        </w:rPr>
      </w:pPr>
      <w:r/>
      <w:bookmarkStart w:id="28" w:name="_Toc7236_WPSOffice_Level1"/>
      <w:r>
        <w:rPr>
          <w:rFonts w:hint="eastAsia" w:ascii="宋体" w:hAnsi="宋体" w:cs="宋体"/>
          <w:b/>
          <w:bCs/>
          <w:sz w:val="36"/>
          <w:szCs w:val="36"/>
        </w:rPr>
        <w:t xml:space="preserve">招标编号：</w:t>
      </w:r>
      <w:bookmarkEnd w:id="28"/>
      <w:r/>
      <w:r/>
    </w:p>
    <w:p>
      <w:pPr>
        <w:pStyle w:val="915"/>
        <w:rPr>
          <w:rFonts w:hint="eastAsia" w:ascii="宋体" w:hAnsi="宋体" w:cs="宋体"/>
          <w:b/>
          <w:bCs/>
          <w:sz w:val="36"/>
          <w:szCs w:val="36"/>
          <w:u w:val="single"/>
        </w:rPr>
      </w:pPr>
      <w:r/>
      <w:bookmarkStart w:id="29" w:name="_Toc12525_WPSOffice_Level1"/>
      <w:r>
        <w:rPr>
          <w:rFonts w:ascii="宋体" w:hAnsi="宋体" w:cs="宋体"/>
          <w:b/>
          <w:bCs/>
          <w:sz w:val="36"/>
          <w:szCs w:val="36"/>
        </w:rPr>
        <w:t xml:space="preserve">投标人名称 ：</w:t>
      </w:r>
      <w:r>
        <w:rPr>
          <w:rFonts w:ascii="宋体" w:hAnsi="宋体" w:cs="宋体"/>
          <w:b/>
          <w:bCs/>
          <w:sz w:val="36"/>
          <w:szCs w:val="36"/>
          <w:u w:val="single"/>
        </w:rPr>
        <w:t xml:space="preserve">（加盖CA电子公章）</w:t>
      </w:r>
      <w:bookmarkEnd w:id="29"/>
      <w:r/>
      <w:r/>
    </w:p>
    <w:p>
      <w:pPr>
        <w:pStyle w:val="915"/>
        <w:rPr>
          <w:rFonts w:hint="eastAsia" w:ascii="宋体" w:hAnsi="宋体" w:cs="宋体"/>
          <w:b/>
          <w:bCs/>
          <w:sz w:val="36"/>
          <w:szCs w:val="36"/>
          <w:u w:val="single"/>
        </w:rPr>
      </w:pPr>
      <w:r/>
      <w:bookmarkStart w:id="30" w:name="_Toc25897_WPSOffice_Level1"/>
      <w:r>
        <w:rPr>
          <w:rFonts w:hint="eastAsia" w:ascii="宋体" w:hAnsi="宋体" w:cs="宋体"/>
          <w:b/>
          <w:bCs/>
          <w:sz w:val="36"/>
          <w:szCs w:val="36"/>
        </w:rPr>
        <w:t xml:space="preserve">日</w:t>
      </w:r>
      <w:r>
        <w:rPr>
          <w:rFonts w:ascii="宋体" w:hAnsi="宋体" w:cs="宋体"/>
          <w:b/>
          <w:bCs/>
          <w:sz w:val="36"/>
          <w:szCs w:val="36"/>
        </w:rPr>
        <w:t xml:space="preserve">期 ：</w:t>
      </w:r>
      <w:r>
        <w:rPr>
          <w:rFonts w:ascii="宋体" w:hAnsi="宋体" w:cs="宋体"/>
          <w:b/>
          <w:bCs/>
          <w:sz w:val="36"/>
          <w:szCs w:val="36"/>
          <w:u w:val="single"/>
        </w:rPr>
        <w:t xml:space="preserve">               </w:t>
      </w:r>
      <w:bookmarkEnd w:id="30"/>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spacing w:line="440" w:lineRule="exact"/>
        <w:rPr>
          <w:rFonts w:ascii="Arial" w:hAnsi="Arial" w:cs="Arial"/>
          <w:szCs w:val="21"/>
        </w:rPr>
      </w:pPr>
      <w:r>
        <w:rPr>
          <w:rFonts w:ascii="Arial" w:hAnsi="Arial" w:eastAsia="黑体" w:cs="Arial"/>
          <w:sz w:val="28"/>
          <w:szCs w:val="28"/>
        </w:rPr>
        <w:br w:type="page" w:clear="all"/>
      </w:r>
      <w:bookmarkStart w:id="31" w:name="_Toc29630_WPSOffice_Level1"/>
      <w:r>
        <w:rPr>
          <w:rFonts w:ascii="Arial" w:hAnsi="Arial" w:cs="Arial"/>
          <w:b/>
          <w:bCs/>
          <w:szCs w:val="21"/>
        </w:rPr>
        <w:t xml:space="preserve">附件一、投标申请及声明格式</w:t>
      </w:r>
      <w:bookmarkEnd w:id="31"/>
      <w:r/>
      <w:r/>
    </w:p>
    <w:p>
      <w:pPr>
        <w:jc w:val="center"/>
        <w:spacing w:line="360" w:lineRule="auto"/>
        <w:shd w:val="clear" w:color="auto" w:fill="ffffff"/>
        <w:widowControl/>
        <w:rPr>
          <w:rFonts w:ascii="Arial" w:hAnsi="Arial" w:cs="Arial"/>
          <w:b/>
          <w:szCs w:val="21"/>
        </w:rPr>
      </w:pPr>
      <w:r/>
      <w:bookmarkStart w:id="32" w:name="_Toc32156_WPSOffice_Level2"/>
      <w:r>
        <w:rPr>
          <w:rFonts w:ascii="Arial" w:hAnsi="Arial" w:cs="Arial"/>
          <w:b/>
          <w:sz w:val="36"/>
          <w:szCs w:val="36"/>
        </w:rPr>
        <w:t xml:space="preserve">投标申请及声明</w:t>
      </w:r>
      <w:bookmarkEnd w:id="32"/>
      <w:r/>
      <w:r/>
    </w:p>
    <w:p>
      <w:pPr>
        <w:spacing w:line="400" w:lineRule="exact"/>
        <w:shd w:val="clear" w:color="auto" w:fill="ffffff"/>
        <w:widowControl/>
        <w:rPr>
          <w:rFonts w:ascii="Arial" w:hAnsi="Arial" w:cs="Arial"/>
          <w:szCs w:val="21"/>
        </w:rPr>
      </w:pPr>
      <w:r>
        <w:rPr>
          <w:rFonts w:ascii="Arial" w:hAnsi="Arial" w:cs="Arial"/>
          <w:szCs w:val="21"/>
        </w:rPr>
        <w:t xml:space="preserve"> 致：</w:t>
      </w:r>
      <w:r>
        <w:rPr>
          <w:rFonts w:hint="eastAsia" w:ascii="Arial" w:hAnsi="Arial" w:cs="Arial"/>
          <w:szCs w:val="21"/>
        </w:rPr>
        <w:t xml:space="preserve">江苏万享通咨询有限公司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2、按招标要求，我们的投标价</w:t>
      </w:r>
      <w:r>
        <w:rPr>
          <w:rFonts w:hint="eastAsia" w:ascii="Arial" w:hAnsi="Arial" w:cs="Arial"/>
          <w:szCs w:val="21"/>
        </w:rPr>
        <w:t xml:space="preserve">详见开标一览表</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3、本项目交付时间为：</w:t>
      </w:r>
      <w:r>
        <w:rPr>
          <w:rFonts w:ascii="Arial" w:hAnsi="Arial" w:cs="Arial"/>
          <w:szCs w:val="21"/>
          <w:u w:val="single"/>
        </w:rPr>
        <w:t xml:space="preserve">  满足招标文件要求  </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投标人：（加盖电子公章）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bookmarkStart w:id="33" w:name="_Toc83_WPSOffice_Level1"/>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bookmarkEnd w:id="33"/>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spacing w:line="360" w:lineRule="auto"/>
        <w:shd w:val="clear" w:color="auto" w:fill="ffffff"/>
        <w:widowControl/>
        <w:rPr>
          <w:rFonts w:ascii="Arial" w:hAnsi="Arial" w:cs="Arial"/>
          <w:b/>
          <w:bCs/>
          <w:szCs w:val="21"/>
        </w:rPr>
      </w:pPr>
      <w:r/>
      <w:bookmarkStart w:id="34" w:name="_Toc17494_WPSOffice_Level2"/>
      <w:r/>
      <w:bookmarkStart w:id="35" w:name="_Toc26810"/>
      <w:r>
        <w:rPr>
          <w:rFonts w:hint="eastAsia" w:ascii="Arial" w:hAnsi="Arial" w:cs="Arial"/>
          <w:b/>
          <w:bCs/>
          <w:szCs w:val="21"/>
        </w:rPr>
        <w:t xml:space="preserve">法人授权书</w:t>
      </w:r>
      <w:bookmarkEnd w:id="34"/>
      <w:r/>
      <w:r/>
    </w:p>
    <w:p>
      <w:pPr>
        <w:pStyle w:val="1210"/>
        <w:ind w:firstLine="480"/>
        <w:spacing w:line="420" w:lineRule="exact"/>
        <w:tabs>
          <w:tab w:val="left" w:pos="360" w:leader="none"/>
        </w:tabs>
        <w:rPr>
          <w:sz w:val="24"/>
          <w:szCs w:val="24"/>
          <w:lang w:eastAsia="zh-CN"/>
        </w:rPr>
      </w:pPr>
      <w:r>
        <w:rPr>
          <w:sz w:val="24"/>
          <w:szCs w:val="24"/>
          <w:lang w:eastAsia="zh-CN"/>
        </w:rPr>
      </w:r>
      <w:r/>
    </w:p>
    <w:p>
      <w:pPr>
        <w:pStyle w:val="1210"/>
        <w:ind w:firstLine="480"/>
        <w:spacing w:line="480" w:lineRule="exact"/>
        <w:tabs>
          <w:tab w:val="left" w:pos="360" w:leader="none"/>
        </w:tabs>
        <w:rPr>
          <w:sz w:val="24"/>
          <w:szCs w:val="24"/>
          <w:lang w:eastAsia="zh-CN"/>
        </w:rPr>
      </w:pPr>
      <w:r>
        <w:rPr>
          <w:rFonts w:hint="eastAsia"/>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210"/>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210"/>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210"/>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210"/>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210"/>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pStyle w:val="1210"/>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36" w:name="_格式3__银行出具的资信证明"/>
      <w:r/>
      <w:bookmarkEnd w:id="36"/>
      <w:r/>
      <w:bookmarkStart w:id="37" w:name="_Hlt26671380"/>
      <w:r/>
      <w:bookmarkEnd w:id="37"/>
      <w:r/>
      <w:bookmarkStart w:id="38" w:name="_Hlt26955070"/>
      <w:r/>
      <w:bookmarkEnd w:id="38"/>
      <w:r/>
      <w:r/>
    </w:p>
    <w:p>
      <w:pPr>
        <w:rPr>
          <w:rFonts w:ascii="Arial" w:hAnsi="Arial" w:cs="Arial"/>
          <w:b/>
          <w:bCs/>
          <w:lang w:val="zh-CN"/>
        </w:rPr>
      </w:pPr>
      <w:r>
        <w:rPr>
          <w:rFonts w:ascii="Arial" w:hAnsi="Arial" w:cs="Arial"/>
          <w:b/>
          <w:bCs/>
          <w:szCs w:val="21"/>
          <w:lang w:val="zh-CN"/>
        </w:rPr>
        <w:br w:type="page" w:clear="all"/>
      </w:r>
      <w:bookmarkEnd w:id="35"/>
      <w:r/>
      <w:bookmarkStart w:id="39" w:name="_Toc12264"/>
      <w:r/>
      <w:r/>
    </w:p>
    <w:p>
      <w:pPr>
        <w:jc w:val="center"/>
        <w:rPr>
          <w:rFonts w:ascii="Arial" w:hAnsi="Arial" w:cs="Arial"/>
          <w:b/>
          <w:sz w:val="36"/>
          <w:szCs w:val="36"/>
        </w:rPr>
      </w:pPr>
      <w:r/>
      <w:bookmarkStart w:id="40" w:name="_Toc30324_WPSOffice_Level2"/>
      <w:r>
        <w:rPr>
          <w:rFonts w:ascii="Arial" w:hAnsi="Arial" w:cs="Arial"/>
          <w:b/>
          <w:sz w:val="36"/>
          <w:szCs w:val="36"/>
        </w:rPr>
        <w:t xml:space="preserve">开标一览表</w:t>
      </w:r>
      <w:bookmarkEnd w:id="40"/>
      <w:r/>
      <w:r/>
    </w:p>
    <w:p>
      <w:pPr>
        <w:spacing w:line="360" w:lineRule="auto"/>
        <w:shd w:val="clear" w:color="auto" w:fill="ffffff"/>
        <w:widowControl/>
        <w:rPr>
          <w:rFonts w:ascii="Arial" w:hAnsi="Arial" w:cs="Arial"/>
          <w:lang w:val="zh-CN"/>
        </w:rPr>
      </w:pPr>
      <w:r>
        <w:rPr>
          <w:rFonts w:hint="eastAsia" w:ascii="Arial" w:hAnsi="Arial" w:cs="Arial"/>
          <w:lang w:val="zh-CN"/>
        </w:rPr>
        <w:t xml:space="preserve">投标人全称（CA公章）：供应商名称 </w:t>
      </w:r>
      <w:r/>
    </w:p>
    <w:p>
      <w:pPr>
        <w:spacing w:line="360" w:lineRule="auto"/>
        <w:shd w:val="clear" w:color="auto" w:fill="ffffff"/>
        <w:widowControl/>
        <w:rPr>
          <w:rFonts w:ascii="Arial" w:hAnsi="Arial" w:cs="Arial"/>
          <w:lang w:val="zh-CN"/>
        </w:rPr>
      </w:pPr>
      <w:r>
        <w:rPr>
          <w:rFonts w:hint="eastAsia" w:ascii="Arial" w:hAnsi="Arial" w:cs="Arial"/>
          <w:lang w:val="zh-CN"/>
        </w:rPr>
        <w:t xml:space="preserve">项目名称： </w:t>
      </w:r>
      <w:r/>
    </w:p>
    <w:p>
      <w:pPr>
        <w:spacing w:line="360" w:lineRule="auto"/>
        <w:shd w:val="clear" w:color="auto" w:fill="ffffff"/>
        <w:widowControl/>
        <w:rPr>
          <w:rFonts w:hint="eastAsia" w:ascii="宋体" w:hAnsi="宋体" w:cs="宋体"/>
          <w:sz w:val="24"/>
        </w:rPr>
      </w:pPr>
      <w:r>
        <w:rPr>
          <w:rFonts w:ascii="宋体" w:hAnsi="宋体" w:cs="宋体"/>
          <w:sz w:val="24"/>
        </w:rPr>
        <w:t xml:space="preserve">项目编号：</w:t>
      </w:r>
      <w:r/>
    </w:p>
    <w:p>
      <w:pPr>
        <w:pStyle w:val="915"/>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915"/>
        <w:ind w:firstLine="0"/>
        <w:rPr>
          <w:rFonts w:ascii="Arial" w:hAnsi="Arial" w:cs="Arial"/>
          <w:lang w:val="zh-CN"/>
        </w:rPr>
      </w:pPr>
      <w:r>
        <w:rPr>
          <w:rFonts w:ascii="Arial" w:hAnsi="Arial" w:cs="Arial"/>
          <w:lang w:val="zh-CN"/>
        </w:rPr>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textDirection w:val="lrTb"/>
            <w:noWrap w:val="false"/>
          </w:tcPr>
          <w:p>
            <w:pPr>
              <w:pStyle w:val="915"/>
              <w:rPr>
                <w:rFonts w:ascii="Arial" w:hAnsi="Arial" w:cs="Arial"/>
                <w:lang w:val="zh-CN"/>
              </w:rPr>
            </w:pPr>
            <w:r>
              <w:rPr>
                <w:rFonts w:ascii="宋体" w:hAnsi="宋体" w:cs="宋体"/>
                <w:sz w:val="24"/>
                <w:szCs w:val="24"/>
              </w:rPr>
              <w:t xml:space="preserve">投标项目名称</w:t>
            </w:r>
            <w:r/>
          </w:p>
        </w:tc>
        <w:tc>
          <w:tcPr>
            <w:tcW w:w="4361" w:type="dxa"/>
            <w:textDirection w:val="lrTb"/>
            <w:noWrap w:val="false"/>
          </w:tcPr>
          <w:p>
            <w:pPr>
              <w:pStyle w:val="915"/>
              <w:rPr>
                <w:rFonts w:ascii="Arial" w:hAnsi="Arial" w:cs="Arial"/>
              </w:rPr>
            </w:pPr>
            <w:r>
              <w:rPr>
                <w:rFonts w:hint="eastAsia" w:ascii="宋体" w:hAnsi="宋体" w:cs="宋体"/>
                <w:sz w:val="24"/>
                <w:szCs w:val="24"/>
              </w:rPr>
              <w:t xml:space="preserve">总报价</w:t>
            </w:r>
            <w:r/>
          </w:p>
        </w:tc>
      </w:tr>
      <w:tr>
        <w:trPr/>
        <w:tc>
          <w:tcPr>
            <w:tcW w:w="4361" w:type="dxa"/>
            <w:textDirection w:val="lrTb"/>
            <w:noWrap w:val="false"/>
          </w:tcPr>
          <w:p>
            <w:pPr>
              <w:pStyle w:val="915"/>
              <w:rPr>
                <w:rFonts w:ascii="Arial" w:hAnsi="Arial" w:cs="Arial"/>
                <w:lang w:val="zh-CN"/>
              </w:rPr>
            </w:pPr>
            <w:r>
              <w:rPr>
                <w:rFonts w:ascii="宋体" w:hAnsi="宋体" w:cs="宋体"/>
                <w:sz w:val="24"/>
                <w:szCs w:val="24"/>
              </w:rPr>
              <w:t xml:space="preserve">投标项目名称</w:t>
            </w:r>
            <w:r/>
          </w:p>
        </w:tc>
        <w:tc>
          <w:tcPr>
            <w:tcW w:w="4361" w:type="dxa"/>
            <w:textDirection w:val="lrTb"/>
            <w:noWrap w:val="false"/>
          </w:tcPr>
          <w:p>
            <w:pPr>
              <w:pStyle w:val="915"/>
              <w:rPr>
                <w:rFonts w:ascii="Arial" w:hAnsi="Arial" w:cs="Arial"/>
                <w:lang w:val="zh-CN"/>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17" name="任意多边形: 形状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bodyPr rot="0">
                              <a:prstTxWarp prst="textNoShape">
                                <a:avLst/>
                              </a:prstTxWarp>
                              <a:noAutofit/>
                            </wps:bodyPr>
                          </wps:wsp>
                        </a:graphicData>
                      </a:graphic>
                    </wp:anchor>
                  </w:drawing>
                </mc:Choice>
                <mc:Fallback>
                  <w:pict>
                    <v:shape id="shape 16" o:spid="_x0000_s16" o:spt="1" type="#_x0000_t1" style="position:absolute;z-index:251662336;o:allowoverlap:true;o:allowincell:false;mso-position-horizontal-relative:text;margin-left:0.0pt;mso-position-horizontal:absolute;mso-position-vertical-relative:text;margin-top:0.0pt;mso-position-vertical:absolute;width:144.0pt;height:144.0pt;mso-wrap-distance-left:9.0pt;mso-wrap-distance-top:0.0pt;mso-wrap-distance-right:9.0pt;mso-wrap-distance-bottom:0.0pt;visibility:visible;" filled="f" stroked="f"/>
                  </w:pict>
                </mc:Fallback>
              </mc:AlternateContent>
            </w:r>
            <w:r>
              <w:rPr>
                <w:rFonts w:ascii="宋体" w:hAnsi="宋体" w:cs="宋体"/>
                <w:sz w:val="24"/>
                <w:szCs w:val="24"/>
              </w:rPr>
              <w:t xml:space="preserve"> </w:t>
            </w:r>
            <w:r>
              <w:rPr>
                <w:rFonts w:hint="eastAsia" w:ascii="宋体" w:hAnsi="宋体" w:cs="宋体"/>
                <w:sz w:val="24"/>
                <w:szCs w:val="24"/>
              </w:rPr>
              <w:t xml:space="preserve">元</w:t>
            </w:r>
            <w:r/>
          </w:p>
        </w:tc>
      </w:tr>
    </w:tbl>
    <w:p>
      <w:pPr>
        <w:pStyle w:val="915"/>
        <w:ind w:firstLine="0"/>
        <w:rPr>
          <w:rFonts w:ascii="Arial" w:hAnsi="Arial" w:cs="Arial"/>
          <w:lang w:val="zh-CN"/>
        </w:rPr>
      </w:pPr>
      <w:r>
        <w:rPr>
          <w:rFonts w:ascii="Arial" w:hAnsi="Arial" w:cs="Arial"/>
          <w:lang w:val="zh-CN"/>
        </w:rPr>
      </w:r>
      <w:r/>
    </w:p>
    <w:p>
      <w:pPr>
        <w:ind w:firstLine="2100"/>
        <w:jc w:val="right"/>
        <w:spacing w:line="360" w:lineRule="auto"/>
        <w:shd w:val="clear" w:color="auto" w:fill="ffffff"/>
        <w:widowControl/>
        <w:rPr>
          <w:rFonts w:ascii="Arial" w:hAnsi="Arial" w:cs="Arial"/>
          <w:szCs w:val="21"/>
        </w:rPr>
      </w:pPr>
      <w:r>
        <w:rPr>
          <w:rFonts w:hint="eastAsia" w:ascii="Arial" w:hAnsi="Arial" w:cs="Arial"/>
          <w:szCs w:val="21"/>
        </w:rPr>
        <w:t xml:space="preserve">年月日</w:t>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outlineLvl w:val="1"/>
      </w:pPr>
      <w:r/>
      <w:bookmarkStart w:id="41" w:name="_Toc2695"/>
      <w:r/>
      <w:bookmarkStart w:id="42" w:name="_Toc10701"/>
      <w:r/>
      <w:bookmarkStart w:id="43" w:name="_Toc21284"/>
      <w:r>
        <w:rPr>
          <w:rFonts w:ascii="Arial" w:hAnsi="Arial" w:cs="Arial"/>
          <w:b/>
          <w:bCs/>
          <w:szCs w:val="21"/>
          <w:lang w:val="zh-CN"/>
        </w:rPr>
        <w:t xml:space="preserve">附件</w:t>
      </w:r>
      <w:r>
        <w:rPr>
          <w:rFonts w:hint="eastAsia" w:ascii="Arial" w:hAnsi="Arial" w:cs="Arial"/>
          <w:b/>
          <w:bCs/>
          <w:szCs w:val="21"/>
        </w:rPr>
        <w:t xml:space="preserve">四</w:t>
      </w:r>
      <w:r>
        <w:rPr>
          <w:rFonts w:ascii="Arial" w:hAnsi="Arial" w:cs="Arial"/>
          <w:b/>
          <w:bCs/>
          <w:szCs w:val="21"/>
          <w:lang w:val="zh-CN"/>
        </w:rPr>
        <w:t xml:space="preserve">、分项报价表格式</w:t>
      </w:r>
      <w:bookmarkEnd w:id="41"/>
      <w:r/>
      <w:bookmarkEnd w:id="42"/>
      <w:r/>
      <w:bookmarkEnd w:id="43"/>
      <w:r/>
      <w:r/>
    </w:p>
    <w:p>
      <w:pPr>
        <w:jc w:val="center"/>
        <w:spacing w:line="360" w:lineRule="auto"/>
        <w:shd w:val="clear" w:color="auto" w:fill="ffffff"/>
        <w:widowControl/>
        <w:rPr>
          <w:rFonts w:ascii="Arial" w:hAnsi="Arial" w:cs="Arial"/>
          <w:b/>
          <w:sz w:val="36"/>
          <w:szCs w:val="36"/>
        </w:rPr>
      </w:pPr>
      <w:r/>
      <w:bookmarkStart w:id="44" w:name="_Toc1959_WPSOffice_Level2"/>
      <w:r>
        <w:rPr>
          <w:rFonts w:ascii="Arial" w:hAnsi="Arial" w:cs="Arial"/>
          <w:b/>
          <w:sz w:val="36"/>
          <w:szCs w:val="36"/>
        </w:rPr>
        <w:t xml:space="preserve">分项报价表</w:t>
      </w:r>
      <w:bookmarkEnd w:id="44"/>
      <w:r/>
      <w:r/>
    </w:p>
    <w:p>
      <w:pPr>
        <w:pStyle w:val="926"/>
        <w:ind w:firstLine="0"/>
        <w:rPr>
          <w:rFonts w:ascii="Arial" w:hAnsi="Arial" w:cs="Arial"/>
        </w:rPr>
      </w:pPr>
      <w:r>
        <w:rPr>
          <w:rFonts w:ascii="Arial" w:hAnsi="Arial" w:cs="Arial"/>
        </w:rPr>
      </w:r>
      <w:r/>
    </w:p>
    <w:p>
      <w:pPr>
        <w:jc w:val="center"/>
        <w:spacing w:line="360" w:lineRule="auto"/>
        <w:shd w:val="clear" w:color="auto" w:fill="ffffff"/>
        <w:widowControl/>
        <w:rPr>
          <w:rFonts w:ascii="Arial" w:hAnsi="Arial" w:cs="Arial"/>
          <w:szCs w:val="21"/>
        </w:rPr>
      </w:pPr>
      <w:r>
        <w:rPr>
          <w:rFonts w:hint="eastAsia" w:ascii="Arial" w:hAnsi="Arial" w:cs="Arial"/>
          <w:szCs w:val="21"/>
        </w:rPr>
        <w:t xml:space="preserve">（根据采购需求格式自拟）</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szCs w:val="21"/>
        </w:rPr>
      </w:pPr>
      <w:r>
        <w:rPr>
          <w:rFonts w:ascii="Arial" w:hAnsi="Arial" w:cs="Arial"/>
          <w:szCs w:val="21"/>
        </w:rPr>
        <w:br w:type="page" w:clear="all"/>
      </w:r>
      <w:bookmarkEnd w:id="39"/>
      <w:r/>
    </w:p>
    <w:p>
      <w:pPr>
        <w:pStyle w:val="926"/>
        <w:jc w:val="right"/>
        <w:rPr>
          <w:rFonts w:ascii="Arial" w:hAnsi="Arial" w:cs="Arial"/>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rPr>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bookmarkStart w:id="45" w:name="_Toc31381_WPSOffice_Level2"/>
      <w:r>
        <w:rPr>
          <w:rFonts w:hint="eastAsia" w:ascii="Arial" w:hAnsi="Arial" w:cs="Arial"/>
          <w:b/>
          <w:sz w:val="36"/>
          <w:szCs w:val="36"/>
        </w:rPr>
        <w:t xml:space="preserve">采购需求偏离表</w:t>
      </w:r>
      <w:bookmarkEnd w:id="45"/>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63"/>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b/>
          <w:bCs/>
          <w:szCs w:val="21"/>
        </w:rPr>
        <w:br w:type="page" w:clear="all"/>
      </w:r>
      <w:bookmarkStart w:id="46" w:name="_Toc19798_WPSOffice_Level1"/>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bookmarkEnd w:id="46"/>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bookmarkStart w:id="47" w:name="_Toc11233_WPSOffice_Level2"/>
      <w:r>
        <w:rPr>
          <w:rFonts w:hint="eastAsia" w:ascii="Arial" w:hAnsi="Arial" w:cs="Arial"/>
          <w:b/>
          <w:sz w:val="36"/>
          <w:szCs w:val="36"/>
        </w:rPr>
        <w:t xml:space="preserve">商务</w:t>
      </w:r>
      <w:r>
        <w:rPr>
          <w:rFonts w:ascii="Arial" w:hAnsi="Arial" w:cs="Arial"/>
          <w:b/>
          <w:sz w:val="36"/>
          <w:szCs w:val="36"/>
        </w:rPr>
        <w:t xml:space="preserve">条款偏离表</w:t>
      </w:r>
      <w:bookmarkEnd w:id="47"/>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63"/>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lang w:val="zh-CN"/>
        </w:rPr>
      </w:pPr>
      <w:r>
        <w:rPr>
          <w:rFonts w:ascii="Arial" w:hAnsi="Arial" w:cs="Arial"/>
          <w:b/>
          <w:bCs/>
          <w:szCs w:val="21"/>
        </w:rPr>
        <w:br w:type="page" w:clear="all"/>
      </w:r>
      <w:bookmarkStart w:id="48" w:name="_Toc21542_WPSOffice_Level1"/>
      <w:r>
        <w:rPr>
          <w:rFonts w:ascii="Arial" w:hAnsi="Arial" w:cs="Arial"/>
          <w:b/>
          <w:bCs/>
          <w:szCs w:val="21"/>
        </w:rPr>
        <w:t xml:space="preserve">附件</w:t>
      </w:r>
      <w:r>
        <w:rPr>
          <w:rFonts w:hint="eastAsia" w:ascii="Arial" w:hAnsi="Arial" w:cs="Arial"/>
          <w:b/>
          <w:bCs/>
          <w:szCs w:val="21"/>
        </w:rPr>
        <w:t xml:space="preserve">六</w:t>
      </w:r>
      <w:r>
        <w:rPr>
          <w:rFonts w:ascii="Arial" w:hAnsi="Arial" w:cs="Arial"/>
          <w:b/>
          <w:bCs/>
          <w:szCs w:val="21"/>
        </w:rPr>
        <w:t xml:space="preserve">、</w:t>
      </w:r>
      <w:bookmarkEnd w:id="48"/>
      <w:r>
        <w:rPr>
          <w:rFonts w:ascii="Arial" w:hAnsi="Arial" w:cs="Arial"/>
          <w:b/>
          <w:bCs/>
          <w:szCs w:val="21"/>
        </w:rPr>
        <w:t xml:space="preserve">投标人自行编写的技术文件</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185"/>
        <w:ind w:firstLine="420"/>
        <w:spacing w:before="0" w:after="0"/>
        <w:rPr>
          <w:rFonts w:cs="Arial"/>
          <w:sz w:val="21"/>
          <w:szCs w:val="21"/>
        </w:rPr>
      </w:pPr>
      <w:r>
        <w:rPr>
          <w:rFonts w:cs="Arial"/>
          <w:sz w:val="21"/>
          <w:szCs w:val="21"/>
        </w:rPr>
      </w:r>
      <w:r/>
    </w:p>
    <w:p>
      <w:pPr>
        <w:pStyle w:val="871"/>
      </w:pPr>
      <w:r/>
      <w:r/>
    </w:p>
    <w:p>
      <w:pPr>
        <w:pStyle w:val="915"/>
      </w:p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bookmarkStart w:id="49" w:name="_Toc14221_WPSOffice_Level1"/>
      <w:r>
        <w:rPr>
          <w:rFonts w:ascii="Arial" w:hAnsi="Arial" w:cs="Arial"/>
          <w:b/>
          <w:bCs/>
          <w:sz w:val="24"/>
        </w:rPr>
        <w:t xml:space="preserve">附件</w:t>
      </w:r>
      <w:r>
        <w:rPr>
          <w:rFonts w:hint="eastAsia" w:ascii="Arial" w:hAnsi="Arial" w:cs="Arial"/>
          <w:b/>
          <w:bCs/>
          <w:sz w:val="24"/>
        </w:rPr>
        <w:t xml:space="preserve">七</w:t>
      </w:r>
      <w:r>
        <w:rPr>
          <w:rFonts w:ascii="Arial" w:hAnsi="Arial" w:cs="Arial"/>
          <w:b/>
          <w:bCs/>
          <w:sz w:val="24"/>
        </w:rPr>
        <w:t xml:space="preserve">、拟参与本项目服务人员一览表</w:t>
      </w:r>
      <w:bookmarkEnd w:id="49"/>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bookmarkStart w:id="50" w:name="_Toc4394_WPSOffice_Level2"/>
      <w:r>
        <w:rPr>
          <w:rFonts w:ascii="Arial" w:hAnsi="Arial" w:cs="Arial"/>
          <w:b/>
          <w:bCs/>
          <w:sz w:val="24"/>
        </w:rPr>
        <w:t xml:space="preserve">拟参与本项目服务人员一览表</w:t>
      </w:r>
      <w:bookmarkEnd w:id="50"/>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                                 项目编号：</w:t>
      </w:r>
      <w:r/>
    </w:p>
    <w:tbl>
      <w:tblPr>
        <w:tblStyle w:val="86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bookmarkStart w:id="51" w:name="_Toc10822_WPSOffice_Level1"/>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 投标人类似业绩情况表</w:t>
      </w:r>
      <w:bookmarkEnd w:id="51"/>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bookmarkStart w:id="52" w:name="_Toc15731_WPSOffice_Level2"/>
      <w:r>
        <w:rPr>
          <w:rFonts w:ascii="Arial" w:hAnsi="Arial" w:cs="Arial"/>
          <w:b/>
          <w:bCs/>
          <w:sz w:val="24"/>
        </w:rPr>
        <w:t xml:space="preserve">投标人类似业绩情况表</w:t>
      </w:r>
      <w:bookmarkEnd w:id="52"/>
      <w:r/>
      <w:r/>
    </w:p>
    <w:tbl>
      <w:tblPr>
        <w:tblStyle w:val="863"/>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w:t>
            </w:r>
            <w:r/>
          </w:p>
          <w:p>
            <w:pPr>
              <w:jc w:val="center"/>
              <w:spacing w:line="400" w:lineRule="atLeast"/>
              <w:widowControl/>
              <w:rPr>
                <w:rFonts w:ascii="Arial" w:hAnsi="Arial" w:cs="Arial"/>
                <w:szCs w:val="21"/>
              </w:rPr>
            </w:pPr>
            <w:r>
              <w:rPr>
                <w:rFonts w:ascii="Arial" w:hAnsi="Arial" w:cs="Arial"/>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spacing w:line="360" w:lineRule="auto"/>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spacing w:line="360" w:lineRule="auto"/>
        <w:rPr>
          <w:rFonts w:ascii="Arial" w:hAnsi="Arial" w:cs="Arial"/>
        </w:rPr>
      </w:pPr>
      <w:r>
        <w:rPr>
          <w:rFonts w:ascii="Arial" w:hAnsi="Arial" w:cs="Arial"/>
        </w:rPr>
      </w:r>
      <w:r/>
    </w:p>
    <w:p>
      <w:pPr>
        <w:spacing w:line="360" w:lineRule="auto"/>
        <w:rPr>
          <w:rFonts w:ascii="Arial" w:hAnsi="Arial" w:cs="Arial"/>
          <w:b/>
          <w:bCs/>
        </w:rPr>
      </w:pPr>
      <w:r>
        <w:rPr>
          <w:rFonts w:ascii="Arial" w:hAnsi="Arial" w:cs="Arial"/>
          <w:b/>
        </w:rPr>
        <w:br w:type="page" w:clear="all"/>
      </w:r>
      <w:bookmarkStart w:id="53" w:name="_Toc11780_WPSOffice_Level1"/>
      <w:r>
        <w:rPr>
          <w:rFonts w:ascii="Arial" w:hAnsi="Arial" w:cs="Arial"/>
          <w:b/>
        </w:rPr>
        <w:t xml:space="preserve">附件</w:t>
      </w:r>
      <w:r>
        <w:rPr>
          <w:rFonts w:hint="eastAsia" w:ascii="Arial" w:hAnsi="Arial" w:cs="Arial"/>
          <w:b/>
        </w:rPr>
        <w:t xml:space="preserve">九</w:t>
      </w:r>
      <w:r>
        <w:rPr>
          <w:rFonts w:ascii="Arial" w:hAnsi="Arial" w:cs="Arial"/>
          <w:b/>
          <w:bCs/>
        </w:rPr>
        <w:t xml:space="preserve">：企业声明函格式</w:t>
      </w:r>
      <w:bookmarkEnd w:id="53"/>
      <w:r/>
      <w:r/>
    </w:p>
    <w:p>
      <w:pPr>
        <w:jc w:val="center"/>
        <w:spacing w:line="360" w:lineRule="auto"/>
        <w:rPr>
          <w:rFonts w:ascii="Arial" w:hAnsi="Arial" w:cs="Arial"/>
          <w:b/>
          <w:bCs/>
          <w:sz w:val="28"/>
        </w:rPr>
      </w:pPr>
      <w:r/>
      <w:bookmarkStart w:id="54" w:name="OLE_LINK13"/>
      <w:r/>
      <w:bookmarkStart w:id="55" w:name="OLE_LINK14"/>
      <w:r/>
      <w:r/>
    </w:p>
    <w:p>
      <w:pPr>
        <w:jc w:val="center"/>
        <w:spacing w:before="313" w:line="480" w:lineRule="auto"/>
        <w:rPr>
          <w:rFonts w:ascii="Arial" w:hAnsi="Arial" w:cs="Arial"/>
          <w:b/>
          <w:bCs/>
          <w:sz w:val="28"/>
          <w:szCs w:val="28"/>
        </w:rPr>
      </w:pPr>
      <w:r/>
      <w:bookmarkStart w:id="56" w:name="OLE_LINK2"/>
      <w:r>
        <w:rPr>
          <w:rFonts w:hint="eastAsia" w:ascii="宋体" w:hAnsi="宋体" w:cs="Arial"/>
          <w:b/>
          <w:bCs/>
          <w:sz w:val="28"/>
          <w:szCs w:val="28"/>
        </w:rPr>
        <w:t xml:space="preserve">中小企业声明函（货物）</w:t>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w:t>
      </w:r>
      <w:r>
        <w:rPr>
          <w:rFonts w:hint="eastAsia" w:ascii="Arial" w:hAnsi="Arial" w:cs="Arial"/>
        </w:rPr>
        <w:t xml:space="preserve">,</w:t>
      </w:r>
      <w:r>
        <w:rPr>
          <w:rFonts w:hint="eastAsia" w:ascii="宋体" w:hAnsi="宋体" w:cs="Arial"/>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rPr>
      </w:pPr>
      <w:r>
        <w:rPr>
          <w:rFonts w:hint="eastAsia" w:ascii="Arial" w:hAnsi="Arial" w:cs="Arial"/>
        </w:rPr>
        <w:t xml:space="preserve">1.</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w:t>
      </w:r>
      <w:r>
        <w:rPr>
          <w:rFonts w:hint="eastAsia" w:ascii="Arial" w:hAnsi="Arial" w:cs="Arial"/>
        </w:rPr>
        <w:t xml:space="preserve">;</w:t>
      </w:r>
      <w:r>
        <w:rPr>
          <w:rFonts w:hint="eastAsia" w:ascii="宋体" w:hAnsi="宋体" w:cs="Arial"/>
        </w:rPr>
        <w:t xml:space="preserve">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rPr>
        <w:t xml:space="preserve">—万元，资产总额为</w:t>
      </w:r>
      <w:r>
        <w:rPr>
          <w:rFonts w:hint="eastAsia" w:ascii="Arial" w:hAnsi="Arial" w:cs="Arial"/>
          <w:u w:val="single"/>
        </w:rPr>
        <w:tab/>
      </w:r>
      <w:r>
        <w:rPr>
          <w:rFonts w:hint="eastAsia" w:ascii="宋体" w:hAnsi="宋体" w:cs="Arial"/>
          <w:u w:val="single"/>
        </w:rPr>
        <w:t xml:space="preserve">万</w:t>
      </w:r>
      <w:r>
        <w:rPr>
          <w:rFonts w:hint="eastAsia" w:ascii="宋体" w:hAnsi="宋体" w:cs="Arial"/>
        </w:rPr>
        <w:t xml:space="preserve">元</w:t>
      </w:r>
      <w:r>
        <w:rPr>
          <w:rFonts w:hint="eastAsia" w:ascii="Arial" w:hAnsi="Arial" w:cs="Arial"/>
        </w:rPr>
        <w:t xml:space="preserve">，</w:t>
      </w:r>
      <w:r>
        <w:rPr>
          <w:rFonts w:hint="eastAsia" w:ascii="宋体" w:hAnsi="宋体" w:cs="Arial"/>
        </w:rPr>
        <w:t xml:space="preserve">属于（中型企业、小型企业、微型企业）；</w:t>
      </w:r>
      <w:r/>
    </w:p>
    <w:p>
      <w:pPr>
        <w:ind w:firstLine="420"/>
        <w:jc w:val="left"/>
        <w:spacing w:line="440" w:lineRule="exact"/>
        <w:widowControl/>
        <w:rPr>
          <w:rFonts w:ascii="Arial" w:hAnsi="Arial" w:cs="Arial"/>
        </w:rPr>
      </w:pPr>
      <w:r>
        <w:rPr>
          <w:rFonts w:hint="eastAsia" w:ascii="Arial" w:hAnsi="Arial" w:cs="Arial"/>
        </w:rPr>
        <w:t xml:space="preserve">2.</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420"/>
        <w:jc w:val="right"/>
        <w:spacing w:line="440" w:lineRule="exact"/>
        <w:widowControl/>
        <w:rPr>
          <w:rFonts w:ascii="Arial" w:hAnsi="Arial" w:cs="Arial"/>
        </w:rPr>
      </w:pPr>
      <w:r>
        <w:rPr>
          <w:rFonts w:ascii="Arial" w:hAnsi="Arial" w:cs="Arial"/>
        </w:rPr>
      </w:r>
      <w:r/>
    </w:p>
    <w:p>
      <w:pPr>
        <w:jc w:val="center"/>
        <w:spacing w:line="360" w:lineRule="auto"/>
        <w:rPr>
          <w:rFonts w:ascii="Arial" w:hAnsi="Arial" w:cs="Arial"/>
          <w:b/>
          <w:bCs/>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rPr>
        <w:t xml:space="preserve">                                                   日期：</w:t>
      </w:r>
      <w:r/>
    </w:p>
    <w:p>
      <w:pPr>
        <w:jc w:val="center"/>
        <w:spacing w:line="360" w:lineRule="auto"/>
        <w:rPr>
          <w:rFonts w:ascii="Arial" w:hAnsi="Arial" w:cs="Arial"/>
          <w:b/>
          <w:bCs/>
          <w:sz w:val="28"/>
        </w:rPr>
      </w:pPr>
      <w:r/>
      <w:bookmarkStart w:id="57" w:name="_Toc9692_WPSOffice_Level2"/>
      <w:r>
        <w:rPr>
          <w:rFonts w:ascii="Arial" w:hAnsi="Arial" w:cs="Arial"/>
          <w:b/>
          <w:bCs/>
          <w:sz w:val="28"/>
        </w:rPr>
        <w:t xml:space="preserve">残疾人福利性单位声明函</w:t>
      </w:r>
      <w:bookmarkEnd w:id="54"/>
      <w:r/>
      <w:bookmarkEnd w:id="55"/>
      <w:r/>
      <w:bookmarkEnd w:id="57"/>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040"/>
        <w:jc w:val="left"/>
        <w:spacing w:line="440" w:lineRule="exact"/>
        <w:widowControl/>
        <w:rPr>
          <w:rFonts w:ascii="Arial" w:hAnsi="Arial" w:cs="Arial"/>
          <w:szCs w:val="21"/>
        </w:rPr>
      </w:pPr>
      <w:r>
        <w:rPr>
          <w:rFonts w:ascii="Arial" w:hAnsi="Arial" w:cs="Arial"/>
          <w:szCs w:val="21"/>
        </w:rPr>
      </w:r>
      <w:r/>
    </w:p>
    <w:p>
      <w:pPr>
        <w:ind w:firstLine="5040"/>
        <w:jc w:val="left"/>
        <w:spacing w:line="440" w:lineRule="exact"/>
        <w:widowControl/>
        <w:rPr>
          <w:rFonts w:ascii="Arial" w:hAnsi="Arial" w:cs="Arial"/>
          <w:szCs w:val="21"/>
        </w:rPr>
      </w:pPr>
      <w:r>
        <w:rPr>
          <w:rFonts w:ascii="Arial" w:hAnsi="Arial" w:cs="Arial"/>
          <w:szCs w:val="21"/>
        </w:rPr>
        <w:t xml:space="preserve">日  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bookmarkStart w:id="58" w:name="_Toc29930_WPSOffice_Level2"/>
      <w:r>
        <w:rPr>
          <w:rFonts w:ascii="Arial" w:hAnsi="Arial" w:cs="Arial"/>
          <w:b/>
          <w:bCs/>
          <w:sz w:val="28"/>
        </w:rPr>
        <w:t xml:space="preserve">属于监狱企业的证明文件</w:t>
      </w:r>
      <w:bookmarkEnd w:id="58"/>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59" w:name="_Toc27230_WPSOffice_Level2"/>
      <w:r>
        <w:rPr>
          <w:rFonts w:ascii="Arial" w:hAnsi="Arial" w:cs="Arial"/>
          <w:b/>
          <w:bCs/>
          <w:sz w:val="28"/>
        </w:rPr>
        <w:t xml:space="preserve">节能产品认证证书</w:t>
      </w:r>
      <w:bookmarkEnd w:id="59"/>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60" w:name="_Toc5659_WPSOffice_Level2"/>
      <w:r>
        <w:rPr>
          <w:rFonts w:ascii="Arial" w:hAnsi="Arial" w:cs="Arial"/>
          <w:b/>
          <w:bCs/>
          <w:sz w:val="28"/>
        </w:rPr>
        <w:t xml:space="preserve">环境标志产品认证证书</w:t>
      </w:r>
      <w:bookmarkEnd w:id="60"/>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pStyle w:val="915"/>
        <w:rPr>
          <w:rFonts w:ascii="Arial" w:hAnsi="Arial" w:cs="Arial"/>
          <w:bCs/>
        </w:rPr>
      </w:pPr>
      <w:r>
        <w:rPr>
          <w:rFonts w:ascii="Arial" w:hAnsi="Arial" w:cs="Arial"/>
          <w:bCs/>
        </w:rPr>
      </w:r>
      <w:r/>
    </w:p>
    <w:p>
      <w:pPr>
        <w:pStyle w:val="915"/>
        <w:rPr>
          <w:rFonts w:ascii="Arial" w:hAnsi="Arial" w:cs="Arial"/>
          <w:bCs/>
        </w:rPr>
      </w:pPr>
      <w:r>
        <w:rPr>
          <w:rFonts w:ascii="Arial" w:hAnsi="Arial" w:cs="Arial"/>
          <w:bCs/>
        </w:rPr>
      </w:r>
      <w:r/>
    </w:p>
    <w:p>
      <w:pPr>
        <w:pStyle w:val="915"/>
        <w:rPr>
          <w:rFonts w:ascii="Arial" w:hAnsi="Arial" w:cs="Arial"/>
          <w:bCs/>
        </w:rPr>
      </w:pPr>
      <w:r>
        <w:rPr>
          <w:rFonts w:ascii="Arial" w:hAnsi="Arial" w:cs="Arial"/>
          <w:bCs/>
        </w:rPr>
      </w:r>
      <w:r/>
    </w:p>
    <w:p>
      <w:pPr>
        <w:jc w:val="center"/>
        <w:spacing w:line="360" w:lineRule="auto"/>
        <w:rPr>
          <w:rFonts w:ascii="Arial" w:hAnsi="Arial" w:cs="Arial"/>
          <w:b/>
          <w:bCs/>
          <w:sz w:val="28"/>
        </w:rPr>
      </w:pPr>
      <w:r/>
      <w:bookmarkStart w:id="61" w:name="_Toc4803_WPSOffice_Level2"/>
      <w:r>
        <w:rPr>
          <w:rFonts w:ascii="Arial" w:hAnsi="Arial" w:cs="Arial"/>
          <w:b/>
          <w:bCs/>
          <w:sz w:val="28"/>
        </w:rPr>
        <w:t xml:space="preserve">进口产品转让技术、消化吸收再创新方案</w:t>
      </w:r>
      <w:bookmarkEnd w:id="61"/>
      <w:r/>
      <w:r/>
    </w:p>
    <w:p>
      <w:pPr>
        <w:spacing w:line="360" w:lineRule="auto"/>
        <w:rPr>
          <w:rFonts w:ascii="Arial" w:hAnsi="Arial" w:cs="Arial"/>
          <w:bCs/>
        </w:rPr>
      </w:pPr>
      <w:r>
        <w:rPr>
          <w:rFonts w:ascii="Arial" w:hAnsi="Arial" w:cs="Arial"/>
          <w:bCs/>
        </w:rPr>
        <w:t xml:space="preserve">（对于允许进口产品参加的项目）</w:t>
      </w:r>
      <w:bookmarkEnd w:id="56"/>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bookmarkStart w:id="62" w:name="_Toc14078_WPSOffice_Level1"/>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pStyle w:val="897"/>
        <w:jc w:val="center"/>
        <w:spacing w:before="24" w:beforeAutospacing="0" w:after="24" w:afterAutospacing="0" w:line="360" w:lineRule="auto"/>
        <w:shd w:val="clear" w:color="auto" w:fill="ffffff"/>
        <w:rPr>
          <w:rFonts w:ascii="Arial" w:hAnsi="Arial" w:cs="Arial"/>
          <w:b/>
          <w:bCs/>
          <w:sz w:val="28"/>
        </w:rPr>
      </w:pPr>
      <w:r>
        <w:rPr>
          <w:rFonts w:hint="eastAsia" w:ascii="Arial" w:hAnsi="Arial" w:cs="Arial"/>
          <w:b/>
          <w:bCs/>
          <w:sz w:val="28"/>
        </w:rPr>
        <w:t xml:space="preserve">关于符合本国产品标准的声明函</w:t>
      </w:r>
      <w:r/>
    </w:p>
    <w:p>
      <w:pPr>
        <w:pStyle w:val="897"/>
        <w:ind w:firstLine="420"/>
        <w:spacing w:beforeAutospacing="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beforeAutospacing="0" w:afterAutospacing="0"/>
        <w:shd w:val="clear" w:color="auto" w:fill="ffffff"/>
        <w:rPr>
          <w:rFonts w:hint="eastAsia"/>
          <w:color w:val="333333"/>
          <w:sz w:val="21"/>
          <w:szCs w:val="21"/>
        </w:rPr>
      </w:pPr>
      <w:r>
        <w:rPr>
          <w:rFonts w:hint="eastAsia"/>
          <w:color w:val="333333"/>
          <w:sz w:val="21"/>
          <w:szCs w:val="21"/>
          <w:shd w:val="clear" w:color="auto" w:fill="ffffff"/>
        </w:rPr>
        <w:t xml:space="preserve">1.</w:t>
      </w:r>
      <w:r>
        <w:rPr>
          <w:rStyle w:val="906"/>
          <w:rFonts w:hint="eastAsia"/>
          <w:color w:val="333333"/>
          <w:sz w:val="21"/>
          <w:szCs w:val="21"/>
          <w:shd w:val="clear" w:color="auto" w:fill="ffffff"/>
        </w:rPr>
        <w:t xml:space="preserve">（产品名称1）</w:t>
      </w:r>
      <w:r>
        <w:rPr>
          <w:rStyle w:val="906"/>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906"/>
          <w:rFonts w:hint="eastAsia"/>
          <w:color w:val="333333"/>
          <w:sz w:val="21"/>
          <w:szCs w:val="21"/>
          <w:shd w:val="clear" w:color="auto" w:fill="ffffff"/>
        </w:rPr>
        <w:t xml:space="preserve">（厂名）</w:t>
      </w:r>
      <w:r>
        <w:rPr>
          <w:rStyle w:val="906"/>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906"/>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0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906"/>
          <w:rFonts w:hint="eastAsia"/>
          <w:color w:val="333333"/>
          <w:sz w:val="21"/>
          <w:szCs w:val="21"/>
          <w:shd w:val="clear" w:color="auto" w:fill="ffffff"/>
        </w:rPr>
        <w:t xml:space="preserve">（规定比例）</w:t>
      </w:r>
      <w:r>
        <w:rPr>
          <w:rStyle w:val="906"/>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90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06"/>
          <w:rFonts w:hint="eastAsia"/>
          <w:color w:val="333333"/>
          <w:sz w:val="21"/>
          <w:szCs w:val="21"/>
          <w:shd w:val="clear" w:color="auto" w:fill="ffffff"/>
        </w:rPr>
        <w:t xml:space="preserve">（关键组件）</w:t>
      </w:r>
      <w:r>
        <w:rPr>
          <w:rStyle w:val="906"/>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90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06"/>
          <w:rFonts w:hint="eastAsia"/>
          <w:color w:val="333333"/>
          <w:sz w:val="21"/>
          <w:szCs w:val="21"/>
          <w:shd w:val="clear" w:color="auto" w:fill="ffffff"/>
        </w:rPr>
        <w:t xml:space="preserve">（关键工序）</w:t>
      </w:r>
      <w:r>
        <w:rPr>
          <w:rStyle w:val="906"/>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897"/>
        <w:ind w:firstLine="420"/>
        <w:spacing w:beforeAutospacing="0" w:afterAutospacing="0"/>
        <w:shd w:val="clear" w:color="auto" w:fill="ffffff"/>
        <w:rPr>
          <w:rFonts w:hint="eastAsia"/>
          <w:color w:val="333333"/>
          <w:sz w:val="21"/>
          <w:szCs w:val="21"/>
        </w:rPr>
      </w:pPr>
      <w:r>
        <w:rPr>
          <w:rFonts w:hint="eastAsia"/>
          <w:color w:val="333333"/>
          <w:sz w:val="21"/>
          <w:szCs w:val="21"/>
          <w:shd w:val="clear" w:color="auto" w:fill="ffffff"/>
        </w:rPr>
        <w:t xml:space="preserve">2.</w:t>
      </w:r>
      <w:r>
        <w:rPr>
          <w:rStyle w:val="90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906"/>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906"/>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0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906"/>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90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06"/>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90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06"/>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897"/>
        <w:ind w:firstLine="420"/>
        <w:spacing w:beforeAutospacing="0" w:afterAutospacing="0"/>
        <w:shd w:val="clear" w:color="auto" w:fill="ffffff"/>
        <w:rPr>
          <w:rFonts w:hint="eastAsia"/>
          <w:color w:val="333333"/>
          <w:sz w:val="21"/>
          <w:szCs w:val="21"/>
        </w:rPr>
      </w:pPr>
      <w:r>
        <w:rPr>
          <w:rFonts w:hint="eastAsia"/>
          <w:color w:val="333333"/>
          <w:sz w:val="21"/>
          <w:szCs w:val="21"/>
          <w:shd w:val="clear" w:color="auto" w:fill="ffffff"/>
        </w:rPr>
        <w:t xml:space="preserve">……</w:t>
      </w:r>
      <w:r/>
    </w:p>
    <w:p>
      <w:pPr>
        <w:pStyle w:val="897"/>
        <w:ind w:firstLine="420"/>
        <w:spacing w:beforeAutospacing="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897"/>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公司（单位）名称（盖章）：      </w:t>
      </w:r>
      <w:r/>
    </w:p>
    <w:p>
      <w:pPr>
        <w:pStyle w:val="897"/>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日期：　　　　　年　　月　日    </w:t>
      </w:r>
      <w:r/>
    </w:p>
    <w:p>
      <w:pPr>
        <w:pStyle w:val="897"/>
        <w:spacing w:beforeAutospacing="0" w:afterAutospacing="0"/>
        <w:shd w:val="clear" w:color="auto" w:fill="ffffff"/>
        <w:rPr>
          <w:rFonts w:hint="eastAsia"/>
          <w:color w:val="333333"/>
          <w:sz w:val="28"/>
          <w:szCs w:val="28"/>
        </w:rPr>
      </w:pPr>
      <w:r>
        <w:rPr>
          <w:rFonts w:hint="eastAsia"/>
          <w:color w:val="333333"/>
          <w:sz w:val="28"/>
          <w:szCs w:val="28"/>
          <w:shd w:val="clear" w:color="auto" w:fill="ffffff"/>
        </w:rPr>
        <w:t xml:space="preserve">_____________________________</w:t>
      </w:r>
      <w:r/>
    </w:p>
    <w:p>
      <w:pPr>
        <w:pStyle w:val="897"/>
        <w:ind w:firstLine="420"/>
        <w:spacing w:beforeAutospacing="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897"/>
        <w:ind w:firstLine="420"/>
        <w:spacing w:beforeAutospacing="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897"/>
        <w:ind w:firstLine="420"/>
        <w:spacing w:beforeAutospacing="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897"/>
        <w:ind w:firstLine="420"/>
        <w:spacing w:beforeAutospacing="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5.该产品的关键工序要求实施前，“关键工序”栏可不填，下同。</w:t>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附件十、无重大违法记录声明格式</w:t>
      </w:r>
      <w:bookmarkEnd w:id="62"/>
      <w:r/>
      <w:r/>
    </w:p>
    <w:p>
      <w:pPr>
        <w:rPr>
          <w:rFonts w:ascii="Arial" w:hAnsi="Arial" w:eastAsia="黑体" w:cs="Arial"/>
          <w:sz w:val="28"/>
          <w:szCs w:val="36"/>
        </w:rPr>
      </w:pPr>
      <w:r/>
      <w:bookmarkStart w:id="63" w:name="_Toc28833_WPSOffice_Level2"/>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bookmarkEnd w:id="63"/>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hint="eastAsia" w:ascii="Arial" w:hAnsi="Arial" w:cs="Arial"/>
          <w:szCs w:val="21"/>
        </w:rPr>
        <w:t xml:space="preserve">江苏万享通咨询有限公司</w:t>
      </w:r>
      <w:r>
        <w:rPr>
          <w:rFonts w:ascii="Arial" w:hAnsi="Arial" w:cs="Arial"/>
          <w:szCs w:val="21"/>
        </w:rPr>
        <w:t xml:space="preserve">：</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103"/>
        <w:spacing w:line="360" w:lineRule="auto"/>
        <w:rPr>
          <w:rFonts w:ascii="Arial" w:hAnsi="Arial" w:cs="Arial"/>
        </w:rPr>
      </w:pPr>
      <w:r>
        <w:rPr>
          <w:rFonts w:ascii="Arial" w:hAnsi="Arial" w:cs="Arial"/>
        </w:rPr>
      </w:r>
      <w:r/>
    </w:p>
    <w:p>
      <w:pPr>
        <w:spacing w:line="360" w:lineRule="auto"/>
        <w:rPr>
          <w:rFonts w:ascii="Arial" w:hAnsi="Arial" w:cs="Arial"/>
          <w:szCs w:val="21"/>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szCs w:val="21"/>
          <w:lang w:val="zh-CN"/>
        </w:rPr>
        <w:t xml:space="preserve">日期：年月</w:t>
      </w:r>
      <w:r/>
    </w:p>
    <w:p>
      <w:pPr>
        <w:spacing w:line="360" w:lineRule="auto"/>
        <w:rPr>
          <w:rFonts w:ascii="Arial" w:hAnsi="Arial" w:cs="Arial"/>
          <w:b/>
        </w:rPr>
      </w:pPr>
      <w:r/>
      <w:bookmarkStart w:id="64" w:name="_Toc10146_WPSOffice_Level1"/>
      <w:r>
        <w:rPr>
          <w:rFonts w:ascii="Arial" w:hAnsi="Arial" w:cs="Arial"/>
          <w:b/>
        </w:rPr>
        <w:t xml:space="preserve">附件十</w:t>
      </w:r>
      <w:r>
        <w:rPr>
          <w:rFonts w:hint="eastAsia" w:ascii="Arial" w:hAnsi="Arial" w:cs="Arial"/>
          <w:b/>
        </w:rPr>
        <w:t xml:space="preserve">一</w:t>
      </w:r>
      <w:r>
        <w:rPr>
          <w:rFonts w:ascii="Arial" w:hAnsi="Arial" w:cs="Arial"/>
          <w:b/>
        </w:rPr>
        <w:t xml:space="preserve">、 资格资信证明文件</w:t>
      </w:r>
      <w:bookmarkEnd w:id="64"/>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bookmarkStart w:id="65" w:name="_Toc32156_WPSOffice_Level1"/>
      <w:r>
        <w:rPr>
          <w:rFonts w:ascii="Arial" w:hAnsi="Arial" w:cs="Arial"/>
          <w:b/>
        </w:rPr>
        <w:t xml:space="preserve">附件十</w:t>
      </w:r>
      <w:r>
        <w:rPr>
          <w:rFonts w:hint="eastAsia" w:ascii="Arial" w:hAnsi="Arial" w:cs="Arial"/>
          <w:b/>
        </w:rPr>
        <w:t xml:space="preserve">二</w:t>
      </w:r>
      <w:r>
        <w:rPr>
          <w:rFonts w:ascii="Arial" w:hAnsi="Arial" w:cs="Arial"/>
          <w:b/>
        </w:rPr>
        <w:t xml:space="preserve">、其他</w:t>
      </w:r>
      <w:bookmarkEnd w:id="65"/>
      <w:r/>
      <w:r/>
    </w:p>
    <w:p>
      <w:pPr>
        <w:spacing w:line="360" w:lineRule="auto"/>
        <w:rPr>
          <w:rFonts w:ascii="Arial" w:hAnsi="Arial" w:cs="Arial"/>
          <w:b/>
        </w:rPr>
      </w:pPr>
      <w:r>
        <w:rPr>
          <w:rFonts w:ascii="Arial" w:hAnsi="Arial" w:cs="Arial"/>
          <w:b/>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7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91"/>
      <w:isLgl w:val="false"/>
      <w:suff w:val="tab"/>
      <w:lvlText w:val="%1.%2"/>
      <w:lvlJc w:val="left"/>
      <w:pPr>
        <w:ind w:left="425" w:hanging="425"/>
      </w:pPr>
      <w:rPr>
        <w:rFonts w:hint="eastAsia" w:ascii="Arial Unicode MS" w:hAnsi="Arial Unicode MS" w:eastAsia="微软雅黑"/>
        <w:b/>
        <w:i w:val="0"/>
      </w:rPr>
    </w:lvl>
    <w:lvl w:ilvl="2">
      <w:start w:val="1"/>
      <w:numFmt w:val="decimal"/>
      <w:pStyle w:val="1190"/>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3">
    <w:multiLevelType w:val="hybridMultilevel"/>
    <w:lvl w:ilvl="0">
      <w:start w:val="1"/>
      <w:numFmt w:val="chineseCountingThousand"/>
      <w:pStyle w:val="853"/>
      <w:isLgl w:val="false"/>
      <w:suff w:val="nothing"/>
      <w:lvlText w:val="第%1章"/>
      <w:lvlJc w:val="left"/>
      <w:pPr>
        <w:ind w:left="0" w:firstLine="0"/>
      </w:pPr>
    </w:lvl>
    <w:lvl w:ilvl="1">
      <w:start w:val="1"/>
      <w:numFmt w:val="decimal"/>
      <w:pStyle w:val="854"/>
      <w:isLgl w:val="false"/>
      <w:suff w:val="nothing"/>
      <w:lvlText w:val=""/>
      <w:lvlJc w:val="left"/>
      <w:pPr>
        <w:ind w:left="0" w:firstLine="0"/>
      </w:pPr>
    </w:lvl>
    <w:lvl w:ilvl="2">
      <w:start w:val="1"/>
      <w:numFmt w:val="decimal"/>
      <w:pStyle w:val="855"/>
      <w:isLgl w:val="false"/>
      <w:suff w:val="nothing"/>
      <w:lvlText w:val=""/>
      <w:lvlJc w:val="left"/>
      <w:pPr>
        <w:ind w:left="0" w:firstLine="0"/>
      </w:pPr>
    </w:lvl>
    <w:lvl w:ilvl="3">
      <w:start w:val="1"/>
      <w:numFmt w:val="decimal"/>
      <w:pStyle w:val="856"/>
      <w:isLgl w:val="false"/>
      <w:suff w:val="nothing"/>
      <w:lvlText w:val=""/>
      <w:lvlJc w:val="left"/>
      <w:pPr>
        <w:ind w:left="0" w:firstLine="0"/>
      </w:pPr>
    </w:lvl>
    <w:lvl w:ilvl="4">
      <w:start w:val="1"/>
      <w:numFmt w:val="decimal"/>
      <w:pStyle w:val="857"/>
      <w:isLgl w:val="false"/>
      <w:suff w:val="nothing"/>
      <w:lvlText w:val=""/>
      <w:lvlJc w:val="left"/>
      <w:pPr>
        <w:ind w:left="0" w:firstLine="0"/>
      </w:pPr>
    </w:lvl>
    <w:lvl w:ilvl="5">
      <w:start w:val="1"/>
      <w:numFmt w:val="decimal"/>
      <w:pStyle w:val="858"/>
      <w:isLgl w:val="false"/>
      <w:suff w:val="nothing"/>
      <w:lvlText w:val=""/>
      <w:lvlJc w:val="left"/>
      <w:pPr>
        <w:ind w:left="0" w:firstLine="0"/>
      </w:pPr>
    </w:lvl>
    <w:lvl w:ilvl="6">
      <w:start w:val="1"/>
      <w:numFmt w:val="decimal"/>
      <w:pStyle w:val="859"/>
      <w:isLgl w:val="false"/>
      <w:suff w:val="nothing"/>
      <w:lvlText w:val=""/>
      <w:lvlJc w:val="left"/>
      <w:pPr>
        <w:ind w:left="0" w:firstLine="0"/>
      </w:pPr>
    </w:lvl>
    <w:lvl w:ilvl="7">
      <w:start w:val="1"/>
      <w:numFmt w:val="decimal"/>
      <w:pStyle w:val="860"/>
      <w:isLgl w:val="false"/>
      <w:suff w:val="nothing"/>
      <w:lvlText w:val=""/>
      <w:lvlJc w:val="left"/>
      <w:pPr>
        <w:ind w:left="0" w:firstLine="0"/>
      </w:pPr>
    </w:lvl>
    <w:lvl w:ilvl="8">
      <w:start w:val="1"/>
      <w:numFmt w:val="decimal"/>
      <w:pStyle w:val="861"/>
      <w:isLgl w:val="false"/>
      <w:suff w:val="nothing"/>
      <w:lvlText w:val=""/>
      <w:lvlJc w:val="left"/>
      <w:pPr>
        <w:ind w:left="0" w:firstLine="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1065"/>
    <w:uiPriority w:val="0"/>
    <w:qFormat/>
    <w:pPr>
      <w:numPr>
        <w:ilvl w:val="0"/>
        <w:numId w:val="1"/>
      </w:numPr>
      <w:jc w:val="center"/>
      <w:keepLines/>
      <w:keepNext/>
      <w:spacing w:before="340" w:after="330" w:line="576" w:lineRule="auto"/>
      <w:outlineLvl w:val="0"/>
    </w:pPr>
    <w:rPr>
      <w:b/>
      <w:bCs/>
      <w:sz w:val="32"/>
      <w:szCs w:val="44"/>
    </w:rPr>
  </w:style>
  <w:style w:type="paragraph" w:styleId="854">
    <w:name w:val="Heading 2"/>
    <w:basedOn w:val="852"/>
    <w:next w:val="852"/>
    <w:link w:val="1066"/>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855">
    <w:name w:val="Heading 3"/>
    <w:basedOn w:val="852"/>
    <w:next w:val="852"/>
    <w:link w:val="1067"/>
    <w:uiPriority w:val="0"/>
    <w:qFormat/>
    <w:pPr>
      <w:numPr>
        <w:ilvl w:val="2"/>
        <w:numId w:val="1"/>
      </w:numPr>
      <w:keepLines/>
      <w:keepNext/>
      <w:spacing w:before="260" w:after="260" w:line="415" w:lineRule="auto"/>
      <w:outlineLvl w:val="2"/>
    </w:pPr>
    <w:rPr>
      <w:b/>
      <w:bCs/>
      <w:sz w:val="32"/>
      <w:szCs w:val="32"/>
    </w:rPr>
  </w:style>
  <w:style w:type="paragraph" w:styleId="856">
    <w:name w:val="Heading 4"/>
    <w:basedOn w:val="852"/>
    <w:next w:val="852"/>
    <w:link w:val="1068"/>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857">
    <w:name w:val="Heading 5"/>
    <w:basedOn w:val="852"/>
    <w:next w:val="852"/>
    <w:link w:val="1069"/>
    <w:uiPriority w:val="0"/>
    <w:qFormat/>
    <w:pPr>
      <w:numPr>
        <w:ilvl w:val="4"/>
        <w:numId w:val="1"/>
      </w:numPr>
      <w:keepLines/>
      <w:keepNext/>
      <w:spacing w:before="280" w:after="290" w:line="374" w:lineRule="auto"/>
      <w:outlineLvl w:val="4"/>
    </w:pPr>
    <w:rPr>
      <w:b/>
      <w:bCs/>
      <w:sz w:val="28"/>
      <w:szCs w:val="28"/>
    </w:rPr>
  </w:style>
  <w:style w:type="paragraph" w:styleId="858">
    <w:name w:val="Heading 6"/>
    <w:basedOn w:val="852"/>
    <w:next w:val="852"/>
    <w:link w:val="1070"/>
    <w:uiPriority w:val="0"/>
    <w:qFormat/>
    <w:pPr>
      <w:numPr>
        <w:ilvl w:val="5"/>
        <w:numId w:val="1"/>
      </w:numPr>
      <w:keepLines/>
      <w:keepNext/>
      <w:spacing w:before="240" w:after="64" w:line="319" w:lineRule="auto"/>
      <w:outlineLvl w:val="5"/>
    </w:pPr>
    <w:rPr>
      <w:rFonts w:ascii="Cambria" w:hAnsi="Cambria"/>
      <w:b/>
      <w:bCs/>
      <w:sz w:val="24"/>
    </w:rPr>
  </w:style>
  <w:style w:type="paragraph" w:styleId="859">
    <w:name w:val="Heading 7"/>
    <w:basedOn w:val="852"/>
    <w:next w:val="852"/>
    <w:link w:val="1071"/>
    <w:uiPriority w:val="99"/>
    <w:qFormat/>
    <w:pPr>
      <w:numPr>
        <w:ilvl w:val="6"/>
        <w:numId w:val="1"/>
      </w:numPr>
      <w:keepLines/>
      <w:keepNext/>
      <w:spacing w:before="240" w:after="64" w:line="319" w:lineRule="auto"/>
      <w:outlineLvl w:val="6"/>
    </w:pPr>
    <w:rPr>
      <w:b/>
      <w:bCs/>
      <w:sz w:val="24"/>
    </w:rPr>
  </w:style>
  <w:style w:type="paragraph" w:styleId="860">
    <w:name w:val="Heading 8"/>
    <w:basedOn w:val="852"/>
    <w:next w:val="852"/>
    <w:link w:val="1072"/>
    <w:uiPriority w:val="99"/>
    <w:qFormat/>
    <w:pPr>
      <w:numPr>
        <w:ilvl w:val="7"/>
        <w:numId w:val="1"/>
      </w:numPr>
      <w:keepLines/>
      <w:keepNext/>
      <w:spacing w:before="240" w:after="64" w:line="319" w:lineRule="auto"/>
      <w:outlineLvl w:val="7"/>
    </w:pPr>
    <w:rPr>
      <w:rFonts w:ascii="Cambria" w:hAnsi="Cambria"/>
      <w:sz w:val="24"/>
    </w:rPr>
  </w:style>
  <w:style w:type="paragraph" w:styleId="861">
    <w:name w:val="Heading 9"/>
    <w:basedOn w:val="852"/>
    <w:next w:val="852"/>
    <w:link w:val="1073"/>
    <w:uiPriority w:val="99"/>
    <w:qFormat/>
    <w:pPr>
      <w:numPr>
        <w:ilvl w:val="8"/>
        <w:numId w:val="1"/>
      </w:numPr>
      <w:keepLines/>
      <w:keepNext/>
      <w:spacing w:before="240" w:after="64" w:line="319" w:lineRule="auto"/>
      <w:outlineLvl w:val="8"/>
    </w:pPr>
    <w:rPr>
      <w:rFonts w:ascii="Cambria" w:hAnsi="Cambria"/>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List 3"/>
    <w:basedOn w:val="852"/>
    <w:uiPriority w:val="99"/>
    <w:unhideWhenUsed/>
    <w:qFormat/>
    <w:pPr>
      <w:ind w:left="1260" w:hanging="420"/>
      <w:spacing w:before="100" w:beforeAutospacing="1" w:after="100" w:afterAutospacing="1"/>
    </w:pPr>
    <w:rPr>
      <w:szCs w:val="21"/>
    </w:rPr>
  </w:style>
  <w:style w:type="paragraph" w:styleId="865">
    <w:name w:val="toc 7"/>
    <w:basedOn w:val="852"/>
    <w:next w:val="852"/>
    <w:uiPriority w:val="39"/>
    <w:unhideWhenUsed/>
    <w:qFormat/>
    <w:pPr>
      <w:ind w:left="1701"/>
      <w:spacing w:after="57"/>
    </w:pPr>
  </w:style>
  <w:style w:type="paragraph" w:styleId="866">
    <w:name w:val="Normal Indent"/>
    <w:basedOn w:val="852"/>
    <w:uiPriority w:val="99"/>
    <w:unhideWhenUsed/>
    <w:qFormat/>
    <w:pPr>
      <w:ind w:firstLine="420"/>
    </w:pPr>
    <w:rPr>
      <w:b/>
      <w:sz w:val="24"/>
      <w:szCs w:val="20"/>
    </w:rPr>
  </w:style>
  <w:style w:type="paragraph" w:styleId="867">
    <w:name w:val="Caption"/>
    <w:basedOn w:val="852"/>
    <w:next w:val="852"/>
    <w:uiPriority w:val="99"/>
    <w:qFormat/>
    <w:rPr>
      <w:rFonts w:ascii="Cambria" w:hAnsi="Cambria" w:eastAsia="黑体"/>
      <w:sz w:val="20"/>
      <w:szCs w:val="22"/>
    </w:rPr>
  </w:style>
  <w:style w:type="paragraph" w:styleId="868">
    <w:name w:val="Document Map"/>
    <w:basedOn w:val="852"/>
    <w:link w:val="1075"/>
    <w:uiPriority w:val="99"/>
    <w:unhideWhenUsed/>
    <w:qFormat/>
    <w:rPr>
      <w:rFonts w:ascii="宋体"/>
      <w:sz w:val="18"/>
      <w:szCs w:val="18"/>
    </w:rPr>
  </w:style>
  <w:style w:type="paragraph" w:styleId="869">
    <w:name w:val="annotation text"/>
    <w:basedOn w:val="852"/>
    <w:link w:val="1076"/>
    <w:uiPriority w:val="99"/>
    <w:unhideWhenUsed/>
    <w:qFormat/>
    <w:pPr>
      <w:jc w:val="left"/>
    </w:pPr>
  </w:style>
  <w:style w:type="paragraph" w:styleId="870">
    <w:name w:val="Body Text 3"/>
    <w:basedOn w:val="852"/>
    <w:link w:val="1077"/>
    <w:uiPriority w:val="99"/>
    <w:unhideWhenUsed/>
    <w:qFormat/>
    <w:rPr>
      <w:rFonts w:ascii="宋体"/>
      <w:sz w:val="24"/>
      <w:szCs w:val="20"/>
    </w:rPr>
  </w:style>
  <w:style w:type="paragraph" w:styleId="871">
    <w:name w:val="Body Text"/>
    <w:basedOn w:val="852"/>
    <w:next w:val="852"/>
    <w:link w:val="1078"/>
    <w:uiPriority w:val="99"/>
    <w:unhideWhenUsed/>
    <w:qFormat/>
    <w:pPr>
      <w:jc w:val="center"/>
    </w:pPr>
    <w:rPr>
      <w:rFonts w:eastAsia="幼圆"/>
      <w:b/>
      <w:bCs/>
      <w:sz w:val="44"/>
    </w:rPr>
  </w:style>
  <w:style w:type="paragraph" w:styleId="872">
    <w:name w:val="Body Text Indent"/>
    <w:basedOn w:val="852"/>
    <w:next w:val="873"/>
    <w:link w:val="1079"/>
    <w:uiPriority w:val="99"/>
    <w:unhideWhenUsed/>
    <w:qFormat/>
    <w:pPr>
      <w:ind w:left="420"/>
      <w:spacing w:after="120"/>
    </w:pPr>
  </w:style>
  <w:style w:type="paragraph" w:styleId="873">
    <w:name w:val="envelope return"/>
    <w:basedOn w:val="852"/>
    <w:uiPriority w:val="0"/>
    <w:qFormat/>
    <w:rPr>
      <w:rFonts w:ascii="Arial" w:hAnsi="Arial"/>
    </w:rPr>
  </w:style>
  <w:style w:type="paragraph" w:styleId="874">
    <w:name w:val="Block Text"/>
    <w:basedOn w:val="852"/>
    <w:next w:val="852"/>
    <w:uiPriority w:val="0"/>
    <w:unhideWhenUsed/>
    <w:qFormat/>
    <w:pPr>
      <w:ind w:left="1440" w:right="1440"/>
      <w:spacing w:after="120"/>
    </w:pPr>
  </w:style>
  <w:style w:type="paragraph" w:styleId="875">
    <w:name w:val="index 4"/>
    <w:basedOn w:val="852"/>
    <w:next w:val="852"/>
    <w:uiPriority w:val="99"/>
    <w:unhideWhenUsed/>
    <w:qFormat/>
    <w:pPr>
      <w:ind w:left="600"/>
    </w:pPr>
  </w:style>
  <w:style w:type="paragraph" w:styleId="876">
    <w:name w:val="toc 5"/>
    <w:basedOn w:val="852"/>
    <w:next w:val="852"/>
    <w:uiPriority w:val="39"/>
    <w:unhideWhenUsed/>
    <w:qFormat/>
    <w:pPr>
      <w:ind w:left="1134"/>
      <w:spacing w:after="57"/>
    </w:pPr>
  </w:style>
  <w:style w:type="paragraph" w:styleId="877">
    <w:name w:val="toc 3"/>
    <w:basedOn w:val="852"/>
    <w:next w:val="852"/>
    <w:uiPriority w:val="39"/>
    <w:unhideWhenUsed/>
    <w:qFormat/>
    <w:pPr>
      <w:ind w:left="567"/>
      <w:spacing w:after="57"/>
    </w:pPr>
  </w:style>
  <w:style w:type="paragraph" w:styleId="878">
    <w:name w:val="Plain Text"/>
    <w:basedOn w:val="852"/>
    <w:next w:val="866"/>
    <w:link w:val="1082"/>
    <w:uiPriority w:val="99"/>
    <w:unhideWhenUsed/>
    <w:qFormat/>
    <w:rPr>
      <w:rFonts w:ascii="Ari"/>
    </w:rPr>
  </w:style>
  <w:style w:type="paragraph" w:styleId="879">
    <w:name w:val="toc 8"/>
    <w:basedOn w:val="852"/>
    <w:next w:val="852"/>
    <w:uiPriority w:val="39"/>
    <w:unhideWhenUsed/>
    <w:qFormat/>
    <w:pPr>
      <w:ind w:left="1984"/>
      <w:spacing w:after="57"/>
    </w:pPr>
  </w:style>
  <w:style w:type="paragraph" w:styleId="880">
    <w:name w:val="Date"/>
    <w:basedOn w:val="852"/>
    <w:next w:val="852"/>
    <w:link w:val="1084"/>
    <w:uiPriority w:val="99"/>
    <w:unhideWhenUsed/>
    <w:qFormat/>
  </w:style>
  <w:style w:type="paragraph" w:styleId="881">
    <w:name w:val="Body Text Indent 2"/>
    <w:basedOn w:val="852"/>
    <w:link w:val="1085"/>
    <w:uiPriority w:val="99"/>
    <w:unhideWhenUsed/>
    <w:qFormat/>
    <w:pPr>
      <w:ind w:firstLine="525"/>
      <w:spacing w:line="420" w:lineRule="exact"/>
    </w:pPr>
    <w:rPr>
      <w:rFonts w:ascii="宋体"/>
      <w:sz w:val="20"/>
      <w:szCs w:val="20"/>
    </w:rPr>
  </w:style>
  <w:style w:type="paragraph" w:styleId="882">
    <w:name w:val="endnote text"/>
    <w:basedOn w:val="852"/>
    <w:link w:val="1063"/>
    <w:uiPriority w:val="99"/>
    <w:semiHidden/>
    <w:unhideWhenUsed/>
    <w:qFormat/>
    <w:rPr>
      <w:sz w:val="20"/>
    </w:rPr>
  </w:style>
  <w:style w:type="paragraph" w:styleId="883">
    <w:name w:val="Balloon Text"/>
    <w:basedOn w:val="852"/>
    <w:link w:val="1086"/>
    <w:uiPriority w:val="99"/>
    <w:unhideWhenUsed/>
    <w:qFormat/>
    <w:rPr>
      <w:sz w:val="18"/>
      <w:szCs w:val="18"/>
    </w:rPr>
  </w:style>
  <w:style w:type="paragraph" w:styleId="884">
    <w:name w:val="Footer"/>
    <w:basedOn w:val="852"/>
    <w:link w:val="1087"/>
    <w:uiPriority w:val="99"/>
    <w:unhideWhenUsed/>
    <w:qFormat/>
    <w:pPr>
      <w:jc w:val="left"/>
      <w:tabs>
        <w:tab w:val="center" w:pos="4153" w:leader="none"/>
        <w:tab w:val="right" w:pos="8306" w:leader="none"/>
      </w:tabs>
    </w:pPr>
    <w:rPr>
      <w:sz w:val="18"/>
      <w:szCs w:val="18"/>
    </w:rPr>
  </w:style>
  <w:style w:type="paragraph" w:styleId="885">
    <w:name w:val="Header"/>
    <w:basedOn w:val="852"/>
    <w:link w:val="10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86">
    <w:name w:val="toc 1"/>
    <w:basedOn w:val="852"/>
    <w:next w:val="852"/>
    <w:uiPriority w:val="39"/>
    <w:unhideWhenUsed/>
    <w:qFormat/>
    <w:pPr>
      <w:spacing w:after="57"/>
    </w:pPr>
  </w:style>
  <w:style w:type="paragraph" w:styleId="887">
    <w:name w:val="toc 4"/>
    <w:basedOn w:val="852"/>
    <w:next w:val="852"/>
    <w:uiPriority w:val="39"/>
    <w:unhideWhenUsed/>
    <w:qFormat/>
    <w:pPr>
      <w:ind w:left="850"/>
      <w:spacing w:after="57"/>
    </w:pPr>
  </w:style>
  <w:style w:type="paragraph" w:styleId="888">
    <w:name w:val="Subtitle"/>
    <w:basedOn w:val="852"/>
    <w:next w:val="852"/>
    <w:link w:val="1091"/>
    <w:uiPriority w:val="99"/>
    <w:qFormat/>
    <w:pPr>
      <w:jc w:val="center"/>
      <w:spacing w:before="240" w:after="60" w:line="312" w:lineRule="auto"/>
      <w:outlineLvl w:val="1"/>
    </w:pPr>
    <w:rPr>
      <w:rFonts w:ascii="Cambria" w:hAnsi="Cambria"/>
      <w:b/>
      <w:bCs/>
      <w:sz w:val="32"/>
      <w:szCs w:val="32"/>
    </w:rPr>
  </w:style>
  <w:style w:type="paragraph" w:styleId="889">
    <w:name w:val="footnote text"/>
    <w:basedOn w:val="852"/>
    <w:link w:val="1092"/>
    <w:uiPriority w:val="99"/>
    <w:unhideWhenUsed/>
    <w:qFormat/>
    <w:pPr>
      <w:jc w:val="left"/>
    </w:pPr>
    <w:rPr>
      <w:sz w:val="18"/>
      <w:szCs w:val="18"/>
    </w:rPr>
  </w:style>
  <w:style w:type="paragraph" w:styleId="890">
    <w:name w:val="toc 6"/>
    <w:basedOn w:val="852"/>
    <w:next w:val="852"/>
    <w:uiPriority w:val="39"/>
    <w:unhideWhenUsed/>
    <w:qFormat/>
    <w:pPr>
      <w:ind w:left="1417"/>
      <w:spacing w:after="57"/>
    </w:pPr>
  </w:style>
  <w:style w:type="paragraph" w:styleId="891">
    <w:name w:val="Body Text Indent 3"/>
    <w:basedOn w:val="852"/>
    <w:link w:val="1094"/>
    <w:uiPriority w:val="99"/>
    <w:unhideWhenUsed/>
    <w:qFormat/>
    <w:pPr>
      <w:ind w:left="420"/>
      <w:spacing w:after="120"/>
    </w:pPr>
    <w:rPr>
      <w:sz w:val="16"/>
      <w:szCs w:val="20"/>
    </w:rPr>
  </w:style>
  <w:style w:type="paragraph" w:styleId="892">
    <w:name w:val="table of figures"/>
    <w:basedOn w:val="852"/>
    <w:next w:val="852"/>
    <w:uiPriority w:val="99"/>
    <w:unhideWhenUsed/>
    <w:qFormat/>
  </w:style>
  <w:style w:type="paragraph" w:styleId="893">
    <w:name w:val="toc 2"/>
    <w:basedOn w:val="852"/>
    <w:next w:val="852"/>
    <w:uiPriority w:val="39"/>
    <w:unhideWhenUsed/>
    <w:qFormat/>
    <w:pPr>
      <w:ind w:left="283"/>
      <w:spacing w:after="57"/>
    </w:pPr>
  </w:style>
  <w:style w:type="paragraph" w:styleId="894">
    <w:name w:val="toc 9"/>
    <w:basedOn w:val="852"/>
    <w:next w:val="852"/>
    <w:uiPriority w:val="39"/>
    <w:unhideWhenUsed/>
    <w:qFormat/>
    <w:pPr>
      <w:ind w:left="2268"/>
      <w:spacing w:after="57"/>
    </w:pPr>
  </w:style>
  <w:style w:type="paragraph" w:styleId="895">
    <w:name w:val="Body Text 2"/>
    <w:basedOn w:val="852"/>
    <w:link w:val="1097"/>
    <w:uiPriority w:val="99"/>
    <w:unhideWhenUsed/>
    <w:qFormat/>
    <w:rPr>
      <w:rFonts w:ascii="华文细黑" w:hAnsi="华文细黑" w:eastAsia="华文细黑"/>
      <w:b/>
      <w:bCs/>
      <w:sz w:val="24"/>
    </w:rPr>
  </w:style>
  <w:style w:type="paragraph" w:styleId="896">
    <w:name w:val="HTML Preformatted"/>
    <w:basedOn w:val="852"/>
    <w:link w:val="109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7">
    <w:name w:val="Normal (Web)"/>
    <w:basedOn w:val="852"/>
    <w:uiPriority w:val="99"/>
    <w:unhideWhenUsed/>
    <w:qFormat/>
    <w:pPr>
      <w:jc w:val="left"/>
      <w:spacing w:before="100" w:beforeAutospacing="1" w:after="100" w:afterAutospacing="1"/>
      <w:widowControl/>
    </w:pPr>
    <w:rPr>
      <w:rFonts w:ascii="宋体" w:hAnsi="宋体" w:cs="宋体"/>
      <w:sz w:val="24"/>
    </w:rPr>
  </w:style>
  <w:style w:type="paragraph" w:styleId="898">
    <w:name w:val="index 1"/>
    <w:basedOn w:val="852"/>
    <w:next w:val="852"/>
    <w:uiPriority w:val="99"/>
    <w:unhideWhenUsed/>
    <w:qFormat/>
    <w:pPr>
      <w:jc w:val="center"/>
      <w:spacing w:line="220" w:lineRule="exact"/>
    </w:pPr>
    <w:rPr>
      <w:rFonts w:ascii="仿宋_GB2312" w:hAnsi="Calibri" w:eastAsia="仿宋_GB2312"/>
      <w:szCs w:val="22"/>
    </w:rPr>
  </w:style>
  <w:style w:type="paragraph" w:styleId="899">
    <w:name w:val="Title"/>
    <w:basedOn w:val="852"/>
    <w:next w:val="852"/>
    <w:link w:val="1099"/>
    <w:uiPriority w:val="99"/>
    <w:qFormat/>
    <w:pPr>
      <w:jc w:val="center"/>
      <w:spacing w:before="240" w:after="60" w:line="420" w:lineRule="atLeast"/>
      <w:outlineLvl w:val="0"/>
    </w:pPr>
    <w:rPr>
      <w:rFonts w:ascii="Arial" w:hAnsi="Arial"/>
      <w:b/>
      <w:sz w:val="32"/>
      <w:szCs w:val="20"/>
    </w:rPr>
  </w:style>
  <w:style w:type="paragraph" w:styleId="900">
    <w:name w:val="annotation subject"/>
    <w:basedOn w:val="869"/>
    <w:next w:val="869"/>
    <w:link w:val="1100"/>
    <w:uiPriority w:val="99"/>
    <w:unhideWhenUsed/>
    <w:qFormat/>
    <w:rPr>
      <w:b/>
      <w:bCs/>
    </w:rPr>
  </w:style>
  <w:style w:type="paragraph" w:styleId="901">
    <w:name w:val="Body Text First Indent 2"/>
    <w:basedOn w:val="872"/>
    <w:next w:val="852"/>
    <w:uiPriority w:val="0"/>
    <w:qFormat/>
    <w:pPr>
      <w:ind w:firstLine="420"/>
      <w:spacing w:line="360" w:lineRule="auto"/>
    </w:pPr>
    <w:rPr>
      <w:rFonts w:ascii="宋体" w:hAnsi="宋体"/>
    </w:rPr>
  </w:style>
  <w:style w:type="table" w:styleId="902">
    <w:name w:val="Table Grid"/>
    <w:basedOn w:val="86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rFonts w:ascii="Times New Roman" w:hAnsi="Times New Roman" w:cs="Times New Roman"/>
      <w:b/>
    </w:rPr>
  </w:style>
  <w:style w:type="character" w:styleId="904">
    <w:name w:val="endnote reference"/>
    <w:uiPriority w:val="99"/>
    <w:semiHidden/>
    <w:unhideWhenUsed/>
    <w:qFormat/>
    <w:rPr>
      <w:vertAlign w:val="superscript"/>
    </w:rPr>
  </w:style>
  <w:style w:type="character" w:styleId="905">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06">
    <w:name w:val="Emphasis"/>
    <w:uiPriority w:val="0"/>
    <w:qFormat/>
    <w:rPr>
      <w:color w:val="cc0000"/>
    </w:rPr>
  </w:style>
  <w:style w:type="character" w:styleId="907">
    <w:name w:val="Hyperlink"/>
    <w:basedOn w:val="862"/>
    <w:uiPriority w:val="99"/>
    <w:unhideWhenUsed/>
    <w:qFormat/>
    <w:rPr>
      <w:color w:val="0000ff"/>
      <w:u w:val="single"/>
    </w:rPr>
  </w:style>
  <w:style w:type="character" w:styleId="908">
    <w:name w:val="annotation reference"/>
    <w:uiPriority w:val="99"/>
    <w:unhideWhenUsed/>
    <w:qFormat/>
    <w:rPr>
      <w:sz w:val="21"/>
      <w:szCs w:val="21"/>
    </w:rPr>
  </w:style>
  <w:style w:type="character" w:styleId="909">
    <w:name w:val="HTML Cite"/>
    <w:uiPriority w:val="0"/>
    <w:unhideWhenUsed/>
    <w:qFormat/>
    <w:rPr>
      <w:color w:val="008000"/>
    </w:rPr>
  </w:style>
  <w:style w:type="character" w:styleId="910">
    <w:name w:val="footnote reference"/>
    <w:uiPriority w:val="99"/>
    <w:unhideWhenUsed/>
    <w:qFormat/>
    <w:rPr>
      <w:vertAlign w:val="superscript"/>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Endnote Text Char"/>
    <w:uiPriority w:val="99"/>
    <w:qFormat/>
    <w:rPr>
      <w:sz w:val="20"/>
    </w:rPr>
  </w:style>
  <w:style w:type="paragraph" w:styleId="914" w:customStyle="1">
    <w:name w:val="TOC 标题1"/>
    <w:uiPriority w:val="39"/>
    <w:unhideWhenUsed/>
    <w:qFormat/>
    <w:rPr>
      <w:rFonts w:ascii="Times New Roman" w:hAnsi="Times New Roman" w:eastAsia="宋体" w:cs="Times New Roman"/>
      <w:lang w:val="en-US" w:eastAsia="zh-CN" w:bidi="ar-SA"/>
    </w:rPr>
  </w:style>
  <w:style w:type="paragraph" w:styleId="915" w:customStyle="1">
    <w:name w:val="列表段落1"/>
    <w:basedOn w:val="852"/>
    <w:uiPriority w:val="99"/>
    <w:qFormat/>
    <w:pPr>
      <w:ind w:firstLine="420"/>
    </w:pPr>
    <w:rPr>
      <w:szCs w:val="20"/>
    </w:rPr>
  </w:style>
  <w:style w:type="paragraph" w:styleId="916" w:customStyle="1">
    <w:name w:val="样式1"/>
    <w:basedOn w:val="852"/>
    <w:uiPriority w:val="0"/>
    <w:qFormat/>
    <w:pPr>
      <w:jc w:val="center"/>
    </w:pPr>
  </w:style>
  <w:style w:type="character" w:styleId="917" w:customStyle="1">
    <w:name w:val="Heading 1 Char"/>
    <w:uiPriority w:val="9"/>
    <w:qFormat/>
    <w:rPr>
      <w:rFonts w:ascii="Arial" w:hAnsi="Arial" w:eastAsia="Arial" w:cs="Arial"/>
      <w:sz w:val="40"/>
      <w:szCs w:val="40"/>
    </w:rPr>
  </w:style>
  <w:style w:type="character" w:styleId="918" w:customStyle="1">
    <w:name w:val="Heading 2 Char"/>
    <w:uiPriority w:val="9"/>
    <w:qFormat/>
    <w:rPr>
      <w:rFonts w:ascii="Arial" w:hAnsi="Arial" w:eastAsia="Arial" w:cs="Arial"/>
      <w:sz w:val="34"/>
    </w:rPr>
  </w:style>
  <w:style w:type="character" w:styleId="919" w:customStyle="1">
    <w:name w:val="Heading 3 Char"/>
    <w:uiPriority w:val="9"/>
    <w:qFormat/>
    <w:rPr>
      <w:rFonts w:ascii="Arial" w:hAnsi="Arial" w:eastAsia="Arial" w:cs="Arial"/>
      <w:sz w:val="30"/>
      <w:szCs w:val="30"/>
    </w:rPr>
  </w:style>
  <w:style w:type="character" w:styleId="920" w:customStyle="1">
    <w:name w:val="Heading 4 Char"/>
    <w:uiPriority w:val="9"/>
    <w:qFormat/>
    <w:rPr>
      <w:rFonts w:ascii="Arial" w:hAnsi="Arial" w:eastAsia="Arial" w:cs="Arial"/>
      <w:b/>
      <w:bCs/>
      <w:sz w:val="26"/>
      <w:szCs w:val="26"/>
    </w:rPr>
  </w:style>
  <w:style w:type="character" w:styleId="921" w:customStyle="1">
    <w:name w:val="Heading 5 Char"/>
    <w:uiPriority w:val="9"/>
    <w:qFormat/>
    <w:rPr>
      <w:rFonts w:ascii="Arial" w:hAnsi="Arial" w:eastAsia="Arial" w:cs="Arial"/>
      <w:b/>
      <w:bCs/>
      <w:sz w:val="24"/>
      <w:szCs w:val="24"/>
    </w:rPr>
  </w:style>
  <w:style w:type="character" w:styleId="922" w:customStyle="1">
    <w:name w:val="Heading 6 Char"/>
    <w:uiPriority w:val="9"/>
    <w:qFormat/>
    <w:rPr>
      <w:rFonts w:ascii="Arial" w:hAnsi="Arial" w:eastAsia="Arial" w:cs="Arial"/>
      <w:b/>
      <w:bCs/>
      <w:sz w:val="22"/>
      <w:szCs w:val="22"/>
    </w:rPr>
  </w:style>
  <w:style w:type="character" w:styleId="923" w:customStyle="1">
    <w:name w:val="Heading 7 Char"/>
    <w:uiPriority w:val="9"/>
    <w:qFormat/>
    <w:rPr>
      <w:rFonts w:ascii="Arial" w:hAnsi="Arial" w:eastAsia="Arial" w:cs="Arial"/>
      <w:b/>
      <w:bCs/>
      <w:i/>
      <w:iCs/>
      <w:sz w:val="22"/>
      <w:szCs w:val="22"/>
    </w:rPr>
  </w:style>
  <w:style w:type="character" w:styleId="924" w:customStyle="1">
    <w:name w:val="Heading 8 Char"/>
    <w:uiPriority w:val="9"/>
    <w:qFormat/>
    <w:rPr>
      <w:rFonts w:ascii="Arial" w:hAnsi="Arial" w:eastAsia="Arial" w:cs="Arial"/>
      <w:i/>
      <w:iCs/>
      <w:sz w:val="22"/>
      <w:szCs w:val="22"/>
    </w:rPr>
  </w:style>
  <w:style w:type="character" w:styleId="925" w:customStyle="1">
    <w:name w:val="Heading 9 Char"/>
    <w:uiPriority w:val="9"/>
    <w:qFormat/>
    <w:rPr>
      <w:rFonts w:ascii="Arial" w:hAnsi="Arial" w:eastAsia="Arial" w:cs="Arial"/>
      <w:i/>
      <w:iCs/>
      <w:sz w:val="21"/>
      <w:szCs w:val="21"/>
    </w:rPr>
  </w:style>
  <w:style w:type="paragraph" w:styleId="926">
    <w:name w:val="List Paragraph"/>
    <w:basedOn w:val="852"/>
    <w:uiPriority w:val="34"/>
    <w:qFormat/>
    <w:pPr>
      <w:ind w:firstLine="420"/>
    </w:pPr>
  </w:style>
  <w:style w:type="paragraph" w:styleId="927">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28" w:customStyle="1">
    <w:name w:val="Title Char"/>
    <w:uiPriority w:val="10"/>
    <w:qFormat/>
    <w:rPr>
      <w:sz w:val="48"/>
      <w:szCs w:val="48"/>
    </w:rPr>
  </w:style>
  <w:style w:type="character" w:styleId="929" w:customStyle="1">
    <w:name w:val="Subtitle Char"/>
    <w:uiPriority w:val="11"/>
    <w:qFormat/>
    <w:rPr>
      <w:sz w:val="24"/>
      <w:szCs w:val="24"/>
    </w:rPr>
  </w:style>
  <w:style w:type="paragraph" w:styleId="930">
    <w:name w:val="Quote"/>
    <w:basedOn w:val="852"/>
    <w:next w:val="852"/>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52"/>
    <w:next w:val="852"/>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Header Char"/>
    <w:uiPriority w:val="99"/>
    <w:qFormat/>
  </w:style>
  <w:style w:type="character" w:styleId="935" w:customStyle="1">
    <w:name w:val="Footer Char"/>
    <w:uiPriority w:val="99"/>
    <w:qFormat/>
  </w:style>
  <w:style w:type="character" w:styleId="936" w:customStyle="1">
    <w:name w:val="Caption Char"/>
    <w:uiPriority w:val="99"/>
    <w:qFormat/>
  </w:style>
  <w:style w:type="table" w:styleId="9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Footnote Text Char"/>
    <w:uiPriority w:val="99"/>
    <w:qFormat/>
    <w:rPr>
      <w:sz w:val="18"/>
    </w:rPr>
  </w:style>
  <w:style w:type="character" w:styleId="1063" w:customStyle="1">
    <w:name w:val="尾注文本 字符"/>
    <w:link w:val="882"/>
    <w:uiPriority w:val="99"/>
    <w:qFormat/>
    <w:rPr>
      <w:sz w:val="20"/>
    </w:rPr>
  </w:style>
  <w:style w:type="paragraph" w:styleId="1064" w:customStyle="1">
    <w:name w:val="TOC 标题111"/>
    <w:uiPriority w:val="39"/>
    <w:unhideWhenUsed/>
    <w:qFormat/>
    <w:rPr>
      <w:rFonts w:ascii="Times New Roman" w:hAnsi="Times New Roman" w:eastAsia="宋体" w:cs="Times New Roman"/>
      <w:lang w:val="en-US" w:eastAsia="zh-CN" w:bidi="ar-SA"/>
    </w:rPr>
  </w:style>
  <w:style w:type="character" w:styleId="1065" w:customStyle="1">
    <w:name w:val="标题 1 字符"/>
    <w:link w:val="853"/>
    <w:uiPriority w:val="0"/>
    <w:qFormat/>
    <w:rPr>
      <w:rFonts w:ascii="Times New Roman" w:hAnsi="Times New Roman" w:eastAsia="宋体" w:cs="Times New Roman"/>
      <w:b/>
      <w:bCs/>
      <w:sz w:val="32"/>
      <w:szCs w:val="44"/>
    </w:rPr>
  </w:style>
  <w:style w:type="character" w:styleId="1066" w:customStyle="1">
    <w:name w:val="标题 2 字符"/>
    <w:link w:val="854"/>
    <w:uiPriority w:val="0"/>
    <w:semiHidden/>
    <w:qFormat/>
    <w:rPr>
      <w:rFonts w:ascii="Cambria" w:hAnsi="Cambria" w:eastAsia="宋体" w:cs="Times New Roman"/>
      <w:b/>
      <w:bCs/>
      <w:sz w:val="32"/>
      <w:szCs w:val="32"/>
    </w:rPr>
  </w:style>
  <w:style w:type="character" w:styleId="1067" w:customStyle="1">
    <w:name w:val="标题 3 字符"/>
    <w:link w:val="855"/>
    <w:uiPriority w:val="0"/>
    <w:semiHidden/>
    <w:qFormat/>
    <w:rPr>
      <w:rFonts w:ascii="Times New Roman" w:hAnsi="Times New Roman" w:eastAsia="宋体" w:cs="Times New Roman"/>
      <w:b/>
      <w:bCs/>
      <w:sz w:val="32"/>
      <w:szCs w:val="32"/>
    </w:rPr>
  </w:style>
  <w:style w:type="character" w:styleId="1068" w:customStyle="1">
    <w:name w:val="标题 4 字符"/>
    <w:link w:val="856"/>
    <w:uiPriority w:val="0"/>
    <w:semiHidden/>
    <w:qFormat/>
    <w:rPr>
      <w:rFonts w:ascii="Cambria" w:hAnsi="Cambria" w:eastAsia="宋体" w:cs="Times New Roman"/>
      <w:b/>
      <w:bCs/>
      <w:sz w:val="28"/>
      <w:szCs w:val="28"/>
    </w:rPr>
  </w:style>
  <w:style w:type="character" w:styleId="1069" w:customStyle="1">
    <w:name w:val="标题 5 字符"/>
    <w:link w:val="857"/>
    <w:uiPriority w:val="0"/>
    <w:semiHidden/>
    <w:qFormat/>
    <w:rPr>
      <w:rFonts w:ascii="Times New Roman" w:hAnsi="Times New Roman" w:eastAsia="宋体" w:cs="Times New Roman"/>
      <w:b/>
      <w:bCs/>
      <w:sz w:val="28"/>
      <w:szCs w:val="28"/>
    </w:rPr>
  </w:style>
  <w:style w:type="character" w:styleId="1070" w:customStyle="1">
    <w:name w:val="标题 6 字符"/>
    <w:link w:val="858"/>
    <w:uiPriority w:val="0"/>
    <w:semiHidden/>
    <w:qFormat/>
    <w:rPr>
      <w:rFonts w:ascii="Cambria" w:hAnsi="Cambria" w:eastAsia="宋体" w:cs="Times New Roman"/>
      <w:b/>
      <w:bCs/>
      <w:sz w:val="24"/>
      <w:szCs w:val="24"/>
    </w:rPr>
  </w:style>
  <w:style w:type="character" w:styleId="1071" w:customStyle="1">
    <w:name w:val="标题 7 字符"/>
    <w:link w:val="859"/>
    <w:uiPriority w:val="99"/>
    <w:semiHidden/>
    <w:qFormat/>
    <w:rPr>
      <w:rFonts w:ascii="Times New Roman" w:hAnsi="Times New Roman" w:eastAsia="宋体" w:cs="Times New Roman"/>
      <w:b/>
      <w:bCs/>
      <w:sz w:val="24"/>
      <w:szCs w:val="24"/>
    </w:rPr>
  </w:style>
  <w:style w:type="character" w:styleId="1072" w:customStyle="1">
    <w:name w:val="标题 8 字符"/>
    <w:link w:val="860"/>
    <w:uiPriority w:val="99"/>
    <w:semiHidden/>
    <w:qFormat/>
    <w:rPr>
      <w:rFonts w:ascii="Cambria" w:hAnsi="Cambria" w:eastAsia="宋体" w:cs="Times New Roman"/>
      <w:sz w:val="24"/>
      <w:szCs w:val="24"/>
    </w:rPr>
  </w:style>
  <w:style w:type="character" w:styleId="1073" w:customStyle="1">
    <w:name w:val="标题 9 字符"/>
    <w:link w:val="861"/>
    <w:uiPriority w:val="99"/>
    <w:semiHidden/>
    <w:qFormat/>
    <w:rPr>
      <w:rFonts w:ascii="Cambria" w:hAnsi="Cambria" w:eastAsia="宋体" w:cs="Times New Roman"/>
      <w:szCs w:val="21"/>
    </w:rPr>
  </w:style>
  <w:style w:type="paragraph" w:styleId="1074" w:customStyle="1">
    <w:name w:val="目录 71"/>
    <w:basedOn w:val="852"/>
    <w:next w:val="852"/>
    <w:uiPriority w:val="39"/>
    <w:unhideWhenUsed/>
    <w:qFormat/>
    <w:pPr>
      <w:ind w:left="2520"/>
    </w:pPr>
    <w:rPr>
      <w:rFonts w:ascii="Calibri" w:hAnsi="Calibri"/>
      <w:szCs w:val="22"/>
    </w:rPr>
  </w:style>
  <w:style w:type="character" w:styleId="1075" w:customStyle="1">
    <w:name w:val="文档结构图 字符"/>
    <w:link w:val="868"/>
    <w:uiPriority w:val="99"/>
    <w:semiHidden/>
    <w:qFormat/>
    <w:rPr>
      <w:rFonts w:ascii="宋体" w:hAnsi="Times New Roman" w:eastAsia="宋体" w:cs="Times New Roman"/>
      <w:sz w:val="18"/>
      <w:szCs w:val="18"/>
    </w:rPr>
  </w:style>
  <w:style w:type="character" w:styleId="1076" w:customStyle="1">
    <w:name w:val="批注文字 字符"/>
    <w:link w:val="869"/>
    <w:uiPriority w:val="99"/>
    <w:qFormat/>
    <w:rPr>
      <w:rFonts w:ascii="Times New Roman" w:hAnsi="Times New Roman" w:eastAsia="宋体" w:cs="Times New Roman"/>
      <w:szCs w:val="24"/>
    </w:rPr>
  </w:style>
  <w:style w:type="character" w:styleId="1077" w:customStyle="1">
    <w:name w:val="正文文本 3 字符"/>
    <w:link w:val="870"/>
    <w:uiPriority w:val="99"/>
    <w:semiHidden/>
    <w:qFormat/>
    <w:rPr>
      <w:rFonts w:ascii="宋体" w:hAnsi="Times New Roman" w:eastAsia="宋体" w:cs="Times New Roman"/>
      <w:sz w:val="24"/>
      <w:szCs w:val="20"/>
    </w:rPr>
  </w:style>
  <w:style w:type="character" w:styleId="1078" w:customStyle="1">
    <w:name w:val="正文文本 字符"/>
    <w:link w:val="871"/>
    <w:uiPriority w:val="99"/>
    <w:semiHidden/>
    <w:qFormat/>
    <w:rPr>
      <w:rFonts w:ascii="Times New Roman" w:hAnsi="Times New Roman" w:eastAsia="幼圆" w:cs="Times New Roman"/>
      <w:b/>
      <w:bCs/>
      <w:sz w:val="44"/>
      <w:szCs w:val="24"/>
    </w:rPr>
  </w:style>
  <w:style w:type="character" w:styleId="1079" w:customStyle="1">
    <w:name w:val="正文文本缩进 字符"/>
    <w:link w:val="872"/>
    <w:uiPriority w:val="99"/>
    <w:semiHidden/>
    <w:qFormat/>
    <w:rPr>
      <w:rFonts w:ascii="Times New Roman" w:hAnsi="Times New Roman" w:eastAsia="宋体" w:cs="Times New Roman"/>
      <w:szCs w:val="24"/>
    </w:rPr>
  </w:style>
  <w:style w:type="paragraph" w:styleId="1080" w:customStyle="1">
    <w:name w:val="目录 51"/>
    <w:basedOn w:val="852"/>
    <w:next w:val="852"/>
    <w:uiPriority w:val="39"/>
    <w:unhideWhenUsed/>
    <w:qFormat/>
    <w:pPr>
      <w:ind w:left="1680"/>
    </w:pPr>
    <w:rPr>
      <w:rFonts w:ascii="Calibri" w:hAnsi="Calibri"/>
      <w:szCs w:val="22"/>
    </w:rPr>
  </w:style>
  <w:style w:type="paragraph" w:styleId="1081" w:customStyle="1">
    <w:name w:val="目录 31"/>
    <w:basedOn w:val="852"/>
    <w:next w:val="852"/>
    <w:uiPriority w:val="39"/>
    <w:unhideWhenUsed/>
    <w:qFormat/>
    <w:pPr>
      <w:ind w:left="840"/>
    </w:pPr>
    <w:rPr>
      <w:rFonts w:ascii="Calibri" w:hAnsi="Calibri"/>
      <w:szCs w:val="22"/>
    </w:rPr>
  </w:style>
  <w:style w:type="character" w:styleId="1082" w:customStyle="1">
    <w:name w:val="纯文本 字符"/>
    <w:link w:val="878"/>
    <w:uiPriority w:val="99"/>
    <w:semiHidden/>
    <w:qFormat/>
    <w:rPr>
      <w:rFonts w:ascii="Ari" w:hAnsi="Times New Roman" w:eastAsia="宋体" w:cs="Times New Roman"/>
      <w:szCs w:val="24"/>
    </w:rPr>
  </w:style>
  <w:style w:type="paragraph" w:styleId="1083" w:customStyle="1">
    <w:name w:val="目录 81"/>
    <w:basedOn w:val="852"/>
    <w:next w:val="852"/>
    <w:uiPriority w:val="39"/>
    <w:unhideWhenUsed/>
    <w:qFormat/>
    <w:pPr>
      <w:ind w:left="2940"/>
    </w:pPr>
    <w:rPr>
      <w:rFonts w:ascii="Calibri" w:hAnsi="Calibri"/>
      <w:szCs w:val="22"/>
    </w:rPr>
  </w:style>
  <w:style w:type="character" w:styleId="1084" w:customStyle="1">
    <w:name w:val="日期 字符"/>
    <w:link w:val="880"/>
    <w:uiPriority w:val="99"/>
    <w:semiHidden/>
    <w:qFormat/>
    <w:rPr>
      <w:rFonts w:ascii="Times New Roman" w:hAnsi="Times New Roman" w:eastAsia="宋体" w:cs="Times New Roman"/>
      <w:szCs w:val="24"/>
    </w:rPr>
  </w:style>
  <w:style w:type="character" w:styleId="1085" w:customStyle="1">
    <w:name w:val="正文文本缩进 2 字符"/>
    <w:link w:val="881"/>
    <w:uiPriority w:val="99"/>
    <w:semiHidden/>
    <w:qFormat/>
    <w:rPr>
      <w:rFonts w:ascii="宋体" w:hAnsi="Times New Roman" w:eastAsia="宋体" w:cs="Times New Roman"/>
      <w:sz w:val="20"/>
      <w:szCs w:val="20"/>
    </w:rPr>
  </w:style>
  <w:style w:type="character" w:styleId="1086" w:customStyle="1">
    <w:name w:val="批注框文本 字符"/>
    <w:link w:val="883"/>
    <w:uiPriority w:val="99"/>
    <w:semiHidden/>
    <w:qFormat/>
    <w:rPr>
      <w:rFonts w:ascii="Times New Roman" w:hAnsi="Times New Roman" w:eastAsia="宋体" w:cs="Times New Roman"/>
      <w:sz w:val="18"/>
      <w:szCs w:val="18"/>
    </w:rPr>
  </w:style>
  <w:style w:type="character" w:styleId="1087" w:customStyle="1">
    <w:name w:val="页脚 字符"/>
    <w:link w:val="884"/>
    <w:uiPriority w:val="99"/>
    <w:qFormat/>
    <w:rPr>
      <w:sz w:val="18"/>
      <w:szCs w:val="18"/>
    </w:rPr>
  </w:style>
  <w:style w:type="character" w:styleId="1088" w:customStyle="1">
    <w:name w:val="页眉 字符"/>
    <w:link w:val="885"/>
    <w:uiPriority w:val="99"/>
    <w:qFormat/>
    <w:rPr>
      <w:sz w:val="18"/>
      <w:szCs w:val="18"/>
    </w:rPr>
  </w:style>
  <w:style w:type="paragraph" w:styleId="1089" w:customStyle="1">
    <w:name w:val="目录 11"/>
    <w:basedOn w:val="852"/>
    <w:next w:val="852"/>
    <w:uiPriority w:val="39"/>
    <w:unhideWhenUsed/>
    <w:qFormat/>
  </w:style>
  <w:style w:type="paragraph" w:styleId="1090" w:customStyle="1">
    <w:name w:val="目录 41"/>
    <w:basedOn w:val="852"/>
    <w:next w:val="852"/>
    <w:uiPriority w:val="39"/>
    <w:unhideWhenUsed/>
    <w:qFormat/>
    <w:pPr>
      <w:ind w:left="1260"/>
    </w:pPr>
    <w:rPr>
      <w:rFonts w:ascii="Calibri" w:hAnsi="Calibri"/>
      <w:szCs w:val="22"/>
    </w:rPr>
  </w:style>
  <w:style w:type="character" w:styleId="1091" w:customStyle="1">
    <w:name w:val="副标题 字符"/>
    <w:link w:val="888"/>
    <w:uiPriority w:val="99"/>
    <w:qFormat/>
    <w:rPr>
      <w:rFonts w:ascii="Cambria" w:hAnsi="Cambria" w:eastAsia="宋体" w:cs="Times New Roman"/>
      <w:b/>
      <w:bCs/>
      <w:sz w:val="32"/>
      <w:szCs w:val="32"/>
    </w:rPr>
  </w:style>
  <w:style w:type="character" w:styleId="1092" w:customStyle="1">
    <w:name w:val="脚注文本 字符"/>
    <w:link w:val="889"/>
    <w:uiPriority w:val="99"/>
    <w:semiHidden/>
    <w:qFormat/>
    <w:rPr>
      <w:rFonts w:ascii="Times New Roman" w:hAnsi="Times New Roman" w:eastAsia="宋体" w:cs="Times New Roman"/>
      <w:sz w:val="18"/>
      <w:szCs w:val="18"/>
    </w:rPr>
  </w:style>
  <w:style w:type="paragraph" w:styleId="1093" w:customStyle="1">
    <w:name w:val="目录 61"/>
    <w:basedOn w:val="852"/>
    <w:next w:val="852"/>
    <w:uiPriority w:val="39"/>
    <w:unhideWhenUsed/>
    <w:qFormat/>
    <w:pPr>
      <w:ind w:left="2100"/>
    </w:pPr>
    <w:rPr>
      <w:rFonts w:ascii="Calibri" w:hAnsi="Calibri"/>
      <w:szCs w:val="22"/>
    </w:rPr>
  </w:style>
  <w:style w:type="character" w:styleId="1094" w:customStyle="1">
    <w:name w:val="正文文本缩进 3 字符"/>
    <w:link w:val="891"/>
    <w:uiPriority w:val="99"/>
    <w:semiHidden/>
    <w:qFormat/>
    <w:rPr>
      <w:rFonts w:ascii="Times New Roman" w:hAnsi="Times New Roman" w:eastAsia="宋体" w:cs="Times New Roman"/>
      <w:sz w:val="16"/>
      <w:szCs w:val="20"/>
    </w:rPr>
  </w:style>
  <w:style w:type="paragraph" w:styleId="1095" w:customStyle="1">
    <w:name w:val="目录 21"/>
    <w:basedOn w:val="852"/>
    <w:next w:val="852"/>
    <w:uiPriority w:val="39"/>
    <w:unhideWhenUsed/>
    <w:qFormat/>
    <w:pPr>
      <w:ind w:left="420"/>
    </w:pPr>
    <w:rPr>
      <w:rFonts w:ascii="Calibri" w:hAnsi="Calibri"/>
      <w:szCs w:val="22"/>
    </w:rPr>
  </w:style>
  <w:style w:type="paragraph" w:styleId="1096" w:customStyle="1">
    <w:name w:val="目录 91"/>
    <w:basedOn w:val="852"/>
    <w:next w:val="852"/>
    <w:uiPriority w:val="39"/>
    <w:unhideWhenUsed/>
    <w:qFormat/>
    <w:pPr>
      <w:ind w:left="3360"/>
    </w:pPr>
    <w:rPr>
      <w:rFonts w:ascii="Calibri" w:hAnsi="Calibri"/>
      <w:szCs w:val="22"/>
    </w:rPr>
  </w:style>
  <w:style w:type="character" w:styleId="1097" w:customStyle="1">
    <w:name w:val="正文文本 2 字符"/>
    <w:link w:val="895"/>
    <w:uiPriority w:val="99"/>
    <w:semiHidden/>
    <w:qFormat/>
    <w:rPr>
      <w:rFonts w:ascii="华文细黑" w:hAnsi="华文细黑" w:eastAsia="华文细黑" w:cs="Times New Roman"/>
      <w:b/>
      <w:bCs/>
      <w:sz w:val="24"/>
      <w:szCs w:val="24"/>
    </w:rPr>
  </w:style>
  <w:style w:type="character" w:styleId="1098" w:customStyle="1">
    <w:name w:val="HTML 预设格式 字符"/>
    <w:link w:val="896"/>
    <w:uiPriority w:val="99"/>
    <w:semiHidden/>
    <w:qFormat/>
    <w:rPr>
      <w:rFonts w:ascii="宋体" w:hAnsi="宋体" w:eastAsia="宋体" w:cs="Times New Roman"/>
      <w:sz w:val="24"/>
      <w:szCs w:val="24"/>
    </w:rPr>
  </w:style>
  <w:style w:type="character" w:styleId="1099" w:customStyle="1">
    <w:name w:val="标题 字符"/>
    <w:link w:val="899"/>
    <w:uiPriority w:val="99"/>
    <w:qFormat/>
    <w:rPr>
      <w:rFonts w:ascii="Arial" w:hAnsi="Arial" w:eastAsia="宋体" w:cs="Times New Roman"/>
      <w:b/>
      <w:sz w:val="32"/>
      <w:szCs w:val="20"/>
    </w:rPr>
  </w:style>
  <w:style w:type="character" w:styleId="1100" w:customStyle="1">
    <w:name w:val="批注主题 字符"/>
    <w:link w:val="900"/>
    <w:uiPriority w:val="99"/>
    <w:semiHidden/>
    <w:qFormat/>
    <w:rPr>
      <w:rFonts w:ascii="Times New Roman" w:hAnsi="Times New Roman" w:eastAsia="宋体" w:cs="Times New Roman"/>
      <w:b/>
      <w:bCs/>
      <w:szCs w:val="24"/>
    </w:rPr>
  </w:style>
  <w:style w:type="character" w:styleId="1101" w:customStyle="1">
    <w:name w:val="已访问的超链接1"/>
    <w:uiPriority w:val="0"/>
    <w:unhideWhenUsed/>
    <w:qFormat/>
    <w:rPr>
      <w:color w:val="800080"/>
      <w:u w:val="single"/>
    </w:rPr>
  </w:style>
  <w:style w:type="character" w:styleId="1102" w:customStyle="1">
    <w:name w:val="页眉 Char1"/>
    <w:uiPriority w:val="99"/>
    <w:semiHidden/>
    <w:qFormat/>
    <w:rPr>
      <w:rFonts w:ascii="Calibri" w:hAnsi="Calibri" w:eastAsia="宋体" w:cs="Times New Roman"/>
      <w:sz w:val="18"/>
      <w:szCs w:val="18"/>
    </w:rPr>
  </w:style>
  <w:style w:type="character" w:styleId="1103" w:customStyle="1">
    <w:name w:val="font61"/>
    <w:uiPriority w:val="0"/>
    <w:qFormat/>
    <w:rPr>
      <w:rFonts w:ascii="Times New Roman" w:hAnsi="Times New Roman" w:cs="Times New Roman"/>
      <w:color w:val="000000"/>
      <w:sz w:val="24"/>
      <w:szCs w:val="24"/>
      <w:u w:val="none"/>
    </w:rPr>
  </w:style>
  <w:style w:type="character" w:styleId="1104" w:customStyle="1">
    <w:name w:val="标题 1 Char"/>
    <w:uiPriority w:val="0"/>
    <w:qFormat/>
    <w:rPr>
      <w:rFonts w:ascii="Times New Roman" w:hAnsi="Times New Roman" w:eastAsia="宋体" w:cs="Times New Roman"/>
      <w:b/>
      <w:bCs/>
      <w:sz w:val="44"/>
      <w:szCs w:val="44"/>
    </w:rPr>
  </w:style>
  <w:style w:type="character" w:styleId="1105" w:customStyle="1">
    <w:name w:val="日期 Char1"/>
    <w:uiPriority w:val="0"/>
    <w:qFormat/>
    <w:rPr>
      <w:rFonts w:ascii="Calibri" w:hAnsi="Calibri" w:eastAsia="宋体" w:cs="Times New Roman"/>
    </w:rPr>
  </w:style>
  <w:style w:type="character" w:styleId="1106" w:customStyle="1">
    <w:name w:val="font21"/>
    <w:uiPriority w:val="0"/>
    <w:qFormat/>
    <w:rPr>
      <w:rFonts w:hint="eastAsia" w:ascii="宋体" w:hAnsi="宋体" w:eastAsia="宋体" w:cs="宋体"/>
      <w:color w:val="000000"/>
      <w:sz w:val="20"/>
      <w:szCs w:val="20"/>
      <w:u w:val="none"/>
    </w:rPr>
  </w:style>
  <w:style w:type="character" w:styleId="1107" w:customStyle="1">
    <w:name w:val="表格文字 字符"/>
    <w:link w:val="1108"/>
    <w:uiPriority w:val="0"/>
    <w:qFormat/>
  </w:style>
  <w:style w:type="paragraph" w:styleId="1108" w:customStyle="1">
    <w:name w:val="表格文字"/>
    <w:basedOn w:val="852"/>
    <w:link w:val="1107"/>
    <w:uiPriority w:val="0"/>
    <w:qFormat/>
    <w:pPr>
      <w:jc w:val="left"/>
      <w:spacing w:line="420" w:lineRule="atLeast"/>
    </w:pPr>
    <w:rPr>
      <w:rFonts w:ascii="Calibri" w:hAnsi="Calibri"/>
      <w:szCs w:val="22"/>
    </w:rPr>
  </w:style>
  <w:style w:type="character" w:styleId="1109" w:customStyle="1">
    <w:name w:val="文档结构图 Char1"/>
    <w:uiPriority w:val="0"/>
    <w:qFormat/>
    <w:rPr>
      <w:rFonts w:hint="eastAsia" w:ascii="宋体" w:hAnsi="Calibri" w:eastAsia="宋体" w:cs="Times New Roman"/>
      <w:sz w:val="18"/>
      <w:szCs w:val="18"/>
    </w:rPr>
  </w:style>
  <w:style w:type="character" w:styleId="1110" w:customStyle="1">
    <w:name w:val="标题 3 Char_0"/>
    <w:link w:val="1111"/>
    <w:uiPriority w:val="0"/>
    <w:qFormat/>
    <w:rPr>
      <w:rFonts w:ascii="Times New Roman" w:hAnsi="Times New Roman" w:eastAsia="宋体" w:cs="Times New Roman"/>
      <w:szCs w:val="24"/>
    </w:rPr>
  </w:style>
  <w:style w:type="paragraph" w:styleId="1111" w:customStyle="1">
    <w:name w:val="标题 3_0"/>
    <w:basedOn w:val="852"/>
    <w:link w:val="1110"/>
    <w:uiPriority w:val="0"/>
    <w:qFormat/>
  </w:style>
  <w:style w:type="character" w:styleId="1112" w:customStyle="1">
    <w:name w:val="引用 Char2"/>
    <w:uiPriority w:val="99"/>
    <w:qFormat/>
    <w:rPr>
      <w:i/>
      <w:iCs/>
      <w:color w:val="000000"/>
      <w:sz w:val="21"/>
      <w:szCs w:val="24"/>
    </w:rPr>
  </w:style>
  <w:style w:type="character" w:styleId="1113" w:customStyle="1">
    <w:name w:val="标题 4 Char_0"/>
    <w:link w:val="1114"/>
    <w:uiPriority w:val="0"/>
    <w:qFormat/>
    <w:rPr>
      <w:rFonts w:ascii="Arial" w:hAnsi="Arial" w:eastAsia="黑体" w:cs="Arial"/>
      <w:b/>
      <w:bCs/>
      <w:sz w:val="28"/>
      <w:szCs w:val="28"/>
    </w:rPr>
  </w:style>
  <w:style w:type="paragraph" w:styleId="1114" w:customStyle="1">
    <w:name w:val="标题 4_0"/>
    <w:basedOn w:val="1115"/>
    <w:next w:val="1115"/>
    <w:link w:val="1113"/>
    <w:uiPriority w:val="0"/>
    <w:qFormat/>
    <w:pPr>
      <w:keepLines/>
      <w:keepNext/>
      <w:spacing w:before="280" w:after="290" w:line="374" w:lineRule="auto"/>
      <w:outlineLvl w:val="3"/>
    </w:pPr>
    <w:rPr>
      <w:rFonts w:ascii="Arial" w:hAnsi="Arial" w:eastAsia="黑体" w:cs="Arial"/>
      <w:b/>
      <w:bCs/>
      <w:sz w:val="28"/>
      <w:szCs w:val="28"/>
    </w:rPr>
  </w:style>
  <w:style w:type="paragraph" w:styleId="1115"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16" w:customStyle="1">
    <w:name w:val="明显引用 Char"/>
    <w:link w:val="1117"/>
    <w:uiPriority w:val="0"/>
    <w:qFormat/>
    <w:rPr>
      <w:b/>
      <w:bCs/>
      <w:i/>
      <w:iCs/>
      <w:color w:val="4f81bd"/>
    </w:rPr>
  </w:style>
  <w:style w:type="paragraph" w:styleId="1117" w:customStyle="1">
    <w:name w:val="明显引用1"/>
    <w:basedOn w:val="852"/>
    <w:next w:val="852"/>
    <w:link w:val="1116"/>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18" w:customStyle="1">
    <w:name w:val="批注主题 Char2"/>
    <w:uiPriority w:val="0"/>
    <w:qFormat/>
    <w:rPr>
      <w:b/>
      <w:bCs/>
      <w:sz w:val="21"/>
    </w:rPr>
  </w:style>
  <w:style w:type="character" w:styleId="1119" w:customStyle="1">
    <w:name w:val="列出段落 Char"/>
    <w:link w:val="1120"/>
    <w:uiPriority w:val="99"/>
    <w:qFormat/>
    <w:rPr>
      <w:szCs w:val="24"/>
    </w:rPr>
  </w:style>
  <w:style w:type="paragraph" w:styleId="1120" w:customStyle="1">
    <w:name w:val="List Paragraph1"/>
    <w:basedOn w:val="852"/>
    <w:link w:val="1119"/>
    <w:uiPriority w:val="99"/>
    <w:qFormat/>
    <w:pPr>
      <w:ind w:firstLine="420"/>
    </w:pPr>
    <w:rPr>
      <w:rFonts w:ascii="Calibri" w:hAnsi="Calibri"/>
    </w:rPr>
  </w:style>
  <w:style w:type="character" w:styleId="1121" w:customStyle="1">
    <w:name w:val="标题 5 Char_0"/>
    <w:link w:val="1122"/>
    <w:uiPriority w:val="0"/>
    <w:qFormat/>
    <w:rPr>
      <w:b/>
      <w:bCs/>
      <w:sz w:val="28"/>
      <w:szCs w:val="28"/>
    </w:rPr>
  </w:style>
  <w:style w:type="paragraph" w:styleId="1122" w:customStyle="1">
    <w:name w:val="标题 5_0"/>
    <w:basedOn w:val="1115"/>
    <w:next w:val="1115"/>
    <w:link w:val="1121"/>
    <w:uiPriority w:val="0"/>
    <w:qFormat/>
    <w:pPr>
      <w:keepLines/>
      <w:keepNext/>
      <w:spacing w:before="280" w:after="290" w:line="372" w:lineRule="auto"/>
      <w:outlineLvl w:val="4"/>
    </w:pPr>
    <w:rPr>
      <w:rFonts w:ascii="Calibri" w:hAnsi="Calibri"/>
      <w:b/>
      <w:bCs/>
      <w:sz w:val="28"/>
      <w:szCs w:val="28"/>
    </w:rPr>
  </w:style>
  <w:style w:type="character" w:styleId="1123" w:customStyle="1">
    <w:name w:val="标题5 Char Char"/>
    <w:link w:val="1124"/>
    <w:uiPriority w:val="0"/>
    <w:qFormat/>
    <w:rPr>
      <w:rFonts w:ascii="Arial" w:hAnsi="Arial" w:cs="Arial"/>
      <w:b/>
      <w:bCs/>
      <w:sz w:val="24"/>
      <w:szCs w:val="32"/>
    </w:rPr>
  </w:style>
  <w:style w:type="paragraph" w:styleId="1124" w:customStyle="1">
    <w:name w:val="标题5"/>
    <w:basedOn w:val="855"/>
    <w:link w:val="1123"/>
    <w:uiPriority w:val="0"/>
    <w:qFormat/>
    <w:pPr>
      <w:numPr>
        <w:ilvl w:val="0"/>
        <w:numId w:val="0"/>
      </w:numPr>
      <w:spacing w:line="412" w:lineRule="auto"/>
    </w:pPr>
    <w:rPr>
      <w:rFonts w:ascii="Arial" w:hAnsi="Arial" w:cs="Arial"/>
      <w:sz w:val="24"/>
    </w:rPr>
  </w:style>
  <w:style w:type="character" w:styleId="1125" w:customStyle="1">
    <w:name w:val="不明显强调1"/>
    <w:uiPriority w:val="0"/>
    <w:qFormat/>
    <w:rPr>
      <w:i/>
      <w:iCs/>
      <w:color w:val="808080"/>
    </w:rPr>
  </w:style>
  <w:style w:type="character" w:styleId="1126" w:customStyle="1">
    <w:name w:val="页脚 Char1"/>
    <w:uiPriority w:val="99"/>
    <w:semiHidden/>
    <w:qFormat/>
    <w:rPr>
      <w:rFonts w:ascii="Calibri" w:hAnsi="Calibri" w:eastAsia="宋体" w:cs="Times New Roman"/>
      <w:sz w:val="18"/>
      <w:szCs w:val="18"/>
    </w:rPr>
  </w:style>
  <w:style w:type="character" w:styleId="1127" w:customStyle="1">
    <w:name w:val="引用 Char"/>
    <w:link w:val="1128"/>
    <w:uiPriority w:val="0"/>
    <w:qFormat/>
    <w:rPr>
      <w:i/>
      <w:iCs/>
      <w:color w:val="000000"/>
    </w:rPr>
  </w:style>
  <w:style w:type="paragraph" w:styleId="1128" w:customStyle="1">
    <w:name w:val="引用1"/>
    <w:basedOn w:val="852"/>
    <w:next w:val="852"/>
    <w:link w:val="1127"/>
    <w:uiPriority w:val="0"/>
    <w:qFormat/>
    <w:rPr>
      <w:rFonts w:ascii="Calibri" w:hAnsi="Calibri"/>
      <w:i/>
      <w:iCs/>
      <w:color w:val="000000"/>
      <w:szCs w:val="22"/>
    </w:rPr>
  </w:style>
  <w:style w:type="character" w:styleId="1129" w:customStyle="1">
    <w:name w:val="批注框文本 Char1"/>
    <w:uiPriority w:val="0"/>
    <w:qFormat/>
    <w:rPr>
      <w:sz w:val="18"/>
      <w:szCs w:val="18"/>
    </w:rPr>
  </w:style>
  <w:style w:type="character" w:styleId="1130" w:customStyle="1">
    <w:name w:val="标题 Char2"/>
    <w:uiPriority w:val="10"/>
    <w:qFormat/>
    <w:rPr>
      <w:rFonts w:ascii="Cambria" w:hAnsi="Cambria" w:cs="Times New Roman"/>
      <w:b/>
      <w:bCs/>
      <w:sz w:val="32"/>
      <w:szCs w:val="32"/>
    </w:rPr>
  </w:style>
  <w:style w:type="character" w:styleId="1131" w:customStyle="1">
    <w:name w:val="文档结构图 Char2"/>
    <w:uiPriority w:val="99"/>
    <w:semiHidden/>
    <w:qFormat/>
    <w:rPr>
      <w:rFonts w:hint="eastAsia" w:ascii="宋体" w:hAnsi="Calibri" w:eastAsia="宋体" w:cs="Times New Roman"/>
      <w:sz w:val="18"/>
      <w:szCs w:val="18"/>
    </w:rPr>
  </w:style>
  <w:style w:type="character" w:styleId="1132" w:customStyle="1">
    <w:name w:val="font31"/>
    <w:uiPriority w:val="0"/>
    <w:qFormat/>
    <w:rPr>
      <w:rFonts w:hint="eastAsia" w:ascii="宋体" w:hAnsi="宋体" w:eastAsia="宋体" w:cs="宋体"/>
      <w:color w:val="000000"/>
      <w:sz w:val="20"/>
      <w:szCs w:val="20"/>
      <w:u w:val="none"/>
    </w:rPr>
  </w:style>
  <w:style w:type="character" w:styleId="1133" w:customStyle="1">
    <w:name w:val="rvts11"/>
    <w:uiPriority w:val="0"/>
    <w:qFormat/>
    <w:rPr>
      <w:rFonts w:ascii="KNLe" w:hAnsi="KNLe"/>
      <w:sz w:val="24"/>
      <w:szCs w:val="24"/>
      <w:u w:val="single"/>
    </w:rPr>
  </w:style>
  <w:style w:type="character" w:styleId="1134" w:customStyle="1">
    <w:name w:val="日期 Char2"/>
    <w:uiPriority w:val="99"/>
    <w:semiHidden/>
    <w:qFormat/>
    <w:rPr>
      <w:rFonts w:ascii="Calibri" w:hAnsi="Calibri" w:eastAsia="宋体" w:cs="Times New Roman"/>
    </w:rPr>
  </w:style>
  <w:style w:type="character" w:styleId="1135" w:customStyle="1">
    <w:name w:val="引用 Char1"/>
    <w:uiPriority w:val="29"/>
    <w:qFormat/>
    <w:rPr>
      <w:i/>
      <w:iCs/>
      <w:color w:val="000000"/>
      <w:sz w:val="21"/>
    </w:rPr>
  </w:style>
  <w:style w:type="character" w:styleId="1136" w:customStyle="1">
    <w:name w:val="批注主题 Char1"/>
    <w:uiPriority w:val="0"/>
    <w:qFormat/>
    <w:rPr>
      <w:b/>
      <w:bCs/>
      <w:sz w:val="21"/>
      <w:szCs w:val="22"/>
    </w:rPr>
  </w:style>
  <w:style w:type="character" w:styleId="1137" w:customStyle="1">
    <w:name w:val="副标题 Char1"/>
    <w:uiPriority w:val="11"/>
    <w:qFormat/>
    <w:rPr>
      <w:rFonts w:ascii="Cambria" w:hAnsi="Cambria" w:cs="Times New Roman"/>
      <w:b/>
      <w:bCs/>
      <w:sz w:val="32"/>
      <w:szCs w:val="32"/>
    </w:rPr>
  </w:style>
  <w:style w:type="character" w:styleId="1138" w:customStyle="1">
    <w:name w:val="font11"/>
    <w:uiPriority w:val="0"/>
    <w:qFormat/>
    <w:rPr>
      <w:rFonts w:hint="eastAsia" w:ascii="宋体" w:hAnsi="宋体" w:eastAsia="宋体" w:cs="宋体"/>
      <w:color w:val="000000"/>
      <w:sz w:val="20"/>
      <w:szCs w:val="20"/>
      <w:u w:val="none"/>
    </w:rPr>
  </w:style>
  <w:style w:type="character" w:styleId="1139" w:customStyle="1">
    <w:name w:val="批注文字 Char2"/>
    <w:uiPriority w:val="0"/>
    <w:qFormat/>
    <w:rPr>
      <w:sz w:val="21"/>
    </w:rPr>
  </w:style>
  <w:style w:type="character" w:styleId="1140" w:customStyle="1">
    <w:name w:val="明显强调1"/>
    <w:uiPriority w:val="0"/>
    <w:qFormat/>
    <w:rPr>
      <w:b/>
      <w:bCs/>
      <w:i/>
      <w:iCs/>
      <w:color w:val="4f81bd"/>
    </w:rPr>
  </w:style>
  <w:style w:type="character" w:styleId="1141" w:customStyle="1">
    <w:name w:val="标题 1 Char_0"/>
    <w:link w:val="1142"/>
    <w:uiPriority w:val="0"/>
    <w:qFormat/>
    <w:rPr>
      <w:b/>
      <w:bCs/>
      <w:sz w:val="44"/>
      <w:szCs w:val="44"/>
    </w:rPr>
  </w:style>
  <w:style w:type="paragraph" w:styleId="1142" w:customStyle="1">
    <w:name w:val="标题 1_0"/>
    <w:basedOn w:val="1115"/>
    <w:next w:val="1115"/>
    <w:link w:val="1141"/>
    <w:uiPriority w:val="0"/>
    <w:qFormat/>
    <w:pPr>
      <w:keepLines/>
      <w:keepNext/>
      <w:spacing w:before="340" w:after="330" w:line="576" w:lineRule="auto"/>
      <w:outlineLvl w:val="0"/>
    </w:pPr>
    <w:rPr>
      <w:rFonts w:ascii="Calibri" w:hAnsi="Calibri"/>
      <w:b/>
      <w:bCs/>
      <w:sz w:val="44"/>
      <w:szCs w:val="44"/>
    </w:rPr>
  </w:style>
  <w:style w:type="character" w:styleId="1143" w:customStyle="1">
    <w:name w:val="明显引用 Char1"/>
    <w:uiPriority w:val="30"/>
    <w:qFormat/>
    <w:rPr>
      <w:b/>
      <w:bCs/>
      <w:i/>
      <w:iCs/>
      <w:color w:val="4f81bd"/>
      <w:sz w:val="21"/>
    </w:rPr>
  </w:style>
  <w:style w:type="character" w:styleId="1144" w:customStyle="1">
    <w:name w:val="font71"/>
    <w:uiPriority w:val="0"/>
    <w:qFormat/>
    <w:rPr>
      <w:rFonts w:hint="eastAsia" w:ascii="宋体" w:hAnsi="宋体" w:eastAsia="宋体" w:cs="宋体"/>
      <w:color w:val="000000"/>
      <w:sz w:val="24"/>
      <w:szCs w:val="24"/>
      <w:u w:val="none"/>
    </w:rPr>
  </w:style>
  <w:style w:type="character" w:styleId="1145" w:customStyle="1">
    <w:name w:val="正文文本 Char_0"/>
    <w:link w:val="1146"/>
    <w:uiPriority w:val="0"/>
    <w:qFormat/>
    <w:rPr>
      <w:szCs w:val="24"/>
    </w:rPr>
  </w:style>
  <w:style w:type="paragraph" w:styleId="1146" w:customStyle="1">
    <w:name w:val="正文文本_0"/>
    <w:basedOn w:val="1115"/>
    <w:link w:val="1145"/>
    <w:uiPriority w:val="0"/>
    <w:qFormat/>
    <w:pPr>
      <w:spacing w:after="120"/>
    </w:pPr>
    <w:rPr>
      <w:rFonts w:ascii="Calibri" w:hAnsi="Calibri"/>
    </w:rPr>
  </w:style>
  <w:style w:type="character" w:styleId="1147" w:customStyle="1">
    <w:name w:val="批注框文本 Char2"/>
    <w:uiPriority w:val="99"/>
    <w:semiHidden/>
    <w:qFormat/>
    <w:rPr>
      <w:rFonts w:ascii="Calibri" w:hAnsi="Calibri" w:eastAsia="宋体" w:cs="Times New Roman"/>
      <w:sz w:val="18"/>
      <w:szCs w:val="18"/>
    </w:rPr>
  </w:style>
  <w:style w:type="character" w:styleId="1148" w:customStyle="1">
    <w:name w:val="正文文本缩进 3 Char1"/>
    <w:uiPriority w:val="99"/>
    <w:semiHidden/>
    <w:qFormat/>
    <w:rPr>
      <w:sz w:val="16"/>
      <w:szCs w:val="16"/>
    </w:rPr>
  </w:style>
  <w:style w:type="character" w:styleId="1149" w:customStyle="1">
    <w:name w:val="不明显参考1"/>
    <w:uiPriority w:val="0"/>
    <w:qFormat/>
    <w:rPr>
      <w:smallCaps/>
      <w:color w:val="c0504d"/>
      <w:u w:val="single"/>
    </w:rPr>
  </w:style>
  <w:style w:type="character" w:styleId="1150" w:customStyle="1">
    <w:name w:val="bookmark"/>
    <w:basedOn w:val="862"/>
    <w:uiPriority w:val="0"/>
    <w:qFormat/>
  </w:style>
  <w:style w:type="character" w:styleId="1151" w:customStyle="1">
    <w:name w:val="超链接_0"/>
    <w:uiPriority w:val="99"/>
    <w:qFormat/>
    <w:rPr>
      <w:rFonts w:ascii="Calibri" w:hAnsi="Calibri" w:cs="Calibri"/>
      <w:color w:val="0000ff"/>
      <w:u w:val="single"/>
    </w:rPr>
  </w:style>
  <w:style w:type="character" w:styleId="1152" w:customStyle="1">
    <w:name w:val="副标题 Char2"/>
    <w:uiPriority w:val="11"/>
    <w:qFormat/>
    <w:rPr>
      <w:rFonts w:ascii="Cambria" w:hAnsi="Cambria" w:cs="Times New Roman"/>
      <w:b/>
      <w:bCs/>
      <w:sz w:val="32"/>
      <w:szCs w:val="32"/>
    </w:rPr>
  </w:style>
  <w:style w:type="character" w:styleId="1153" w:customStyle="1">
    <w:name w:val="明显参考1"/>
    <w:uiPriority w:val="0"/>
    <w:qFormat/>
    <w:rPr>
      <w:b/>
      <w:bCs/>
      <w:smallCaps/>
      <w:color w:val="c0504d"/>
      <w:spacing w:val="5"/>
      <w:u w:val="single"/>
    </w:rPr>
  </w:style>
  <w:style w:type="character" w:styleId="1154" w:customStyle="1">
    <w:name w:val="书籍标题1"/>
    <w:uiPriority w:val="0"/>
    <w:qFormat/>
    <w:rPr>
      <w:b/>
      <w:bCs/>
      <w:smallCaps/>
      <w:spacing w:val="5"/>
    </w:rPr>
  </w:style>
  <w:style w:type="character" w:styleId="1155" w:customStyle="1">
    <w:name w:val="正文文本 3 Char1"/>
    <w:uiPriority w:val="99"/>
    <w:semiHidden/>
    <w:qFormat/>
    <w:rPr>
      <w:sz w:val="16"/>
      <w:szCs w:val="16"/>
    </w:rPr>
  </w:style>
  <w:style w:type="character" w:styleId="1156" w:customStyle="1">
    <w:name w:val="标题4 Char Char"/>
    <w:link w:val="1157"/>
    <w:uiPriority w:val="0"/>
    <w:qFormat/>
    <w:rPr>
      <w:rFonts w:ascii="Arial" w:hAnsi="Arial" w:cs="Arial"/>
      <w:b/>
      <w:bCs/>
      <w:sz w:val="24"/>
      <w:szCs w:val="32"/>
    </w:rPr>
  </w:style>
  <w:style w:type="paragraph" w:styleId="1157" w:customStyle="1">
    <w:name w:val="标题4"/>
    <w:basedOn w:val="854"/>
    <w:next w:val="875"/>
    <w:link w:val="1156"/>
    <w:uiPriority w:val="0"/>
    <w:qFormat/>
    <w:pPr>
      <w:numPr>
        <w:ilvl w:val="0"/>
        <w:numId w:val="0"/>
      </w:numPr>
      <w:spacing w:line="412" w:lineRule="auto"/>
    </w:pPr>
    <w:rPr>
      <w:rFonts w:ascii="Arial" w:hAnsi="Arial" w:cs="Arial"/>
      <w:sz w:val="24"/>
    </w:rPr>
  </w:style>
  <w:style w:type="character" w:styleId="1158" w:customStyle="1">
    <w:name w:val="明显引用 Char2"/>
    <w:uiPriority w:val="99"/>
    <w:qFormat/>
    <w:rPr>
      <w:b/>
      <w:bCs/>
      <w:i/>
      <w:iCs/>
      <w:color w:val="4f81bd"/>
      <w:sz w:val="21"/>
      <w:szCs w:val="24"/>
    </w:rPr>
  </w:style>
  <w:style w:type="character" w:styleId="1159" w:customStyle="1">
    <w:name w:val="正文文本 Char2"/>
    <w:uiPriority w:val="99"/>
    <w:semiHidden/>
    <w:qFormat/>
    <w:rPr>
      <w:rFonts w:ascii="Calibri" w:hAnsi="Calibri" w:eastAsia="宋体" w:cs="Times New Roman"/>
    </w:rPr>
  </w:style>
  <w:style w:type="character" w:styleId="1160" w:customStyle="1">
    <w:name w:val="font161"/>
    <w:uiPriority w:val="0"/>
    <w:qFormat/>
    <w:rPr>
      <w:b/>
      <w:sz w:val="32"/>
    </w:rPr>
  </w:style>
  <w:style w:type="character" w:styleId="1161" w:customStyle="1">
    <w:name w:val="标题 2 Char_0"/>
    <w:link w:val="1162"/>
    <w:uiPriority w:val="0"/>
    <w:qFormat/>
    <w:rPr>
      <w:rFonts w:ascii="Cambria" w:hAnsi="Cambria"/>
      <w:b/>
      <w:bCs/>
      <w:sz w:val="32"/>
      <w:szCs w:val="32"/>
    </w:rPr>
  </w:style>
  <w:style w:type="paragraph" w:styleId="1162" w:customStyle="1">
    <w:name w:val="标题 2_0"/>
    <w:basedOn w:val="1115"/>
    <w:next w:val="1115"/>
    <w:link w:val="1161"/>
    <w:uiPriority w:val="0"/>
    <w:qFormat/>
    <w:pPr>
      <w:keepLines/>
      <w:keepNext/>
      <w:spacing w:before="260" w:after="260" w:line="415" w:lineRule="auto"/>
      <w:outlineLvl w:val="1"/>
    </w:pPr>
    <w:rPr>
      <w:rFonts w:ascii="Cambria" w:hAnsi="Cambria"/>
      <w:b/>
      <w:bCs/>
      <w:sz w:val="32"/>
      <w:szCs w:val="32"/>
    </w:rPr>
  </w:style>
  <w:style w:type="character" w:styleId="1163" w:customStyle="1">
    <w:name w:val="正文文本 Char1"/>
    <w:uiPriority w:val="0"/>
    <w:qFormat/>
    <w:rPr>
      <w:rFonts w:ascii="Calibri" w:hAnsi="Calibri" w:eastAsia="宋体" w:cs="Times New Roman"/>
    </w:rPr>
  </w:style>
  <w:style w:type="character" w:styleId="1164" w:customStyle="1">
    <w:name w:val="批注文字 Char1"/>
    <w:uiPriority w:val="0"/>
    <w:qFormat/>
    <w:rPr>
      <w:rFonts w:ascii="Calibri" w:hAnsi="Calibri" w:eastAsia="宋体" w:cs="Times New Roman"/>
    </w:rPr>
  </w:style>
  <w:style w:type="character" w:styleId="1165" w:customStyle="1">
    <w:name w:val="textcontents"/>
    <w:uiPriority w:val="0"/>
    <w:qFormat/>
    <w:rPr>
      <w:rFonts w:ascii="Times New Roman" w:hAnsi="Times New Roman" w:cs="Times New Roman"/>
    </w:rPr>
  </w:style>
  <w:style w:type="character" w:styleId="1166" w:customStyle="1">
    <w:name w:val="标题 Char1"/>
    <w:uiPriority w:val="10"/>
    <w:qFormat/>
    <w:rPr>
      <w:rFonts w:ascii="Cambria" w:hAnsi="Cambria" w:eastAsia="宋体" w:cs="Times New Roman"/>
      <w:b/>
      <w:bCs/>
      <w:sz w:val="32"/>
      <w:szCs w:val="32"/>
    </w:rPr>
  </w:style>
  <w:style w:type="paragraph" w:styleId="1167" w:customStyle="1">
    <w:name w:val="table_lines"/>
    <w:basedOn w:val="852"/>
    <w:uiPriority w:val="99"/>
    <w:qFormat/>
    <w:pPr>
      <w:jc w:val="left"/>
      <w:widowControl/>
    </w:pPr>
    <w:rPr>
      <w:rFonts w:eastAsia="MS Mincho"/>
      <w:sz w:val="20"/>
      <w:szCs w:val="20"/>
      <w:lang w:val="de-DE" w:eastAsia="de-DE"/>
    </w:rPr>
  </w:style>
  <w:style w:type="paragraph" w:styleId="1168" w:customStyle="1">
    <w:name w:val="p0"/>
    <w:basedOn w:val="852"/>
    <w:uiPriority w:val="99"/>
    <w:qFormat/>
    <w:pPr>
      <w:widowControl/>
    </w:pPr>
    <w:rPr>
      <w:b/>
      <w:bCs/>
      <w:sz w:val="24"/>
    </w:rPr>
  </w:style>
  <w:style w:type="paragraph" w:styleId="1169" w:customStyle="1">
    <w:name w:val="trs_editor"/>
    <w:basedOn w:val="852"/>
    <w:uiPriority w:val="99"/>
    <w:qFormat/>
    <w:pPr>
      <w:jc w:val="left"/>
      <w:spacing w:before="100" w:beforeAutospacing="1" w:after="100" w:afterAutospacing="1"/>
      <w:widowControl/>
    </w:pPr>
    <w:rPr>
      <w:rFonts w:ascii="宋体" w:hAnsi="宋体" w:cs="宋体"/>
      <w:sz w:val="24"/>
    </w:rPr>
  </w:style>
  <w:style w:type="paragraph" w:styleId="1170" w:customStyle="1">
    <w:name w:val="_Style 7"/>
    <w:basedOn w:val="852"/>
    <w:next w:val="926"/>
    <w:uiPriority w:val="34"/>
    <w:qFormat/>
    <w:pPr>
      <w:ind w:firstLine="420"/>
    </w:pPr>
  </w:style>
  <w:style w:type="paragraph" w:styleId="1171" w:customStyle="1">
    <w:name w:val="_Style 34"/>
    <w:next w:val="852"/>
    <w:uiPriority w:val="99"/>
    <w:qFormat/>
    <w:pPr>
      <w:jc w:val="both"/>
      <w:widowControl w:val="off"/>
    </w:pPr>
    <w:rPr>
      <w:rFonts w:ascii="Times New Roman" w:hAnsi="Times New Roman" w:eastAsia="宋体" w:cs="Times New Roman"/>
      <w:sz w:val="21"/>
      <w:lang w:val="en-US" w:eastAsia="zh-CN" w:bidi="ar-SA"/>
    </w:rPr>
  </w:style>
  <w:style w:type="paragraph" w:styleId="1172" w:customStyle="1">
    <w:name w:val="6'"/>
    <w:basedOn w:val="852"/>
    <w:uiPriority w:val="99"/>
    <w:qFormat/>
    <w:pPr>
      <w:jc w:val="center"/>
      <w:spacing w:line="320" w:lineRule="exact"/>
    </w:pPr>
    <w:rPr>
      <w:rFonts w:ascii="Calibri" w:hAnsi="Calibri"/>
      <w:spacing w:val="20"/>
      <w:szCs w:val="22"/>
    </w:rPr>
  </w:style>
  <w:style w:type="paragraph" w:styleId="1173" w:customStyle="1">
    <w:name w:val="1"/>
    <w:basedOn w:val="852"/>
    <w:next w:val="852"/>
    <w:uiPriority w:val="99"/>
    <w:qFormat/>
    <w:rPr>
      <w:rFonts w:ascii="Calibri" w:hAnsi="Calibri"/>
      <w:szCs w:val="22"/>
    </w:rPr>
  </w:style>
  <w:style w:type="paragraph" w:styleId="1174" w:customStyle="1">
    <w:name w:val="样式 标题 2 + Times New Roman 四号 非加粗 段前: 5 磅 段后: 0 磅 行距: 固定值 20..._0"/>
    <w:basedOn w:val="852"/>
    <w:uiPriority w:val="99"/>
    <w:qFormat/>
    <w:pPr>
      <w:keepLines/>
      <w:keepNext/>
      <w:spacing w:before="100" w:line="360" w:lineRule="auto"/>
      <w:outlineLvl w:val="1"/>
    </w:pPr>
    <w:rPr>
      <w:rFonts w:eastAsia="Times New Roman" w:cs="宋体"/>
      <w:sz w:val="28"/>
      <w:szCs w:val="20"/>
    </w:rPr>
  </w:style>
  <w:style w:type="paragraph" w:styleId="1175" w:customStyle="1">
    <w:name w:val="1方案格式1"/>
    <w:basedOn w:val="853"/>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176" w:customStyle="1">
    <w:name w:val="yiv1658056056msonormal"/>
    <w:basedOn w:val="852"/>
    <w:uiPriority w:val="99"/>
    <w:qFormat/>
    <w:pPr>
      <w:jc w:val="left"/>
      <w:spacing w:before="100" w:beforeAutospacing="1" w:after="100" w:afterAutospacing="1"/>
      <w:widowControl/>
    </w:pPr>
    <w:rPr>
      <w:rFonts w:ascii="宋体" w:hAnsi="宋体" w:cs="宋体"/>
      <w:sz w:val="24"/>
    </w:rPr>
  </w:style>
  <w:style w:type="paragraph" w:styleId="1177"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179" w:customStyle="1">
    <w:name w:val="正文文本缩进11"/>
    <w:basedOn w:val="852"/>
    <w:next w:val="1180"/>
    <w:uiPriority w:val="0"/>
    <w:qFormat/>
    <w:pPr>
      <w:ind w:firstLine="435"/>
      <w:spacing w:line="480" w:lineRule="exact"/>
    </w:pPr>
    <w:rPr>
      <w:sz w:val="24"/>
    </w:rPr>
  </w:style>
  <w:style w:type="paragraph" w:styleId="1180" w:customStyle="1">
    <w:name w:val="寄信人地址1"/>
    <w:basedOn w:val="852"/>
    <w:uiPriority w:val="0"/>
    <w:qFormat/>
    <w:rPr>
      <w:rFonts w:ascii="Arial" w:hAnsi="Arial" w:eastAsia="楷体_GB2312"/>
      <w:sz w:val="26"/>
      <w:szCs w:val="20"/>
    </w:rPr>
  </w:style>
  <w:style w:type="paragraph" w:styleId="1181" w:customStyle="1">
    <w:name w:val="标题2"/>
    <w:basedOn w:val="854"/>
    <w:next w:val="871"/>
    <w:uiPriority w:val="99"/>
    <w:qFormat/>
    <w:pPr>
      <w:spacing w:before="156" w:after="156" w:line="360" w:lineRule="auto"/>
    </w:pPr>
    <w:rPr>
      <w:bCs w:val="0"/>
      <w:sz w:val="24"/>
    </w:rPr>
  </w:style>
  <w:style w:type="paragraph" w:styleId="1182" w:customStyle="1">
    <w:name w:val="表格正文"/>
    <w:basedOn w:val="852"/>
    <w:next w:val="852"/>
    <w:uiPriority w:val="0"/>
    <w:qFormat/>
    <w:pPr>
      <w:contextualSpacing/>
      <w:jc w:val="left"/>
      <w:spacing w:before="20" w:after="20" w:line="300" w:lineRule="exact"/>
    </w:pPr>
    <w:rPr>
      <w:szCs w:val="20"/>
    </w:rPr>
  </w:style>
  <w:style w:type="paragraph" w:styleId="1183" w:customStyle="1">
    <w:name w:val="目录 3_0"/>
    <w:basedOn w:val="1115"/>
    <w:next w:val="1115"/>
    <w:uiPriority w:val="39"/>
    <w:qFormat/>
    <w:pPr>
      <w:ind w:left="840"/>
    </w:pPr>
    <w:rPr>
      <w:rFonts w:ascii="Calibri" w:hAnsi="Calibri"/>
    </w:rPr>
  </w:style>
  <w:style w:type="paragraph" w:styleId="1184" w:customStyle="1">
    <w:name w:val="正文11"/>
    <w:uiPriority w:val="99"/>
    <w:qFormat/>
    <w:rPr>
      <w:rFonts w:ascii="Calibri" w:hAnsi="Calibri" w:eastAsia="宋体" w:cs="Calibri"/>
      <w:sz w:val="24"/>
      <w:szCs w:val="24"/>
      <w:lang w:val="en-US" w:eastAsia="zh-CN" w:bidi="ar-SA"/>
    </w:rPr>
  </w:style>
  <w:style w:type="paragraph" w:styleId="1185" w:customStyle="1">
    <w:name w:val="普通正文"/>
    <w:basedOn w:val="852"/>
    <w:uiPriority w:val="99"/>
    <w:qFormat/>
    <w:pPr>
      <w:ind w:firstLine="480"/>
      <w:jc w:val="left"/>
      <w:spacing w:before="120" w:after="120" w:line="360" w:lineRule="auto"/>
    </w:pPr>
    <w:rPr>
      <w:rFonts w:ascii="Arial" w:hAnsi="Arial"/>
      <w:sz w:val="24"/>
    </w:rPr>
  </w:style>
  <w:style w:type="paragraph" w:styleId="1186" w:customStyle="1">
    <w:name w:val="Table Text"/>
    <w:basedOn w:val="852"/>
    <w:uiPriority w:val="0"/>
    <w:semiHidden/>
    <w:qFormat/>
    <w:rPr>
      <w:rFonts w:ascii="宋体" w:hAnsi="宋体" w:cs="宋体"/>
      <w:sz w:val="24"/>
      <w:lang w:eastAsia="en-US"/>
    </w:rPr>
  </w:style>
  <w:style w:type="paragraph" w:styleId="1187" w:customStyle="1">
    <w:name w:val="纯文本2"/>
    <w:basedOn w:val="852"/>
    <w:uiPriority w:val="99"/>
    <w:qFormat/>
    <w:pPr>
      <w:jc w:val="left"/>
    </w:pPr>
    <w:rPr>
      <w:rFonts w:ascii="宋体" w:hAnsi="宋体" w:cs="Courier New"/>
      <w:sz w:val="24"/>
      <w:szCs w:val="20"/>
      <w:lang w:bidi="hi-IN"/>
    </w:rPr>
  </w:style>
  <w:style w:type="paragraph" w:styleId="1188" w:customStyle="1">
    <w:name w:val="Char Char Char Char Char Char Char"/>
    <w:basedOn w:val="852"/>
    <w:uiPriority w:val="99"/>
    <w:qFormat/>
    <w:pPr>
      <w:spacing w:line="360" w:lineRule="auto"/>
    </w:pPr>
    <w:rPr>
      <w:sz w:val="24"/>
      <w:szCs w:val="20"/>
    </w:rPr>
  </w:style>
  <w:style w:type="paragraph" w:styleId="1189" w:customStyle="1">
    <w:name w:val="Table Paragraph"/>
    <w:basedOn w:val="852"/>
    <w:uiPriority w:val="1"/>
    <w:qFormat/>
    <w:pPr>
      <w:jc w:val="left"/>
      <w:widowControl/>
    </w:pPr>
    <w:rPr>
      <w:rFonts w:ascii="Arial" w:hAnsi="Arial" w:eastAsia="Arial" w:cs="Arial"/>
      <w:color w:val="000000"/>
    </w:rPr>
  </w:style>
  <w:style w:type="paragraph" w:styleId="1190" w:customStyle="1">
    <w:name w:val="3方案格式3"/>
    <w:basedOn w:val="1191"/>
    <w:uiPriority w:val="99"/>
    <w:qFormat/>
    <w:pPr>
      <w:numPr>
        <w:ilvl w:val="2"/>
      </w:numPr>
      <w:tabs>
        <w:tab w:val="left" w:pos="360" w:leader="none"/>
      </w:tabs>
      <w:outlineLvl w:val="2"/>
    </w:pPr>
    <w:rPr>
      <w:sz w:val="32"/>
    </w:rPr>
  </w:style>
  <w:style w:type="paragraph" w:styleId="1191" w:customStyle="1">
    <w:name w:val="2方案格式2"/>
    <w:basedOn w:val="1175"/>
    <w:uiPriority w:val="99"/>
    <w:qFormat/>
    <w:pPr>
      <w:numPr>
        <w:ilvl w:val="1"/>
      </w:numPr>
      <w:spacing w:line="240" w:lineRule="auto"/>
      <w:outlineLvl w:val="1"/>
    </w:pPr>
    <w:rPr>
      <w:sz w:val="44"/>
    </w:rPr>
  </w:style>
  <w:style w:type="paragraph" w:styleId="1192" w:customStyle="1">
    <w:name w:val="TOC 标题11"/>
    <w:basedOn w:val="853"/>
    <w:next w:val="852"/>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193"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194" w:customStyle="1">
    <w:name w:val="正文空2字"/>
    <w:basedOn w:val="852"/>
    <w:uiPriority w:val="99"/>
    <w:qFormat/>
    <w:pPr>
      <w:ind w:firstLine="200"/>
      <w:spacing w:line="360" w:lineRule="auto"/>
    </w:pPr>
    <w:rPr>
      <w:sz w:val="24"/>
      <w:lang w:bidi="en-US"/>
    </w:rPr>
  </w:style>
  <w:style w:type="paragraph" w:styleId="1195" w:customStyle="1">
    <w:name w:val="flNote"/>
    <w:basedOn w:val="852"/>
    <w:uiPriority w:val="99"/>
    <w:qFormat/>
    <w:pPr>
      <w:jc w:val="center"/>
      <w:spacing w:before="320" w:after="160" w:line="360" w:lineRule="atLeast"/>
    </w:pPr>
    <w:rPr>
      <w:rFonts w:ascii="Arial" w:hAnsi="Calibri" w:eastAsia="黑体"/>
      <w:sz w:val="30"/>
      <w:szCs w:val="22"/>
    </w:rPr>
  </w:style>
  <w:style w:type="paragraph" w:styleId="1196" w:customStyle="1">
    <w:name w:val="目录 4_0"/>
    <w:basedOn w:val="1115"/>
    <w:next w:val="1115"/>
    <w:uiPriority w:val="39"/>
    <w:qFormat/>
    <w:pPr>
      <w:ind w:left="1260"/>
    </w:pPr>
    <w:rPr>
      <w:rFonts w:ascii="Calibri" w:hAnsi="Calibri"/>
    </w:rPr>
  </w:style>
  <w:style w:type="paragraph" w:styleId="1197" w:customStyle="1">
    <w:name w:val="列出段落11"/>
    <w:basedOn w:val="852"/>
    <w:uiPriority w:val="99"/>
    <w:qFormat/>
    <w:pPr>
      <w:contextualSpacing/>
      <w:ind w:left="720"/>
      <w:jc w:val="left"/>
      <w:widowControl/>
    </w:pPr>
    <w:rPr>
      <w:rFonts w:ascii="Arial" w:hAnsi="Arial" w:eastAsia="黑体"/>
      <w:sz w:val="24"/>
      <w:lang w:eastAsia="en-US"/>
    </w:rPr>
  </w:style>
  <w:style w:type="paragraph" w:styleId="1198" w:customStyle="1">
    <w:name w:val="列出段落41"/>
    <w:basedOn w:val="852"/>
    <w:uiPriority w:val="99"/>
    <w:qFormat/>
    <w:pPr>
      <w:ind w:firstLine="420"/>
    </w:pPr>
  </w:style>
  <w:style w:type="paragraph" w:styleId="1199" w:customStyle="1">
    <w:name w:val="_Style 28"/>
    <w:basedOn w:val="852"/>
    <w:next w:val="926"/>
    <w:uiPriority w:val="34"/>
    <w:qFormat/>
    <w:pPr>
      <w:ind w:firstLine="420"/>
    </w:pPr>
  </w:style>
  <w:style w:type="paragraph" w:styleId="1200" w:customStyle="1">
    <w:name w:val="正文 + 行距: 固定值 20 磅"/>
    <w:basedOn w:val="852"/>
    <w:uiPriority w:val="99"/>
    <w:qFormat/>
    <w:pPr>
      <w:ind w:firstLine="716"/>
      <w:spacing w:line="400" w:lineRule="exact"/>
    </w:pPr>
    <w:rPr>
      <w:rFonts w:ascii="Calibri" w:hAnsi="Calibri"/>
      <w:szCs w:val="22"/>
    </w:rPr>
  </w:style>
  <w:style w:type="paragraph" w:styleId="1201" w:customStyle="1">
    <w:name w:val="文章正文"/>
    <w:basedOn w:val="852"/>
    <w:uiPriority w:val="99"/>
    <w:qFormat/>
    <w:pPr>
      <w:ind w:firstLine="480"/>
      <w:spacing w:line="360" w:lineRule="auto"/>
    </w:pPr>
    <w:rPr>
      <w:rFonts w:ascii="仿宋_GB2312" w:hAnsi="宋体" w:eastAsia="仿宋_GB2312"/>
      <w:color w:val="ff0000"/>
      <w:sz w:val="24"/>
    </w:rPr>
  </w:style>
  <w:style w:type="paragraph" w:styleId="1202" w:customStyle="1">
    <w:name w:val="样式 标题 1 + 黑体 三号 非加粗 居中 段前: 6 磅 段后: 6 磅 行距: 固定值 20 磅"/>
    <w:basedOn w:val="853"/>
    <w:uiPriority w:val="99"/>
    <w:qFormat/>
    <w:pPr>
      <w:numPr>
        <w:numId w:val="0"/>
      </w:numPr>
      <w:spacing w:before="120" w:after="120" w:line="400" w:lineRule="exact"/>
    </w:pPr>
    <w:rPr>
      <w:rFonts w:ascii="黑体" w:hAnsi="黑体" w:eastAsia="黑体"/>
      <w:b w:val="0"/>
      <w:bCs w:val="0"/>
      <w:szCs w:val="20"/>
    </w:rPr>
  </w:style>
  <w:style w:type="paragraph" w:styleId="1203" w:customStyle="1">
    <w:name w:val="表格"/>
    <w:basedOn w:val="852"/>
    <w:uiPriority w:val="99"/>
    <w:qFormat/>
    <w:pPr>
      <w:jc w:val="center"/>
    </w:pPr>
    <w:rPr>
      <w:rFonts w:ascii="华文细黑" w:hAnsi="华文细黑"/>
      <w:szCs w:val="22"/>
    </w:rPr>
  </w:style>
  <w:style w:type="paragraph" w:styleId="1204" w:customStyle="1">
    <w:name w:val="*正文"/>
    <w:basedOn w:val="852"/>
    <w:uiPriority w:val="0"/>
    <w:qFormat/>
    <w:rPr>
      <w:rFonts w:ascii="宋体" w:hAnsi="宋体"/>
      <w:sz w:val="24"/>
      <w:lang w:val="zh-CN"/>
    </w:rPr>
  </w:style>
  <w:style w:type="paragraph" w:styleId="1205"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06" w:customStyle="1">
    <w:name w:val="四级标题"/>
    <w:basedOn w:val="880"/>
    <w:uiPriority w:val="0"/>
    <w:qFormat/>
    <w:pPr>
      <w:spacing w:line="360" w:lineRule="auto"/>
    </w:pPr>
    <w:rPr>
      <w:rFonts w:hint="eastAsia" w:ascii="宋体" w:hAnsi="Courier New" w:eastAsia="黑体" w:cs="Courier New"/>
      <w:sz w:val="24"/>
      <w:szCs w:val="21"/>
    </w:rPr>
  </w:style>
  <w:style w:type="paragraph" w:styleId="1207" w:customStyle="1">
    <w:name w:val="标题 11"/>
    <w:basedOn w:val="1208"/>
    <w:next w:val="1208"/>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08" w:customStyle="1">
    <w:name w:val="正文1"/>
    <w:uiPriority w:val="99"/>
    <w:qFormat/>
    <w:pPr>
      <w:jc w:val="both"/>
      <w:widowControl w:val="off"/>
    </w:pPr>
    <w:rPr>
      <w:rFonts w:ascii="Calibri" w:hAnsi="Calibri" w:eastAsia="宋体" w:cs="Times New Roman"/>
      <w:lang w:val="en-US" w:eastAsia="zh-CN" w:bidi="ar-SA"/>
    </w:rPr>
  </w:style>
  <w:style w:type="paragraph" w:styleId="1209" w:customStyle="1">
    <w:name w:val="样式 标题 2 + Times New Roman 四号 非加粗 段前: 5 磅 段后: 0 磅 行距: 固定值 20..."/>
    <w:basedOn w:val="854"/>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10" w:customStyle="1">
    <w:name w:val="Char"/>
    <w:basedOn w:val="852"/>
    <w:uiPriority w:val="99"/>
    <w:qFormat/>
    <w:pPr>
      <w:jc w:val="left"/>
      <w:spacing w:after="160" w:line="240" w:lineRule="exact"/>
      <w:widowControl/>
    </w:pPr>
    <w:rPr>
      <w:rFonts w:ascii="Verdana" w:hAnsi="Verdana"/>
      <w:sz w:val="20"/>
      <w:szCs w:val="20"/>
      <w:lang w:eastAsia="en-US"/>
    </w:rPr>
  </w:style>
  <w:style w:type="paragraph" w:styleId="1211" w:customStyle="1">
    <w:name w:val="Blockquote_0"/>
    <w:basedOn w:val="1115"/>
    <w:uiPriority w:val="99"/>
    <w:qFormat/>
    <w:pPr>
      <w:ind w:left="360" w:right="360"/>
      <w:jc w:val="left"/>
      <w:spacing w:before="100" w:after="100"/>
    </w:pPr>
    <w:rPr>
      <w:rFonts w:ascii="Calibri" w:hAnsi="Calibri" w:eastAsia="Times New Roman"/>
      <w:sz w:val="24"/>
      <w:szCs w:val="20"/>
    </w:rPr>
  </w:style>
  <w:style w:type="paragraph" w:styleId="1212" w:customStyle="1">
    <w:name w:val="修订1"/>
    <w:uiPriority w:val="99"/>
    <w:qFormat/>
    <w:rPr>
      <w:rFonts w:ascii="Times New Roman" w:hAnsi="Times New Roman" w:eastAsia="宋体" w:cs="Times New Roman"/>
      <w:sz w:val="21"/>
      <w:szCs w:val="24"/>
      <w:lang w:val="en-US" w:eastAsia="zh-CN" w:bidi="ar-SA"/>
    </w:rPr>
  </w:style>
  <w:style w:type="paragraph" w:styleId="1213" w:customStyle="1">
    <w:name w:val="表格标题"/>
    <w:basedOn w:val="1182"/>
    <w:uiPriority w:val="0"/>
    <w:qFormat/>
    <w:pPr>
      <w:jc w:val="center"/>
    </w:pPr>
    <w:rPr>
      <w:b/>
    </w:rPr>
  </w:style>
  <w:style w:type="paragraph" w:styleId="1214"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op_mapdots_left"/>
    <w:basedOn w:val="852"/>
    <w:uiPriority w:val="99"/>
    <w:qFormat/>
    <w:pPr>
      <w:jc w:val="left"/>
      <w:spacing w:before="100" w:beforeAutospacing="1" w:after="100" w:afterAutospacing="1"/>
      <w:widowControl/>
    </w:pPr>
    <w:rPr>
      <w:rFonts w:ascii="宋体" w:hAnsi="宋体" w:cs="宋体"/>
      <w:sz w:val="24"/>
    </w:rPr>
  </w:style>
  <w:style w:type="paragraph" w:styleId="1216" w:customStyle="1">
    <w:name w:val="空半行"/>
    <w:basedOn w:val="852"/>
    <w:uiPriority w:val="99"/>
    <w:qFormat/>
    <w:pPr>
      <w:spacing w:line="120" w:lineRule="exact"/>
    </w:pPr>
    <w:rPr>
      <w:rFonts w:ascii="Calibri" w:hAnsi="Calibri" w:eastAsia="仿宋_GB2312"/>
      <w:color w:val="ffffff"/>
      <w:sz w:val="30"/>
      <w:szCs w:val="22"/>
    </w:rPr>
  </w:style>
  <w:style w:type="paragraph" w:styleId="1217" w:customStyle="1">
    <w:name w:val="_Style 36"/>
    <w:next w:val="926"/>
    <w:uiPriority w:val="99"/>
    <w:qFormat/>
    <w:pPr>
      <w:jc w:val="both"/>
      <w:widowControl w:val="off"/>
    </w:pPr>
    <w:rPr>
      <w:rFonts w:ascii="Times New Roman" w:hAnsi="Times New Roman" w:eastAsia="宋体" w:cs="Times New Roman"/>
      <w:sz w:val="21"/>
      <w:lang w:val="en-US" w:eastAsia="zh-CN" w:bidi="ar-SA"/>
    </w:rPr>
  </w:style>
  <w:style w:type="paragraph" w:styleId="1218" w:customStyle="1">
    <w:name w:val="table_1stline"/>
    <w:basedOn w:val="852"/>
    <w:uiPriority w:val="99"/>
    <w:qFormat/>
    <w:pPr>
      <w:jc w:val="left"/>
      <w:spacing w:before="120"/>
      <w:widowControl/>
    </w:pPr>
    <w:rPr>
      <w:bCs/>
      <w:sz w:val="20"/>
      <w:lang w:val="de-DE" w:eastAsia="de-DE"/>
    </w:rPr>
  </w:style>
  <w:style w:type="paragraph" w:styleId="1219" w:customStyle="1">
    <w:name w:val="txt"/>
    <w:basedOn w:val="852"/>
    <w:uiPriority w:val="99"/>
    <w:qFormat/>
    <w:pPr>
      <w:jc w:val="left"/>
      <w:spacing w:before="100" w:beforeAutospacing="1" w:after="100" w:afterAutospacing="1"/>
      <w:widowControl/>
    </w:pPr>
    <w:rPr>
      <w:rFonts w:ascii="宋体" w:hAnsi="宋体" w:cs="宋体"/>
      <w:sz w:val="24"/>
    </w:rPr>
  </w:style>
  <w:style w:type="paragraph" w:styleId="1220" w:customStyle="1">
    <w:name w:val="文档正文"/>
    <w:basedOn w:val="852"/>
    <w:uiPriority w:val="99"/>
    <w:qFormat/>
    <w:pPr>
      <w:ind w:firstLine="567"/>
      <w:spacing w:line="480" w:lineRule="atLeast"/>
    </w:pPr>
    <w:rPr>
      <w:rFonts w:ascii="Ari" w:eastAsia="Ari"/>
      <w:sz w:val="28"/>
      <w:szCs w:val="20"/>
    </w:rPr>
  </w:style>
  <w:style w:type="paragraph" w:styleId="1221" w:customStyle="1">
    <w:name w:val="Blockquote"/>
    <w:basedOn w:val="852"/>
    <w:uiPriority w:val="99"/>
    <w:qFormat/>
    <w:pPr>
      <w:ind w:left="360" w:right="360"/>
      <w:jc w:val="left"/>
      <w:spacing w:before="100" w:after="100"/>
    </w:pPr>
    <w:rPr>
      <w:rFonts w:ascii="Calibri" w:hAnsi="Calibri"/>
      <w:sz w:val="24"/>
      <w:szCs w:val="22"/>
    </w:rPr>
  </w:style>
  <w:style w:type="paragraph" w:styleId="1222" w:customStyle="1">
    <w:name w:val="列出段落2"/>
    <w:basedOn w:val="852"/>
    <w:uiPriority w:val="99"/>
    <w:qFormat/>
    <w:pPr>
      <w:ind w:firstLine="420"/>
    </w:pPr>
  </w:style>
  <w:style w:type="paragraph" w:styleId="1223" w:customStyle="1">
    <w:name w:val="格式３"/>
    <w:basedOn w:val="852"/>
    <w:uiPriority w:val="99"/>
    <w:qFormat/>
    <w:pPr>
      <w:ind w:left="600" w:hanging="600"/>
      <w:spacing w:line="420" w:lineRule="exact"/>
    </w:pPr>
    <w:rPr>
      <w:rFonts w:ascii="宋体" w:hAnsi="宋体"/>
      <w:color w:val="000000"/>
      <w:sz w:val="24"/>
      <w:szCs w:val="20"/>
    </w:rPr>
  </w:style>
  <w:style w:type="paragraph" w:styleId="1224" w:customStyle="1">
    <w:name w:val="正文2"/>
    <w:uiPriority w:val="99"/>
    <w:qFormat/>
    <w:rPr>
      <w:rFonts w:ascii="Times New Roman" w:hAnsi="Times New Roman" w:eastAsia="微软雅黑" w:cs="Times New Roman"/>
      <w:sz w:val="24"/>
      <w:szCs w:val="24"/>
      <w:lang w:val="en-US" w:eastAsia="zh-CN" w:bidi="ar-SA"/>
    </w:rPr>
  </w:style>
  <w:style w:type="paragraph" w:styleId="1225" w:customStyle="1">
    <w:name w:val="列出段落4"/>
    <w:basedOn w:val="852"/>
    <w:uiPriority w:val="34"/>
    <w:qFormat/>
    <w:pPr>
      <w:ind w:firstLine="420"/>
    </w:pPr>
  </w:style>
  <w:style w:type="paragraph" w:styleId="1226" w:customStyle="1">
    <w:name w:val="列出段落1"/>
    <w:basedOn w:val="852"/>
    <w:uiPriority w:val="99"/>
    <w:qFormat/>
    <w:pPr>
      <w:contextualSpacing/>
      <w:ind w:left="720"/>
      <w:jc w:val="left"/>
      <w:widowControl/>
    </w:pPr>
    <w:rPr>
      <w:rFonts w:ascii="Arial" w:hAnsi="Arial" w:eastAsia="黑体"/>
      <w:sz w:val="24"/>
      <w:lang w:eastAsia="en-US"/>
    </w:rPr>
  </w:style>
  <w:style w:type="paragraph" w:styleId="122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28" w:customStyle="1">
    <w:name w:val="目录 5_0"/>
    <w:basedOn w:val="1115"/>
    <w:next w:val="1115"/>
    <w:uiPriority w:val="39"/>
    <w:qFormat/>
    <w:pPr>
      <w:ind w:left="1680"/>
    </w:pPr>
    <w:rPr>
      <w:rFonts w:ascii="Calibri" w:hAnsi="Calibri"/>
    </w:rPr>
  </w:style>
  <w:style w:type="paragraph" w:styleId="1229" w:customStyle="1">
    <w:name w:val="样式 标题 3 + (中文) 黑体 小四 非加粗 段前: 7.8 磅 段后: 0 磅 行距: 固定值 20 磅"/>
    <w:basedOn w:val="855"/>
    <w:next w:val="852"/>
    <w:uiPriority w:val="99"/>
    <w:qFormat/>
    <w:pPr>
      <w:spacing w:before="0" w:after="0" w:line="400" w:lineRule="exact"/>
    </w:pPr>
    <w:rPr>
      <w:rFonts w:eastAsia="黑体" w:cs="宋体"/>
      <w:b w:val="0"/>
      <w:bCs w:val="0"/>
      <w:sz w:val="24"/>
      <w:szCs w:val="20"/>
    </w:rPr>
  </w:style>
  <w:style w:type="paragraph" w:styleId="1230"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31" w:customStyle="1">
    <w:name w:val="列出段落3"/>
    <w:basedOn w:val="852"/>
    <w:uiPriority w:val="99"/>
    <w:qFormat/>
    <w:pPr>
      <w:ind w:firstLine="420"/>
      <w:jc w:val="left"/>
      <w:spacing w:after="200"/>
      <w:widowControl/>
    </w:pPr>
    <w:rPr>
      <w:rFonts w:ascii="Tahoma" w:hAnsi="Tahoma" w:eastAsia="微软雅黑"/>
      <w:sz w:val="22"/>
      <w:szCs w:val="22"/>
    </w:rPr>
  </w:style>
  <w:style w:type="paragraph" w:styleId="1232" w:customStyle="1">
    <w:name w:val="修订2"/>
    <w:uiPriority w:val="99"/>
    <w:semiHidden/>
    <w:qFormat/>
    <w:rPr>
      <w:rFonts w:ascii="Times New Roman" w:hAnsi="Times New Roman" w:eastAsia="宋体" w:cs="Times New Roman"/>
      <w:sz w:val="21"/>
      <w:szCs w:val="24"/>
      <w:lang w:val="en-US" w:eastAsia="zh-CN" w:bidi="ar-SA"/>
    </w:rPr>
  </w:style>
  <w:style w:type="table" w:styleId="1233" w:customStyle="1">
    <w:name w:val="网格型1"/>
    <w:basedOn w:val="863"/>
    <w:uiPriority w:val="0"/>
    <w:qFormat/>
    <w:rPr>
      <w:rFonts w:ascii="Calibri" w:hAnsi="Calibri"/>
    </w:rPr>
    <w:tblPr/>
  </w:style>
  <w:style w:type="paragraph" w:styleId="1234" w:customStyle="1">
    <w:name w:val="标题 41"/>
    <w:basedOn w:val="852"/>
    <w:next w:val="852"/>
    <w:uiPriority w:val="0"/>
    <w:qFormat/>
    <w:pPr>
      <w:keepLines/>
      <w:keepNext/>
      <w:spacing w:before="120" w:after="120"/>
      <w:outlineLvl w:val="3"/>
    </w:pPr>
    <w:rPr>
      <w:rFonts w:ascii="Arial" w:hAnsi="Arial" w:eastAsia="黑体"/>
      <w:b/>
      <w:sz w:val="28"/>
    </w:rPr>
  </w:style>
  <w:style w:type="paragraph" w:styleId="1235" w:customStyle="1">
    <w:name w:val="标题 21"/>
    <w:basedOn w:val="852"/>
    <w:next w:val="852"/>
    <w:uiPriority w:val="0"/>
    <w:qFormat/>
    <w:pPr>
      <w:jc w:val="center"/>
      <w:keepLines/>
      <w:keepNext/>
      <w:spacing w:before="260" w:after="260"/>
      <w:outlineLvl w:val="1"/>
    </w:pPr>
    <w:rPr>
      <w:rFonts w:ascii="Cambria" w:hAnsi="Cambria"/>
      <w:b/>
      <w:bCs/>
      <w:sz w:val="28"/>
      <w:szCs w:val="32"/>
    </w:rPr>
  </w:style>
  <w:style w:type="paragraph" w:styleId="1236" w:customStyle="1">
    <w:name w:val="WPSOffice手动目录 1"/>
    <w:uiPriority w:val="0"/>
    <w:qFormat/>
    <w:rPr>
      <w:rFonts w:ascii="Times New Roman" w:hAnsi="Times New Roman" w:eastAsia="宋体" w:cs="Times New Roman"/>
      <w:lang w:val="en-US" w:eastAsia="zh-CN" w:bidi="ar-SA"/>
    </w:rPr>
  </w:style>
  <w:style w:type="paragraph" w:styleId="1237" w:customStyle="1">
    <w:name w:val="WPSOffice手动目录 2"/>
    <w:uiPriority w:val="0"/>
    <w:qFormat/>
    <w:rPr>
      <w:rFonts w:ascii="Times New Roman" w:hAnsi="Times New Roman" w:eastAsia="宋体" w:cs="Times New Roman"/>
      <w:lang w:val="en-US" w:eastAsia="zh-CN" w:bidi="ar-SA"/>
    </w:rPr>
  </w:style>
  <w:style w:type="table" w:styleId="1238" w:customStyle="1">
    <w:name w:val="Table Normal"/>
    <w:uiPriority w:val="0"/>
    <w:semiHidden/>
    <w:unhideWhenUsed/>
    <w:qFormat/>
    <w:tblPr>
      <w:tblCellMar>
        <w:left w:w="0" w:type="dxa"/>
        <w:top w:w="0" w:type="dxa"/>
        <w:right w:w="0" w:type="dxa"/>
        <w:bottom w:w="0" w:type="dxa"/>
      </w:tblCellMar>
    </w:tblPr>
  </w:style>
  <w:style w:type="paragraph" w:styleId="1239" w:customStyle="1">
    <w:name w:val="首行缩进"/>
    <w:basedOn w:val="852"/>
    <w:uiPriority w:val="0"/>
    <w:qFormat/>
    <w:pPr>
      <w:spacing w:line="312" w:lineRule="atLeast"/>
    </w:pPr>
    <w:rPr>
      <w:rFonts w:ascii="Calibri" w:hAnsi="Calibri"/>
    </w:rPr>
  </w:style>
  <w:style w:type="paragraph" w:styleId="1240" w:customStyle="1">
    <w:name w:val="null3"/>
    <w:hidden/>
    <w:uiPriority w:val="0"/>
    <w:qFormat/>
    <w:rPr>
      <w:rFonts w:hint="eastAsia" w:asciiTheme="minorHAnsi" w:hAnsiTheme="minorHAnsi" w:eastAsiaTheme="minorEastAsia" w:cstheme="minorBidi"/>
      <w:lang w:val="en-US" w:eastAsia="zh-Hans" w:bidi="ar-SA"/>
    </w:rPr>
  </w:style>
  <w:style w:type="character" w:styleId="1241" w:customStyle="1">
    <w:name w:val="font91"/>
    <w:basedOn w:val="862"/>
    <w:uiPriority w:val="0"/>
    <w:qFormat/>
    <w:rPr>
      <w:rFonts w:ascii="宋体" w:hAnsi="宋体" w:eastAsia="宋体" w:cs="宋体"/>
      <w:b/>
      <w:bCs/>
      <w:color w:val="000000"/>
      <w:sz w:val="22"/>
      <w:szCs w:val="22"/>
      <w:u w:val="none"/>
    </w:rPr>
  </w:style>
  <w:style w:type="character" w:styleId="1242" w:customStyle="1">
    <w:name w:val="font101"/>
    <w:basedOn w:val="862"/>
    <w:uiPriority w:val="0"/>
    <w:qFormat/>
    <w:rPr>
      <w:rFonts w:ascii="宋体" w:hAnsi="宋体" w:eastAsia="宋体" w:cs="宋体"/>
      <w:color w:val="000000"/>
      <w:sz w:val="22"/>
      <w:szCs w:val="22"/>
      <w:u w:val="none"/>
    </w:rPr>
  </w:style>
  <w:style w:type="numbering" w:styleId="10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张娜娜</cp:lastModifiedBy>
  <cp:revision>34</cp:revision>
  <dcterms:created xsi:type="dcterms:W3CDTF">2024-10-08T06:27:00Z</dcterms:created>
  <dcterms:modified xsi:type="dcterms:W3CDTF">2026-06-02T07:34:40Z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1A0AF844802B4999BD61B32DF69860D7_13</vt:lpwstr>
  </property>
  <property fmtid="{D5CDD505-2E9C-101B-9397-08002B2CF9AE}" pid="4" name="KSOTemplateDocerSaveRecord">
    <vt:lpwstr>eyJoZGlkIjoiNjEyOTIxNzY4MDc1ODgyNDNlYzdkNWY2NWJmYjU3YmYiLCJ1c2VySWQiOiI0NDIwMTEwMDIifQ==</vt:lpwstr>
  </property>
</Properties>
</file>