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end"/>
      </w:r>
      <w:r/>
    </w:p>
    <w:p>
      <w:pPr>
        <w:jc w:val="center"/>
        <w:spacing w:line="360" w:lineRule="auto"/>
        <w:rPr>
          <w:b/>
          <w:sz w:val="52"/>
          <w:szCs w:val="52"/>
        </w:rPr>
      </w:pPr>
      <w:r>
        <w:rPr>
          <w:b/>
          <w:sz w:val="52"/>
          <w:szCs w:val="52"/>
        </w:rPr>
      </w:r>
      <w:r/>
    </w:p>
    <w:p>
      <w:pPr>
        <w:pStyle w:val="1184"/>
      </w:pPr>
      <w:r/>
      <w:r/>
    </w:p>
    <w:p>
      <w:pPr>
        <w:jc w:val="center"/>
        <w:spacing w:line="360" w:lineRule="auto"/>
        <w:rPr>
          <w:b/>
          <w:sz w:val="52"/>
          <w:szCs w:val="52"/>
        </w:rPr>
      </w:pPr>
      <w:r>
        <w:rPr>
          <w:b/>
          <w:sz w:val="52"/>
          <w:szCs w:val="52"/>
        </w:rPr>
        <w:t xml:space="preserve">南京中医药大学</w:t>
      </w:r>
      <w:r/>
    </w:p>
    <w:p>
      <w:pPr>
        <w:jc w:val="center"/>
        <w:spacing w:line="360" w:lineRule="auto"/>
        <w:rPr>
          <w:b/>
          <w:sz w:val="52"/>
          <w:szCs w:val="52"/>
        </w:rPr>
      </w:pPr>
      <w:r>
        <w:rPr>
          <w:rFonts w:hint="eastAsia"/>
          <w:b/>
          <w:sz w:val="52"/>
          <w:szCs w:val="52"/>
        </w:rPr>
        <w:t xml:space="preserve">仙林校区及汉中门校区绿化养护托管服务</w:t>
      </w:r>
      <w:r/>
    </w:p>
    <w:p>
      <w:pPr>
        <w:jc w:val="center"/>
        <w:spacing w:line="360" w:lineRule="auto"/>
        <w:rPr>
          <w:b/>
          <w:sz w:val="84"/>
          <w:szCs w:val="84"/>
        </w:rPr>
      </w:pPr>
      <w:r>
        <w:rPr>
          <w:b/>
          <w:sz w:val="84"/>
          <w:szCs w:val="84"/>
        </w:rPr>
      </w:r>
      <w:r/>
    </w:p>
    <w:p>
      <w:pPr>
        <w:jc w:val="center"/>
        <w:spacing w:line="360" w:lineRule="auto"/>
        <w:rPr>
          <w:b/>
          <w:sz w:val="84"/>
          <w:szCs w:val="84"/>
        </w:rPr>
      </w:pPr>
      <w:r>
        <w:rPr>
          <w:b/>
          <w:sz w:val="84"/>
          <w:szCs w:val="84"/>
        </w:rPr>
        <w:t xml:space="preserve">招标文件</w:t>
      </w:r>
      <w:r/>
    </w:p>
    <w:p>
      <w:pPr>
        <w:pStyle w:val="1183"/>
        <w:ind w:firstLine="0"/>
        <w:rPr>
          <w:bCs/>
          <w:sz w:val="32"/>
        </w:rPr>
      </w:pPr>
      <w:r>
        <w:rPr>
          <w:bCs/>
          <w:sz w:val="32"/>
        </w:rPr>
      </w:r>
      <w:r/>
    </w:p>
    <w:p>
      <w:pPr>
        <w:pStyle w:val="1183"/>
        <w:ind w:firstLine="0"/>
      </w:pPr>
      <w:r/>
      <w:r/>
    </w:p>
    <w:p>
      <w:pPr>
        <w:pStyle w:val="1183"/>
        <w:ind w:firstLine="0"/>
      </w:pPr>
      <w:r/>
      <w:r/>
    </w:p>
    <w:p>
      <w:pPr>
        <w:pStyle w:val="1183"/>
        <w:ind w:firstLine="0"/>
      </w:pPr>
      <w:r/>
      <w:r/>
    </w:p>
    <w:p>
      <w:pPr>
        <w:pStyle w:val="1183"/>
        <w:ind w:firstLine="0"/>
      </w:pPr>
      <w:r/>
      <w:r/>
    </w:p>
    <w:p>
      <w:pPr>
        <w:pStyle w:val="1183"/>
        <w:ind w:firstLine="0"/>
      </w:pPr>
      <w:r/>
      <w:r/>
    </w:p>
    <w:p>
      <w:pPr>
        <w:pStyle w:val="1183"/>
        <w:ind w:firstLine="280"/>
      </w:pPr>
      <w:r/>
      <w:r/>
    </w:p>
    <w:p>
      <w:pPr>
        <w:ind w:firstLine="1285"/>
        <w:spacing w:line="360" w:lineRule="auto"/>
        <w:rPr>
          <w:b/>
          <w:sz w:val="32"/>
          <w:szCs w:val="32"/>
        </w:rPr>
      </w:pPr>
      <w:r>
        <w:rPr>
          <w:b/>
          <w:sz w:val="32"/>
          <w:szCs w:val="32"/>
        </w:rPr>
        <w:t xml:space="preserve">项目编号：</w:t>
      </w:r>
      <w:r>
        <w:rPr>
          <w:rFonts w:hint="eastAsia"/>
          <w:b/>
          <w:sz w:val="32"/>
          <w:szCs w:val="32"/>
        </w:rPr>
        <w:t xml:space="preserve">NZYZB2026-034</w:t>
      </w:r>
      <w:r>
        <w:rPr>
          <w:b/>
          <w:sz w:val="32"/>
          <w:szCs w:val="32"/>
        </w:rPr>
        <w:t xml:space="preserve">（2640SUMEC/GXZM</w:t>
      </w:r>
      <w:r>
        <w:rPr>
          <w:rFonts w:hint="eastAsia"/>
          <w:b/>
          <w:sz w:val="32"/>
          <w:szCs w:val="32"/>
        </w:rPr>
        <w:t xml:space="preserve">1108</w:t>
      </w:r>
      <w:r>
        <w:rPr>
          <w:b/>
          <w:sz w:val="32"/>
          <w:szCs w:val="32"/>
        </w:rPr>
        <w:t xml:space="preserve">）</w:t>
      </w:r>
      <w:r/>
    </w:p>
    <w:p>
      <w:pPr>
        <w:pStyle w:val="1183"/>
        <w:ind w:firstLine="0"/>
        <w:rPr>
          <w:b/>
          <w:sz w:val="32"/>
          <w:szCs w:val="32"/>
          <w:highlight w:val="yellow"/>
        </w:rPr>
      </w:pPr>
      <w:r>
        <w:t xml:space="preserve">         </w:t>
      </w:r>
      <w:r>
        <w:rPr>
          <w:b/>
          <w:sz w:val="32"/>
          <w:szCs w:val="32"/>
        </w:rPr>
        <w:t xml:space="preserve">采购人：南京中医药大学</w:t>
      </w:r>
      <w:r/>
    </w:p>
    <w:p>
      <w:pPr>
        <w:pStyle w:val="1183"/>
        <w:ind w:firstLine="1285"/>
      </w:pPr>
      <w:r>
        <w:rPr>
          <w:b/>
          <w:sz w:val="32"/>
          <w:szCs w:val="32"/>
        </w:rPr>
        <w:t xml:space="preserve">采购代理机构：江苏苏美达仪器设备有限公司</w:t>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t xml:space="preserve">2026年</w:t>
      </w:r>
      <w:r>
        <w:rPr>
          <w:rFonts w:hint="eastAsia"/>
          <w:b/>
          <w:sz w:val="36"/>
          <w:szCs w:val="36"/>
        </w:rPr>
        <w:t xml:space="preserve">6</w:t>
      </w:r>
      <w:r>
        <w:rPr>
          <w:b/>
          <w:sz w:val="36"/>
          <w:szCs w:val="36"/>
        </w:rPr>
        <w:t xml:space="preserve">月</w:t>
      </w:r>
      <w:r/>
    </w:p>
    <w:p>
      <w:pPr>
        <w:jc w:val="center"/>
        <w:spacing w:line="360" w:lineRule="auto"/>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720" w:equalWidth="1"/>
          <w:docGrid w:linePitch="360"/>
        </w:sectPr>
      </w:pPr>
      <w:r>
        <w:rPr>
          <w:bCs/>
          <w:sz w:val="32"/>
        </w:rPr>
      </w:r>
      <w:r/>
    </w:p>
    <w:p>
      <w:pPr>
        <w:jc w:val="center"/>
        <w:spacing w:line="360" w:lineRule="auto"/>
        <w:rPr>
          <w:b/>
          <w:sz w:val="32"/>
        </w:rPr>
      </w:pPr>
      <w:r>
        <w:rPr>
          <w:b/>
          <w:sz w:val="32"/>
        </w:rPr>
        <w:t xml:space="preserve">目   录</w:t>
      </w:r>
      <w:r/>
    </w:p>
    <w:p>
      <w:pPr>
        <w:pStyle w:val="1172"/>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_Toc7301 </w:instrText>
      </w:r>
      <w:r>
        <w:rPr>
          <w:bCs/>
        </w:rPr>
        <w:fldChar w:fldCharType="separate"/>
      </w:r>
      <w:r>
        <w:rPr>
          <w:szCs w:val="28"/>
        </w:rPr>
        <w:t xml:space="preserve">第一章 投标邀请（招标公告）</w:t>
      </w:r>
      <w:r>
        <w:tab/>
      </w:r>
      <w:r>
        <w:fldChar w:fldCharType="begin"/>
      </w:r>
      <w:r>
        <w:instrText xml:space="preserve"> PAGEREF _Toc7301 \h </w:instrText>
      </w:r>
      <w:r>
        <w:fldChar w:fldCharType="separate"/>
      </w:r>
      <w:r>
        <w:t xml:space="preserve">3</w:t>
      </w:r>
      <w:r>
        <w:fldChar w:fldCharType="end"/>
      </w:r>
      <w:r>
        <w:rPr>
          <w:bCs/>
        </w:rPr>
        <w:fldChar w:fldCharType="end"/>
      </w:r>
      <w:r/>
    </w:p>
    <w:p>
      <w:pPr>
        <w:pStyle w:val="1172"/>
        <w:tabs>
          <w:tab w:val="right" w:pos="9638" w:leader="dot"/>
        </w:tabs>
      </w:pPr>
      <w:r>
        <w:rPr>
          <w:bCs/>
        </w:rPr>
        <w:fldChar w:fldCharType="begin"/>
      </w:r>
      <w:r>
        <w:rPr>
          <w:bCs/>
        </w:rPr>
        <w:instrText xml:space="preserve"> HYPERLINK \l _Toc1362 </w:instrText>
      </w:r>
      <w:r>
        <w:rPr>
          <w:bCs/>
        </w:rPr>
        <w:fldChar w:fldCharType="separate"/>
      </w:r>
      <w:r>
        <w:rPr>
          <w:szCs w:val="28"/>
        </w:rPr>
        <w:t xml:space="preserve">第二章 投标人须知</w:t>
      </w:r>
      <w:r>
        <w:tab/>
      </w:r>
      <w:r>
        <w:fldChar w:fldCharType="begin"/>
      </w:r>
      <w:r>
        <w:instrText xml:space="preserve"> PAGEREF _Toc1362 \h </w:instrText>
      </w:r>
      <w:r>
        <w:fldChar w:fldCharType="separate"/>
      </w:r>
      <w:r>
        <w:t xml:space="preserve">7</w:t>
      </w:r>
      <w:r>
        <w:fldChar w:fldCharType="end"/>
      </w:r>
      <w:r>
        <w:rPr>
          <w:bCs/>
        </w:rPr>
        <w:fldChar w:fldCharType="end"/>
      </w:r>
      <w:r/>
    </w:p>
    <w:p>
      <w:pPr>
        <w:pStyle w:val="1164"/>
        <w:tabs>
          <w:tab w:val="right" w:pos="9638" w:leader="dot"/>
        </w:tabs>
      </w:pPr>
      <w:r>
        <w:rPr>
          <w:bCs/>
        </w:rPr>
        <w:fldChar w:fldCharType="begin"/>
      </w:r>
      <w:r>
        <w:rPr>
          <w:bCs/>
        </w:rPr>
        <w:instrText xml:space="preserve"> HYPERLINK \l _Toc26256 </w:instrText>
      </w:r>
      <w:r>
        <w:rPr>
          <w:bCs/>
        </w:rPr>
        <w:fldChar w:fldCharType="separate"/>
      </w:r>
      <w:r>
        <w:rPr>
          <w:bCs/>
          <w:szCs w:val="21"/>
          <w:lang w:val="zh-CN"/>
        </w:rPr>
        <w:t xml:space="preserve">1.</w:t>
      </w:r>
      <w:r>
        <w:rPr>
          <w:szCs w:val="21"/>
          <w:lang w:val="zh-CN"/>
        </w:rPr>
        <w:t xml:space="preserve">适用法律</w:t>
      </w:r>
      <w:r>
        <w:tab/>
      </w:r>
      <w:r>
        <w:fldChar w:fldCharType="begin"/>
      </w:r>
      <w:r>
        <w:instrText xml:space="preserve"> PAGEREF _Toc26256 \h </w:instrText>
      </w:r>
      <w:r>
        <w:fldChar w:fldCharType="separate"/>
      </w:r>
      <w:r>
        <w:t xml:space="preserve">9</w:t>
      </w:r>
      <w:r>
        <w:fldChar w:fldCharType="end"/>
      </w:r>
      <w:r>
        <w:rPr>
          <w:bCs/>
        </w:rPr>
        <w:fldChar w:fldCharType="end"/>
      </w:r>
      <w:r/>
    </w:p>
    <w:p>
      <w:pPr>
        <w:pStyle w:val="1164"/>
        <w:tabs>
          <w:tab w:val="right" w:pos="9638" w:leader="dot"/>
        </w:tabs>
      </w:pPr>
      <w:r>
        <w:rPr>
          <w:bCs/>
        </w:rPr>
        <w:fldChar w:fldCharType="begin"/>
      </w:r>
      <w:r>
        <w:rPr>
          <w:bCs/>
        </w:rPr>
        <w:instrText xml:space="preserve"> HYPERLINK \l _Toc14738 </w:instrText>
      </w:r>
      <w:r>
        <w:rPr>
          <w:bCs/>
        </w:rPr>
        <w:fldChar w:fldCharType="separate"/>
      </w:r>
      <w:r>
        <w:rPr>
          <w:bCs/>
          <w:szCs w:val="21"/>
          <w:lang w:val="zh-CN"/>
        </w:rPr>
        <w:t xml:space="preserve">2.</w:t>
      </w:r>
      <w:r>
        <w:rPr>
          <w:szCs w:val="21"/>
          <w:lang w:val="zh-CN"/>
        </w:rPr>
        <w:t xml:space="preserve">定义</w:t>
      </w:r>
      <w:r>
        <w:tab/>
      </w:r>
      <w:r>
        <w:fldChar w:fldCharType="begin"/>
      </w:r>
      <w:r>
        <w:instrText xml:space="preserve"> PAGEREF _Toc14738 \h </w:instrText>
      </w:r>
      <w:r>
        <w:fldChar w:fldCharType="separate"/>
      </w:r>
      <w:r>
        <w:t xml:space="preserve">9</w:t>
      </w:r>
      <w:r>
        <w:fldChar w:fldCharType="end"/>
      </w:r>
      <w:r>
        <w:rPr>
          <w:bCs/>
        </w:rPr>
        <w:fldChar w:fldCharType="end"/>
      </w:r>
      <w:r/>
    </w:p>
    <w:p>
      <w:pPr>
        <w:pStyle w:val="1164"/>
        <w:tabs>
          <w:tab w:val="right" w:pos="9638" w:leader="dot"/>
        </w:tabs>
      </w:pPr>
      <w:r>
        <w:rPr>
          <w:bCs/>
        </w:rPr>
        <w:fldChar w:fldCharType="begin"/>
      </w:r>
      <w:r>
        <w:rPr>
          <w:bCs/>
        </w:rPr>
        <w:instrText xml:space="preserve"> HYPERLINK \l _Toc16201 </w:instrText>
      </w:r>
      <w:r>
        <w:rPr>
          <w:bCs/>
        </w:rPr>
        <w:fldChar w:fldCharType="separate"/>
      </w:r>
      <w:r>
        <w:rPr>
          <w:szCs w:val="21"/>
        </w:rPr>
        <w:t xml:space="preserve">3.政策功能</w:t>
      </w:r>
      <w:r>
        <w:tab/>
      </w:r>
      <w:r>
        <w:fldChar w:fldCharType="begin"/>
      </w:r>
      <w:r>
        <w:instrText xml:space="preserve"> PAGEREF _Toc16201 \h </w:instrText>
      </w:r>
      <w:r>
        <w:fldChar w:fldCharType="separate"/>
      </w:r>
      <w:r>
        <w:t xml:space="preserve">9</w:t>
      </w:r>
      <w:r>
        <w:fldChar w:fldCharType="end"/>
      </w:r>
      <w:r>
        <w:rPr>
          <w:bCs/>
        </w:rPr>
        <w:fldChar w:fldCharType="end"/>
      </w:r>
      <w:r/>
    </w:p>
    <w:p>
      <w:pPr>
        <w:pStyle w:val="1164"/>
        <w:tabs>
          <w:tab w:val="right" w:pos="9638" w:leader="dot"/>
        </w:tabs>
      </w:pPr>
      <w:r>
        <w:rPr>
          <w:bCs/>
        </w:rPr>
        <w:fldChar w:fldCharType="begin"/>
      </w:r>
      <w:r>
        <w:rPr>
          <w:bCs/>
        </w:rPr>
        <w:instrText xml:space="preserve"> HYPERLINK \l _Toc18719 </w:instrText>
      </w:r>
      <w:r>
        <w:rPr>
          <w:bCs/>
        </w:rPr>
        <w:fldChar w:fldCharType="separate"/>
      </w:r>
      <w:r>
        <w:rPr>
          <w:bCs/>
          <w:szCs w:val="21"/>
          <w:lang w:val="zh-CN"/>
        </w:rPr>
        <w:t xml:space="preserve">4.</w:t>
      </w:r>
      <w:r>
        <w:rPr>
          <w:szCs w:val="21"/>
          <w:lang w:val="zh-CN"/>
        </w:rPr>
        <w:t xml:space="preserve">投标费用</w:t>
      </w:r>
      <w:r>
        <w:tab/>
      </w:r>
      <w:r>
        <w:fldChar w:fldCharType="begin"/>
      </w:r>
      <w:r>
        <w:instrText xml:space="preserve"> PAGEREF _Toc18719 \h </w:instrText>
      </w:r>
      <w:r>
        <w:fldChar w:fldCharType="separate"/>
      </w:r>
      <w:r>
        <w:t xml:space="preserve">11</w:t>
      </w:r>
      <w:r>
        <w:fldChar w:fldCharType="end"/>
      </w:r>
      <w:r>
        <w:rPr>
          <w:bCs/>
        </w:rPr>
        <w:fldChar w:fldCharType="end"/>
      </w:r>
      <w:r/>
    </w:p>
    <w:p>
      <w:pPr>
        <w:pStyle w:val="1164"/>
        <w:tabs>
          <w:tab w:val="right" w:pos="9638" w:leader="dot"/>
        </w:tabs>
      </w:pPr>
      <w:r>
        <w:rPr>
          <w:bCs/>
        </w:rPr>
        <w:fldChar w:fldCharType="begin"/>
      </w:r>
      <w:r>
        <w:rPr>
          <w:bCs/>
        </w:rPr>
        <w:instrText xml:space="preserve"> HYPERLINK \l _Toc21787 </w:instrText>
      </w:r>
      <w:r>
        <w:rPr>
          <w:bCs/>
        </w:rPr>
        <w:fldChar w:fldCharType="separate"/>
      </w:r>
      <w:r>
        <w:rPr>
          <w:bCs/>
          <w:szCs w:val="21"/>
          <w:lang w:val="zh-CN"/>
        </w:rPr>
        <w:t xml:space="preserve">5.</w:t>
      </w:r>
      <w:r>
        <w:rPr>
          <w:szCs w:val="21"/>
          <w:lang w:val="zh-CN"/>
        </w:rPr>
        <w:t xml:space="preserve">招标文件的约束力</w:t>
      </w:r>
      <w:r>
        <w:tab/>
      </w:r>
      <w:r>
        <w:fldChar w:fldCharType="begin"/>
      </w:r>
      <w:r>
        <w:instrText xml:space="preserve"> PAGEREF _Toc21787 \h </w:instrText>
      </w:r>
      <w:r>
        <w:fldChar w:fldCharType="separate"/>
      </w:r>
      <w:r>
        <w:t xml:space="preserve">11</w:t>
      </w:r>
      <w:r>
        <w:fldChar w:fldCharType="end"/>
      </w:r>
      <w:r>
        <w:rPr>
          <w:bCs/>
        </w:rPr>
        <w:fldChar w:fldCharType="end"/>
      </w:r>
      <w:r/>
    </w:p>
    <w:p>
      <w:pPr>
        <w:pStyle w:val="1177"/>
        <w:tabs>
          <w:tab w:val="right" w:pos="9638" w:leader="dot"/>
        </w:tabs>
      </w:pPr>
      <w:r>
        <w:rPr>
          <w:bCs/>
        </w:rPr>
        <w:fldChar w:fldCharType="begin"/>
      </w:r>
      <w:r>
        <w:rPr>
          <w:bCs/>
        </w:rPr>
        <w:instrText xml:space="preserve"> HYPERLINK \l _Toc1378 </w:instrText>
      </w:r>
      <w:r>
        <w:rPr>
          <w:bCs/>
        </w:rPr>
        <w:fldChar w:fldCharType="separate"/>
      </w:r>
      <w:r>
        <w:rPr>
          <w:bCs/>
          <w:szCs w:val="21"/>
        </w:rPr>
        <w:t xml:space="preserve">二、招标文件</w:t>
      </w:r>
      <w:r>
        <w:tab/>
      </w:r>
      <w:r>
        <w:fldChar w:fldCharType="begin"/>
      </w:r>
      <w:r>
        <w:instrText xml:space="preserve"> PAGEREF _Toc1378 \h </w:instrText>
      </w:r>
      <w:r>
        <w:fldChar w:fldCharType="separate"/>
      </w:r>
      <w:r>
        <w:t xml:space="preserve">11</w:t>
      </w:r>
      <w:r>
        <w:fldChar w:fldCharType="end"/>
      </w:r>
      <w:r>
        <w:rPr>
          <w:bCs/>
        </w:rPr>
        <w:fldChar w:fldCharType="end"/>
      </w:r>
      <w:r/>
    </w:p>
    <w:p>
      <w:pPr>
        <w:pStyle w:val="1164"/>
        <w:tabs>
          <w:tab w:val="right" w:pos="9638" w:leader="dot"/>
        </w:tabs>
      </w:pPr>
      <w:r>
        <w:rPr>
          <w:bCs/>
        </w:rPr>
        <w:fldChar w:fldCharType="begin"/>
      </w:r>
      <w:r>
        <w:rPr>
          <w:bCs/>
        </w:rPr>
        <w:instrText xml:space="preserve"> HYPERLINK \l _Toc17869 </w:instrText>
      </w:r>
      <w:r>
        <w:rPr>
          <w:bCs/>
        </w:rPr>
        <w:fldChar w:fldCharType="separate"/>
      </w:r>
      <w:r>
        <w:rPr>
          <w:bCs/>
          <w:szCs w:val="21"/>
          <w:lang w:val="zh-CN"/>
        </w:rPr>
        <w:t xml:space="preserve">6.</w:t>
      </w:r>
      <w:r>
        <w:rPr>
          <w:szCs w:val="21"/>
          <w:lang w:val="zh-CN"/>
        </w:rPr>
        <w:t xml:space="preserve">招标文件构成</w:t>
      </w:r>
      <w:r>
        <w:tab/>
      </w:r>
      <w:r>
        <w:fldChar w:fldCharType="begin"/>
      </w:r>
      <w:r>
        <w:instrText xml:space="preserve"> PAGEREF _Toc17869 \h </w:instrText>
      </w:r>
      <w:r>
        <w:fldChar w:fldCharType="separate"/>
      </w:r>
      <w:r>
        <w:t xml:space="preserve">11</w:t>
      </w:r>
      <w:r>
        <w:fldChar w:fldCharType="end"/>
      </w:r>
      <w:r>
        <w:rPr>
          <w:bCs/>
        </w:rPr>
        <w:fldChar w:fldCharType="end"/>
      </w:r>
      <w:r/>
    </w:p>
    <w:p>
      <w:pPr>
        <w:pStyle w:val="1164"/>
        <w:tabs>
          <w:tab w:val="right" w:pos="9638" w:leader="dot"/>
        </w:tabs>
      </w:pPr>
      <w:r>
        <w:rPr>
          <w:bCs/>
        </w:rPr>
        <w:fldChar w:fldCharType="begin"/>
      </w:r>
      <w:r>
        <w:rPr>
          <w:bCs/>
        </w:rPr>
        <w:instrText xml:space="preserve"> HYPERLINK \l _Toc26364 </w:instrText>
      </w:r>
      <w:r>
        <w:rPr>
          <w:bCs/>
        </w:rPr>
        <w:fldChar w:fldCharType="separate"/>
      </w:r>
      <w:r>
        <w:rPr>
          <w:rFonts w:ascii="Times New Roman" w:eastAsia="宋体"/>
          <w:bCs/>
          <w:szCs w:val="21"/>
        </w:rPr>
        <w:t xml:space="preserve">7.招标文件的澄清、补充或修改</w:t>
      </w:r>
      <w:r>
        <w:tab/>
      </w:r>
      <w:r>
        <w:fldChar w:fldCharType="begin"/>
      </w:r>
      <w:r>
        <w:instrText xml:space="preserve"> PAGEREF _Toc26364 \h </w:instrText>
      </w:r>
      <w:r>
        <w:fldChar w:fldCharType="separate"/>
      </w:r>
      <w:r>
        <w:t xml:space="preserve">12</w:t>
      </w:r>
      <w:r>
        <w:fldChar w:fldCharType="end"/>
      </w:r>
      <w:r>
        <w:rPr>
          <w:bCs/>
        </w:rPr>
        <w:fldChar w:fldCharType="end"/>
      </w:r>
      <w:r/>
    </w:p>
    <w:p>
      <w:pPr>
        <w:pStyle w:val="1177"/>
        <w:tabs>
          <w:tab w:val="right" w:pos="9638" w:leader="dot"/>
        </w:tabs>
      </w:pPr>
      <w:r>
        <w:rPr>
          <w:bCs/>
        </w:rPr>
        <w:fldChar w:fldCharType="begin"/>
      </w:r>
      <w:r>
        <w:rPr>
          <w:bCs/>
        </w:rPr>
        <w:instrText xml:space="preserve"> HYPERLINK \l _Toc6542 </w:instrText>
      </w:r>
      <w:r>
        <w:rPr>
          <w:bCs/>
        </w:rPr>
        <w:fldChar w:fldCharType="separate"/>
      </w:r>
      <w:r>
        <w:rPr>
          <w:bCs/>
          <w:szCs w:val="21"/>
        </w:rPr>
        <w:t xml:space="preserve">三、投标文件的编制</w:t>
      </w:r>
      <w:r>
        <w:tab/>
      </w:r>
      <w:r>
        <w:fldChar w:fldCharType="begin"/>
      </w:r>
      <w:r>
        <w:instrText xml:space="preserve"> PAGEREF _Toc6542 \h </w:instrText>
      </w:r>
      <w:r>
        <w:fldChar w:fldCharType="separate"/>
      </w:r>
      <w:r>
        <w:t xml:space="preserve">12</w:t>
      </w:r>
      <w:r>
        <w:fldChar w:fldCharType="end"/>
      </w:r>
      <w:r>
        <w:rPr>
          <w:bCs/>
        </w:rPr>
        <w:fldChar w:fldCharType="end"/>
      </w:r>
      <w:r/>
    </w:p>
    <w:p>
      <w:pPr>
        <w:pStyle w:val="1164"/>
        <w:tabs>
          <w:tab w:val="right" w:pos="9638" w:leader="dot"/>
        </w:tabs>
      </w:pPr>
      <w:r>
        <w:rPr>
          <w:bCs/>
        </w:rPr>
        <w:fldChar w:fldCharType="begin"/>
      </w:r>
      <w:r>
        <w:rPr>
          <w:bCs/>
        </w:rPr>
        <w:instrText xml:space="preserve"> HYPERLINK \l _Toc18221 </w:instrText>
      </w:r>
      <w:r>
        <w:rPr>
          <w:bCs/>
        </w:rPr>
        <w:fldChar w:fldCharType="separate"/>
      </w:r>
      <w:r>
        <w:rPr>
          <w:rFonts w:ascii="Times New Roman" w:eastAsia="宋体"/>
          <w:bCs/>
          <w:szCs w:val="21"/>
        </w:rPr>
        <w:t xml:space="preserve">8.投标文件的语言、计量单位、货币</w:t>
      </w:r>
      <w:r>
        <w:tab/>
      </w:r>
      <w:r>
        <w:fldChar w:fldCharType="begin"/>
      </w:r>
      <w:r>
        <w:instrText xml:space="preserve"> PAGEREF _Toc18221 \h </w:instrText>
      </w:r>
      <w:r>
        <w:fldChar w:fldCharType="separate"/>
      </w:r>
      <w:r>
        <w:t xml:space="preserve">13</w:t>
      </w:r>
      <w:r>
        <w:fldChar w:fldCharType="end"/>
      </w:r>
      <w:r>
        <w:rPr>
          <w:bCs/>
        </w:rPr>
        <w:fldChar w:fldCharType="end"/>
      </w:r>
      <w:r/>
    </w:p>
    <w:p>
      <w:pPr>
        <w:pStyle w:val="1164"/>
        <w:tabs>
          <w:tab w:val="right" w:pos="9638" w:leader="dot"/>
        </w:tabs>
      </w:pPr>
      <w:r>
        <w:rPr>
          <w:bCs/>
        </w:rPr>
        <w:fldChar w:fldCharType="begin"/>
      </w:r>
      <w:r>
        <w:rPr>
          <w:bCs/>
        </w:rPr>
        <w:instrText xml:space="preserve"> HYPERLINK \l _Toc5950 </w:instrText>
      </w:r>
      <w:r>
        <w:rPr>
          <w:bCs/>
        </w:rPr>
        <w:fldChar w:fldCharType="separate"/>
      </w:r>
      <w:r>
        <w:rPr>
          <w:bCs/>
          <w:szCs w:val="21"/>
        </w:rPr>
        <w:t xml:space="preserve">9.</w:t>
      </w:r>
      <w:r>
        <w:rPr>
          <w:szCs w:val="21"/>
          <w:lang w:val="zh-CN"/>
        </w:rPr>
        <w:t xml:space="preserve">联合体（</w:t>
      </w:r>
      <w:r>
        <w:rPr>
          <w:bCs/>
          <w:szCs w:val="21"/>
        </w:rPr>
        <w:t xml:space="preserve">本项目接受联合体投标</w:t>
      </w:r>
      <w:r>
        <w:rPr>
          <w:szCs w:val="21"/>
          <w:lang w:val="zh-CN"/>
        </w:rPr>
        <w:t xml:space="preserve">）</w:t>
      </w:r>
      <w:r>
        <w:tab/>
      </w:r>
      <w:r>
        <w:fldChar w:fldCharType="begin"/>
      </w:r>
      <w:r>
        <w:instrText xml:space="preserve"> PAGEREF _Toc5950 \h </w:instrText>
      </w:r>
      <w:r>
        <w:fldChar w:fldCharType="separate"/>
      </w:r>
      <w:r>
        <w:t xml:space="preserve">13</w:t>
      </w:r>
      <w:r>
        <w:fldChar w:fldCharType="end"/>
      </w:r>
      <w:r>
        <w:rPr>
          <w:bCs/>
        </w:rPr>
        <w:fldChar w:fldCharType="end"/>
      </w:r>
      <w:r/>
    </w:p>
    <w:p>
      <w:pPr>
        <w:pStyle w:val="1164"/>
        <w:tabs>
          <w:tab w:val="right" w:pos="9638" w:leader="dot"/>
        </w:tabs>
      </w:pPr>
      <w:r>
        <w:rPr>
          <w:bCs/>
        </w:rPr>
        <w:fldChar w:fldCharType="begin"/>
      </w:r>
      <w:r>
        <w:rPr>
          <w:bCs/>
        </w:rPr>
        <w:instrText xml:space="preserve"> HYPERLINK \l _Toc24940 </w:instrText>
      </w:r>
      <w:r>
        <w:rPr>
          <w:bCs/>
        </w:rPr>
        <w:fldChar w:fldCharType="separate"/>
      </w:r>
      <w:r>
        <w:rPr>
          <w:rFonts w:ascii="Times New Roman" w:eastAsia="宋体"/>
          <w:bCs/>
          <w:szCs w:val="21"/>
        </w:rPr>
        <w:t xml:space="preserve">10.投标文件的组成</w:t>
      </w:r>
      <w:r>
        <w:tab/>
      </w:r>
      <w:r>
        <w:fldChar w:fldCharType="begin"/>
      </w:r>
      <w:r>
        <w:instrText xml:space="preserve"> PAGEREF _Toc24940 \h </w:instrText>
      </w:r>
      <w:r>
        <w:fldChar w:fldCharType="separate"/>
      </w:r>
      <w:r>
        <w:t xml:space="preserve">13</w:t>
      </w:r>
      <w:r>
        <w:fldChar w:fldCharType="end"/>
      </w:r>
      <w:r>
        <w:rPr>
          <w:bCs/>
        </w:rPr>
        <w:fldChar w:fldCharType="end"/>
      </w:r>
      <w:r/>
    </w:p>
    <w:p>
      <w:pPr>
        <w:pStyle w:val="1164"/>
        <w:tabs>
          <w:tab w:val="right" w:pos="9638" w:leader="dot"/>
        </w:tabs>
      </w:pPr>
      <w:r>
        <w:rPr>
          <w:bCs/>
        </w:rPr>
        <w:fldChar w:fldCharType="begin"/>
      </w:r>
      <w:r>
        <w:rPr>
          <w:bCs/>
        </w:rPr>
        <w:instrText xml:space="preserve"> HYPERLINK \l _Toc17454 </w:instrText>
      </w:r>
      <w:r>
        <w:rPr>
          <w:bCs/>
        </w:rPr>
        <w:fldChar w:fldCharType="separate"/>
      </w:r>
      <w:r>
        <w:rPr>
          <w:rFonts w:ascii="Times New Roman" w:eastAsia="宋体"/>
          <w:bCs/>
          <w:szCs w:val="21"/>
        </w:rPr>
        <w:t xml:space="preserve">11.投标保证金（如有）</w:t>
      </w:r>
      <w:r>
        <w:tab/>
      </w:r>
      <w:r>
        <w:fldChar w:fldCharType="begin"/>
      </w:r>
      <w:r>
        <w:instrText xml:space="preserve"> PAGEREF _Toc17454 \h </w:instrText>
      </w:r>
      <w:r>
        <w:fldChar w:fldCharType="separate"/>
      </w:r>
      <w:r>
        <w:t xml:space="preserve">14</w:t>
      </w:r>
      <w:r>
        <w:fldChar w:fldCharType="end"/>
      </w:r>
      <w:r>
        <w:rPr>
          <w:bCs/>
        </w:rPr>
        <w:fldChar w:fldCharType="end"/>
      </w:r>
      <w:r/>
    </w:p>
    <w:p>
      <w:pPr>
        <w:pStyle w:val="1164"/>
        <w:tabs>
          <w:tab w:val="right" w:pos="9638" w:leader="dot"/>
        </w:tabs>
      </w:pPr>
      <w:r>
        <w:rPr>
          <w:bCs/>
        </w:rPr>
        <w:fldChar w:fldCharType="begin"/>
      </w:r>
      <w:r>
        <w:rPr>
          <w:bCs/>
        </w:rPr>
        <w:instrText xml:space="preserve"> HYPERLINK \l _Toc18102 </w:instrText>
      </w:r>
      <w:r>
        <w:rPr>
          <w:bCs/>
        </w:rPr>
        <w:fldChar w:fldCharType="separate"/>
      </w:r>
      <w:r>
        <w:rPr>
          <w:rFonts w:ascii="Times New Roman" w:eastAsia="宋体"/>
          <w:bCs/>
          <w:szCs w:val="21"/>
        </w:rPr>
        <w:t xml:space="preserve">12.投标文件的有效期</w:t>
      </w:r>
      <w:r>
        <w:tab/>
      </w:r>
      <w:r>
        <w:fldChar w:fldCharType="begin"/>
      </w:r>
      <w:r>
        <w:instrText xml:space="preserve"> PAGEREF _Toc18102 \h </w:instrText>
      </w:r>
      <w:r>
        <w:fldChar w:fldCharType="separate"/>
      </w:r>
      <w:r>
        <w:t xml:space="preserve">15</w:t>
      </w:r>
      <w:r>
        <w:fldChar w:fldCharType="end"/>
      </w:r>
      <w:r>
        <w:rPr>
          <w:bCs/>
        </w:rPr>
        <w:fldChar w:fldCharType="end"/>
      </w:r>
      <w:r/>
    </w:p>
    <w:p>
      <w:pPr>
        <w:pStyle w:val="1164"/>
        <w:tabs>
          <w:tab w:val="right" w:pos="9638" w:leader="dot"/>
        </w:tabs>
      </w:pPr>
      <w:r>
        <w:rPr>
          <w:bCs/>
        </w:rPr>
        <w:fldChar w:fldCharType="begin"/>
      </w:r>
      <w:r>
        <w:rPr>
          <w:bCs/>
        </w:rPr>
        <w:instrText xml:space="preserve"> HYPERLINK \l _Toc12969 </w:instrText>
      </w:r>
      <w:r>
        <w:rPr>
          <w:bCs/>
        </w:rPr>
        <w:fldChar w:fldCharType="separate"/>
      </w:r>
      <w:r>
        <w:rPr>
          <w:rFonts w:ascii="Times New Roman" w:eastAsia="宋体"/>
          <w:bCs/>
          <w:szCs w:val="21"/>
        </w:rPr>
        <w:t xml:space="preserve">13.投标文件的签署及其形式</w:t>
      </w:r>
      <w:r>
        <w:tab/>
      </w:r>
      <w:r>
        <w:fldChar w:fldCharType="begin"/>
      </w:r>
      <w:r>
        <w:instrText xml:space="preserve"> PAGEREF _Toc12969 \h </w:instrText>
      </w:r>
      <w:r>
        <w:fldChar w:fldCharType="separate"/>
      </w:r>
      <w:r>
        <w:t xml:space="preserve">15</w:t>
      </w:r>
      <w:r>
        <w:fldChar w:fldCharType="end"/>
      </w:r>
      <w:r>
        <w:rPr>
          <w:bCs/>
        </w:rPr>
        <w:fldChar w:fldCharType="end"/>
      </w:r>
      <w:r/>
    </w:p>
    <w:p>
      <w:pPr>
        <w:pStyle w:val="1164"/>
        <w:tabs>
          <w:tab w:val="right" w:pos="9638" w:leader="dot"/>
        </w:tabs>
      </w:pPr>
      <w:r>
        <w:rPr>
          <w:bCs/>
        </w:rPr>
        <w:fldChar w:fldCharType="begin"/>
      </w:r>
      <w:r>
        <w:rPr>
          <w:bCs/>
        </w:rPr>
        <w:instrText xml:space="preserve"> HYPERLINK \l _Toc30813 </w:instrText>
      </w:r>
      <w:r>
        <w:rPr>
          <w:bCs/>
        </w:rPr>
        <w:fldChar w:fldCharType="separate"/>
      </w:r>
      <w:r>
        <w:rPr>
          <w:rFonts w:ascii="Times New Roman" w:eastAsia="宋体"/>
          <w:bCs/>
          <w:szCs w:val="21"/>
        </w:rPr>
        <w:t xml:space="preserve">14.投标文件的密封及标记</w:t>
      </w:r>
      <w:r>
        <w:tab/>
      </w:r>
      <w:r>
        <w:fldChar w:fldCharType="begin"/>
      </w:r>
      <w:r>
        <w:instrText xml:space="preserve"> PAGEREF _Toc30813 \h </w:instrText>
      </w:r>
      <w:r>
        <w:fldChar w:fldCharType="separate"/>
      </w:r>
      <w:r>
        <w:t xml:space="preserve">15</w:t>
      </w:r>
      <w:r>
        <w:fldChar w:fldCharType="end"/>
      </w:r>
      <w:r>
        <w:rPr>
          <w:bCs/>
        </w:rPr>
        <w:fldChar w:fldCharType="end"/>
      </w:r>
      <w:r/>
    </w:p>
    <w:p>
      <w:pPr>
        <w:pStyle w:val="1164"/>
        <w:tabs>
          <w:tab w:val="right" w:pos="9638" w:leader="dot"/>
        </w:tabs>
      </w:pPr>
      <w:r>
        <w:rPr>
          <w:bCs/>
        </w:rPr>
        <w:fldChar w:fldCharType="begin"/>
      </w:r>
      <w:r>
        <w:rPr>
          <w:bCs/>
        </w:rPr>
        <w:instrText xml:space="preserve"> HYPERLINK \l _Toc7687 </w:instrText>
      </w:r>
      <w:r>
        <w:rPr>
          <w:bCs/>
        </w:rPr>
        <w:fldChar w:fldCharType="separate"/>
      </w:r>
      <w:r>
        <w:rPr>
          <w:bCs/>
          <w:szCs w:val="21"/>
        </w:rPr>
        <w:t xml:space="preserve">14.投标文件的递交</w:t>
      </w:r>
      <w:r>
        <w:tab/>
      </w:r>
      <w:r>
        <w:fldChar w:fldCharType="begin"/>
      </w:r>
      <w:r>
        <w:instrText xml:space="preserve"> PAGEREF _Toc7687 \h </w:instrText>
      </w:r>
      <w:r>
        <w:fldChar w:fldCharType="separate"/>
      </w:r>
      <w:r>
        <w:t xml:space="preserve">15</w:t>
      </w:r>
      <w:r>
        <w:fldChar w:fldCharType="end"/>
      </w:r>
      <w:r>
        <w:rPr>
          <w:bCs/>
        </w:rPr>
        <w:fldChar w:fldCharType="end"/>
      </w:r>
      <w:r/>
    </w:p>
    <w:p>
      <w:pPr>
        <w:pStyle w:val="1164"/>
        <w:tabs>
          <w:tab w:val="right" w:pos="9638" w:leader="dot"/>
        </w:tabs>
      </w:pPr>
      <w:r>
        <w:rPr>
          <w:bCs/>
        </w:rPr>
        <w:fldChar w:fldCharType="begin"/>
      </w:r>
      <w:r>
        <w:rPr>
          <w:bCs/>
        </w:rPr>
        <w:instrText xml:space="preserve"> HYPERLINK \l _Toc20071 </w:instrText>
      </w:r>
      <w:r>
        <w:rPr>
          <w:bCs/>
        </w:rPr>
        <w:fldChar w:fldCharType="separate"/>
      </w:r>
      <w:r>
        <w:rPr>
          <w:bCs/>
          <w:szCs w:val="21"/>
        </w:rPr>
        <w:t xml:space="preserve">15.投标截止时间</w:t>
      </w:r>
      <w:r>
        <w:tab/>
      </w:r>
      <w:r>
        <w:fldChar w:fldCharType="begin"/>
      </w:r>
      <w:r>
        <w:instrText xml:space="preserve"> PAGEREF _Toc20071 \h </w:instrText>
      </w:r>
      <w:r>
        <w:fldChar w:fldCharType="separate"/>
      </w:r>
      <w:r>
        <w:t xml:space="preserve">16</w:t>
      </w:r>
      <w:r>
        <w:fldChar w:fldCharType="end"/>
      </w:r>
      <w:r>
        <w:rPr>
          <w:bCs/>
        </w:rPr>
        <w:fldChar w:fldCharType="end"/>
      </w:r>
      <w:r/>
    </w:p>
    <w:p>
      <w:pPr>
        <w:pStyle w:val="1164"/>
        <w:tabs>
          <w:tab w:val="right" w:pos="9638" w:leader="dot"/>
        </w:tabs>
      </w:pPr>
      <w:r>
        <w:rPr>
          <w:bCs/>
        </w:rPr>
        <w:fldChar w:fldCharType="begin"/>
      </w:r>
      <w:r>
        <w:rPr>
          <w:bCs/>
        </w:rPr>
        <w:instrText xml:space="preserve"> HYPERLINK \l _Toc2075 </w:instrText>
      </w:r>
      <w:r>
        <w:rPr>
          <w:bCs/>
        </w:rPr>
        <w:fldChar w:fldCharType="separate"/>
      </w:r>
      <w:r>
        <w:rPr>
          <w:bCs/>
          <w:szCs w:val="21"/>
        </w:rPr>
        <w:t xml:space="preserve">16.投标文件的拒收</w:t>
      </w:r>
      <w:r>
        <w:tab/>
      </w:r>
      <w:r>
        <w:fldChar w:fldCharType="begin"/>
      </w:r>
      <w:r>
        <w:instrText xml:space="preserve"> PAGEREF _Toc2075 \h </w:instrText>
      </w:r>
      <w:r>
        <w:fldChar w:fldCharType="separate"/>
      </w:r>
      <w:r>
        <w:t xml:space="preserve">16</w:t>
      </w:r>
      <w:r>
        <w:fldChar w:fldCharType="end"/>
      </w:r>
      <w:r>
        <w:rPr>
          <w:bCs/>
        </w:rPr>
        <w:fldChar w:fldCharType="end"/>
      </w:r>
      <w:r/>
    </w:p>
    <w:p>
      <w:pPr>
        <w:pStyle w:val="1164"/>
        <w:tabs>
          <w:tab w:val="right" w:pos="9638" w:leader="dot"/>
        </w:tabs>
      </w:pPr>
      <w:r>
        <w:rPr>
          <w:bCs/>
        </w:rPr>
        <w:fldChar w:fldCharType="begin"/>
      </w:r>
      <w:r>
        <w:rPr>
          <w:bCs/>
        </w:rPr>
        <w:instrText xml:space="preserve"> HYPERLINK \l _Toc11702 </w:instrText>
      </w:r>
      <w:r>
        <w:rPr>
          <w:bCs/>
        </w:rPr>
        <w:fldChar w:fldCharType="separate"/>
      </w:r>
      <w:r>
        <w:rPr>
          <w:bCs/>
          <w:szCs w:val="21"/>
        </w:rPr>
        <w:t xml:space="preserve">17.投标文件的修改或撤回</w:t>
      </w:r>
      <w:r>
        <w:tab/>
      </w:r>
      <w:r>
        <w:fldChar w:fldCharType="begin"/>
      </w:r>
      <w:r>
        <w:instrText xml:space="preserve"> PAGEREF _Toc11702 \h </w:instrText>
      </w:r>
      <w:r>
        <w:fldChar w:fldCharType="separate"/>
      </w:r>
      <w:r>
        <w:t xml:space="preserve">16</w:t>
      </w:r>
      <w:r>
        <w:fldChar w:fldCharType="end"/>
      </w:r>
      <w:r>
        <w:rPr>
          <w:bCs/>
        </w:rPr>
        <w:fldChar w:fldCharType="end"/>
      </w:r>
      <w:r/>
    </w:p>
    <w:p>
      <w:pPr>
        <w:pStyle w:val="1177"/>
        <w:tabs>
          <w:tab w:val="right" w:pos="9638" w:leader="dot"/>
        </w:tabs>
      </w:pPr>
      <w:r>
        <w:rPr>
          <w:bCs/>
        </w:rPr>
        <w:fldChar w:fldCharType="begin"/>
      </w:r>
      <w:r>
        <w:rPr>
          <w:bCs/>
        </w:rPr>
        <w:instrText xml:space="preserve"> HYPERLINK \l _Toc27442 </w:instrText>
      </w:r>
      <w:r>
        <w:rPr>
          <w:bCs/>
        </w:rPr>
        <w:fldChar w:fldCharType="separate"/>
      </w:r>
      <w:r>
        <w:rPr>
          <w:bCs/>
          <w:szCs w:val="21"/>
        </w:rPr>
        <w:t xml:space="preserve">五、开标与评标</w:t>
      </w:r>
      <w:r>
        <w:tab/>
      </w:r>
      <w:r>
        <w:fldChar w:fldCharType="begin"/>
      </w:r>
      <w:r>
        <w:instrText xml:space="preserve"> PAGEREF _Toc27442 \h </w:instrText>
      </w:r>
      <w:r>
        <w:fldChar w:fldCharType="separate"/>
      </w:r>
      <w:r>
        <w:t xml:space="preserve">16</w:t>
      </w:r>
      <w:r>
        <w:fldChar w:fldCharType="end"/>
      </w:r>
      <w:r>
        <w:rPr>
          <w:bCs/>
        </w:rPr>
        <w:fldChar w:fldCharType="end"/>
      </w:r>
      <w:r/>
    </w:p>
    <w:p>
      <w:pPr>
        <w:pStyle w:val="1164"/>
        <w:tabs>
          <w:tab w:val="right" w:pos="9638" w:leader="dot"/>
        </w:tabs>
      </w:pPr>
      <w:r>
        <w:rPr>
          <w:bCs/>
        </w:rPr>
        <w:fldChar w:fldCharType="begin"/>
      </w:r>
      <w:r>
        <w:rPr>
          <w:bCs/>
        </w:rPr>
        <w:instrText xml:space="preserve"> HYPERLINK \l _Toc29835 </w:instrText>
      </w:r>
      <w:r>
        <w:rPr>
          <w:bCs/>
        </w:rPr>
        <w:fldChar w:fldCharType="separate"/>
      </w:r>
      <w:r>
        <w:rPr>
          <w:rFonts w:ascii="Times New Roman" w:eastAsia="宋体"/>
          <w:bCs/>
          <w:szCs w:val="21"/>
        </w:rPr>
        <w:t xml:space="preserve">18.开标</w:t>
      </w:r>
      <w:r>
        <w:tab/>
      </w:r>
      <w:r>
        <w:fldChar w:fldCharType="begin"/>
      </w:r>
      <w:r>
        <w:instrText xml:space="preserve"> PAGEREF _Toc29835 \h </w:instrText>
      </w:r>
      <w:r>
        <w:fldChar w:fldCharType="separate"/>
      </w:r>
      <w:r>
        <w:t xml:space="preserve">16</w:t>
      </w:r>
      <w:r>
        <w:fldChar w:fldCharType="end"/>
      </w:r>
      <w:r>
        <w:rPr>
          <w:bCs/>
        </w:rPr>
        <w:fldChar w:fldCharType="end"/>
      </w:r>
      <w:r/>
    </w:p>
    <w:p>
      <w:pPr>
        <w:pStyle w:val="1164"/>
        <w:tabs>
          <w:tab w:val="right" w:pos="9638" w:leader="dot"/>
        </w:tabs>
      </w:pPr>
      <w:r>
        <w:rPr>
          <w:bCs/>
        </w:rPr>
        <w:fldChar w:fldCharType="begin"/>
      </w:r>
      <w:r>
        <w:rPr>
          <w:bCs/>
        </w:rPr>
        <w:instrText xml:space="preserve"> HYPERLINK \l _Toc27911 </w:instrText>
      </w:r>
      <w:r>
        <w:rPr>
          <w:bCs/>
        </w:rPr>
        <w:fldChar w:fldCharType="separate"/>
      </w:r>
      <w:r>
        <w:rPr>
          <w:rFonts w:ascii="Times New Roman" w:eastAsia="宋体"/>
          <w:bCs/>
          <w:szCs w:val="21"/>
        </w:rPr>
        <w:t xml:space="preserve">19.评标组织</w:t>
      </w:r>
      <w:r>
        <w:tab/>
      </w:r>
      <w:r>
        <w:fldChar w:fldCharType="begin"/>
      </w:r>
      <w:r>
        <w:instrText xml:space="preserve"> PAGEREF _Toc27911 \h </w:instrText>
      </w:r>
      <w:r>
        <w:fldChar w:fldCharType="separate"/>
      </w:r>
      <w:r>
        <w:t xml:space="preserve">17</w:t>
      </w:r>
      <w:r>
        <w:fldChar w:fldCharType="end"/>
      </w:r>
      <w:r>
        <w:rPr>
          <w:bCs/>
        </w:rPr>
        <w:fldChar w:fldCharType="end"/>
      </w:r>
      <w:r/>
    </w:p>
    <w:p>
      <w:pPr>
        <w:pStyle w:val="1164"/>
        <w:tabs>
          <w:tab w:val="right" w:pos="9638" w:leader="dot"/>
        </w:tabs>
      </w:pPr>
      <w:r>
        <w:rPr>
          <w:bCs/>
        </w:rPr>
        <w:fldChar w:fldCharType="begin"/>
      </w:r>
      <w:r>
        <w:rPr>
          <w:bCs/>
        </w:rPr>
        <w:instrText xml:space="preserve"> HYPERLINK \l _Toc30767 </w:instrText>
      </w:r>
      <w:r>
        <w:rPr>
          <w:bCs/>
        </w:rPr>
        <w:fldChar w:fldCharType="separate"/>
      </w:r>
      <w:r>
        <w:rPr>
          <w:rFonts w:ascii="Times New Roman" w:eastAsia="宋体"/>
          <w:bCs/>
          <w:szCs w:val="21"/>
        </w:rPr>
        <w:t xml:space="preserve">20.对投标文件的资格性审查和符合性审查</w:t>
      </w:r>
      <w:r>
        <w:tab/>
      </w:r>
      <w:r>
        <w:fldChar w:fldCharType="begin"/>
      </w:r>
      <w:r>
        <w:instrText xml:space="preserve"> PAGEREF _Toc30767 \h </w:instrText>
      </w:r>
      <w:r>
        <w:fldChar w:fldCharType="separate"/>
      </w:r>
      <w:r>
        <w:t xml:space="preserve">17</w:t>
      </w:r>
      <w:r>
        <w:fldChar w:fldCharType="end"/>
      </w:r>
      <w:r>
        <w:rPr>
          <w:bCs/>
        </w:rPr>
        <w:fldChar w:fldCharType="end"/>
      </w:r>
      <w:r/>
    </w:p>
    <w:p>
      <w:pPr>
        <w:pStyle w:val="1164"/>
        <w:tabs>
          <w:tab w:val="right" w:pos="9638" w:leader="dot"/>
        </w:tabs>
      </w:pPr>
      <w:r>
        <w:rPr>
          <w:bCs/>
        </w:rPr>
        <w:fldChar w:fldCharType="begin"/>
      </w:r>
      <w:r>
        <w:rPr>
          <w:bCs/>
        </w:rPr>
        <w:instrText xml:space="preserve"> HYPERLINK \l _Toc8788 </w:instrText>
      </w:r>
      <w:r>
        <w:rPr>
          <w:bCs/>
        </w:rPr>
        <w:fldChar w:fldCharType="separate"/>
      </w:r>
      <w:r>
        <w:rPr>
          <w:rFonts w:ascii="Times New Roman" w:eastAsia="宋体"/>
          <w:bCs/>
          <w:szCs w:val="21"/>
        </w:rPr>
        <w:t xml:space="preserve">21.投标文件的澄清</w:t>
      </w:r>
      <w:r>
        <w:tab/>
      </w:r>
      <w:r>
        <w:fldChar w:fldCharType="begin"/>
      </w:r>
      <w:r>
        <w:instrText xml:space="preserve"> PAGEREF _Toc8788 \h </w:instrText>
      </w:r>
      <w:r>
        <w:fldChar w:fldCharType="separate"/>
      </w:r>
      <w:r>
        <w:t xml:space="preserve">19</w:t>
      </w:r>
      <w:r>
        <w:fldChar w:fldCharType="end"/>
      </w:r>
      <w:r>
        <w:rPr>
          <w:bCs/>
        </w:rPr>
        <w:fldChar w:fldCharType="end"/>
      </w:r>
      <w:r/>
    </w:p>
    <w:p>
      <w:pPr>
        <w:pStyle w:val="1164"/>
        <w:tabs>
          <w:tab w:val="right" w:pos="9638" w:leader="dot"/>
        </w:tabs>
      </w:pPr>
      <w:r>
        <w:rPr>
          <w:bCs/>
        </w:rPr>
        <w:fldChar w:fldCharType="begin"/>
      </w:r>
      <w:r>
        <w:rPr>
          <w:bCs/>
        </w:rPr>
        <w:instrText xml:space="preserve"> HYPERLINK \l _Toc1213 </w:instrText>
      </w:r>
      <w:r>
        <w:rPr>
          <w:bCs/>
        </w:rPr>
        <w:fldChar w:fldCharType="separate"/>
      </w:r>
      <w:r>
        <w:rPr>
          <w:rFonts w:ascii="Times New Roman" w:eastAsia="宋体"/>
          <w:bCs/>
          <w:szCs w:val="21"/>
        </w:rPr>
        <w:t xml:space="preserve">22.对投标文件的详细评审</w:t>
      </w:r>
      <w:r>
        <w:tab/>
      </w:r>
      <w:r>
        <w:fldChar w:fldCharType="begin"/>
      </w:r>
      <w:r>
        <w:instrText xml:space="preserve"> PAGEREF _Toc1213 \h </w:instrText>
      </w:r>
      <w:r>
        <w:fldChar w:fldCharType="separate"/>
      </w:r>
      <w:r>
        <w:t xml:space="preserve">20</w:t>
      </w:r>
      <w:r>
        <w:fldChar w:fldCharType="end"/>
      </w:r>
      <w:r>
        <w:rPr>
          <w:bCs/>
        </w:rPr>
        <w:fldChar w:fldCharType="end"/>
      </w:r>
      <w:r/>
    </w:p>
    <w:p>
      <w:pPr>
        <w:pStyle w:val="1164"/>
        <w:tabs>
          <w:tab w:val="right" w:pos="9638" w:leader="dot"/>
        </w:tabs>
      </w:pPr>
      <w:r>
        <w:rPr>
          <w:bCs/>
        </w:rPr>
        <w:fldChar w:fldCharType="begin"/>
      </w:r>
      <w:r>
        <w:rPr>
          <w:bCs/>
        </w:rPr>
        <w:instrText xml:space="preserve"> HYPERLINK \l _Toc12263 </w:instrText>
      </w:r>
      <w:r>
        <w:rPr>
          <w:bCs/>
        </w:rPr>
        <w:fldChar w:fldCharType="separate"/>
      </w:r>
      <w:r>
        <w:rPr>
          <w:rFonts w:ascii="Times New Roman" w:eastAsia="宋体"/>
          <w:bCs/>
          <w:szCs w:val="21"/>
        </w:rPr>
        <w:t xml:space="preserve">23.评标过程的保密与公正</w:t>
      </w:r>
      <w:r>
        <w:tab/>
      </w:r>
      <w:r>
        <w:fldChar w:fldCharType="begin"/>
      </w:r>
      <w:r>
        <w:instrText xml:space="preserve"> PAGEREF _Toc12263 \h </w:instrText>
      </w:r>
      <w:r>
        <w:fldChar w:fldCharType="separate"/>
      </w:r>
      <w:r>
        <w:t xml:space="preserve">20</w:t>
      </w:r>
      <w:r>
        <w:fldChar w:fldCharType="end"/>
      </w:r>
      <w:r>
        <w:rPr>
          <w:bCs/>
        </w:rPr>
        <w:fldChar w:fldCharType="end"/>
      </w:r>
      <w:r/>
    </w:p>
    <w:p>
      <w:pPr>
        <w:pStyle w:val="1164"/>
        <w:tabs>
          <w:tab w:val="right" w:pos="9638" w:leader="dot"/>
        </w:tabs>
      </w:pPr>
      <w:r>
        <w:rPr>
          <w:bCs/>
        </w:rPr>
        <w:fldChar w:fldCharType="begin"/>
      </w:r>
      <w:r>
        <w:rPr>
          <w:bCs/>
        </w:rPr>
        <w:instrText xml:space="preserve"> HYPERLINK \l _Toc6245 </w:instrText>
      </w:r>
      <w:r>
        <w:rPr>
          <w:bCs/>
        </w:rPr>
        <w:fldChar w:fldCharType="separate"/>
      </w:r>
      <w:r>
        <w:rPr>
          <w:rFonts w:ascii="Times New Roman" w:eastAsia="宋体"/>
          <w:bCs/>
          <w:szCs w:val="21"/>
        </w:rPr>
        <w:t xml:space="preserve">24.无效投标条款和废标条款</w:t>
      </w:r>
      <w:r>
        <w:tab/>
      </w:r>
      <w:r>
        <w:fldChar w:fldCharType="begin"/>
      </w:r>
      <w:r>
        <w:instrText xml:space="preserve"> PAGEREF _Toc6245 \h </w:instrText>
      </w:r>
      <w:r>
        <w:fldChar w:fldCharType="separate"/>
      </w:r>
      <w:r>
        <w:t xml:space="preserve">20</w:t>
      </w:r>
      <w:r>
        <w:fldChar w:fldCharType="end"/>
      </w:r>
      <w:r>
        <w:rPr>
          <w:bCs/>
        </w:rPr>
        <w:fldChar w:fldCharType="end"/>
      </w:r>
      <w:r/>
    </w:p>
    <w:p>
      <w:pPr>
        <w:pStyle w:val="1164"/>
        <w:tabs>
          <w:tab w:val="right" w:pos="9638" w:leader="dot"/>
        </w:tabs>
      </w:pPr>
      <w:r>
        <w:rPr>
          <w:bCs/>
        </w:rPr>
        <w:fldChar w:fldCharType="begin"/>
      </w:r>
      <w:r>
        <w:rPr>
          <w:bCs/>
        </w:rPr>
        <w:instrText xml:space="preserve"> HYPERLINK \l _Toc15719 </w:instrText>
      </w:r>
      <w:r>
        <w:rPr>
          <w:bCs/>
        </w:rPr>
        <w:fldChar w:fldCharType="separate"/>
      </w:r>
      <w:r>
        <w:rPr>
          <w:rFonts w:ascii="Times New Roman" w:eastAsia="宋体"/>
          <w:bCs/>
          <w:szCs w:val="21"/>
        </w:rPr>
        <w:t xml:space="preserve">25.投标截止时间结束参加投标的供应商不足三家的处理</w:t>
      </w:r>
      <w:r>
        <w:tab/>
      </w:r>
      <w:r>
        <w:fldChar w:fldCharType="begin"/>
      </w:r>
      <w:r>
        <w:instrText xml:space="preserve"> PAGEREF _Toc15719 \h </w:instrText>
      </w:r>
      <w:r>
        <w:fldChar w:fldCharType="separate"/>
      </w:r>
      <w:r>
        <w:t xml:space="preserve">21</w:t>
      </w:r>
      <w:r>
        <w:fldChar w:fldCharType="end"/>
      </w:r>
      <w:r>
        <w:rPr>
          <w:bCs/>
        </w:rPr>
        <w:fldChar w:fldCharType="end"/>
      </w:r>
      <w:r/>
    </w:p>
    <w:p>
      <w:pPr>
        <w:pStyle w:val="1177"/>
        <w:tabs>
          <w:tab w:val="right" w:pos="9638" w:leader="dot"/>
        </w:tabs>
      </w:pPr>
      <w:r>
        <w:rPr>
          <w:bCs/>
        </w:rPr>
        <w:fldChar w:fldCharType="begin"/>
      </w:r>
      <w:r>
        <w:rPr>
          <w:bCs/>
        </w:rPr>
        <w:instrText xml:space="preserve"> HYPERLINK \l _Toc7584 </w:instrText>
      </w:r>
      <w:r>
        <w:rPr>
          <w:bCs/>
        </w:rPr>
        <w:fldChar w:fldCharType="separate"/>
      </w:r>
      <w:r>
        <w:rPr>
          <w:bCs/>
          <w:szCs w:val="21"/>
        </w:rPr>
        <w:t xml:space="preserve">六、授标</w:t>
      </w:r>
      <w:r>
        <w:tab/>
      </w:r>
      <w:r>
        <w:fldChar w:fldCharType="begin"/>
      </w:r>
      <w:r>
        <w:instrText xml:space="preserve"> PAGEREF _Toc7584 \h </w:instrText>
      </w:r>
      <w:r>
        <w:fldChar w:fldCharType="separate"/>
      </w:r>
      <w:r>
        <w:t xml:space="preserve">21</w:t>
      </w:r>
      <w:r>
        <w:fldChar w:fldCharType="end"/>
      </w:r>
      <w:r>
        <w:rPr>
          <w:bCs/>
        </w:rPr>
        <w:fldChar w:fldCharType="end"/>
      </w:r>
      <w:r/>
    </w:p>
    <w:p>
      <w:pPr>
        <w:pStyle w:val="1164"/>
        <w:tabs>
          <w:tab w:val="right" w:pos="9638" w:leader="dot"/>
        </w:tabs>
      </w:pPr>
      <w:r>
        <w:rPr>
          <w:bCs/>
        </w:rPr>
        <w:fldChar w:fldCharType="begin"/>
      </w:r>
      <w:r>
        <w:rPr>
          <w:bCs/>
        </w:rPr>
        <w:instrText xml:space="preserve"> HYPERLINK \l _Toc3878 </w:instrText>
      </w:r>
      <w:r>
        <w:rPr>
          <w:bCs/>
        </w:rPr>
        <w:fldChar w:fldCharType="separate"/>
      </w:r>
      <w:r>
        <w:rPr>
          <w:rFonts w:ascii="Times New Roman" w:eastAsia="宋体"/>
          <w:bCs/>
          <w:szCs w:val="21"/>
        </w:rPr>
        <w:t xml:space="preserve">26.确定中标供应商</w:t>
      </w:r>
      <w:r>
        <w:tab/>
      </w:r>
      <w:r>
        <w:fldChar w:fldCharType="begin"/>
      </w:r>
      <w:r>
        <w:instrText xml:space="preserve"> PAGEREF _Toc3878 \h </w:instrText>
      </w:r>
      <w:r>
        <w:fldChar w:fldCharType="separate"/>
      </w:r>
      <w:r>
        <w:t xml:space="preserve">21</w:t>
      </w:r>
      <w:r>
        <w:fldChar w:fldCharType="end"/>
      </w:r>
      <w:r>
        <w:rPr>
          <w:bCs/>
        </w:rPr>
        <w:fldChar w:fldCharType="end"/>
      </w:r>
      <w:r/>
    </w:p>
    <w:p>
      <w:pPr>
        <w:pStyle w:val="1164"/>
        <w:tabs>
          <w:tab w:val="right" w:pos="9638" w:leader="dot"/>
        </w:tabs>
      </w:pPr>
      <w:r>
        <w:rPr>
          <w:bCs/>
        </w:rPr>
        <w:fldChar w:fldCharType="begin"/>
      </w:r>
      <w:r>
        <w:rPr>
          <w:bCs/>
        </w:rPr>
        <w:instrText xml:space="preserve"> HYPERLINK \l _Toc1981 </w:instrText>
      </w:r>
      <w:r>
        <w:rPr>
          <w:bCs/>
        </w:rPr>
        <w:fldChar w:fldCharType="separate"/>
      </w:r>
      <w:r>
        <w:rPr>
          <w:rFonts w:ascii="Times New Roman" w:eastAsia="宋体"/>
          <w:bCs/>
          <w:szCs w:val="21"/>
        </w:rPr>
        <w:t xml:space="preserve">27.中标的通知</w:t>
      </w:r>
      <w:r>
        <w:tab/>
      </w:r>
      <w:r>
        <w:fldChar w:fldCharType="begin"/>
      </w:r>
      <w:r>
        <w:instrText xml:space="preserve"> PAGEREF _Toc1981 \h </w:instrText>
      </w:r>
      <w:r>
        <w:fldChar w:fldCharType="separate"/>
      </w:r>
      <w:r>
        <w:t xml:space="preserve">22</w:t>
      </w:r>
      <w:r>
        <w:fldChar w:fldCharType="end"/>
      </w:r>
      <w:r>
        <w:rPr>
          <w:bCs/>
        </w:rPr>
        <w:fldChar w:fldCharType="end"/>
      </w:r>
      <w:r/>
    </w:p>
    <w:p>
      <w:pPr>
        <w:pStyle w:val="1164"/>
        <w:tabs>
          <w:tab w:val="right" w:pos="9638" w:leader="dot"/>
        </w:tabs>
      </w:pPr>
      <w:r>
        <w:rPr>
          <w:bCs/>
        </w:rPr>
        <w:fldChar w:fldCharType="begin"/>
      </w:r>
      <w:r>
        <w:rPr>
          <w:bCs/>
        </w:rPr>
        <w:instrText xml:space="preserve"> HYPERLINK \l _Toc22225 </w:instrText>
      </w:r>
      <w:r>
        <w:rPr>
          <w:bCs/>
        </w:rPr>
        <w:fldChar w:fldCharType="separate"/>
      </w:r>
      <w:r>
        <w:rPr>
          <w:rFonts w:ascii="Times New Roman" w:eastAsia="宋体"/>
          <w:bCs/>
          <w:szCs w:val="21"/>
        </w:rPr>
        <w:t xml:space="preserve">28.签订合同</w:t>
      </w:r>
      <w:r>
        <w:tab/>
      </w:r>
      <w:r>
        <w:fldChar w:fldCharType="begin"/>
      </w:r>
      <w:r>
        <w:instrText xml:space="preserve"> PAGEREF _Toc22225 \h </w:instrText>
      </w:r>
      <w:r>
        <w:fldChar w:fldCharType="separate"/>
      </w:r>
      <w:r>
        <w:t xml:space="preserve">22</w:t>
      </w:r>
      <w:r>
        <w:fldChar w:fldCharType="end"/>
      </w:r>
      <w:r>
        <w:rPr>
          <w:bCs/>
        </w:rPr>
        <w:fldChar w:fldCharType="end"/>
      </w:r>
      <w:r/>
    </w:p>
    <w:p>
      <w:pPr>
        <w:pStyle w:val="1164"/>
        <w:tabs>
          <w:tab w:val="right" w:pos="9638" w:leader="dot"/>
        </w:tabs>
      </w:pPr>
      <w:r>
        <w:rPr>
          <w:bCs/>
        </w:rPr>
        <w:fldChar w:fldCharType="begin"/>
      </w:r>
      <w:r>
        <w:rPr>
          <w:bCs/>
        </w:rPr>
        <w:instrText xml:space="preserve"> HYPERLINK \l _Toc7209 </w:instrText>
      </w:r>
      <w:r>
        <w:rPr>
          <w:bCs/>
        </w:rPr>
        <w:fldChar w:fldCharType="separate"/>
      </w:r>
      <w:r>
        <w:rPr>
          <w:rFonts w:ascii="Times New Roman" w:eastAsia="宋体"/>
          <w:bCs/>
          <w:szCs w:val="21"/>
        </w:rPr>
        <w:t xml:space="preserve">29.招标代理服务费</w:t>
      </w:r>
      <w:r>
        <w:tab/>
      </w:r>
      <w:r>
        <w:fldChar w:fldCharType="begin"/>
      </w:r>
      <w:r>
        <w:instrText xml:space="preserve"> PAGEREF _Toc7209 \h </w:instrText>
      </w:r>
      <w:r>
        <w:fldChar w:fldCharType="separate"/>
      </w:r>
      <w:r>
        <w:t xml:space="preserve">22</w:t>
      </w:r>
      <w:r>
        <w:fldChar w:fldCharType="end"/>
      </w:r>
      <w:r>
        <w:rPr>
          <w:bCs/>
        </w:rPr>
        <w:fldChar w:fldCharType="end"/>
      </w:r>
      <w:r/>
    </w:p>
    <w:p>
      <w:pPr>
        <w:pStyle w:val="1177"/>
        <w:tabs>
          <w:tab w:val="right" w:pos="9638" w:leader="dot"/>
        </w:tabs>
      </w:pPr>
      <w:r>
        <w:rPr>
          <w:bCs/>
        </w:rPr>
        <w:fldChar w:fldCharType="begin"/>
      </w:r>
      <w:r>
        <w:rPr>
          <w:bCs/>
        </w:rPr>
        <w:instrText xml:space="preserve"> HYPERLINK \l _Toc3393 </w:instrText>
      </w:r>
      <w:r>
        <w:rPr>
          <w:bCs/>
        </w:rPr>
        <w:fldChar w:fldCharType="separate"/>
      </w:r>
      <w:r>
        <w:rPr>
          <w:bCs/>
          <w:szCs w:val="21"/>
        </w:rPr>
        <w:t xml:space="preserve">七、质疑</w:t>
      </w:r>
      <w:r>
        <w:tab/>
      </w:r>
      <w:r>
        <w:fldChar w:fldCharType="begin"/>
      </w:r>
      <w:r>
        <w:instrText xml:space="preserve"> PAGEREF _Toc3393 \h </w:instrText>
      </w:r>
      <w:r>
        <w:fldChar w:fldCharType="separate"/>
      </w:r>
      <w:r>
        <w:t xml:space="preserve">23</w:t>
      </w:r>
      <w:r>
        <w:fldChar w:fldCharType="end"/>
      </w:r>
      <w:r>
        <w:rPr>
          <w:bCs/>
        </w:rPr>
        <w:fldChar w:fldCharType="end"/>
      </w:r>
      <w:r/>
    </w:p>
    <w:p>
      <w:pPr>
        <w:pStyle w:val="1164"/>
        <w:tabs>
          <w:tab w:val="right" w:pos="9638" w:leader="dot"/>
        </w:tabs>
      </w:pPr>
      <w:r>
        <w:rPr>
          <w:bCs/>
        </w:rPr>
        <w:fldChar w:fldCharType="begin"/>
      </w:r>
      <w:r>
        <w:rPr>
          <w:bCs/>
        </w:rPr>
        <w:instrText xml:space="preserve"> HYPERLINK \l _Toc794 </w:instrText>
      </w:r>
      <w:r>
        <w:rPr>
          <w:bCs/>
        </w:rPr>
        <w:fldChar w:fldCharType="separate"/>
      </w:r>
      <w:r>
        <w:rPr>
          <w:rFonts w:ascii="Times New Roman" w:eastAsia="宋体"/>
          <w:bCs/>
          <w:szCs w:val="21"/>
        </w:rPr>
        <w:t xml:space="preserve">30.质疑</w:t>
      </w:r>
      <w:r>
        <w:tab/>
      </w:r>
      <w:r>
        <w:fldChar w:fldCharType="begin"/>
      </w:r>
      <w:r>
        <w:instrText xml:space="preserve"> PAGEREF _Toc794 \h </w:instrText>
      </w:r>
      <w:r>
        <w:fldChar w:fldCharType="separate"/>
      </w:r>
      <w:r>
        <w:t xml:space="preserve">23</w:t>
      </w:r>
      <w:r>
        <w:fldChar w:fldCharType="end"/>
      </w:r>
      <w:r>
        <w:rPr>
          <w:bCs/>
        </w:rPr>
        <w:fldChar w:fldCharType="end"/>
      </w:r>
      <w:r/>
    </w:p>
    <w:p>
      <w:pPr>
        <w:pStyle w:val="1172"/>
        <w:tabs>
          <w:tab w:val="right" w:pos="9638" w:leader="dot"/>
        </w:tabs>
      </w:pPr>
      <w:r>
        <w:rPr>
          <w:bCs/>
        </w:rPr>
        <w:fldChar w:fldCharType="begin"/>
      </w:r>
      <w:r>
        <w:rPr>
          <w:bCs/>
        </w:rPr>
        <w:instrText xml:space="preserve"> HYPERLINK \l _Toc11294 </w:instrText>
      </w:r>
      <w:r>
        <w:rPr>
          <w:bCs/>
        </w:rPr>
        <w:fldChar w:fldCharType="separate"/>
      </w:r>
      <w:r>
        <w:rPr>
          <w:szCs w:val="28"/>
        </w:rPr>
        <w:t xml:space="preserve">第三章 评标标准</w:t>
      </w:r>
      <w:r>
        <w:tab/>
      </w:r>
      <w:r>
        <w:fldChar w:fldCharType="begin"/>
      </w:r>
      <w:r>
        <w:instrText xml:space="preserve"> PAGEREF _Toc11294 \h </w:instrText>
      </w:r>
      <w:r>
        <w:fldChar w:fldCharType="separate"/>
      </w:r>
      <w:r>
        <w:t xml:space="preserve">25</w:t>
      </w:r>
      <w:r>
        <w:fldChar w:fldCharType="end"/>
      </w:r>
      <w:r>
        <w:rPr>
          <w:bCs/>
        </w:rPr>
        <w:fldChar w:fldCharType="end"/>
      </w:r>
      <w:r/>
    </w:p>
    <w:p>
      <w:pPr>
        <w:pStyle w:val="1172"/>
        <w:tabs>
          <w:tab w:val="right" w:pos="9638" w:leader="dot"/>
        </w:tabs>
      </w:pPr>
      <w:r>
        <w:rPr>
          <w:bCs/>
        </w:rPr>
        <w:fldChar w:fldCharType="begin"/>
      </w:r>
      <w:r>
        <w:rPr>
          <w:bCs/>
        </w:rPr>
        <w:instrText xml:space="preserve"> HYPERLINK \l _Toc8090 </w:instrText>
      </w:r>
      <w:r>
        <w:rPr>
          <w:bCs/>
        </w:rPr>
        <w:fldChar w:fldCharType="separate"/>
      </w:r>
      <w:r>
        <w:rPr>
          <w:szCs w:val="28"/>
        </w:rPr>
        <w:t xml:space="preserve">第四章 招标技术规格及要求</w:t>
      </w:r>
      <w:r>
        <w:tab/>
      </w:r>
      <w:r>
        <w:fldChar w:fldCharType="begin"/>
      </w:r>
      <w:r>
        <w:instrText xml:space="preserve"> PAGEREF _Toc8090 \h </w:instrText>
      </w:r>
      <w:r>
        <w:fldChar w:fldCharType="separate"/>
      </w:r>
      <w:r>
        <w:t xml:space="preserve">28</w:t>
      </w:r>
      <w:r>
        <w:fldChar w:fldCharType="end"/>
      </w:r>
      <w:r>
        <w:rPr>
          <w:bCs/>
        </w:rPr>
        <w:fldChar w:fldCharType="end"/>
      </w:r>
      <w:r/>
    </w:p>
    <w:p>
      <w:pPr>
        <w:pStyle w:val="1172"/>
        <w:tabs>
          <w:tab w:val="right" w:pos="9638" w:leader="dot"/>
        </w:tabs>
      </w:pPr>
      <w:r>
        <w:rPr>
          <w:bCs/>
        </w:rPr>
        <w:fldChar w:fldCharType="begin"/>
      </w:r>
      <w:r>
        <w:rPr>
          <w:bCs/>
        </w:rPr>
        <w:instrText xml:space="preserve"> HYPERLINK \l _Toc3841 </w:instrText>
      </w:r>
      <w:r>
        <w:rPr>
          <w:bCs/>
        </w:rPr>
        <w:fldChar w:fldCharType="separate"/>
      </w:r>
      <w:r>
        <w:rPr>
          <w:szCs w:val="28"/>
          <w:highlight w:val="none"/>
        </w:rPr>
        <w:t xml:space="preserve">第五章 拟签订的合同文本</w:t>
      </w:r>
      <w:r>
        <w:tab/>
      </w:r>
      <w:r>
        <w:fldChar w:fldCharType="begin"/>
      </w:r>
      <w:r>
        <w:instrText xml:space="preserve"> PAGEREF _Toc3841 \h </w:instrText>
      </w:r>
      <w:r>
        <w:fldChar w:fldCharType="separate"/>
      </w:r>
      <w:r>
        <w:t xml:space="preserve">38</w:t>
      </w:r>
      <w:r>
        <w:fldChar w:fldCharType="end"/>
      </w:r>
      <w:r>
        <w:rPr>
          <w:bCs/>
        </w:rPr>
        <w:fldChar w:fldCharType="end"/>
      </w:r>
      <w:r/>
    </w:p>
    <w:p>
      <w:pPr>
        <w:pStyle w:val="1172"/>
        <w:tabs>
          <w:tab w:val="right" w:pos="9638" w:leader="dot"/>
        </w:tabs>
      </w:pPr>
      <w:r>
        <w:rPr>
          <w:bCs/>
        </w:rPr>
        <w:fldChar w:fldCharType="begin"/>
      </w:r>
      <w:r>
        <w:rPr>
          <w:bCs/>
        </w:rPr>
        <w:instrText xml:space="preserve"> HYPERLINK \l _Toc25321 </w:instrText>
      </w:r>
      <w:r>
        <w:rPr>
          <w:bCs/>
        </w:rPr>
        <w:fldChar w:fldCharType="separate"/>
      </w:r>
      <w:r>
        <w:rPr>
          <w:szCs w:val="28"/>
        </w:rPr>
        <w:t xml:space="preserve">第六章 投标文件格式及附件</w:t>
      </w:r>
      <w:r>
        <w:tab/>
      </w:r>
      <w:r>
        <w:fldChar w:fldCharType="begin"/>
      </w:r>
      <w:r>
        <w:instrText xml:space="preserve"> PAGEREF _Toc25321 \h </w:instrText>
      </w:r>
      <w:r>
        <w:fldChar w:fldCharType="separate"/>
      </w:r>
      <w:r>
        <w:t xml:space="preserve">56</w:t>
      </w:r>
      <w:r>
        <w:fldChar w:fldCharType="end"/>
      </w:r>
      <w:r>
        <w:rPr>
          <w:bCs/>
        </w:rPr>
        <w:fldChar w:fldCharType="end"/>
      </w:r>
      <w:r/>
    </w:p>
    <w:p>
      <w:pPr>
        <w:pStyle w:val="1177"/>
        <w:tabs>
          <w:tab w:val="right" w:pos="9638" w:leader="dot"/>
        </w:tabs>
      </w:pPr>
      <w:r>
        <w:rPr>
          <w:bCs/>
        </w:rPr>
        <w:fldChar w:fldCharType="begin"/>
      </w:r>
      <w:r>
        <w:rPr>
          <w:bCs/>
        </w:rPr>
        <w:instrText xml:space="preserve"> HYPERLINK \l _Toc16846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_Toc16846 \h </w:instrText>
      </w:r>
      <w:r>
        <w:fldChar w:fldCharType="separate"/>
      </w:r>
      <w:r>
        <w:t xml:space="preserve">58</w:t>
      </w:r>
      <w:r>
        <w:fldChar w:fldCharType="end"/>
      </w:r>
      <w:r>
        <w:rPr>
          <w:bCs/>
        </w:rPr>
        <w:fldChar w:fldCharType="end"/>
      </w:r>
      <w:r/>
    </w:p>
    <w:p>
      <w:pPr>
        <w:pStyle w:val="1177"/>
        <w:tabs>
          <w:tab w:val="right" w:pos="9638" w:leader="dot"/>
        </w:tabs>
      </w:pPr>
      <w:r>
        <w:rPr>
          <w:bCs/>
        </w:rPr>
        <w:fldChar w:fldCharType="begin"/>
      </w:r>
      <w:r>
        <w:rPr>
          <w:bCs/>
        </w:rPr>
        <w:instrText xml:space="preserve"> HYPERLINK \l _Toc4725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_Toc4725 \h </w:instrText>
      </w:r>
      <w:r>
        <w:fldChar w:fldCharType="separate"/>
      </w:r>
      <w:r>
        <w:t xml:space="preserve">59</w:t>
      </w:r>
      <w:r>
        <w:fldChar w:fldCharType="end"/>
      </w:r>
      <w:r>
        <w:rPr>
          <w:bCs/>
        </w:rPr>
        <w:fldChar w:fldCharType="end"/>
      </w:r>
      <w:r/>
    </w:p>
    <w:p>
      <w:pPr>
        <w:pStyle w:val="1177"/>
        <w:tabs>
          <w:tab w:val="right" w:pos="9638" w:leader="dot"/>
        </w:tabs>
      </w:pPr>
      <w:r>
        <w:rPr>
          <w:bCs/>
        </w:rPr>
        <w:fldChar w:fldCharType="begin"/>
      </w:r>
      <w:r>
        <w:rPr>
          <w:bCs/>
        </w:rPr>
        <w:instrText xml:space="preserve"> HYPERLINK \l _Toc8425 </w:instrText>
      </w:r>
      <w:r>
        <w:rPr>
          <w:bCs/>
        </w:rPr>
        <w:fldChar w:fldCharType="separate"/>
      </w:r>
      <w:r>
        <w:rPr>
          <w:bCs/>
        </w:rPr>
        <w:t xml:space="preserve">附件一 投标函格式</w:t>
      </w:r>
      <w:r>
        <w:tab/>
      </w:r>
      <w:r>
        <w:fldChar w:fldCharType="begin"/>
      </w:r>
      <w:r>
        <w:instrText xml:space="preserve"> PAGEREF _Toc8425 \h </w:instrText>
      </w:r>
      <w:r>
        <w:fldChar w:fldCharType="separate"/>
      </w:r>
      <w:r>
        <w:t xml:space="preserve">60</w:t>
      </w:r>
      <w:r>
        <w:fldChar w:fldCharType="end"/>
      </w:r>
      <w:r>
        <w:rPr>
          <w:bCs/>
        </w:rPr>
        <w:fldChar w:fldCharType="end"/>
      </w:r>
      <w:r/>
    </w:p>
    <w:p>
      <w:pPr>
        <w:pStyle w:val="1177"/>
        <w:tabs>
          <w:tab w:val="right" w:pos="9638" w:leader="dot"/>
        </w:tabs>
      </w:pPr>
      <w:r>
        <w:rPr>
          <w:bCs/>
        </w:rPr>
        <w:fldChar w:fldCharType="begin"/>
      </w:r>
      <w:r>
        <w:rPr>
          <w:bCs/>
        </w:rPr>
        <w:instrText xml:space="preserve"> HYPERLINK \l _Toc23296 </w:instrText>
      </w:r>
      <w:r>
        <w:rPr>
          <w:bCs/>
        </w:rPr>
        <w:fldChar w:fldCharType="separate"/>
      </w:r>
      <w:r>
        <w:rPr>
          <w:bCs/>
          <w:szCs w:val="22"/>
        </w:rPr>
        <w:t xml:space="preserve">附件二 开标一览表</w:t>
      </w:r>
      <w:r>
        <w:tab/>
      </w:r>
      <w:r>
        <w:fldChar w:fldCharType="begin"/>
      </w:r>
      <w:r>
        <w:instrText xml:space="preserve"> PAGEREF _Toc23296 \h </w:instrText>
      </w:r>
      <w:r>
        <w:fldChar w:fldCharType="separate"/>
      </w:r>
      <w:r>
        <w:t xml:space="preserve">61</w:t>
      </w:r>
      <w:r>
        <w:fldChar w:fldCharType="end"/>
      </w:r>
      <w:r>
        <w:rPr>
          <w:bCs/>
        </w:rPr>
        <w:fldChar w:fldCharType="end"/>
      </w:r>
      <w:r/>
    </w:p>
    <w:p>
      <w:pPr>
        <w:pStyle w:val="1177"/>
        <w:tabs>
          <w:tab w:val="right" w:pos="9638" w:leader="dot"/>
        </w:tabs>
      </w:pPr>
      <w:r>
        <w:rPr>
          <w:bCs/>
        </w:rPr>
        <w:fldChar w:fldCharType="begin"/>
      </w:r>
      <w:r>
        <w:rPr>
          <w:bCs/>
        </w:rPr>
        <w:instrText xml:space="preserve"> HYPERLINK \l _Toc2133 </w:instrText>
      </w:r>
      <w:r>
        <w:rPr>
          <w:bCs/>
        </w:rPr>
        <w:fldChar w:fldCharType="separate"/>
      </w:r>
      <w:r>
        <w:rPr>
          <w:bCs/>
          <w:szCs w:val="22"/>
        </w:rPr>
        <w:t xml:space="preserve">附件三 分项报价表</w:t>
      </w:r>
      <w:r>
        <w:tab/>
      </w:r>
      <w:r>
        <w:fldChar w:fldCharType="begin"/>
      </w:r>
      <w:r>
        <w:instrText xml:space="preserve"> PAGEREF _Toc2133 \h </w:instrText>
      </w:r>
      <w:r>
        <w:fldChar w:fldCharType="separate"/>
      </w:r>
      <w:r>
        <w:t xml:space="preserve">62</w:t>
      </w:r>
      <w:r>
        <w:fldChar w:fldCharType="end"/>
      </w:r>
      <w:r>
        <w:rPr>
          <w:bCs/>
        </w:rPr>
        <w:fldChar w:fldCharType="end"/>
      </w:r>
      <w:r/>
    </w:p>
    <w:p>
      <w:pPr>
        <w:pStyle w:val="1177"/>
        <w:tabs>
          <w:tab w:val="right" w:pos="9638" w:leader="dot"/>
        </w:tabs>
      </w:pPr>
      <w:r>
        <w:rPr>
          <w:bCs/>
        </w:rPr>
        <w:fldChar w:fldCharType="begin"/>
      </w:r>
      <w:r>
        <w:rPr>
          <w:bCs/>
        </w:rPr>
        <w:instrText xml:space="preserve"> HYPERLINK \l _Toc2489 </w:instrText>
      </w:r>
      <w:r>
        <w:rPr>
          <w:bCs/>
        </w:rPr>
        <w:fldChar w:fldCharType="separate"/>
      </w:r>
      <w:r>
        <w:rPr>
          <w:bCs/>
          <w:szCs w:val="22"/>
        </w:rPr>
        <w:t xml:space="preserve">附件四 商务条款偏离表</w:t>
      </w:r>
      <w:r>
        <w:tab/>
      </w:r>
      <w:r>
        <w:fldChar w:fldCharType="begin"/>
      </w:r>
      <w:r>
        <w:instrText xml:space="preserve"> PAGEREF _Toc2489 \h </w:instrText>
      </w:r>
      <w:r>
        <w:fldChar w:fldCharType="separate"/>
      </w:r>
      <w:r>
        <w:t xml:space="preserve">63</w:t>
      </w:r>
      <w:r>
        <w:fldChar w:fldCharType="end"/>
      </w:r>
      <w:r>
        <w:rPr>
          <w:bCs/>
        </w:rPr>
        <w:fldChar w:fldCharType="end"/>
      </w:r>
      <w:r/>
    </w:p>
    <w:p>
      <w:pPr>
        <w:pStyle w:val="1177"/>
        <w:tabs>
          <w:tab w:val="right" w:pos="9638" w:leader="dot"/>
        </w:tabs>
      </w:pPr>
      <w:r>
        <w:rPr>
          <w:bCs/>
        </w:rPr>
        <w:fldChar w:fldCharType="begin"/>
      </w:r>
      <w:r>
        <w:rPr>
          <w:bCs/>
        </w:rPr>
        <w:instrText xml:space="preserve"> HYPERLINK \l _Toc21713 </w:instrText>
      </w:r>
      <w:r>
        <w:rPr>
          <w:bCs/>
        </w:rPr>
        <w:fldChar w:fldCharType="separate"/>
      </w:r>
      <w:r>
        <w:rPr>
          <w:bCs/>
          <w:szCs w:val="22"/>
        </w:rPr>
        <w:t xml:space="preserve">附件五 技术条款偏离表</w:t>
      </w:r>
      <w:r>
        <w:tab/>
      </w:r>
      <w:r>
        <w:fldChar w:fldCharType="begin"/>
      </w:r>
      <w:r>
        <w:instrText xml:space="preserve"> PAGEREF _Toc21713 \h </w:instrText>
      </w:r>
      <w:r>
        <w:fldChar w:fldCharType="separate"/>
      </w:r>
      <w:r>
        <w:t xml:space="preserve">64</w:t>
      </w:r>
      <w:r>
        <w:fldChar w:fldCharType="end"/>
      </w:r>
      <w:r>
        <w:rPr>
          <w:bCs/>
        </w:rPr>
        <w:fldChar w:fldCharType="end"/>
      </w:r>
      <w:r/>
    </w:p>
    <w:p>
      <w:pPr>
        <w:pStyle w:val="1177"/>
        <w:tabs>
          <w:tab w:val="right" w:pos="9638" w:leader="dot"/>
        </w:tabs>
      </w:pPr>
      <w:r>
        <w:rPr>
          <w:bCs/>
        </w:rPr>
        <w:fldChar w:fldCharType="begin"/>
      </w:r>
      <w:r>
        <w:rPr>
          <w:bCs/>
        </w:rPr>
        <w:instrText xml:space="preserve"> HYPERLINK \l _Toc877 </w:instrText>
      </w:r>
      <w:r>
        <w:rPr>
          <w:bCs/>
        </w:rPr>
        <w:fldChar w:fldCharType="separate"/>
      </w:r>
      <w:r>
        <w:rPr>
          <w:bCs/>
          <w:szCs w:val="22"/>
        </w:rPr>
        <w:t xml:space="preserve">附件六 政府采购政策</w:t>
      </w:r>
      <w:r>
        <w:tab/>
      </w:r>
      <w:r>
        <w:fldChar w:fldCharType="begin"/>
      </w:r>
      <w:r>
        <w:instrText xml:space="preserve"> PAGEREF _Toc877 \h </w:instrText>
      </w:r>
      <w:r>
        <w:fldChar w:fldCharType="separate"/>
      </w:r>
      <w:r>
        <w:t xml:space="preserve">65</w:t>
      </w:r>
      <w:r>
        <w:fldChar w:fldCharType="end"/>
      </w:r>
      <w:r>
        <w:rPr>
          <w:bCs/>
        </w:rPr>
        <w:fldChar w:fldCharType="end"/>
      </w:r>
      <w:r/>
    </w:p>
    <w:p>
      <w:pPr>
        <w:pStyle w:val="1164"/>
        <w:tabs>
          <w:tab w:val="right" w:pos="9638" w:leader="dot"/>
        </w:tabs>
      </w:pPr>
      <w:r>
        <w:rPr>
          <w:bCs/>
        </w:rPr>
        <w:fldChar w:fldCharType="begin"/>
      </w:r>
      <w:r>
        <w:rPr>
          <w:bCs/>
        </w:rPr>
        <w:instrText xml:space="preserve"> HYPERLINK \l _Toc3803 </w:instrText>
      </w:r>
      <w:r>
        <w:rPr>
          <w:bCs/>
        </w:rPr>
        <w:fldChar w:fldCharType="separate"/>
      </w:r>
      <w:r>
        <w:rPr>
          <w:bCs/>
          <w:szCs w:val="21"/>
        </w:rPr>
        <w:t xml:space="preserve">（一）《中小企业声明函》</w:t>
      </w:r>
      <w:r>
        <w:tab/>
      </w:r>
      <w:r>
        <w:fldChar w:fldCharType="begin"/>
      </w:r>
      <w:r>
        <w:instrText xml:space="preserve"> PAGEREF _Toc3803 \h </w:instrText>
      </w:r>
      <w:r>
        <w:fldChar w:fldCharType="separate"/>
      </w:r>
      <w:r>
        <w:t xml:space="preserve">65</w:t>
      </w:r>
      <w:r>
        <w:fldChar w:fldCharType="end"/>
      </w:r>
      <w:r>
        <w:rPr>
          <w:bCs/>
        </w:rPr>
        <w:fldChar w:fldCharType="end"/>
      </w:r>
      <w:r/>
    </w:p>
    <w:p>
      <w:pPr>
        <w:pStyle w:val="1164"/>
        <w:tabs>
          <w:tab w:val="right" w:pos="9638" w:leader="dot"/>
        </w:tabs>
      </w:pPr>
      <w:r>
        <w:rPr>
          <w:bCs/>
        </w:rPr>
        <w:fldChar w:fldCharType="begin"/>
      </w:r>
      <w:r>
        <w:rPr>
          <w:bCs/>
        </w:rPr>
        <w:instrText xml:space="preserve"> HYPERLINK \l _Toc4607 </w:instrText>
      </w:r>
      <w:r>
        <w:rPr>
          <w:bCs/>
        </w:rPr>
        <w:fldChar w:fldCharType="separate"/>
      </w:r>
      <w:r>
        <w:rPr>
          <w:bCs/>
          <w:szCs w:val="21"/>
        </w:rPr>
        <w:t xml:space="preserve">（二）残疾人福利性单位声明函</w:t>
      </w:r>
      <w:r>
        <w:tab/>
      </w:r>
      <w:r>
        <w:fldChar w:fldCharType="begin"/>
      </w:r>
      <w:r>
        <w:instrText xml:space="preserve"> PAGEREF _Toc4607 \h </w:instrText>
      </w:r>
      <w:r>
        <w:fldChar w:fldCharType="separate"/>
      </w:r>
      <w:r>
        <w:t xml:space="preserve">66</w:t>
      </w:r>
      <w:r>
        <w:fldChar w:fldCharType="end"/>
      </w:r>
      <w:r>
        <w:rPr>
          <w:bCs/>
        </w:rPr>
        <w:fldChar w:fldCharType="end"/>
      </w:r>
      <w:r/>
    </w:p>
    <w:p>
      <w:pPr>
        <w:pStyle w:val="1164"/>
        <w:tabs>
          <w:tab w:val="right" w:pos="9638" w:leader="dot"/>
        </w:tabs>
      </w:pPr>
      <w:r>
        <w:rPr>
          <w:bCs/>
        </w:rPr>
        <w:fldChar w:fldCharType="begin"/>
      </w:r>
      <w:r>
        <w:rPr>
          <w:bCs/>
        </w:rPr>
        <w:instrText xml:space="preserve"> HYPERLINK \l _Toc5819 </w:instrText>
      </w:r>
      <w:r>
        <w:rPr>
          <w:bCs/>
        </w:rPr>
        <w:fldChar w:fldCharType="separate"/>
      </w:r>
      <w:r>
        <w:rPr>
          <w:bCs/>
          <w:szCs w:val="21"/>
        </w:rPr>
        <w:t xml:space="preserve">（三）采购本国产品的支持政策</w:t>
      </w:r>
      <w:r>
        <w:rPr>
          <w:rFonts w:hint="eastAsia"/>
          <w:bCs/>
          <w:szCs w:val="21"/>
        </w:rPr>
        <w:t xml:space="preserve">（如适用）</w:t>
      </w:r>
      <w:r>
        <w:tab/>
      </w:r>
      <w:r>
        <w:fldChar w:fldCharType="begin"/>
      </w:r>
      <w:r>
        <w:instrText xml:space="preserve"> PAGEREF _Toc5819 \h </w:instrText>
      </w:r>
      <w:r>
        <w:fldChar w:fldCharType="separate"/>
      </w:r>
      <w:r>
        <w:t xml:space="preserve">67</w:t>
      </w:r>
      <w:r>
        <w:fldChar w:fldCharType="end"/>
      </w:r>
      <w:r>
        <w:rPr>
          <w:bCs/>
        </w:rPr>
        <w:fldChar w:fldCharType="end"/>
      </w:r>
      <w:r/>
    </w:p>
    <w:p>
      <w:pPr>
        <w:pStyle w:val="1177"/>
        <w:tabs>
          <w:tab w:val="right" w:pos="9638" w:leader="dot"/>
        </w:tabs>
      </w:pPr>
      <w:r>
        <w:rPr>
          <w:bCs/>
        </w:rPr>
        <w:fldChar w:fldCharType="begin"/>
      </w:r>
      <w:r>
        <w:rPr>
          <w:bCs/>
        </w:rPr>
        <w:instrText xml:space="preserve"> HYPERLINK \l _Toc8893 </w:instrText>
      </w:r>
      <w:r>
        <w:rPr>
          <w:bCs/>
        </w:rPr>
        <w:fldChar w:fldCharType="separate"/>
      </w:r>
      <w:r>
        <w:rPr>
          <w:bCs/>
          <w:szCs w:val="22"/>
          <w:lang w:val="zh-CN"/>
        </w:rPr>
        <w:t xml:space="preserve">附件</w:t>
      </w:r>
      <w:r>
        <w:rPr>
          <w:bCs/>
          <w:szCs w:val="22"/>
        </w:rPr>
        <w:t xml:space="preserve">七 </w:t>
      </w:r>
      <w:r>
        <w:rPr>
          <w:bCs/>
          <w:szCs w:val="22"/>
          <w:lang w:val="zh-CN"/>
        </w:rPr>
        <w:t xml:space="preserve">供应商基本情况表</w:t>
      </w:r>
      <w:r>
        <w:tab/>
      </w:r>
      <w:r>
        <w:fldChar w:fldCharType="begin"/>
      </w:r>
      <w:r>
        <w:instrText xml:space="preserve"> PAGEREF _Toc8893 \h </w:instrText>
      </w:r>
      <w:r>
        <w:fldChar w:fldCharType="separate"/>
      </w:r>
      <w:r>
        <w:t xml:space="preserve">68</w:t>
      </w:r>
      <w:r>
        <w:fldChar w:fldCharType="end"/>
      </w:r>
      <w:r>
        <w:rPr>
          <w:bCs/>
        </w:rPr>
        <w:fldChar w:fldCharType="end"/>
      </w:r>
      <w:r/>
    </w:p>
    <w:p>
      <w:pPr>
        <w:pStyle w:val="1177"/>
        <w:tabs>
          <w:tab w:val="right" w:pos="9638" w:leader="dot"/>
        </w:tabs>
      </w:pPr>
      <w:r>
        <w:rPr>
          <w:bCs/>
        </w:rPr>
        <w:fldChar w:fldCharType="begin"/>
      </w:r>
      <w:r>
        <w:rPr>
          <w:bCs/>
        </w:rPr>
        <w:instrText xml:space="preserve"> HYPERLINK \l _Toc8715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rPr>
          <w:bCs/>
          <w:szCs w:val="22"/>
        </w:rPr>
        <w:t xml:space="preserve">—附表</w:t>
      </w:r>
      <w:r>
        <w:tab/>
      </w:r>
      <w:r>
        <w:fldChar w:fldCharType="begin"/>
      </w:r>
      <w:r>
        <w:instrText xml:space="preserve"> PAGEREF _Toc8715 \h </w:instrText>
      </w:r>
      <w:r>
        <w:fldChar w:fldCharType="separate"/>
      </w:r>
      <w:r>
        <w:t xml:space="preserve">69</w:t>
      </w:r>
      <w:r>
        <w:fldChar w:fldCharType="end"/>
      </w:r>
      <w:r>
        <w:rPr>
          <w:bCs/>
        </w:rPr>
        <w:fldChar w:fldCharType="end"/>
      </w:r>
      <w:r/>
    </w:p>
    <w:p>
      <w:pPr>
        <w:pStyle w:val="1177"/>
        <w:tabs>
          <w:tab w:val="right" w:pos="9638" w:leader="dot"/>
        </w:tabs>
      </w:pPr>
      <w:r>
        <w:rPr>
          <w:bCs/>
        </w:rPr>
        <w:fldChar w:fldCharType="begin"/>
      </w:r>
      <w:r>
        <w:rPr>
          <w:bCs/>
        </w:rPr>
        <w:instrText xml:space="preserve"> HYPERLINK \l _Toc9299 </w:instrText>
      </w:r>
      <w:r>
        <w:rPr>
          <w:bCs/>
        </w:rPr>
        <w:fldChar w:fldCharType="separate"/>
      </w:r>
      <w:r>
        <w:rPr>
          <w:bCs/>
          <w:szCs w:val="22"/>
          <w:lang w:val="zh-CN"/>
        </w:rPr>
        <w:t xml:space="preserve">附件</w:t>
      </w:r>
      <w:r>
        <w:rPr>
          <w:bCs/>
          <w:szCs w:val="22"/>
        </w:rPr>
        <w:t xml:space="preserve">八</w:t>
      </w:r>
      <w:r>
        <w:rPr>
          <w:bCs/>
          <w:szCs w:val="22"/>
          <w:lang w:val="zh-CN"/>
        </w:rPr>
        <w:t xml:space="preserve"> 资格证明文件</w:t>
      </w:r>
      <w:r>
        <w:tab/>
      </w:r>
      <w:r>
        <w:fldChar w:fldCharType="begin"/>
      </w:r>
      <w:r>
        <w:instrText xml:space="preserve"> PAGEREF _Toc9299 \h </w:instrText>
      </w:r>
      <w:r>
        <w:fldChar w:fldCharType="separate"/>
      </w:r>
      <w:r>
        <w:t xml:space="preserve">72</w:t>
      </w:r>
      <w:r>
        <w:fldChar w:fldCharType="end"/>
      </w:r>
      <w:r>
        <w:rPr>
          <w:bCs/>
        </w:rPr>
        <w:fldChar w:fldCharType="end"/>
      </w:r>
      <w:r/>
    </w:p>
    <w:p>
      <w:pPr>
        <w:pStyle w:val="1164"/>
        <w:tabs>
          <w:tab w:val="right" w:pos="9638" w:leader="dot"/>
        </w:tabs>
      </w:pPr>
      <w:r>
        <w:rPr>
          <w:bCs/>
        </w:rPr>
        <w:fldChar w:fldCharType="begin"/>
      </w:r>
      <w:r>
        <w:rPr>
          <w:bCs/>
        </w:rPr>
        <w:instrText xml:space="preserve"> HYPERLINK \l _Toc7765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_Toc7765 \h </w:instrText>
      </w:r>
      <w:r>
        <w:fldChar w:fldCharType="separate"/>
      </w:r>
      <w:r>
        <w:t xml:space="preserve">72</w:t>
      </w:r>
      <w:r>
        <w:fldChar w:fldCharType="end"/>
      </w:r>
      <w:r>
        <w:rPr>
          <w:bCs/>
        </w:rPr>
        <w:fldChar w:fldCharType="end"/>
      </w:r>
      <w:r/>
    </w:p>
    <w:p>
      <w:pPr>
        <w:pStyle w:val="1164"/>
        <w:tabs>
          <w:tab w:val="right" w:pos="9638" w:leader="dot"/>
        </w:tabs>
      </w:pPr>
      <w:r>
        <w:rPr>
          <w:bCs/>
        </w:rPr>
        <w:fldChar w:fldCharType="begin"/>
      </w:r>
      <w:r>
        <w:rPr>
          <w:bCs/>
        </w:rPr>
        <w:instrText xml:space="preserve"> HYPERLINK \l _Toc26989 </w:instrText>
      </w:r>
      <w:r>
        <w:rPr>
          <w:bCs/>
        </w:rPr>
        <w:fldChar w:fldCharType="separate"/>
      </w:r>
      <w:r>
        <w:rPr>
          <w:bCs/>
          <w:szCs w:val="21"/>
          <w:lang w:val="zh-CN"/>
        </w:rPr>
        <w:t xml:space="preserve">2、法人代表授权书</w:t>
      </w:r>
      <w:r>
        <w:tab/>
      </w:r>
      <w:r>
        <w:fldChar w:fldCharType="begin"/>
      </w:r>
      <w:r>
        <w:instrText xml:space="preserve"> PAGEREF _Toc26989 \h </w:instrText>
      </w:r>
      <w:r>
        <w:fldChar w:fldCharType="separate"/>
      </w:r>
      <w:r>
        <w:t xml:space="preserve">73</w:t>
      </w:r>
      <w:r>
        <w:fldChar w:fldCharType="end"/>
      </w:r>
      <w:r>
        <w:rPr>
          <w:bCs/>
        </w:rPr>
        <w:fldChar w:fldCharType="end"/>
      </w:r>
      <w:r/>
    </w:p>
    <w:p>
      <w:pPr>
        <w:pStyle w:val="1164"/>
        <w:tabs>
          <w:tab w:val="right" w:pos="9638" w:leader="dot"/>
        </w:tabs>
      </w:pPr>
      <w:r>
        <w:rPr>
          <w:bCs/>
        </w:rPr>
        <w:fldChar w:fldCharType="begin"/>
      </w:r>
      <w:r>
        <w:rPr>
          <w:bCs/>
        </w:rPr>
        <w:instrText xml:space="preserve"> HYPERLINK \l _Toc27067 </w:instrText>
      </w:r>
      <w:r>
        <w:rPr>
          <w:bCs/>
        </w:rPr>
        <w:fldChar w:fldCharType="separate"/>
      </w:r>
      <w:r>
        <w:rPr>
          <w:rFonts w:hint="eastAsia"/>
          <w:bCs/>
          <w:szCs w:val="21"/>
        </w:rPr>
        <w:t xml:space="preserve">3</w:t>
      </w:r>
      <w:r>
        <w:rPr>
          <w:bCs/>
          <w:szCs w:val="21"/>
          <w:lang w:val="zh-CN"/>
        </w:rPr>
        <w:t xml:space="preserve">、具有良好的商业信誉和健全的财务会计制度</w:t>
      </w:r>
      <w:r>
        <w:tab/>
      </w:r>
      <w:r>
        <w:fldChar w:fldCharType="begin"/>
      </w:r>
      <w:r>
        <w:instrText xml:space="preserve"> PAGEREF _Toc27067 \h </w:instrText>
      </w:r>
      <w:r>
        <w:fldChar w:fldCharType="separate"/>
      </w:r>
      <w:r>
        <w:t xml:space="preserve">74</w:t>
      </w:r>
      <w:r>
        <w:fldChar w:fldCharType="end"/>
      </w:r>
      <w:r>
        <w:rPr>
          <w:bCs/>
        </w:rPr>
        <w:fldChar w:fldCharType="end"/>
      </w:r>
      <w:r/>
    </w:p>
    <w:p>
      <w:pPr>
        <w:pStyle w:val="1164"/>
        <w:tabs>
          <w:tab w:val="right" w:pos="9638" w:leader="dot"/>
        </w:tabs>
      </w:pPr>
      <w:r>
        <w:rPr>
          <w:bCs/>
        </w:rPr>
        <w:fldChar w:fldCharType="begin"/>
      </w:r>
      <w:r>
        <w:rPr>
          <w:bCs/>
        </w:rPr>
        <w:instrText xml:space="preserve"> HYPERLINK \l _Toc23874 </w:instrText>
      </w:r>
      <w:r>
        <w:rPr>
          <w:bCs/>
        </w:rPr>
        <w:fldChar w:fldCharType="separate"/>
      </w:r>
      <w:r>
        <w:rPr>
          <w:rFonts w:hint="eastAsia"/>
          <w:bCs/>
          <w:szCs w:val="21"/>
        </w:rPr>
        <w:t xml:space="preserve">4</w:t>
      </w:r>
      <w:r>
        <w:rPr>
          <w:bCs/>
          <w:szCs w:val="21"/>
        </w:rPr>
        <w:t xml:space="preserve">、</w:t>
      </w:r>
      <w:r>
        <w:rPr>
          <w:bCs/>
          <w:szCs w:val="21"/>
          <w:lang w:val="zh-CN"/>
        </w:rPr>
        <w:t xml:space="preserve">具有履行合同所必需的设备和专业技术能力</w:t>
      </w:r>
      <w:r>
        <w:tab/>
      </w:r>
      <w:r>
        <w:fldChar w:fldCharType="begin"/>
      </w:r>
      <w:r>
        <w:instrText xml:space="preserve"> PAGEREF _Toc23874 \h </w:instrText>
      </w:r>
      <w:r>
        <w:fldChar w:fldCharType="separate"/>
      </w:r>
      <w:r>
        <w:t xml:space="preserve">75</w:t>
      </w:r>
      <w:r>
        <w:fldChar w:fldCharType="end"/>
      </w:r>
      <w:r>
        <w:rPr>
          <w:bCs/>
        </w:rPr>
        <w:fldChar w:fldCharType="end"/>
      </w:r>
      <w:r/>
    </w:p>
    <w:p>
      <w:pPr>
        <w:pStyle w:val="1164"/>
        <w:tabs>
          <w:tab w:val="right" w:pos="9638" w:leader="dot"/>
        </w:tabs>
      </w:pPr>
      <w:r>
        <w:rPr>
          <w:bCs/>
        </w:rPr>
        <w:fldChar w:fldCharType="begin"/>
      </w:r>
      <w:r>
        <w:rPr>
          <w:bCs/>
        </w:rPr>
        <w:instrText xml:space="preserve"> HYPERLINK \l _Toc6598 </w:instrText>
      </w:r>
      <w:r>
        <w:rPr>
          <w:bCs/>
        </w:rPr>
        <w:fldChar w:fldCharType="separate"/>
      </w:r>
      <w:r>
        <w:rPr>
          <w:rFonts w:hint="eastAsia"/>
          <w:bCs/>
          <w:szCs w:val="21"/>
        </w:rPr>
        <w:t xml:space="preserve">5</w:t>
      </w:r>
      <w:r>
        <w:rPr>
          <w:bCs/>
          <w:szCs w:val="21"/>
        </w:rPr>
        <w:t xml:space="preserve">、参加政府采购活动近三年内（成立时间不足三年的、自成立时间起），在经营活动中没有重大违法记录</w:t>
      </w:r>
      <w:r>
        <w:tab/>
      </w:r>
      <w:r>
        <w:fldChar w:fldCharType="begin"/>
      </w:r>
      <w:r>
        <w:instrText xml:space="preserve"> PAGEREF _Toc6598 \h </w:instrText>
      </w:r>
      <w:r>
        <w:fldChar w:fldCharType="separate"/>
      </w:r>
      <w:r>
        <w:t xml:space="preserve">76</w:t>
      </w:r>
      <w:r>
        <w:fldChar w:fldCharType="end"/>
      </w:r>
      <w:r>
        <w:rPr>
          <w:bCs/>
        </w:rPr>
        <w:fldChar w:fldCharType="end"/>
      </w:r>
      <w:r/>
    </w:p>
    <w:p>
      <w:pPr>
        <w:pStyle w:val="1164"/>
        <w:tabs>
          <w:tab w:val="right" w:pos="9638" w:leader="dot"/>
        </w:tabs>
      </w:pPr>
      <w:r>
        <w:rPr>
          <w:bCs/>
        </w:rPr>
        <w:fldChar w:fldCharType="begin"/>
      </w:r>
      <w:r>
        <w:rPr>
          <w:bCs/>
        </w:rPr>
        <w:instrText xml:space="preserve"> HYPERLINK \l _Toc417 </w:instrText>
      </w:r>
      <w:r>
        <w:rPr>
          <w:bCs/>
        </w:rPr>
        <w:fldChar w:fldCharType="separate"/>
      </w:r>
      <w:r>
        <w:rPr>
          <w:rFonts w:hint="eastAsia"/>
          <w:bCs/>
          <w:szCs w:val="21"/>
        </w:rPr>
        <w:t xml:space="preserve">6</w:t>
      </w:r>
      <w:r>
        <w:rPr>
          <w:bCs/>
          <w:szCs w:val="21"/>
        </w:rPr>
        <w:t xml:space="preserve">、依法缴纳税收的记录</w:t>
      </w:r>
      <w:r>
        <w:tab/>
      </w:r>
      <w:r>
        <w:fldChar w:fldCharType="begin"/>
      </w:r>
      <w:r>
        <w:instrText xml:space="preserve"> PAGEREF _Toc417 \h </w:instrText>
      </w:r>
      <w:r>
        <w:fldChar w:fldCharType="separate"/>
      </w:r>
      <w:r>
        <w:t xml:space="preserve">77</w:t>
      </w:r>
      <w:r>
        <w:fldChar w:fldCharType="end"/>
      </w:r>
      <w:r>
        <w:rPr>
          <w:bCs/>
        </w:rPr>
        <w:fldChar w:fldCharType="end"/>
      </w:r>
      <w:r/>
    </w:p>
    <w:p>
      <w:pPr>
        <w:pStyle w:val="1164"/>
        <w:tabs>
          <w:tab w:val="right" w:pos="9638" w:leader="dot"/>
        </w:tabs>
      </w:pPr>
      <w:r>
        <w:rPr>
          <w:bCs/>
        </w:rPr>
        <w:fldChar w:fldCharType="begin"/>
      </w:r>
      <w:r>
        <w:rPr>
          <w:bCs/>
        </w:rPr>
        <w:instrText xml:space="preserve"> HYPERLINK \l _Toc2511 </w:instrText>
      </w:r>
      <w:r>
        <w:rPr>
          <w:bCs/>
        </w:rPr>
        <w:fldChar w:fldCharType="separate"/>
      </w:r>
      <w:r>
        <w:rPr>
          <w:rFonts w:hint="eastAsia"/>
          <w:bCs/>
          <w:szCs w:val="21"/>
        </w:rPr>
        <w:t xml:space="preserve">7</w:t>
      </w:r>
      <w:r>
        <w:rPr>
          <w:bCs/>
          <w:szCs w:val="21"/>
        </w:rPr>
        <w:t xml:space="preserve">、依法缴纳社会保障资金的记录</w:t>
      </w:r>
      <w:r>
        <w:tab/>
      </w:r>
      <w:r>
        <w:fldChar w:fldCharType="begin"/>
      </w:r>
      <w:r>
        <w:instrText xml:space="preserve"> PAGEREF _Toc2511 \h </w:instrText>
      </w:r>
      <w:r>
        <w:fldChar w:fldCharType="separate"/>
      </w:r>
      <w:r>
        <w:t xml:space="preserve">78</w:t>
      </w:r>
      <w:r>
        <w:fldChar w:fldCharType="end"/>
      </w:r>
      <w:r>
        <w:rPr>
          <w:bCs/>
        </w:rPr>
        <w:fldChar w:fldCharType="end"/>
      </w:r>
      <w:r/>
    </w:p>
    <w:p>
      <w:pPr>
        <w:pStyle w:val="1164"/>
        <w:tabs>
          <w:tab w:val="right" w:pos="9638" w:leader="dot"/>
        </w:tabs>
      </w:pPr>
      <w:r>
        <w:rPr>
          <w:bCs/>
        </w:rPr>
        <w:fldChar w:fldCharType="begin"/>
      </w:r>
      <w:r>
        <w:rPr>
          <w:bCs/>
        </w:rPr>
        <w:instrText xml:space="preserve"> HYPERLINK \l _Toc10804 </w:instrText>
      </w:r>
      <w:r>
        <w:rPr>
          <w:bCs/>
        </w:rPr>
        <w:fldChar w:fldCharType="separate"/>
      </w:r>
      <w:r>
        <w:rPr>
          <w:rFonts w:hint="eastAsia"/>
          <w:bCs/>
          <w:szCs w:val="21"/>
        </w:rPr>
        <w:t xml:space="preserve">8</w:t>
      </w:r>
      <w:r>
        <w:rPr>
          <w:bCs/>
          <w:szCs w:val="21"/>
        </w:rPr>
        <w:t xml:space="preserve">、针对本项目的特定资格要求</w:t>
      </w:r>
      <w:r>
        <w:tab/>
      </w:r>
      <w:r>
        <w:fldChar w:fldCharType="begin"/>
      </w:r>
      <w:r>
        <w:instrText xml:space="preserve"> PAGEREF _Toc10804 \h </w:instrText>
      </w:r>
      <w:r>
        <w:fldChar w:fldCharType="separate"/>
      </w:r>
      <w:r>
        <w:t xml:space="preserve">79</w:t>
      </w:r>
      <w:r>
        <w:fldChar w:fldCharType="end"/>
      </w:r>
      <w:r>
        <w:rPr>
          <w:bCs/>
        </w:rPr>
        <w:fldChar w:fldCharType="end"/>
      </w:r>
      <w:r/>
    </w:p>
    <w:p>
      <w:pPr>
        <w:pStyle w:val="1164"/>
        <w:tabs>
          <w:tab w:val="right" w:pos="9638" w:leader="dot"/>
        </w:tabs>
      </w:pPr>
      <w:r>
        <w:rPr>
          <w:bCs/>
        </w:rPr>
        <w:fldChar w:fldCharType="begin"/>
      </w:r>
      <w:r>
        <w:rPr>
          <w:bCs/>
        </w:rPr>
        <w:instrText xml:space="preserve"> HYPERLINK \l _Toc30118 </w:instrText>
      </w:r>
      <w:r>
        <w:rPr>
          <w:bCs/>
        </w:rPr>
        <w:fldChar w:fldCharType="separate"/>
      </w:r>
      <w:r>
        <w:rPr>
          <w:rFonts w:hint="eastAsia"/>
          <w:bCs/>
          <w:szCs w:val="21"/>
        </w:rPr>
        <w:t xml:space="preserve">9</w:t>
      </w:r>
      <w:r>
        <w:rPr>
          <w:bCs/>
          <w:szCs w:val="21"/>
        </w:rPr>
        <w:t xml:space="preserve">、符合招标文件第一章“拒绝下述供应商参加本次采购活动的情形”中第 1）条的声明或证明材料（加盖单位公章）</w:t>
      </w:r>
      <w:r>
        <w:tab/>
      </w:r>
      <w:r>
        <w:fldChar w:fldCharType="begin"/>
      </w:r>
      <w:r>
        <w:instrText xml:space="preserve"> PAGEREF _Toc30118 \h </w:instrText>
      </w:r>
      <w:r>
        <w:fldChar w:fldCharType="separate"/>
      </w:r>
      <w:r>
        <w:t xml:space="preserve">80</w:t>
      </w:r>
      <w:r>
        <w:fldChar w:fldCharType="end"/>
      </w:r>
      <w:r>
        <w:rPr>
          <w:bCs/>
        </w:rPr>
        <w:fldChar w:fldCharType="end"/>
      </w:r>
      <w:r/>
    </w:p>
    <w:p>
      <w:pPr>
        <w:pStyle w:val="1164"/>
        <w:tabs>
          <w:tab w:val="right" w:pos="9638" w:leader="dot"/>
        </w:tabs>
      </w:pPr>
      <w:r>
        <w:rPr>
          <w:bCs/>
        </w:rPr>
        <w:fldChar w:fldCharType="begin"/>
      </w:r>
      <w:r>
        <w:rPr>
          <w:bCs/>
        </w:rPr>
        <w:instrText xml:space="preserve"> HYPERLINK \l _Toc18200 </w:instrText>
      </w:r>
      <w:r>
        <w:rPr>
          <w:bCs/>
        </w:rPr>
        <w:fldChar w:fldCharType="separate"/>
      </w:r>
      <w:r>
        <w:rPr>
          <w:bCs/>
        </w:rPr>
        <w:t xml:space="preserve">1</w:t>
      </w:r>
      <w:r>
        <w:rPr>
          <w:rFonts w:hint="eastAsia"/>
          <w:bCs/>
        </w:rPr>
        <w:t xml:space="preserve">0</w:t>
      </w:r>
      <w:r>
        <w:rPr>
          <w:bCs/>
        </w:rPr>
        <w:t xml:space="preserve">、符合招标文件第一章“拒绝下述供应商参加本次采购活动的情形”中第 2）条的声明（加盖单位公章）</w:t>
      </w:r>
      <w:r>
        <w:tab/>
      </w:r>
      <w:r>
        <w:fldChar w:fldCharType="begin"/>
      </w:r>
      <w:r>
        <w:instrText xml:space="preserve"> PAGEREF _Toc18200 \h </w:instrText>
      </w:r>
      <w:r>
        <w:fldChar w:fldCharType="separate"/>
      </w:r>
      <w:r>
        <w:t xml:space="preserve">81</w:t>
      </w:r>
      <w:r>
        <w:fldChar w:fldCharType="end"/>
      </w:r>
      <w:r>
        <w:rPr>
          <w:bCs/>
        </w:rPr>
        <w:fldChar w:fldCharType="end"/>
      </w:r>
      <w:r/>
    </w:p>
    <w:p>
      <w:pPr>
        <w:pStyle w:val="1164"/>
        <w:tabs>
          <w:tab w:val="right" w:pos="9638" w:leader="dot"/>
        </w:tabs>
      </w:pPr>
      <w:r>
        <w:rPr>
          <w:bCs/>
        </w:rPr>
        <w:fldChar w:fldCharType="begin"/>
      </w:r>
      <w:r>
        <w:rPr>
          <w:bCs/>
        </w:rPr>
        <w:instrText xml:space="preserve"> HYPERLINK \l _Toc19034 </w:instrText>
      </w:r>
      <w:r>
        <w:rPr>
          <w:bCs/>
        </w:rPr>
        <w:fldChar w:fldCharType="separate"/>
      </w:r>
      <w:r>
        <w:rPr>
          <w:bCs/>
          <w:szCs w:val="21"/>
        </w:rPr>
        <w:t xml:space="preserve">1</w:t>
      </w:r>
      <w:r>
        <w:rPr>
          <w:rFonts w:hint="eastAsia"/>
          <w:bCs/>
          <w:szCs w:val="21"/>
        </w:rPr>
        <w:t xml:space="preserve">1</w:t>
      </w:r>
      <w:r>
        <w:rPr>
          <w:bCs/>
          <w:szCs w:val="21"/>
        </w:rPr>
        <w:t xml:space="preserve">、本项目不接受联合体投标，中标后不允许分包、转包。</w:t>
      </w:r>
      <w:r>
        <w:tab/>
      </w:r>
      <w:r>
        <w:fldChar w:fldCharType="begin"/>
      </w:r>
      <w:r>
        <w:instrText xml:space="preserve"> PAGEREF _Toc19034 \h </w:instrText>
      </w:r>
      <w:r>
        <w:fldChar w:fldCharType="separate"/>
      </w:r>
      <w:r>
        <w:t xml:space="preserve">82</w:t>
      </w:r>
      <w:r>
        <w:fldChar w:fldCharType="end"/>
      </w:r>
      <w:r>
        <w:rPr>
          <w:bCs/>
        </w:rPr>
        <w:fldChar w:fldCharType="end"/>
      </w:r>
      <w:r/>
    </w:p>
    <w:p>
      <w:pPr>
        <w:pStyle w:val="1164"/>
        <w:tabs>
          <w:tab w:val="right" w:pos="9638" w:leader="dot"/>
        </w:tabs>
      </w:pPr>
      <w:r>
        <w:rPr>
          <w:bCs/>
        </w:rPr>
        <w:fldChar w:fldCharType="begin"/>
      </w:r>
      <w:r>
        <w:rPr>
          <w:bCs/>
        </w:rPr>
        <w:instrText xml:space="preserve"> HYPERLINK \l _Toc24829 </w:instrText>
      </w:r>
      <w:r>
        <w:rPr>
          <w:bCs/>
        </w:rPr>
        <w:fldChar w:fldCharType="separate"/>
      </w:r>
      <w:r>
        <w:rPr>
          <w:bCs/>
          <w:szCs w:val="21"/>
        </w:rPr>
        <w:t xml:space="preserve">1</w:t>
      </w:r>
      <w:r>
        <w:rPr>
          <w:rFonts w:hint="eastAsia"/>
          <w:bCs/>
          <w:szCs w:val="21"/>
        </w:rPr>
        <w:t xml:space="preserve">2</w:t>
      </w:r>
      <w:r>
        <w:rPr>
          <w:bCs/>
          <w:szCs w:val="21"/>
        </w:rPr>
        <w:t xml:space="preserve">、供应商认为其需要提供的其他资格证明文件。</w:t>
      </w:r>
      <w:r>
        <w:tab/>
      </w:r>
      <w:r>
        <w:fldChar w:fldCharType="begin"/>
      </w:r>
      <w:r>
        <w:instrText xml:space="preserve"> PAGEREF _Toc24829 \h </w:instrText>
      </w:r>
      <w:r>
        <w:fldChar w:fldCharType="separate"/>
      </w:r>
      <w:r>
        <w:t xml:space="preserve">83</w:t>
      </w:r>
      <w:r>
        <w:fldChar w:fldCharType="end"/>
      </w:r>
      <w:r>
        <w:rPr>
          <w:bCs/>
        </w:rPr>
        <w:fldChar w:fldCharType="end"/>
      </w:r>
      <w:r/>
    </w:p>
    <w:p>
      <w:pPr>
        <w:pStyle w:val="1177"/>
        <w:tabs>
          <w:tab w:val="right" w:pos="9638" w:leader="dot"/>
        </w:tabs>
      </w:pPr>
      <w:r>
        <w:rPr>
          <w:bCs/>
        </w:rPr>
        <w:fldChar w:fldCharType="begin"/>
      </w:r>
      <w:r>
        <w:rPr>
          <w:bCs/>
        </w:rPr>
        <w:instrText xml:space="preserve"> HYPERLINK \l _Toc26190 </w:instrText>
      </w:r>
      <w:r>
        <w:rPr>
          <w:bCs/>
        </w:rPr>
        <w:fldChar w:fldCharType="separate"/>
      </w:r>
      <w:r>
        <w:rPr>
          <w:bCs/>
          <w:szCs w:val="22"/>
          <w:lang w:val="zh-CN"/>
        </w:rPr>
        <w:t xml:space="preserve">附件九</w:t>
      </w:r>
      <w:r>
        <w:rPr>
          <w:bCs/>
          <w:szCs w:val="22"/>
        </w:rPr>
        <w:t xml:space="preserve"> </w:t>
      </w:r>
      <w:r>
        <w:rPr>
          <w:bCs/>
          <w:szCs w:val="22"/>
          <w:lang w:val="zh-CN"/>
        </w:rPr>
        <w:t xml:space="preserve">其它相关文件（如有）</w:t>
      </w:r>
      <w:r>
        <w:tab/>
      </w:r>
      <w:r>
        <w:fldChar w:fldCharType="begin"/>
      </w:r>
      <w:r>
        <w:instrText xml:space="preserve"> PAGEREF _Toc26190 \h </w:instrText>
      </w:r>
      <w:r>
        <w:fldChar w:fldCharType="separate"/>
      </w:r>
      <w:r>
        <w:t xml:space="preserve">84</w:t>
      </w:r>
      <w:r>
        <w:fldChar w:fldCharType="end"/>
      </w:r>
      <w:r>
        <w:rPr>
          <w:bCs/>
        </w:rPr>
        <w:fldChar w:fldCharType="end"/>
      </w:r>
      <w:r/>
    </w:p>
    <w:p>
      <w:pPr>
        <w:rPr>
          <w:bCs/>
          <w:sz w:val="24"/>
        </w:rPr>
      </w:pPr>
      <w:r>
        <w:rPr>
          <w:bCs/>
        </w:rPr>
        <w:fldChar w:fldCharType="end"/>
      </w:r>
      <w:r/>
    </w:p>
    <w:p>
      <w:pPr>
        <w:jc w:val="center"/>
        <w:spacing w:line="360" w:lineRule="auto"/>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outlineLvl w:val="0"/>
      </w:pPr>
      <w:r/>
      <w:bookmarkStart w:id="0" w:name="_Toc1"/>
      <w:r/>
      <w:bookmarkStart w:id="1" w:name="_Toc9986"/>
      <w:r/>
      <w:bookmarkEnd w:id="0"/>
      <w:r/>
      <w:bookmarkEnd w:id="1"/>
      <w:r/>
      <w:r/>
    </w:p>
    <w:p>
      <w:pPr>
        <w:ind w:firstLine="562"/>
        <w:jc w:val="center"/>
        <w:spacing w:line="360" w:lineRule="auto"/>
        <w:rPr>
          <w:b/>
          <w:sz w:val="44"/>
        </w:rPr>
        <w:outlineLvl w:val="0"/>
      </w:pPr>
      <w:r/>
      <w:bookmarkStart w:id="2" w:name="_Toc7301"/>
      <w:r/>
      <w:bookmarkStart w:id="3" w:name="_Toc28996"/>
      <w:r/>
      <w:bookmarkStart w:id="4" w:name="_Toc519"/>
      <w:r>
        <w:rPr>
          <w:b/>
          <w:sz w:val="28"/>
          <w:szCs w:val="28"/>
        </w:rPr>
        <w:t xml:space="preserve">第一章 投标邀请（招标公告）</w:t>
      </w:r>
      <w:bookmarkEnd w:id="2"/>
      <w:r/>
      <w:r/>
    </w:p>
    <w:p>
      <w:pPr>
        <w:ind w:firstLine="420"/>
        <w:spacing w:line="360" w:lineRule="auto"/>
        <w:rPr>
          <w:szCs w:val="21"/>
        </w:rPr>
        <w:pBdr>
          <w:top w:val="single" w:color="auto" w:sz="4" w:space="1"/>
          <w:left w:val="single" w:color="auto" w:sz="4" w:space="4"/>
          <w:bottom w:val="single" w:color="auto" w:sz="4" w:space="1"/>
          <w:right w:val="single" w:color="auto" w:sz="4" w:space="4"/>
        </w:pBdr>
      </w:pPr>
      <w:r>
        <w:rPr>
          <w:szCs w:val="21"/>
        </w:rPr>
        <w:t xml:space="preserve">项目概况</w:t>
      </w:r>
      <w:r/>
    </w:p>
    <w:p>
      <w:pPr>
        <w:ind w:firstLine="420"/>
        <w:spacing w:line="360" w:lineRule="auto"/>
        <w:rPr>
          <w:szCs w:val="21"/>
        </w:rPr>
        <w:pBdr>
          <w:top w:val="single" w:color="auto" w:sz="4" w:space="1"/>
          <w:left w:val="single" w:color="auto" w:sz="4" w:space="4"/>
          <w:bottom w:val="single" w:color="auto" w:sz="4" w:space="1"/>
          <w:right w:val="single" w:color="auto" w:sz="4" w:space="4"/>
        </w:pBdr>
      </w:pPr>
      <w:r>
        <w:rPr>
          <w:bCs/>
          <w:szCs w:val="21"/>
          <w:u w:val="single"/>
        </w:rPr>
        <w:t xml:space="preserve">南京中医药大学</w:t>
      </w:r>
      <w:r>
        <w:rPr>
          <w:rFonts w:hint="eastAsia"/>
          <w:bCs/>
          <w:szCs w:val="21"/>
          <w:u w:val="single"/>
        </w:rPr>
        <w:t xml:space="preserve">仙林校区及汉中门校区绿化养护托管服务</w:t>
      </w:r>
      <w:r>
        <w:rPr>
          <w:szCs w:val="21"/>
        </w:rPr>
        <w:t xml:space="preserve">招标项目的潜在投标人应在</w:t>
      </w:r>
      <w:r>
        <w:rPr>
          <w:szCs w:val="21"/>
          <w:u w:val="single"/>
        </w:rPr>
        <w:t xml:space="preserve">“苏采云”系统内免费下载</w:t>
      </w:r>
      <w:r>
        <w:rPr>
          <w:szCs w:val="21"/>
        </w:rPr>
        <w:t xml:space="preserve">招标文件，并</w:t>
      </w:r>
      <w:r>
        <w:rPr>
          <w:szCs w:val="21"/>
          <w:highlight w:val="none"/>
        </w:rPr>
        <w:t xml:space="preserve">于</w:t>
      </w:r>
      <w:r>
        <w:rPr>
          <w:szCs w:val="21"/>
          <w:highlight w:val="none"/>
          <w:u w:val="single"/>
        </w:rPr>
        <w:t xml:space="preserve">2026</w:t>
      </w:r>
      <w:r>
        <w:rPr>
          <w:bCs/>
          <w:szCs w:val="21"/>
          <w:highlight w:val="none"/>
          <w:u w:val="single"/>
        </w:rPr>
        <w:t xml:space="preserve">年</w:t>
      </w:r>
      <w:r>
        <w:rPr>
          <w:rFonts w:hint="eastAsia"/>
          <w:bCs/>
          <w:szCs w:val="21"/>
          <w:highlight w:val="none"/>
          <w:u w:val="single"/>
          <w:lang w:val="en-US" w:eastAsia="zh-CN"/>
        </w:rPr>
        <w:t xml:space="preserve">7</w:t>
      </w:r>
      <w:r>
        <w:rPr>
          <w:bCs/>
          <w:szCs w:val="21"/>
          <w:highlight w:val="none"/>
          <w:u w:val="single"/>
        </w:rPr>
        <w:t xml:space="preserve">月</w:t>
      </w:r>
      <w:r>
        <w:rPr>
          <w:rFonts w:hint="eastAsia"/>
          <w:bCs/>
          <w:szCs w:val="21"/>
          <w:highlight w:val="none"/>
          <w:u w:val="single"/>
          <w:lang w:val="en-US" w:eastAsia="zh-CN"/>
        </w:rPr>
        <w:t xml:space="preserve">13</w:t>
      </w:r>
      <w:r>
        <w:rPr>
          <w:bCs/>
          <w:szCs w:val="21"/>
          <w:highlight w:val="none"/>
          <w:u w:val="single"/>
        </w:rPr>
        <w:t xml:space="preserve">日</w:t>
      </w:r>
      <w:r>
        <w:rPr>
          <w:rFonts w:hint="eastAsia"/>
          <w:bCs/>
          <w:szCs w:val="21"/>
          <w:highlight w:val="none"/>
          <w:u w:val="single"/>
          <w:lang w:val="en-US" w:eastAsia="zh-CN"/>
        </w:rPr>
        <w:t xml:space="preserve">14</w:t>
      </w:r>
      <w:r>
        <w:rPr>
          <w:bCs/>
          <w:szCs w:val="21"/>
          <w:highlight w:val="none"/>
          <w:u w:val="single"/>
        </w:rPr>
        <w:t xml:space="preserve">点</w:t>
      </w:r>
      <w:r>
        <w:rPr>
          <w:rFonts w:hint="eastAsia"/>
          <w:bCs/>
          <w:szCs w:val="21"/>
          <w:highlight w:val="none"/>
          <w:u w:val="single"/>
          <w:lang w:val="en-US" w:eastAsia="zh-CN"/>
        </w:rPr>
        <w:t xml:space="preserve">00</w:t>
      </w:r>
      <w:r>
        <w:rPr>
          <w:bCs/>
          <w:szCs w:val="21"/>
          <w:highlight w:val="none"/>
          <w:u w:val="single"/>
        </w:rPr>
        <w:t xml:space="preserve">分（</w:t>
      </w:r>
      <w:r>
        <w:rPr>
          <w:bCs/>
          <w:szCs w:val="21"/>
          <w:highlight w:val="none"/>
        </w:rPr>
        <w:t xml:space="preserve">北京时</w:t>
      </w:r>
      <w:r>
        <w:rPr>
          <w:bCs/>
          <w:szCs w:val="21"/>
        </w:rPr>
        <w:t xml:space="preserve">间）前递交投标文件</w:t>
      </w:r>
      <w:r>
        <w:rPr>
          <w:szCs w:val="21"/>
        </w:rPr>
        <w:t xml:space="preserve">。</w:t>
      </w:r>
      <w:r/>
    </w:p>
    <w:p>
      <w:pPr>
        <w:ind w:firstLine="422"/>
        <w:spacing w:line="360" w:lineRule="auto"/>
        <w:rPr>
          <w:b/>
          <w:szCs w:val="21"/>
        </w:rPr>
      </w:pPr>
      <w:r>
        <w:rPr>
          <w:b/>
          <w:szCs w:val="21"/>
        </w:rPr>
        <w:t xml:space="preserve">一、项目基本情况</w:t>
      </w:r>
      <w:r/>
    </w:p>
    <w:p>
      <w:pPr>
        <w:ind w:firstLine="420"/>
        <w:spacing w:line="360" w:lineRule="auto"/>
        <w:rPr>
          <w:color w:val="ff0000"/>
          <w:szCs w:val="21"/>
        </w:rPr>
      </w:pPr>
      <w:r>
        <w:rPr>
          <w:szCs w:val="21"/>
        </w:rPr>
        <w:t xml:space="preserve">1、项目编号：</w:t>
      </w:r>
      <w:r>
        <w:rPr>
          <w:rFonts w:hint="eastAsia"/>
          <w:szCs w:val="21"/>
        </w:rPr>
        <w:t xml:space="preserve">NZYZB2026-034</w:t>
      </w:r>
      <w:r>
        <w:rPr>
          <w:szCs w:val="21"/>
        </w:rPr>
        <w:t xml:space="preserve">（2640SUMEC/GXZM</w:t>
      </w:r>
      <w:r>
        <w:rPr>
          <w:rFonts w:hint="eastAsia"/>
          <w:szCs w:val="21"/>
        </w:rPr>
        <w:t xml:space="preserve">1108</w:t>
      </w:r>
      <w:r>
        <w:rPr>
          <w:szCs w:val="21"/>
        </w:rPr>
        <w:t xml:space="preserve">）</w:t>
      </w:r>
      <w:r/>
    </w:p>
    <w:p>
      <w:pPr>
        <w:ind w:firstLine="420"/>
        <w:spacing w:line="360" w:lineRule="auto"/>
        <w:rPr>
          <w:color w:val="0000ff"/>
          <w:szCs w:val="21"/>
        </w:rPr>
      </w:pPr>
      <w:r>
        <w:rPr>
          <w:szCs w:val="21"/>
        </w:rPr>
        <w:t xml:space="preserve">2、项目名称：南京中医药大学</w:t>
      </w:r>
      <w:r>
        <w:rPr>
          <w:rFonts w:hint="eastAsia"/>
          <w:szCs w:val="21"/>
        </w:rPr>
        <w:t xml:space="preserve">仙林校区及汉中门校区绿化养护托管服务</w:t>
      </w:r>
      <w:r/>
    </w:p>
    <w:p>
      <w:pPr>
        <w:ind w:firstLine="420"/>
        <w:spacing w:line="360" w:lineRule="auto"/>
        <w:rPr>
          <w:szCs w:val="21"/>
        </w:rPr>
      </w:pPr>
      <w:r>
        <w:rPr>
          <w:szCs w:val="21"/>
        </w:rPr>
        <w:t xml:space="preserve">3、预算金额：人民币</w:t>
      </w:r>
      <w:r>
        <w:rPr>
          <w:rFonts w:hint="eastAsia"/>
          <w:szCs w:val="21"/>
        </w:rPr>
        <w:t xml:space="preserve">120</w:t>
      </w:r>
      <w:r>
        <w:rPr>
          <w:szCs w:val="21"/>
        </w:rPr>
        <w:t xml:space="preserve">万元</w:t>
      </w:r>
      <w:r/>
    </w:p>
    <w:p>
      <w:pPr>
        <w:ind w:firstLine="420"/>
        <w:spacing w:line="360" w:lineRule="auto"/>
        <w:rPr>
          <w:color w:val="0000ff"/>
          <w:szCs w:val="21"/>
        </w:rPr>
      </w:pPr>
      <w:r>
        <w:rPr>
          <w:szCs w:val="21"/>
        </w:rPr>
        <w:t xml:space="preserve">4、最高限价：人民币</w:t>
      </w:r>
      <w:r>
        <w:rPr>
          <w:rFonts w:hint="eastAsia"/>
          <w:szCs w:val="21"/>
        </w:rPr>
        <w:t xml:space="preserve">120</w:t>
      </w:r>
      <w:r>
        <w:rPr>
          <w:szCs w:val="21"/>
        </w:rPr>
        <w:t xml:space="preserve">万元，</w:t>
      </w:r>
      <w:r>
        <w:rPr>
          <w:color w:val="000000"/>
          <w:szCs w:val="21"/>
        </w:rPr>
        <w:t xml:space="preserve">超过最高限价作无效投标处理</w:t>
      </w:r>
      <w:r/>
    </w:p>
    <w:p>
      <w:pPr>
        <w:ind w:firstLine="420"/>
        <w:spacing w:line="360" w:lineRule="auto"/>
        <w:rPr>
          <w:color w:val="auto"/>
          <w:szCs w:val="21"/>
        </w:rPr>
      </w:pPr>
      <w:r>
        <w:rPr>
          <w:szCs w:val="21"/>
        </w:rPr>
        <w:t xml:space="preserve">5、采购需求：南京中医药大学</w:t>
      </w:r>
      <w:r>
        <w:rPr>
          <w:rFonts w:hint="eastAsia"/>
          <w:szCs w:val="21"/>
        </w:rPr>
        <w:t xml:space="preserve">仙林校区及汉中门校区绿化养护服务，</w:t>
      </w:r>
      <w:r>
        <w:rPr>
          <w:rFonts w:ascii="宋体" w:hAnsi="宋体" w:cs="宋体"/>
          <w:color w:val="000000"/>
        </w:rPr>
        <w:t xml:space="preserve">除仙林校区药用植物园</w:t>
      </w:r>
      <w:r>
        <w:rPr>
          <w:rFonts w:hint="eastAsia" w:ascii="宋体" w:hAnsi="宋体" w:cs="宋体"/>
          <w:color w:val="000000"/>
        </w:rPr>
        <w:t xml:space="preserve">（素山片区、老药苑片区）</w:t>
      </w:r>
      <w:r>
        <w:rPr>
          <w:rFonts w:ascii="宋体" w:hAnsi="宋体" w:cs="宋体"/>
          <w:color w:val="000000"/>
        </w:rPr>
        <w:t xml:space="preserve">及素山未开发区域，两校区内所有绿地</w:t>
      </w:r>
      <w:r>
        <w:rPr>
          <w:rFonts w:ascii="宋体" w:hAnsi="宋体" w:cs="宋体"/>
          <w:color w:val="auto"/>
        </w:rPr>
        <w:t xml:space="preserve">的养护管理均为服务范围，含四个校门门前三包区域、素山沥青路两侧人工种植绿地和景观</w:t>
      </w:r>
      <w:r>
        <w:rPr>
          <w:rFonts w:hint="eastAsia" w:ascii="宋体" w:hAnsi="宋体" w:cs="宋体"/>
          <w:color w:val="auto"/>
        </w:rPr>
        <w:t xml:space="preserve">,</w:t>
      </w:r>
      <w:r>
        <w:rPr>
          <w:rFonts w:hint="eastAsia"/>
          <w:bCs/>
          <w:color w:val="auto"/>
          <w:szCs w:val="21"/>
        </w:rPr>
        <w:t xml:space="preserve"> 两校区总养护面积约26.5万平方米，其中汉中门校区约2万平方米</w:t>
      </w:r>
      <w:r>
        <w:rPr>
          <w:rFonts w:ascii="宋体" w:hAnsi="宋体" w:cs="宋体"/>
          <w:color w:val="auto"/>
        </w:rPr>
        <w:t xml:space="preserve">。包括草坪的养护管理；模纹、花坛、花境、色块的养护管理</w:t>
      </w:r>
      <w:r>
        <w:rPr>
          <w:rFonts w:hint="eastAsia" w:ascii="宋体" w:hAnsi="宋体" w:cs="宋体"/>
          <w:color w:val="auto"/>
        </w:rPr>
        <w:t xml:space="preserve">及重大节日的草花摆放</w:t>
      </w:r>
      <w:r>
        <w:rPr>
          <w:rFonts w:ascii="宋体" w:hAnsi="宋体" w:cs="宋体"/>
          <w:color w:val="auto"/>
        </w:rPr>
        <w:t xml:space="preserve">；绿篱、垂直绿化、水体绿化的养护管理；行道树及各类乔灌木的养护管理，</w:t>
      </w:r>
      <w:r>
        <w:rPr>
          <w:rFonts w:hint="eastAsia" w:ascii="宋体" w:hAnsi="宋体" w:cs="宋体"/>
          <w:color w:val="auto"/>
        </w:rPr>
        <w:t xml:space="preserve">素山</w:t>
      </w:r>
      <w:r>
        <w:rPr>
          <w:rFonts w:ascii="宋体" w:hAnsi="宋体" w:cs="宋体"/>
          <w:color w:val="auto"/>
        </w:rPr>
        <w:t xml:space="preserve">格桑花海</w:t>
      </w:r>
      <w:r>
        <w:rPr>
          <w:rFonts w:hint="eastAsia" w:ascii="宋体" w:hAnsi="宋体" w:cs="宋体"/>
          <w:color w:val="auto"/>
        </w:rPr>
        <w:t xml:space="preserve">区域</w:t>
      </w:r>
      <w:r>
        <w:rPr>
          <w:rFonts w:ascii="宋体" w:hAnsi="宋体" w:cs="宋体"/>
          <w:color w:val="auto"/>
        </w:rPr>
        <w:t xml:space="preserve">一年两季的</w:t>
      </w:r>
      <w:r>
        <w:rPr>
          <w:rFonts w:hint="eastAsia" w:ascii="宋体" w:hAnsi="宋体" w:cs="宋体"/>
          <w:color w:val="auto"/>
        </w:rPr>
        <w:t xml:space="preserve">种植及养护</w:t>
      </w:r>
      <w:r>
        <w:rPr>
          <w:rFonts w:ascii="宋体" w:hAnsi="宋体" w:cs="宋体"/>
          <w:color w:val="auto"/>
        </w:rPr>
        <w:t xml:space="preserve">等</w:t>
      </w:r>
      <w:r>
        <w:rPr>
          <w:color w:val="auto"/>
          <w:szCs w:val="21"/>
        </w:rPr>
        <w:t xml:space="preserve">。内容包括绿地保洁，除草，浇水，修剪，施肥，病虫害防治，抗旱，抗台，抗涝，防寒，绿地设施看管，苗木补植，草籽</w:t>
      </w:r>
      <w:r>
        <w:rPr>
          <w:rFonts w:hint="eastAsia"/>
          <w:color w:val="auto"/>
          <w:szCs w:val="21"/>
        </w:rPr>
        <w:t xml:space="preserve">补播</w:t>
      </w:r>
      <w:r>
        <w:rPr>
          <w:color w:val="auto"/>
          <w:szCs w:val="21"/>
        </w:rPr>
        <w:t xml:space="preserve">，绿化垃圾清运至投放点等。</w:t>
      </w:r>
      <w:r>
        <w:rPr>
          <w:rFonts w:hint="eastAsia"/>
          <w:color w:val="auto"/>
          <w:szCs w:val="21"/>
        </w:rPr>
        <w:t xml:space="preserve">具体详见招标文件第四章招标技术规格及要求。</w:t>
      </w:r>
      <w:r/>
    </w:p>
    <w:p>
      <w:pPr>
        <w:ind w:firstLine="420"/>
        <w:spacing w:line="360" w:lineRule="auto"/>
        <w:rPr>
          <w:szCs w:val="21"/>
        </w:rPr>
      </w:pPr>
      <w:r>
        <w:rPr>
          <w:color w:val="auto"/>
          <w:szCs w:val="21"/>
        </w:rPr>
        <w:t xml:space="preserve">6、合同履行期限：自2026年8月20日至2027年9月30日，</w:t>
      </w:r>
      <w:r>
        <w:rPr>
          <w:szCs w:val="21"/>
        </w:rPr>
        <w:t xml:space="preserve">共计407天，合同到期后不再续签。采购人每年不定期（每季度至少一次）对养护管理进行考核，合同期内考核不合格或采购人认为供应商在服务期间未能履行服务承诺和合同规定的义务，发函给供应商后，供应商在采购人要求时间内没有整改完成的，采购人有权扣除履约保证金并提前解除合同。</w:t>
      </w:r>
      <w:r/>
    </w:p>
    <w:p>
      <w:pPr>
        <w:ind w:firstLine="420"/>
        <w:spacing w:line="360" w:lineRule="auto"/>
        <w:rPr>
          <w:szCs w:val="21"/>
        </w:rPr>
      </w:pPr>
      <w:r>
        <w:rPr>
          <w:szCs w:val="21"/>
        </w:rPr>
        <w:t xml:space="preserve">7、本项目（是/否）接受联合体投标：否</w:t>
      </w:r>
      <w:r/>
    </w:p>
    <w:p>
      <w:pPr>
        <w:ind w:firstLine="422"/>
        <w:spacing w:line="360" w:lineRule="auto"/>
        <w:rPr>
          <w:b/>
          <w:bCs/>
          <w:szCs w:val="21"/>
        </w:rPr>
      </w:pPr>
      <w:r>
        <w:rPr>
          <w:b/>
          <w:bCs/>
          <w:szCs w:val="21"/>
        </w:rPr>
        <w:t xml:space="preserve">二、申请人的资格要求</w:t>
      </w:r>
      <w:r/>
    </w:p>
    <w:p>
      <w:pPr>
        <w:ind w:firstLine="420"/>
        <w:spacing w:line="360" w:lineRule="auto"/>
        <w:rPr>
          <w:szCs w:val="21"/>
        </w:rPr>
      </w:pPr>
      <w:r>
        <w:rPr>
          <w:szCs w:val="21"/>
        </w:rPr>
        <w:t xml:space="preserve">1、满足《中华人民共和国政府采购法》第二十二条规定，</w:t>
      </w:r>
      <w:r>
        <w:rPr>
          <w:szCs w:val="21"/>
        </w:rPr>
        <w:t xml:space="preserve">包括但不限于：</w:t>
      </w:r>
      <w:r/>
    </w:p>
    <w:p>
      <w:pPr>
        <w:ind w:firstLine="420"/>
        <w:spacing w:line="360" w:lineRule="auto"/>
        <w:rPr>
          <w:szCs w:val="21"/>
        </w:rPr>
      </w:pPr>
      <w:r>
        <w:rPr>
          <w:szCs w:val="21"/>
        </w:rPr>
        <w:t xml:space="preserve">（1）具有独立承担民事责任的能力，提供法人或其他组织的营业执照等证明文件，复印件加盖公章；</w:t>
      </w:r>
      <w:r/>
    </w:p>
    <w:p>
      <w:pPr>
        <w:ind w:firstLine="420"/>
        <w:spacing w:line="360" w:lineRule="auto"/>
        <w:rPr>
          <w:szCs w:val="21"/>
        </w:rPr>
      </w:pPr>
      <w:r>
        <w:rPr>
          <w:szCs w:val="21"/>
        </w:rPr>
        <w:t xml:space="preserve">（2）法人代表授权书（原件）及法定代表人、授权代表身份证复印件（如果是法定代表人直接参与投标的可以不提供授权书）；</w:t>
      </w:r>
      <w:r/>
    </w:p>
    <w:p>
      <w:pPr>
        <w:ind w:firstLine="420"/>
        <w:spacing w:line="360" w:lineRule="auto"/>
        <w:rPr>
          <w:szCs w:val="21"/>
        </w:rPr>
      </w:pPr>
      <w:r>
        <w:rPr>
          <w:szCs w:val="21"/>
        </w:rPr>
        <w:t xml:space="preserve">（3）具有良好的商业信誉和健全的财务会计制度，提供距开标时间六个月内任意一月份的财务状况报告（</w:t>
      </w:r>
      <w:r>
        <w:rPr>
          <w:b/>
          <w:bCs/>
          <w:szCs w:val="21"/>
        </w:rPr>
        <w:t xml:space="preserve">至少包括资产负债表和利润表</w:t>
      </w:r>
      <w:r>
        <w:rPr>
          <w:szCs w:val="21"/>
        </w:rPr>
        <w:t xml:space="preserve">）（法人或者其他组织成立未满三个月的可以不提供），或其银行出具的资信证书（复印件）（开标前六个月内），或其上一年度经审计的财务报告复印件加盖公章；</w:t>
      </w:r>
      <w:r/>
    </w:p>
    <w:p>
      <w:pPr>
        <w:ind w:firstLine="420"/>
        <w:spacing w:line="360" w:lineRule="auto"/>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szCs w:val="21"/>
        </w:rPr>
      </w:pPr>
      <w:r>
        <w:rPr>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szCs w:val="21"/>
        </w:rPr>
      </w:pPr>
      <w:r>
        <w:rPr>
          <w:szCs w:val="21"/>
        </w:rPr>
        <w:t xml:space="preserve">（6）有依法缴纳税收的良好记录，提供距开标时间</w:t>
      </w:r>
      <w:r>
        <w:t xml:space="preserve">六个月内</w:t>
      </w:r>
      <w:r>
        <w:rPr>
          <w:szCs w:val="21"/>
        </w:rPr>
        <w:t xml:space="preserve">任意一月份的纳税（企业代缴的个人所得税除外）凭据复印件加盖公章（依法免税的应提供相应文件说明）；</w:t>
      </w:r>
      <w:r/>
    </w:p>
    <w:p>
      <w:pPr>
        <w:ind w:firstLine="420"/>
        <w:spacing w:line="360" w:lineRule="auto"/>
      </w:pPr>
      <w:r>
        <w:rPr>
          <w:szCs w:val="21"/>
        </w:rPr>
        <w:t xml:space="preserve">（7）有依法缴纳社会保障资金的良好记录，提供距开标时间</w:t>
      </w:r>
      <w:r>
        <w:t xml:space="preserve">六个月内</w:t>
      </w:r>
      <w:r>
        <w:rPr>
          <w:szCs w:val="21"/>
        </w:rPr>
        <w:t xml:space="preserve">任意一月份的依法缴纳社会保障资金的凭据复印件加盖公章；</w:t>
      </w:r>
      <w:r/>
    </w:p>
    <w:p>
      <w:pPr>
        <w:ind w:firstLine="422"/>
        <w:spacing w:line="360" w:lineRule="auto"/>
        <w:rPr>
          <w:szCs w:val="21"/>
        </w:rPr>
      </w:pPr>
      <w:r>
        <w:rPr>
          <w:b/>
          <w:bCs/>
          <w:szCs w:val="21"/>
        </w:rPr>
        <w:t xml:space="preserve">2、落实政府采购政策需满足的资格要求</w:t>
      </w:r>
      <w:r>
        <w:rPr>
          <w:szCs w:val="21"/>
        </w:rPr>
        <w:t xml:space="preserve">：</w:t>
      </w:r>
      <w:r>
        <w:rPr>
          <w:rFonts w:hint="eastAsia"/>
          <w:b/>
          <w:bCs/>
          <w:color w:val="auto"/>
          <w:szCs w:val="21"/>
        </w:rPr>
        <w:t xml:space="preserve">本项目专门面向中小企业采购，供应商须提供《中小企业声明函》。本项目的中小企业划分标准所属行业为：</w:t>
      </w:r>
      <w:r>
        <w:rPr>
          <w:rFonts w:hint="eastAsia"/>
          <w:b/>
          <w:bCs/>
        </w:rPr>
        <w:t xml:space="preserve">其他未列明行业</w:t>
      </w:r>
      <w:r>
        <w:rPr>
          <w:rFonts w:hint="eastAsia"/>
          <w:b/>
          <w:bCs/>
          <w:color w:val="auto"/>
          <w:szCs w:val="21"/>
        </w:rPr>
        <w:t xml:space="preserve">。投标人提供的</w:t>
      </w:r>
      <w:r>
        <w:rPr>
          <w:rFonts w:hint="eastAsia"/>
          <w:b/>
          <w:bCs/>
          <w:color w:val="auto"/>
          <w:szCs w:val="21"/>
          <w:lang w:val="en-US" w:eastAsia="zh-CN"/>
        </w:rPr>
        <w:t xml:space="preserve">服务</w:t>
      </w:r>
      <w:r>
        <w:rPr>
          <w:rFonts w:hint="eastAsia"/>
          <w:b/>
          <w:bCs/>
          <w:color w:val="auto"/>
          <w:szCs w:val="21"/>
        </w:rPr>
        <w:t xml:space="preserve">全部应为中小微企业（监狱企业、残疾人福利单位视同小型、微型企业）</w:t>
      </w:r>
      <w:r>
        <w:rPr>
          <w:rFonts w:hint="eastAsia"/>
          <w:b/>
          <w:bCs/>
          <w:color w:val="auto"/>
          <w:szCs w:val="21"/>
          <w:lang w:val="en-US" w:eastAsia="zh-CN"/>
        </w:rPr>
        <w:t xml:space="preserve">承接</w:t>
      </w:r>
      <w:r>
        <w:rPr>
          <w:rFonts w:hint="eastAsia"/>
          <w:b/>
          <w:bCs/>
          <w:color w:val="auto"/>
          <w:szCs w:val="21"/>
        </w:rPr>
        <w:t xml:space="preserve">。</w:t>
      </w:r>
      <w:r/>
    </w:p>
    <w:p>
      <w:pPr>
        <w:ind w:firstLine="422"/>
        <w:spacing w:line="360" w:lineRule="auto"/>
        <w:rPr>
          <w:szCs w:val="21"/>
        </w:rPr>
      </w:pPr>
      <w:r>
        <w:rPr>
          <w:b/>
          <w:bCs/>
          <w:szCs w:val="21"/>
        </w:rPr>
        <w:t xml:space="preserve">3、本项目的特定资格要求</w:t>
      </w:r>
      <w:r>
        <w:rPr>
          <w:szCs w:val="21"/>
        </w:rPr>
        <w:t xml:space="preserve">：</w:t>
      </w:r>
      <w:r/>
    </w:p>
    <w:p>
      <w:pPr>
        <w:ind w:firstLine="420"/>
        <w:spacing w:line="360" w:lineRule="auto"/>
        <w:widowControl/>
        <w:rPr>
          <w:szCs w:val="21"/>
        </w:rPr>
      </w:pPr>
      <w:r>
        <w:rPr>
          <w:szCs w:val="21"/>
        </w:rPr>
        <w:t xml:space="preserve">（1）本项目中标后不允许转包、分包。</w:t>
      </w:r>
      <w:r/>
    </w:p>
    <w:p>
      <w:pPr>
        <w:ind w:firstLine="420"/>
        <w:spacing w:line="360" w:lineRule="auto"/>
        <w:widowControl/>
        <w:rPr>
          <w:szCs w:val="21"/>
        </w:rPr>
      </w:pPr>
      <w:r>
        <w:rPr>
          <w:szCs w:val="21"/>
        </w:rPr>
        <w:t xml:space="preserve">（</w:t>
      </w:r>
      <w:r>
        <w:rPr>
          <w:rFonts w:hint="eastAsia"/>
          <w:szCs w:val="21"/>
        </w:rPr>
        <w:t xml:space="preserve">2</w:t>
      </w:r>
      <w:r>
        <w:rPr>
          <w:szCs w:val="21"/>
        </w:rPr>
        <w:t xml:space="preserve">）拒绝下述投标人参加本次采购活动的情形：</w:t>
      </w:r>
      <w:r/>
    </w:p>
    <w:p>
      <w:pPr>
        <w:ind w:firstLine="420"/>
        <w:spacing w:line="360" w:lineRule="auto"/>
        <w:widowControl/>
        <w:rPr>
          <w:szCs w:val="21"/>
        </w:rPr>
      </w:pPr>
      <w:r>
        <w:rPr>
          <w:szCs w:val="21"/>
        </w:rPr>
        <w:t xml:space="preserve">①投标人单位负责人为同一人或者存在直接控股、管理关系的不同投标人，不得参加同一合同项下的政府采购活动。</w:t>
      </w:r>
      <w:r/>
    </w:p>
    <w:p>
      <w:pPr>
        <w:ind w:firstLine="420"/>
        <w:spacing w:line="360" w:lineRule="auto"/>
        <w:widowControl/>
        <w:rPr>
          <w:szCs w:val="21"/>
        </w:rPr>
      </w:pPr>
      <w:r>
        <w:rPr>
          <w:szCs w:val="21"/>
        </w:rPr>
        <w:t xml:space="preserve">②凡为采购项目提供整体设计、规范编制或者项目管理、监理、检测等服务的投标人，不得再参加本项目的采购活动。</w:t>
      </w:r>
      <w:r/>
    </w:p>
    <w:p>
      <w:pPr>
        <w:ind w:firstLine="420"/>
        <w:spacing w:line="360" w:lineRule="auto"/>
        <w:widowControl/>
        <w:rPr>
          <w:szCs w:val="21"/>
        </w:rPr>
      </w:pPr>
      <w:r>
        <w:rPr>
          <w:szCs w:val="21"/>
        </w:rPr>
        <w:t xml:space="preserve">③拒绝列入失信被执行人、重大税收违法案件当事人名单、政府采购严重违法失信行为记录名单的投标人参与政府采购活动。采购代理机构在评标时通过“信用中国”网站(www.creditchina.gov.cn)、中国政府采购网(www.ccgp.gov.cn)等渠道查询投标人在递交投标文件截止之日24时前的信用记录并保存。</w:t>
      </w:r>
      <w:r/>
    </w:p>
    <w:p>
      <w:pPr>
        <w:ind w:firstLine="422"/>
        <w:spacing w:line="360" w:lineRule="auto"/>
        <w:widowControl/>
        <w:rPr>
          <w:b/>
          <w:bCs/>
          <w:szCs w:val="21"/>
        </w:rPr>
      </w:pPr>
      <w:r>
        <w:rPr>
          <w:b/>
          <w:bCs/>
          <w:szCs w:val="21"/>
        </w:rPr>
        <w:t xml:space="preserve">三、获取招标文件</w:t>
      </w:r>
      <w:r/>
    </w:p>
    <w:p>
      <w:pPr>
        <w:ind w:firstLine="540"/>
        <w:spacing w:line="360" w:lineRule="auto"/>
        <w:rPr>
          <w:szCs w:val="21"/>
        </w:rPr>
      </w:pPr>
      <w:r>
        <w:rPr>
          <w:szCs w:val="21"/>
        </w:rPr>
        <w:t xml:space="preserve">1、截止时间：自公告发布之日起5个工作日。</w:t>
      </w:r>
      <w:r/>
    </w:p>
    <w:p>
      <w:pPr>
        <w:ind w:firstLine="540"/>
        <w:spacing w:line="360" w:lineRule="auto"/>
        <w:rPr>
          <w:szCs w:val="21"/>
          <w:u w:val="single"/>
        </w:rPr>
      </w:pPr>
      <w:r>
        <w:rPr>
          <w:szCs w:val="21"/>
        </w:rPr>
        <w:t xml:space="preserve">2、地点：“苏采云”系统内免费下载（投标人必须在苏采云系统中获取采购文件，方能参与政府采购项目）</w:t>
      </w:r>
      <w:r/>
    </w:p>
    <w:p>
      <w:pPr>
        <w:ind w:firstLine="540"/>
        <w:spacing w:line="360" w:lineRule="auto"/>
        <w:rPr>
          <w:szCs w:val="21"/>
          <w:u w:val="single"/>
        </w:rPr>
      </w:pPr>
      <w:r>
        <w:rPr>
          <w:szCs w:val="21"/>
        </w:rPr>
        <w:t xml:space="preserve">3、方式：苏采云系统注册登记成功后系统内免费下载</w:t>
      </w:r>
      <w:r/>
    </w:p>
    <w:p>
      <w:pPr>
        <w:ind w:firstLine="540"/>
        <w:spacing w:line="360" w:lineRule="auto"/>
        <w:rPr>
          <w:szCs w:val="21"/>
        </w:rPr>
      </w:pPr>
      <w:r>
        <w:rPr>
          <w:szCs w:val="21"/>
        </w:rPr>
        <w:t xml:space="preserve">4、文件售价：0元。</w:t>
      </w:r>
      <w:r/>
    </w:p>
    <w:p>
      <w:pPr>
        <w:ind w:firstLine="422"/>
        <w:spacing w:line="360" w:lineRule="auto"/>
        <w:rPr>
          <w:b/>
          <w:bCs/>
          <w:szCs w:val="21"/>
          <w:highlight w:val="none"/>
        </w:rPr>
      </w:pPr>
      <w:r>
        <w:rPr>
          <w:b/>
          <w:bCs/>
          <w:szCs w:val="21"/>
        </w:rPr>
        <w:t xml:space="preserve">四、提交投标文件截止时间、开</w:t>
      </w:r>
      <w:r>
        <w:rPr>
          <w:b/>
          <w:bCs/>
          <w:szCs w:val="21"/>
          <w:highlight w:val="none"/>
        </w:rPr>
        <w:t xml:space="preserve">标时间和地点</w:t>
      </w:r>
      <w:r/>
    </w:p>
    <w:p>
      <w:pPr>
        <w:ind w:firstLine="420"/>
        <w:spacing w:line="360" w:lineRule="auto"/>
        <w:rPr>
          <w:szCs w:val="21"/>
          <w:highlight w:val="none"/>
        </w:rPr>
      </w:pPr>
      <w:r>
        <w:rPr>
          <w:szCs w:val="21"/>
          <w:highlight w:val="none"/>
        </w:rPr>
        <w:t xml:space="preserve">提交投标文件截止时间、开标时间：2026年</w:t>
      </w:r>
      <w:r>
        <w:rPr>
          <w:rFonts w:hint="eastAsia"/>
          <w:szCs w:val="21"/>
          <w:highlight w:val="none"/>
          <w:lang w:val="en-US" w:eastAsia="zh-CN"/>
        </w:rPr>
        <w:t xml:space="preserve">7</w:t>
      </w:r>
      <w:r>
        <w:rPr>
          <w:szCs w:val="21"/>
          <w:highlight w:val="none"/>
        </w:rPr>
        <w:t xml:space="preserve">月</w:t>
      </w:r>
      <w:r>
        <w:rPr>
          <w:rFonts w:hint="eastAsia"/>
          <w:szCs w:val="21"/>
          <w:highlight w:val="none"/>
          <w:lang w:val="en-US" w:eastAsia="zh-CN"/>
        </w:rPr>
        <w:t xml:space="preserve">13</w:t>
      </w:r>
      <w:r>
        <w:rPr>
          <w:szCs w:val="21"/>
          <w:highlight w:val="none"/>
        </w:rPr>
        <w:t xml:space="preserve">日</w:t>
      </w:r>
      <w:r>
        <w:rPr>
          <w:rFonts w:hint="eastAsia"/>
          <w:szCs w:val="21"/>
          <w:highlight w:val="none"/>
          <w:lang w:val="en-US" w:eastAsia="zh-CN"/>
        </w:rPr>
        <w:t xml:space="preserve">14</w:t>
      </w:r>
      <w:r>
        <w:rPr>
          <w:szCs w:val="21"/>
          <w:highlight w:val="none"/>
        </w:rPr>
        <w:t xml:space="preserve">点</w:t>
      </w:r>
      <w:r>
        <w:rPr>
          <w:rFonts w:hint="eastAsia"/>
          <w:szCs w:val="21"/>
          <w:highlight w:val="none"/>
          <w:lang w:val="en-US" w:eastAsia="zh-CN"/>
        </w:rPr>
        <w:t xml:space="preserve">00</w:t>
      </w:r>
      <w:r>
        <w:rPr>
          <w:szCs w:val="21"/>
          <w:highlight w:val="none"/>
        </w:rPr>
        <w:t xml:space="preserve">分（北京时间）</w:t>
      </w:r>
      <w:r/>
    </w:p>
    <w:p>
      <w:pPr>
        <w:ind w:firstLine="420"/>
        <w:spacing w:line="360" w:lineRule="auto"/>
        <w:rPr>
          <w:b/>
          <w:bCs/>
          <w:szCs w:val="21"/>
        </w:rPr>
      </w:pPr>
      <w:r>
        <w:rPr>
          <w:szCs w:val="21"/>
        </w:rPr>
        <w:t xml:space="preserve">地点：“苏采云”系统（网址：http://jszfcg.jsczt.cn/）“开标大厅”</w:t>
      </w:r>
      <w:r/>
    </w:p>
    <w:p>
      <w:pPr>
        <w:ind w:firstLine="422"/>
        <w:spacing w:line="360" w:lineRule="auto"/>
        <w:rPr>
          <w:b/>
          <w:bCs/>
          <w:szCs w:val="21"/>
        </w:rPr>
      </w:pPr>
      <w:r>
        <w:rPr>
          <w:b/>
          <w:bCs/>
          <w:szCs w:val="21"/>
        </w:rPr>
        <w:t xml:space="preserve">五、公告期限</w:t>
      </w:r>
      <w:r/>
    </w:p>
    <w:p>
      <w:pPr>
        <w:ind w:firstLine="420"/>
        <w:spacing w:line="360" w:lineRule="auto"/>
        <w:rPr>
          <w:b/>
          <w:bCs/>
          <w:szCs w:val="21"/>
        </w:rPr>
      </w:pPr>
      <w:r>
        <w:rPr>
          <w:szCs w:val="21"/>
        </w:rPr>
        <w:t xml:space="preserve">自本公告发布之日起5个工作日。</w:t>
      </w:r>
      <w:r/>
    </w:p>
    <w:p>
      <w:pPr>
        <w:ind w:firstLine="422"/>
        <w:spacing w:line="360" w:lineRule="auto"/>
        <w:rPr>
          <w:b/>
          <w:bCs/>
          <w:szCs w:val="21"/>
        </w:rPr>
      </w:pPr>
      <w:r>
        <w:rPr>
          <w:b/>
          <w:bCs/>
          <w:szCs w:val="21"/>
        </w:rPr>
        <w:t xml:space="preserve">六、其他补充事宜</w:t>
      </w:r>
      <w:r/>
    </w:p>
    <w:p>
      <w:pPr>
        <w:ind w:firstLine="420"/>
        <w:spacing w:line="360" w:lineRule="auto"/>
        <w:rPr>
          <w:szCs w:val="21"/>
        </w:rPr>
      </w:pPr>
      <w:r>
        <w:rPr>
          <w:szCs w:val="21"/>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w:t>
      </w:r>
      <w:r>
        <w:rPr>
          <w:rFonts w:hint="eastAsia"/>
          <w:szCs w:val="21"/>
        </w:rPr>
        <w:t xml:space="preserve">政策</w:t>
      </w:r>
      <w:r>
        <w:rPr>
          <w:szCs w:val="21"/>
        </w:rPr>
        <w:t xml:space="preserve">。</w:t>
      </w:r>
      <w:r/>
    </w:p>
    <w:p>
      <w:pPr>
        <w:ind w:firstLine="420"/>
        <w:spacing w:line="360" w:lineRule="auto"/>
        <w:rPr>
          <w:szCs w:val="22"/>
        </w:rPr>
      </w:pPr>
      <w:r>
        <w:rPr>
          <w:szCs w:val="22"/>
        </w:rPr>
        <w:t xml:space="preserve">2、潜在供应商访问电子招标响应交易平台的网络地址和方法：</w:t>
      </w:r>
      <w:r/>
    </w:p>
    <w:p>
      <w:pPr>
        <w:ind w:firstLine="420"/>
        <w:spacing w:line="360" w:lineRule="auto"/>
        <w:rPr>
          <w:szCs w:val="22"/>
        </w:rPr>
      </w:pPr>
      <w:r>
        <w:rPr>
          <w:szCs w:val="22"/>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szCs w:val="22"/>
        </w:rPr>
      </w:pPr>
      <w:r>
        <w:rPr>
          <w:szCs w:val="22"/>
        </w:rPr>
        <w:t xml:space="preserve">3、潜在供应商访问“苏采云”系统的网络地址和方法：“苏采云”系统的网址：http://jszfcg.jsczt.cn/。</w:t>
      </w:r>
      <w:r/>
    </w:p>
    <w:p>
      <w:pPr>
        <w:ind w:firstLine="420"/>
        <w:spacing w:line="360" w:lineRule="auto"/>
        <w:rPr>
          <w:szCs w:val="22"/>
        </w:rPr>
      </w:pPr>
      <w:r>
        <w:rPr>
          <w:szCs w:val="22"/>
        </w:rPr>
        <w:t xml:space="preserve">4、“CA数字证书”的获取：</w:t>
      </w:r>
      <w:r/>
    </w:p>
    <w:p>
      <w:pPr>
        <w:ind w:firstLine="420"/>
        <w:spacing w:line="360" w:lineRule="auto"/>
        <w:rPr>
          <w:szCs w:val="22"/>
        </w:rPr>
      </w:pPr>
      <w:r>
        <w:rPr>
          <w:szCs w:val="22"/>
        </w:rPr>
        <w:t xml:space="preserve">响应供应商需办理“CA 数字证书”，CA办理指南及“苏采云”操作手册可至江苏省政府采购网―办事指南-资料下载中心下载。</w:t>
      </w:r>
      <w:r/>
    </w:p>
    <w:p>
      <w:pPr>
        <w:ind w:firstLine="420"/>
        <w:spacing w:line="360" w:lineRule="auto"/>
        <w:rPr>
          <w:szCs w:val="22"/>
        </w:rPr>
      </w:pPr>
      <w:r>
        <w:rPr>
          <w:szCs w:val="22"/>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szCs w:val="22"/>
        </w:rPr>
      </w:pPr>
      <w:r>
        <w:rPr>
          <w:szCs w:val="22"/>
        </w:rPr>
        <w:t xml:space="preserve">5、采购文件（后缀名为“.kedt”）、供应商操作手册及政府采购客户端工具可通过“苏采云”系统--已报名项目--报名详情页面内相应链接进行下载。</w:t>
      </w:r>
      <w:r/>
    </w:p>
    <w:p>
      <w:pPr>
        <w:ind w:firstLine="420"/>
        <w:spacing w:line="360" w:lineRule="auto"/>
        <w:rPr>
          <w:szCs w:val="22"/>
        </w:rPr>
      </w:pPr>
      <w:r>
        <w:rPr>
          <w:szCs w:val="22"/>
        </w:rPr>
        <w:t xml:space="preserve">6、采购人或采购代理机构将数据电文形式的采购文件加载至“苏采云”系统，供潜在供应商下载或者查阅。</w:t>
      </w:r>
      <w:r/>
    </w:p>
    <w:p>
      <w:pPr>
        <w:ind w:firstLine="420"/>
        <w:spacing w:line="360" w:lineRule="auto"/>
        <w:rPr>
          <w:szCs w:val="22"/>
        </w:rPr>
      </w:pPr>
      <w:r>
        <w:rPr>
          <w:szCs w:val="22"/>
        </w:rPr>
        <w:t xml:space="preserve">7、请潜在供应商提前安装相应的控件（详见《江苏省政府采购管理交易系统（苏采云）供应商操作手册》）并使用谷歌浏览器登录“苏采云”系统参与不见面开评标。</w:t>
      </w:r>
      <w:r/>
    </w:p>
    <w:p>
      <w:pPr>
        <w:ind w:firstLine="422"/>
        <w:spacing w:line="360" w:lineRule="auto"/>
        <w:rPr>
          <w:szCs w:val="22"/>
        </w:rPr>
      </w:pPr>
      <w:r>
        <w:rPr>
          <w:b/>
          <w:bCs/>
          <w:szCs w:val="22"/>
        </w:rPr>
        <w:t xml:space="preserve">注：如潜在供应商未按上述要求操作，将自行承担所产生的风险。</w:t>
      </w:r>
      <w:r/>
    </w:p>
    <w:p>
      <w:pPr>
        <w:ind w:firstLine="420"/>
        <w:spacing w:line="360" w:lineRule="auto"/>
        <w:rPr>
          <w:szCs w:val="22"/>
        </w:rPr>
      </w:pPr>
      <w:r>
        <w:rPr>
          <w:szCs w:val="22"/>
        </w:rPr>
        <w:t xml:space="preserve">8、项目开标活动模式：不见面远程开标模式，供应商在各自地点通过不见面交易系统参加开标会。</w:t>
      </w:r>
      <w:r/>
    </w:p>
    <w:p>
      <w:pPr>
        <w:ind w:firstLine="420"/>
        <w:spacing w:line="360" w:lineRule="auto"/>
        <w:rPr>
          <w:szCs w:val="21"/>
        </w:rPr>
      </w:pPr>
      <w:r>
        <w:rPr>
          <w:szCs w:val="22"/>
        </w:rPr>
        <w:t xml:space="preserve">9、投标文件的解密：开标当天各供应商及时登录不见面开标大厅，投标文件递交截止时间后，采购人将在系统内公布供应商名单，然后</w:t>
      </w:r>
      <w:r>
        <w:rPr>
          <w:szCs w:val="22"/>
        </w:rPr>
        <w:t xml:space="preserve">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t xml:space="preserve">。</w:t>
      </w:r>
      <w:r/>
    </w:p>
    <w:p>
      <w:pPr>
        <w:ind w:firstLine="422"/>
        <w:spacing w:line="360" w:lineRule="auto"/>
        <w:rPr>
          <w:b/>
          <w:bCs/>
          <w:szCs w:val="21"/>
        </w:rPr>
      </w:pPr>
      <w:r>
        <w:rPr>
          <w:b/>
          <w:bCs/>
          <w:szCs w:val="21"/>
        </w:rPr>
        <w:t xml:space="preserve">七、对本次招标提出询问，请按以下方式联系</w:t>
      </w:r>
      <w:r/>
    </w:p>
    <w:p>
      <w:pPr>
        <w:jc w:val="left"/>
        <w:spacing w:line="360" w:lineRule="auto"/>
        <w:widowControl/>
        <w:rPr>
          <w:color w:val="000000"/>
          <w:szCs w:val="21"/>
        </w:rPr>
      </w:pPr>
      <w:r>
        <w:rPr>
          <w:color w:val="000000"/>
          <w:szCs w:val="21"/>
        </w:rPr>
        <w:t xml:space="preserve">　　1、采购人信息</w:t>
      </w:r>
      <w:r/>
    </w:p>
    <w:p>
      <w:pPr>
        <w:ind w:left="1041" w:hanging="262"/>
        <w:jc w:val="left"/>
        <w:spacing w:line="360" w:lineRule="auto"/>
        <w:rPr>
          <w:color w:val="000000"/>
          <w:szCs w:val="21"/>
        </w:rPr>
      </w:pPr>
      <w:r>
        <w:rPr>
          <w:color w:val="000000"/>
          <w:szCs w:val="21"/>
        </w:rPr>
        <w:t xml:space="preserve">名 称：南京中医药大学</w:t>
      </w:r>
      <w:r/>
    </w:p>
    <w:p>
      <w:pPr>
        <w:ind w:left="1041" w:hanging="262"/>
        <w:jc w:val="left"/>
        <w:spacing w:line="360" w:lineRule="auto"/>
        <w:rPr>
          <w:color w:val="000000"/>
          <w:szCs w:val="21"/>
        </w:rPr>
      </w:pPr>
      <w:r>
        <w:rPr>
          <w:color w:val="000000"/>
          <w:szCs w:val="21"/>
        </w:rPr>
        <w:t xml:space="preserve">地址：南京仙林大学城仙林大道138号</w:t>
      </w:r>
      <w:r/>
    </w:p>
    <w:p>
      <w:pPr>
        <w:ind w:left="1041" w:hanging="262"/>
        <w:jc w:val="left"/>
        <w:spacing w:line="360" w:lineRule="auto"/>
        <w:rPr>
          <w:color w:val="000000"/>
          <w:szCs w:val="21"/>
        </w:rPr>
      </w:pPr>
      <w:r>
        <w:rPr>
          <w:color w:val="000000"/>
          <w:szCs w:val="21"/>
        </w:rPr>
        <w:t xml:space="preserve">联系方式：</w:t>
      </w:r>
      <w:bookmarkStart w:id="5" w:name="_Toc28359009"/>
      <w:r/>
      <w:bookmarkStart w:id="6" w:name="_Toc28359086"/>
      <w:r>
        <w:rPr>
          <w:rFonts w:hint="eastAsia"/>
          <w:color w:val="000000"/>
          <w:szCs w:val="21"/>
        </w:rPr>
        <w:t xml:space="preserve">吴</w:t>
      </w:r>
      <w:r>
        <w:rPr>
          <w:color w:val="000000"/>
          <w:szCs w:val="21"/>
        </w:rPr>
        <w:t xml:space="preserve">老师 025-85811022</w:t>
      </w:r>
      <w:r/>
    </w:p>
    <w:p>
      <w:pPr>
        <w:ind w:firstLine="420"/>
        <w:jc w:val="left"/>
        <w:spacing w:line="360" w:lineRule="auto"/>
        <w:rPr>
          <w:color w:val="000000"/>
          <w:szCs w:val="21"/>
        </w:rPr>
      </w:pPr>
      <w:r>
        <w:rPr>
          <w:color w:val="000000"/>
          <w:szCs w:val="21"/>
        </w:rPr>
        <w:t xml:space="preserve">2、采购代理机构信息</w:t>
      </w:r>
      <w:bookmarkEnd w:id="5"/>
      <w:r/>
      <w:bookmarkEnd w:id="6"/>
      <w:r/>
      <w:r/>
    </w:p>
    <w:p>
      <w:pPr>
        <w:ind w:firstLine="840"/>
        <w:spacing w:line="360" w:lineRule="auto"/>
        <w:rPr>
          <w:color w:val="000000"/>
          <w:szCs w:val="21"/>
        </w:rPr>
      </w:pPr>
      <w:r>
        <w:rPr>
          <w:color w:val="000000"/>
          <w:szCs w:val="21"/>
        </w:rPr>
        <w:t xml:space="preserve">名 称：江苏苏美达仪器设备有限公司</w:t>
      </w:r>
      <w:r/>
    </w:p>
    <w:p>
      <w:pPr>
        <w:ind w:firstLine="840"/>
        <w:spacing w:line="360" w:lineRule="auto"/>
        <w:rPr>
          <w:color w:val="000000"/>
          <w:szCs w:val="21"/>
        </w:rPr>
      </w:pPr>
      <w:r>
        <w:rPr>
          <w:color w:val="000000"/>
          <w:szCs w:val="21"/>
        </w:rPr>
        <w:t xml:space="preserve">地　址：南京市长江路198号</w:t>
      </w:r>
      <w:r/>
    </w:p>
    <w:p>
      <w:pPr>
        <w:ind w:firstLine="840"/>
        <w:spacing w:line="360" w:lineRule="auto"/>
        <w:rPr>
          <w:color w:val="000000"/>
          <w:szCs w:val="21"/>
        </w:rPr>
      </w:pPr>
      <w:r>
        <w:rPr>
          <w:color w:val="000000"/>
          <w:szCs w:val="21"/>
        </w:rPr>
        <w:t xml:space="preserve">联系方式：</w:t>
      </w:r>
      <w:bookmarkStart w:id="7" w:name="_Toc28359010"/>
      <w:r/>
      <w:bookmarkStart w:id="8" w:name="_Toc28359087"/>
      <w:r>
        <w:rPr>
          <w:b/>
          <w:bCs/>
          <w:color w:val="000000"/>
          <w:szCs w:val="21"/>
        </w:rPr>
        <w:t xml:space="preserve">文件发售：</w:t>
      </w:r>
      <w:r>
        <w:rPr>
          <w:color w:val="000000"/>
          <w:szCs w:val="21"/>
        </w:rPr>
        <w:t xml:space="preserve">李婧怡025-84532580，</w:t>
      </w:r>
      <w:r>
        <w:rPr>
          <w:b/>
          <w:bCs/>
          <w:color w:val="000000"/>
          <w:szCs w:val="21"/>
        </w:rPr>
        <w:t xml:space="preserve">技术咨询：</w:t>
      </w:r>
      <w:r>
        <w:rPr>
          <w:rFonts w:hint="eastAsia"/>
          <w:color w:val="000000"/>
          <w:szCs w:val="21"/>
        </w:rPr>
        <w:t xml:space="preserve">朱琳</w:t>
      </w:r>
      <w:r>
        <w:rPr>
          <w:color w:val="000000"/>
          <w:szCs w:val="21"/>
        </w:rPr>
        <w:t xml:space="preserve">025-8453</w:t>
      </w:r>
      <w:r>
        <w:rPr>
          <w:rFonts w:hint="eastAsia"/>
          <w:color w:val="000000"/>
          <w:szCs w:val="21"/>
        </w:rPr>
        <w:t xml:space="preserve">2546</w:t>
      </w:r>
      <w:r>
        <w:rPr>
          <w:color w:val="000000"/>
          <w:szCs w:val="21"/>
        </w:rPr>
        <w:t xml:space="preserve">、黄丹025-84531274</w:t>
      </w:r>
      <w:r/>
    </w:p>
    <w:p>
      <w:pPr>
        <w:ind w:firstLine="420"/>
        <w:spacing w:line="360" w:lineRule="auto"/>
        <w:rPr>
          <w:color w:val="000000"/>
          <w:szCs w:val="21"/>
          <w:u w:val="single"/>
        </w:rPr>
      </w:pPr>
      <w:r>
        <w:rPr>
          <w:color w:val="000000"/>
          <w:szCs w:val="21"/>
        </w:rPr>
        <w:t xml:space="preserve">3、项目联系方式</w:t>
      </w:r>
      <w:bookmarkEnd w:id="7"/>
      <w:r/>
      <w:bookmarkEnd w:id="8"/>
      <w:r/>
      <w:r/>
    </w:p>
    <w:p>
      <w:pPr>
        <w:pStyle w:val="1165"/>
        <w:ind w:firstLine="840"/>
        <w:spacing w:line="360" w:lineRule="auto"/>
        <w:rPr>
          <w:rFonts w:ascii="Times New Roman" w:hAnsi="Times New Roman"/>
          <w:color w:val="000000"/>
          <w:szCs w:val="21"/>
        </w:rPr>
      </w:pPr>
      <w:r>
        <w:rPr>
          <w:rFonts w:ascii="Times New Roman" w:hAnsi="Times New Roman"/>
          <w:color w:val="000000"/>
          <w:szCs w:val="21"/>
        </w:rPr>
        <w:t xml:space="preserve">项目联系人：黄丹</w:t>
      </w:r>
      <w:r/>
    </w:p>
    <w:p>
      <w:pPr>
        <w:pStyle w:val="1165"/>
        <w:ind w:firstLine="840"/>
        <w:spacing w:line="360" w:lineRule="auto"/>
        <w:rPr>
          <w:rFonts w:ascii="Times New Roman" w:hAnsi="Times New Roman"/>
          <w:color w:val="000000"/>
          <w:szCs w:val="21"/>
        </w:rPr>
      </w:pPr>
      <w:r>
        <w:rPr>
          <w:rFonts w:ascii="Times New Roman" w:hAnsi="Times New Roman"/>
          <w:color w:val="000000"/>
          <w:szCs w:val="21"/>
        </w:rPr>
        <w:t xml:space="preserve">电　话：025-84531274</w:t>
      </w:r>
      <w:r/>
    </w:p>
    <w:p>
      <w:pPr>
        <w:ind w:firstLine="420"/>
        <w:jc w:val="left"/>
        <w:spacing w:line="360" w:lineRule="auto"/>
        <w:rPr>
          <w:color w:val="000000"/>
          <w:szCs w:val="21"/>
        </w:rPr>
      </w:pPr>
      <w:r>
        <w:rPr>
          <w:color w:val="000000"/>
          <w:szCs w:val="21"/>
        </w:rPr>
      </w:r>
      <w:r/>
    </w:p>
    <w:p>
      <w:pPr>
        <w:rPr>
          <w:color w:val="000000"/>
          <w:szCs w:val="21"/>
        </w:rPr>
      </w:pPr>
      <w:r>
        <w:rPr>
          <w:color w:val="000000"/>
          <w:szCs w:val="21"/>
        </w:rPr>
        <w:br w:type="page" w:clear="all"/>
      </w:r>
      <w:r/>
    </w:p>
    <w:p>
      <w:pPr>
        <w:ind w:firstLine="562"/>
        <w:jc w:val="center"/>
        <w:spacing w:line="360" w:lineRule="auto"/>
        <w:rPr>
          <w:b/>
          <w:sz w:val="28"/>
          <w:szCs w:val="28"/>
        </w:rPr>
        <w:outlineLvl w:val="0"/>
      </w:pPr>
      <w:r/>
      <w:bookmarkStart w:id="9" w:name="_Toc1362"/>
      <w:r>
        <w:rPr>
          <w:b/>
          <w:sz w:val="28"/>
          <w:szCs w:val="28"/>
        </w:rPr>
        <w:t xml:space="preserve">第二章 投标人须知</w:t>
      </w:r>
      <w:bookmarkEnd w:id="3"/>
      <w:r/>
      <w:bookmarkEnd w:id="4"/>
      <w:r/>
      <w:bookmarkEnd w:id="9"/>
      <w:r/>
      <w:r/>
    </w:p>
    <w:p>
      <w:pPr>
        <w:ind w:firstLine="420"/>
        <w:spacing w:line="360" w:lineRule="auto"/>
      </w:pPr>
      <w:r>
        <w:t xml:space="preserve">投标人须知前附表（本表是对投标人须知的具体补充和修改，如有矛盾，应以本表为准）</w:t>
      </w:r>
      <w:r/>
    </w:p>
    <w:tbl>
      <w:tblPr>
        <w:tblStyle w:val="1149"/>
        <w:tblW w:w="10056"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9305"/>
      </w:tblGrid>
      <w:tr>
        <w:trPr/>
        <w:tc>
          <w:tcPr>
            <w:tcW w:w="751" w:type="dxa"/>
            <w:vAlign w:val="center"/>
            <w:textDirection w:val="lrTb"/>
            <w:noWrap w:val="false"/>
          </w:tcPr>
          <w:p>
            <w:pPr>
              <w:jc w:val="center"/>
              <w:spacing w:line="360" w:lineRule="auto"/>
              <w:rPr>
                <w:b/>
                <w:szCs w:val="21"/>
              </w:rPr>
            </w:pPr>
            <w:r>
              <w:rPr>
                <w:b/>
                <w:szCs w:val="21"/>
              </w:rPr>
              <w:t xml:space="preserve">序号</w:t>
            </w:r>
            <w:r/>
          </w:p>
        </w:tc>
        <w:tc>
          <w:tcPr>
            <w:tcW w:w="9305" w:type="dxa"/>
            <w:vAlign w:val="center"/>
            <w:textDirection w:val="lrTb"/>
            <w:noWrap w:val="false"/>
          </w:tcPr>
          <w:p>
            <w:pPr>
              <w:jc w:val="center"/>
              <w:spacing w:line="360" w:lineRule="auto"/>
              <w:rPr>
                <w:b/>
                <w:szCs w:val="21"/>
              </w:rPr>
            </w:pPr>
            <w:r>
              <w:rPr>
                <w:b/>
                <w:szCs w:val="21"/>
              </w:rPr>
              <w:t xml:space="preserve">主要内容</w:t>
            </w:r>
            <w:r/>
          </w:p>
        </w:tc>
      </w:tr>
      <w:tr>
        <w:trPr>
          <w:trHeight w:val="1300"/>
        </w:trPr>
        <w:tc>
          <w:tcPr>
            <w:tcW w:w="751" w:type="dxa"/>
            <w:vAlign w:val="center"/>
            <w:textDirection w:val="lrTb"/>
            <w:noWrap w:val="false"/>
          </w:tcPr>
          <w:p>
            <w:pPr>
              <w:jc w:val="center"/>
              <w:spacing w:line="360" w:lineRule="auto"/>
              <w:rPr>
                <w:bCs/>
                <w:szCs w:val="21"/>
              </w:rPr>
            </w:pPr>
            <w:r>
              <w:rPr>
                <w:bCs/>
                <w:szCs w:val="21"/>
              </w:rPr>
              <w:t xml:space="preserve">1</w:t>
            </w:r>
            <w:r/>
          </w:p>
        </w:tc>
        <w:tc>
          <w:tcPr>
            <w:tcW w:w="9305" w:type="dxa"/>
            <w:vAlign w:val="center"/>
            <w:textDirection w:val="lrTb"/>
            <w:noWrap w:val="false"/>
          </w:tcPr>
          <w:p>
            <w:pPr>
              <w:spacing w:line="360" w:lineRule="auto"/>
            </w:pPr>
            <w:r>
              <w:t xml:space="preserve">名 称：南京中医药大学　　　　　　　　　</w:t>
            </w:r>
            <w:r/>
          </w:p>
          <w:p>
            <w:pPr>
              <w:jc w:val="left"/>
              <w:spacing w:line="360" w:lineRule="auto"/>
              <w:rPr>
                <w:color w:val="000000"/>
                <w:szCs w:val="21"/>
              </w:rPr>
            </w:pPr>
            <w:r>
              <w:rPr>
                <w:color w:val="000000"/>
                <w:szCs w:val="21"/>
              </w:rPr>
              <w:t xml:space="preserve">地址：南京仙林大学城仙林大道138号</w:t>
            </w:r>
            <w:r/>
          </w:p>
          <w:p>
            <w:pPr>
              <w:spacing w:line="360" w:lineRule="auto"/>
            </w:pPr>
            <w:r>
              <w:rPr>
                <w:color w:val="000000"/>
                <w:szCs w:val="21"/>
              </w:rPr>
              <w:t xml:space="preserve">联系方式：</w:t>
            </w:r>
            <w:r>
              <w:rPr>
                <w:rFonts w:hint="eastAsia"/>
                <w:color w:val="000000"/>
                <w:szCs w:val="21"/>
              </w:rPr>
              <w:t xml:space="preserve">吴</w:t>
            </w:r>
            <w:r>
              <w:rPr>
                <w:color w:val="000000"/>
                <w:szCs w:val="21"/>
              </w:rPr>
              <w:t xml:space="preserve">老师 025-85811022</w:t>
            </w:r>
            <w:r/>
          </w:p>
        </w:tc>
      </w:tr>
      <w:tr>
        <w:trPr/>
        <w:tc>
          <w:tcPr>
            <w:tcW w:w="751" w:type="dxa"/>
            <w:vAlign w:val="center"/>
            <w:textDirection w:val="lrTb"/>
            <w:noWrap w:val="false"/>
          </w:tcPr>
          <w:p>
            <w:pPr>
              <w:jc w:val="center"/>
              <w:spacing w:line="360" w:lineRule="auto"/>
              <w:rPr>
                <w:bCs/>
                <w:szCs w:val="21"/>
              </w:rPr>
            </w:pPr>
            <w:r>
              <w:rPr>
                <w:bCs/>
                <w:szCs w:val="21"/>
              </w:rPr>
              <w:t xml:space="preserve">2</w:t>
            </w:r>
            <w:r/>
          </w:p>
        </w:tc>
        <w:tc>
          <w:tcPr>
            <w:tcW w:w="9305" w:type="dxa"/>
            <w:vAlign w:val="center"/>
            <w:textDirection w:val="lrTb"/>
            <w:noWrap w:val="false"/>
          </w:tcPr>
          <w:p>
            <w:pPr>
              <w:spacing w:line="360" w:lineRule="auto"/>
            </w:pPr>
            <w:r>
              <w:t xml:space="preserve">采购代理机构：江苏苏美达仪器设备有限公司</w:t>
            </w:r>
            <w:r/>
          </w:p>
          <w:p>
            <w:pPr>
              <w:spacing w:line="360" w:lineRule="auto"/>
            </w:pPr>
            <w:r>
              <w:t xml:space="preserve">文件发售联系人：李婧怡025-84532580 lijingyi@sumec.com.cn</w:t>
            </w:r>
            <w:r/>
          </w:p>
          <w:p>
            <w:pPr>
              <w:spacing w:line="360" w:lineRule="auto"/>
            </w:pPr>
            <w:r>
              <w:t xml:space="preserve">技术咨询联系人：</w:t>
            </w:r>
            <w:r>
              <w:rPr>
                <w:rFonts w:hint="eastAsia"/>
                <w:color w:val="000000"/>
                <w:szCs w:val="21"/>
              </w:rPr>
              <w:t xml:space="preserve">朱琳</w:t>
            </w:r>
            <w:r>
              <w:rPr>
                <w:color w:val="000000"/>
                <w:szCs w:val="21"/>
              </w:rPr>
              <w:t xml:space="preserve"> 025-8453</w:t>
            </w:r>
            <w:r>
              <w:rPr>
                <w:rFonts w:hint="eastAsia"/>
                <w:color w:val="000000"/>
                <w:szCs w:val="21"/>
              </w:rPr>
              <w:t xml:space="preserve">2546</w:t>
            </w:r>
            <w:r>
              <w:rPr>
                <w:color w:val="000000"/>
                <w:szCs w:val="21"/>
              </w:rPr>
              <w:t xml:space="preserve">、黄丹025-84531274</w:t>
            </w:r>
            <w:r/>
          </w:p>
          <w:p>
            <w:pPr>
              <w:spacing w:line="360" w:lineRule="auto"/>
            </w:pPr>
            <w:r>
              <w:t xml:space="preserve">联系地址：南京市长江路198号</w:t>
            </w:r>
            <w:r/>
          </w:p>
        </w:tc>
      </w:tr>
      <w:tr>
        <w:trPr/>
        <w:tc>
          <w:tcPr>
            <w:tcW w:w="751" w:type="dxa"/>
            <w:vAlign w:val="center"/>
            <w:textDirection w:val="lrTb"/>
            <w:noWrap w:val="false"/>
          </w:tcPr>
          <w:p>
            <w:pPr>
              <w:jc w:val="center"/>
              <w:spacing w:line="360" w:lineRule="auto"/>
              <w:rPr>
                <w:bCs/>
                <w:szCs w:val="21"/>
              </w:rPr>
            </w:pPr>
            <w:r>
              <w:rPr>
                <w:bCs/>
                <w:szCs w:val="21"/>
              </w:rPr>
              <w:t xml:space="preserve">3</w:t>
            </w:r>
            <w:r/>
          </w:p>
        </w:tc>
        <w:tc>
          <w:tcPr>
            <w:tcW w:w="9305" w:type="dxa"/>
            <w:vAlign w:val="center"/>
            <w:textDirection w:val="lrTb"/>
            <w:noWrap w:val="false"/>
          </w:tcPr>
          <w:p>
            <w:pPr>
              <w:spacing w:line="360" w:lineRule="auto"/>
            </w:pPr>
            <w:r>
              <w:t xml:space="preserve">项目名称：</w:t>
            </w:r>
            <w:r>
              <w:rPr>
                <w:szCs w:val="21"/>
              </w:rPr>
              <w:t xml:space="preserve">南京中医药大学</w:t>
            </w:r>
            <w:r>
              <w:rPr>
                <w:rFonts w:hint="eastAsia"/>
              </w:rPr>
              <w:t xml:space="preserve">仙林校区及汉中门校区绿化养护托管服务</w:t>
            </w:r>
            <w:r/>
          </w:p>
          <w:p>
            <w:pPr>
              <w:spacing w:line="360" w:lineRule="auto"/>
            </w:pPr>
            <w:r>
              <w:t xml:space="preserve">项目编号：</w:t>
            </w:r>
            <w:r>
              <w:rPr>
                <w:rFonts w:hint="eastAsia"/>
              </w:rPr>
              <w:t xml:space="preserve">NZYZB2026-034</w:t>
            </w:r>
            <w:r>
              <w:t xml:space="preserve">（2640SUMEC/GXZM</w:t>
            </w:r>
            <w:r>
              <w:rPr>
                <w:rFonts w:hint="eastAsia"/>
              </w:rPr>
              <w:t xml:space="preserve">1108</w:t>
            </w:r>
            <w:r>
              <w:t xml:space="preserve">）</w:t>
            </w:r>
            <w:r/>
          </w:p>
        </w:tc>
      </w:tr>
      <w:tr>
        <w:trPr>
          <w:trHeight w:val="595"/>
        </w:trPr>
        <w:tc>
          <w:tcPr>
            <w:tcW w:w="751" w:type="dxa"/>
            <w:vAlign w:val="center"/>
            <w:textDirection w:val="lrTb"/>
            <w:noWrap w:val="false"/>
          </w:tcPr>
          <w:p>
            <w:pPr>
              <w:jc w:val="center"/>
              <w:spacing w:line="360" w:lineRule="auto"/>
              <w:rPr>
                <w:bCs/>
                <w:szCs w:val="21"/>
              </w:rPr>
            </w:pPr>
            <w:r>
              <w:rPr>
                <w:bCs/>
                <w:szCs w:val="21"/>
              </w:rPr>
              <w:t xml:space="preserve">4</w:t>
            </w:r>
            <w:r/>
          </w:p>
        </w:tc>
        <w:tc>
          <w:tcPr>
            <w:tcW w:w="9305" w:type="dxa"/>
            <w:vAlign w:val="center"/>
            <w:textDirection w:val="lrTb"/>
            <w:noWrap w:val="false"/>
          </w:tcPr>
          <w:p>
            <w:pPr>
              <w:spacing w:line="360" w:lineRule="auto"/>
            </w:pPr>
            <w:r>
              <w:t xml:space="preserve">采购方式：公开招标</w:t>
            </w:r>
            <w:r/>
          </w:p>
        </w:tc>
      </w:tr>
      <w:tr>
        <w:trPr>
          <w:trHeight w:val="273"/>
        </w:trPr>
        <w:tc>
          <w:tcPr>
            <w:tcW w:w="751" w:type="dxa"/>
            <w:vAlign w:val="center"/>
            <w:textDirection w:val="lrTb"/>
            <w:noWrap w:val="false"/>
          </w:tcPr>
          <w:p>
            <w:pPr>
              <w:jc w:val="center"/>
              <w:spacing w:line="360" w:lineRule="auto"/>
              <w:rPr>
                <w:bCs/>
                <w:szCs w:val="21"/>
              </w:rPr>
            </w:pPr>
            <w:r>
              <w:rPr>
                <w:bCs/>
                <w:szCs w:val="21"/>
              </w:rPr>
              <w:t xml:space="preserve">5</w:t>
            </w:r>
            <w:r/>
          </w:p>
        </w:tc>
        <w:tc>
          <w:tcPr>
            <w:tcW w:w="9305" w:type="dxa"/>
            <w:vAlign w:val="center"/>
            <w:textDirection w:val="lrTb"/>
            <w:noWrap w:val="false"/>
          </w:tcPr>
          <w:p>
            <w:pPr>
              <w:spacing w:line="360" w:lineRule="auto"/>
            </w:pPr>
            <w:r>
              <w:t xml:space="preserve">投标有效期：开标之日起90天</w:t>
            </w:r>
            <w:r/>
          </w:p>
        </w:tc>
      </w:tr>
      <w:tr>
        <w:trPr>
          <w:trHeight w:val="297"/>
        </w:trPr>
        <w:tc>
          <w:tcPr>
            <w:tcW w:w="751" w:type="dxa"/>
            <w:vAlign w:val="center"/>
            <w:textDirection w:val="lrTb"/>
            <w:noWrap w:val="false"/>
          </w:tcPr>
          <w:p>
            <w:pPr>
              <w:jc w:val="center"/>
              <w:spacing w:line="360" w:lineRule="auto"/>
              <w:rPr>
                <w:bCs/>
                <w:szCs w:val="21"/>
              </w:rPr>
            </w:pPr>
            <w:r>
              <w:rPr>
                <w:bCs/>
                <w:szCs w:val="21"/>
              </w:rPr>
              <w:t xml:space="preserve">6</w:t>
            </w:r>
            <w:r/>
          </w:p>
        </w:tc>
        <w:tc>
          <w:tcPr>
            <w:tcW w:w="9305" w:type="dxa"/>
            <w:vAlign w:val="center"/>
            <w:textDirection w:val="lrTb"/>
            <w:noWrap w:val="false"/>
          </w:tcPr>
          <w:p>
            <w:pPr>
              <w:spacing w:line="360" w:lineRule="auto"/>
              <w:rPr>
                <w:b/>
                <w:szCs w:val="21"/>
              </w:rPr>
            </w:pPr>
            <w:r>
              <w:t xml:space="preserve">投标保证金：本项目不收取投标保证金</w:t>
            </w:r>
            <w:r/>
          </w:p>
        </w:tc>
      </w:tr>
      <w:tr>
        <w:trPr/>
        <w:tc>
          <w:tcPr>
            <w:tcW w:w="751" w:type="dxa"/>
            <w:vAlign w:val="center"/>
            <w:textDirection w:val="lrTb"/>
            <w:noWrap w:val="false"/>
          </w:tcPr>
          <w:p>
            <w:pPr>
              <w:jc w:val="center"/>
              <w:spacing w:line="360" w:lineRule="auto"/>
              <w:rPr>
                <w:bCs/>
                <w:szCs w:val="21"/>
              </w:rPr>
            </w:pPr>
            <w:r>
              <w:rPr>
                <w:bCs/>
                <w:szCs w:val="21"/>
              </w:rPr>
              <w:t xml:space="preserve">7</w:t>
            </w:r>
            <w:r/>
          </w:p>
        </w:tc>
        <w:tc>
          <w:tcPr>
            <w:tcW w:w="9305" w:type="dxa"/>
            <w:vAlign w:val="center"/>
            <w:textDirection w:val="lrTb"/>
            <w:noWrap w:val="false"/>
          </w:tcPr>
          <w:p>
            <w:pPr>
              <w:jc w:val="left"/>
              <w:spacing w:line="360" w:lineRule="auto"/>
              <w:rPr>
                <w:szCs w:val="21"/>
              </w:rPr>
            </w:pPr>
            <w:r>
              <w:rPr>
                <w:szCs w:val="21"/>
              </w:rPr>
              <w:t xml:space="preserve">投标文件份数：</w:t>
            </w:r>
            <w:r>
              <w:rPr>
                <w:szCs w:val="21"/>
              </w:rPr>
              <w:t xml:space="preserve">电子投标文件一份（通过系统提交）；纸质投标文件正本一份</w:t>
            </w:r>
            <w:r>
              <w:rPr>
                <w:b/>
                <w:bCs/>
                <w:color w:val="ff0000"/>
                <w:szCs w:val="21"/>
              </w:rPr>
              <w:t xml:space="preserve">（评审结束后由中标候选人邮寄至采购代理机构，未中标单位不需要提供）</w:t>
            </w:r>
            <w:r>
              <w:rPr>
                <w:color w:val="ff0000"/>
                <w:szCs w:val="21"/>
              </w:rPr>
              <w:t xml:space="preserve">。</w:t>
            </w:r>
            <w:r/>
          </w:p>
        </w:tc>
      </w:tr>
      <w:tr>
        <w:trPr/>
        <w:tc>
          <w:tcPr>
            <w:tcW w:w="751" w:type="dxa"/>
            <w:vAlign w:val="center"/>
            <w:textDirection w:val="lrTb"/>
            <w:noWrap w:val="false"/>
          </w:tcPr>
          <w:p>
            <w:pPr>
              <w:jc w:val="center"/>
              <w:spacing w:line="360" w:lineRule="auto"/>
              <w:rPr>
                <w:bCs/>
                <w:szCs w:val="21"/>
              </w:rPr>
            </w:pPr>
            <w:r>
              <w:rPr>
                <w:bCs/>
                <w:szCs w:val="21"/>
              </w:rPr>
              <w:t xml:space="preserve">8</w:t>
            </w:r>
            <w:r/>
          </w:p>
        </w:tc>
        <w:tc>
          <w:tcPr>
            <w:tcW w:w="9305" w:type="dxa"/>
            <w:vAlign w:val="center"/>
            <w:textDirection w:val="lrTb"/>
            <w:noWrap w:val="false"/>
          </w:tcPr>
          <w:p>
            <w:pPr>
              <w:jc w:val="left"/>
              <w:spacing w:line="360" w:lineRule="auto"/>
              <w:rPr>
                <w:szCs w:val="21"/>
              </w:rPr>
            </w:pPr>
            <w:r>
              <w:rPr>
                <w:szCs w:val="21"/>
              </w:rPr>
              <w:t xml:space="preserve">递交投标文件开始时间：</w:t>
            </w:r>
            <w:r>
              <w:rPr>
                <w:szCs w:val="21"/>
              </w:rPr>
              <w:t xml:space="preserve">详见招标公告</w:t>
            </w:r>
            <w:r/>
          </w:p>
          <w:p>
            <w:pPr>
              <w:jc w:val="left"/>
              <w:spacing w:line="360" w:lineRule="auto"/>
              <w:rPr>
                <w:szCs w:val="21"/>
              </w:rPr>
            </w:pPr>
            <w:r>
              <w:rPr>
                <w:szCs w:val="21"/>
              </w:rPr>
              <w:t xml:space="preserve">递交投标文件截止时间、开标时间：</w:t>
            </w:r>
            <w:r>
              <w:rPr>
                <w:szCs w:val="21"/>
              </w:rPr>
              <w:t xml:space="preserve">详见招标公告</w:t>
            </w:r>
            <w:r/>
          </w:p>
          <w:p>
            <w:pPr>
              <w:jc w:val="left"/>
              <w:spacing w:line="360" w:lineRule="auto"/>
              <w:rPr>
                <w:szCs w:val="21"/>
              </w:rPr>
            </w:pPr>
            <w:r>
              <w:rPr>
                <w:szCs w:val="21"/>
              </w:rPr>
              <w:t xml:space="preserve">地点：</w:t>
            </w:r>
            <w:r>
              <w:rPr>
                <w:szCs w:val="21"/>
              </w:rPr>
              <w:t xml:space="preserve">详见招标公告</w:t>
            </w:r>
            <w:r/>
          </w:p>
        </w:tc>
      </w:tr>
      <w:tr>
        <w:trPr>
          <w:trHeight w:val="1683"/>
        </w:trPr>
        <w:tc>
          <w:tcPr>
            <w:tcW w:w="751" w:type="dxa"/>
            <w:vAlign w:val="center"/>
            <w:textDirection w:val="lrTb"/>
            <w:noWrap w:val="false"/>
          </w:tcPr>
          <w:p>
            <w:pPr>
              <w:jc w:val="center"/>
              <w:spacing w:line="360" w:lineRule="auto"/>
              <w:rPr>
                <w:bCs/>
                <w:szCs w:val="21"/>
              </w:rPr>
            </w:pPr>
            <w:r>
              <w:rPr>
                <w:bCs/>
                <w:szCs w:val="21"/>
              </w:rPr>
              <w:t xml:space="preserve">9</w:t>
            </w:r>
            <w:r/>
          </w:p>
        </w:tc>
        <w:tc>
          <w:tcPr>
            <w:tcW w:w="9305" w:type="dxa"/>
            <w:vAlign w:val="center"/>
            <w:textDirection w:val="lrTb"/>
            <w:noWrap w:val="false"/>
          </w:tcPr>
          <w:p>
            <w:pPr>
              <w:jc w:val="left"/>
              <w:spacing w:line="360" w:lineRule="auto"/>
              <w:rPr>
                <w:szCs w:val="21"/>
              </w:rPr>
            </w:pPr>
            <w:r>
              <w:rPr>
                <w:szCs w:val="21"/>
              </w:rPr>
              <w:t xml:space="preserve">投标报价：所有投标响应均以人民币报价。</w:t>
            </w:r>
            <w:r/>
          </w:p>
          <w:p>
            <w:pPr>
              <w:jc w:val="left"/>
              <w:spacing w:line="360" w:lineRule="auto"/>
              <w:rPr>
                <w:szCs w:val="21"/>
              </w:rPr>
            </w:pPr>
            <w:r>
              <w:rPr>
                <w:rFonts w:hint="eastAsia"/>
                <w:szCs w:val="21"/>
              </w:rPr>
              <w:t xml:space="preserve">供应商的投标响应报价应遵守“中华人民共和国价格法”。该报价为到</w:t>
            </w:r>
            <w:r>
              <w:rPr>
                <w:szCs w:val="21"/>
              </w:rPr>
              <w:t xml:space="preserve">采购人指定地点</w:t>
            </w:r>
            <w:r>
              <w:rPr>
                <w:rFonts w:hint="eastAsia"/>
                <w:szCs w:val="21"/>
              </w:rPr>
              <w:t xml:space="preserve">的全部费用，含相关税费，运输费，保险费，安装费，及相关服务费等一切可能发生的费用。</w:t>
            </w:r>
            <w:r/>
          </w:p>
          <w:p>
            <w:pPr>
              <w:jc w:val="left"/>
              <w:spacing w:line="360" w:lineRule="auto"/>
              <w:rPr>
                <w:highlight w:val="yellow"/>
              </w:rPr>
            </w:pPr>
            <w:r>
              <w:rPr>
                <w:rFonts w:hint="eastAsia"/>
                <w:b/>
                <w:bCs/>
                <w:szCs w:val="21"/>
              </w:rPr>
              <w:t xml:space="preserve">注：供应商报价为最终报价，如因国家政策调整，增加的税费由供应商自行承担</w:t>
            </w:r>
            <w:r>
              <w:rPr>
                <w:rFonts w:hint="eastAsia"/>
                <w:szCs w:val="21"/>
              </w:rPr>
              <w:t xml:space="preserve">。</w:t>
            </w:r>
            <w:r/>
          </w:p>
        </w:tc>
      </w:tr>
      <w:tr>
        <w:trPr>
          <w:trHeight w:val="181"/>
        </w:trPr>
        <w:tc>
          <w:tcPr>
            <w:tcW w:w="751" w:type="dxa"/>
            <w:vAlign w:val="center"/>
            <w:textDirection w:val="lrTb"/>
            <w:noWrap w:val="false"/>
          </w:tcPr>
          <w:p>
            <w:pPr>
              <w:jc w:val="center"/>
              <w:spacing w:line="360" w:lineRule="auto"/>
            </w:pPr>
            <w:r>
              <w:t xml:space="preserve">10</w:t>
            </w:r>
            <w:r/>
          </w:p>
        </w:tc>
        <w:tc>
          <w:tcPr>
            <w:tcW w:w="9305" w:type="dxa"/>
            <w:vAlign w:val="center"/>
            <w:textDirection w:val="lrTb"/>
            <w:noWrap w:val="false"/>
          </w:tcPr>
          <w:p>
            <w:pPr>
              <w:pStyle w:val="1180"/>
              <w:jc w:val="both"/>
              <w:spacing w:before="0" w:beforeAutospacing="0" w:after="0" w:afterAutospacing="0" w:line="360" w:lineRule="auto"/>
              <w:rPr>
                <w:rFonts w:ascii="Times New Roman" w:hAnsi="Times New Roman" w:eastAsia="宋体"/>
                <w:b/>
                <w:bCs/>
                <w:color w:val="ff0000"/>
                <w:sz w:val="21"/>
                <w:szCs w:val="21"/>
              </w:rPr>
            </w:pPr>
            <w:r>
              <w:rPr>
                <w:rFonts w:ascii="Times New Roman" w:hAnsi="Times New Roman" w:eastAsia="宋体"/>
                <w:sz w:val="21"/>
                <w:szCs w:val="21"/>
              </w:rPr>
              <w:t xml:space="preserve">现场勘查：</w:t>
            </w:r>
            <w:r>
              <w:rPr>
                <w:rFonts w:ascii="Times New Roman" w:hAnsi="Times New Roman" w:eastAsia="宋体"/>
                <w:color w:val="auto"/>
                <w:sz w:val="21"/>
                <w:szCs w:val="21"/>
              </w:rPr>
              <w:t xml:space="preserve">本项目不组织。</w:t>
            </w:r>
            <w:r/>
          </w:p>
        </w:tc>
      </w:tr>
      <w:tr>
        <w:trPr/>
        <w:tc>
          <w:tcPr>
            <w:tcW w:w="751" w:type="dxa"/>
            <w:vAlign w:val="center"/>
            <w:textDirection w:val="lrTb"/>
            <w:noWrap w:val="false"/>
          </w:tcPr>
          <w:p>
            <w:pPr>
              <w:ind w:firstLine="210"/>
              <w:spacing w:line="360" w:lineRule="auto"/>
            </w:pPr>
            <w:r>
              <w:t xml:space="preserve">11</w:t>
            </w:r>
            <w:r/>
          </w:p>
        </w:tc>
        <w:tc>
          <w:tcPr>
            <w:tcW w:w="9305" w:type="dxa"/>
            <w:vAlign w:val="center"/>
            <w:textDirection w:val="lrTb"/>
            <w:noWrap w:val="false"/>
          </w:tcPr>
          <w:p>
            <w:pPr>
              <w:spacing w:line="360" w:lineRule="auto"/>
            </w:pPr>
            <w:r>
              <w:t xml:space="preserve">信用信息：</w:t>
            </w:r>
            <w:r/>
          </w:p>
          <w:p>
            <w:pPr>
              <w:spacing w:line="360" w:lineRule="auto"/>
            </w:pPr>
            <w:r>
              <w:t xml:space="preserve">1）信用信息查询渠道：“信用中国”网站(www.creditchina.gov.cn)、中国政府采购网(www.ccgp.gov.cn)等。</w:t>
            </w:r>
            <w:r/>
          </w:p>
          <w:p>
            <w:pPr>
              <w:spacing w:line="360" w:lineRule="auto"/>
            </w:pPr>
            <w:r>
              <w:t xml:space="preserve">2）信用信息查询截止时点：</w:t>
            </w:r>
            <w:r>
              <w:rPr>
                <w:szCs w:val="21"/>
              </w:rPr>
              <w:t xml:space="preserve">递交投标文件截止之日24时前</w:t>
            </w:r>
            <w:r>
              <w:t xml:space="preserve">。</w:t>
            </w:r>
            <w:r/>
          </w:p>
          <w:p>
            <w:pPr>
              <w:spacing w:line="360" w:lineRule="auto"/>
            </w:pPr>
            <w:r>
              <w:t xml:space="preserve">3）信用信息查询记录和证据留存的具体方式：信用信息查询记录将以网站截图打印稿形式与其他采购文件一并保存。</w:t>
            </w:r>
            <w:r/>
          </w:p>
          <w:p>
            <w:pPr>
              <w:spacing w:line="360" w:lineRule="auto"/>
            </w:pPr>
            <w: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c>
          <w:tcPr>
            <w:tcW w:w="751" w:type="dxa"/>
            <w:vAlign w:val="center"/>
            <w:textDirection w:val="lrTb"/>
            <w:noWrap w:val="false"/>
          </w:tcPr>
          <w:p>
            <w:pPr>
              <w:jc w:val="center"/>
              <w:spacing w:line="440" w:lineRule="exact"/>
              <w:widowControl/>
            </w:pPr>
            <w:r>
              <w:rPr>
                <w:color w:val="000000"/>
                <w:szCs w:val="21"/>
              </w:rPr>
              <w:t xml:space="preserve">12</w:t>
            </w:r>
            <w:r/>
          </w:p>
        </w:tc>
        <w:tc>
          <w:tcPr>
            <w:tcW w:w="9305" w:type="dxa"/>
            <w:vAlign w:val="center"/>
            <w:textDirection w:val="lrTb"/>
            <w:noWrap w:val="false"/>
          </w:tcPr>
          <w:p>
            <w:pPr>
              <w:spacing w:line="360" w:lineRule="auto"/>
              <w:rPr>
                <w:b/>
                <w:bCs/>
              </w:rPr>
            </w:pPr>
            <w:r>
              <w:t xml:space="preserve">核心产品：</w:t>
            </w:r>
            <w:r>
              <w:rPr>
                <w:rFonts w:hint="eastAsia"/>
                <w:b/>
                <w:bCs/>
              </w:rPr>
              <w:t xml:space="preserve">本项目为服务项目，故不设置核心产品</w:t>
            </w:r>
            <w:r/>
          </w:p>
          <w:p>
            <w:pPr>
              <w:spacing w:line="360" w:lineRule="auto"/>
            </w:pPr>
            <w: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p>
        </w:tc>
      </w:tr>
      <w:tr>
        <w:trPr>
          <w:trHeight w:val="580"/>
        </w:trPr>
        <w:tc>
          <w:tcPr>
            <w:tcW w:w="751" w:type="dxa"/>
            <w:vAlign w:val="center"/>
            <w:textDirection w:val="lrTb"/>
            <w:noWrap w:val="false"/>
          </w:tcPr>
          <w:p>
            <w:pPr>
              <w:jc w:val="center"/>
              <w:spacing w:line="360" w:lineRule="auto"/>
            </w:pPr>
            <w:r>
              <w:t xml:space="preserve">1</w:t>
            </w:r>
            <w:r>
              <w:rPr>
                <w:rFonts w:hint="eastAsia"/>
              </w:rPr>
              <w:t xml:space="preserve">3</w:t>
            </w:r>
            <w:r/>
          </w:p>
        </w:tc>
        <w:tc>
          <w:tcPr>
            <w:tcW w:w="9305" w:type="dxa"/>
            <w:vAlign w:val="center"/>
            <w:textDirection w:val="lrTb"/>
            <w:noWrap w:val="false"/>
          </w:tcPr>
          <w:p>
            <w:pPr>
              <w:spacing w:line="360" w:lineRule="auto"/>
            </w:pPr>
            <w:r>
              <w:t xml:space="preserve">采购标的对应中小企业划分标准所属行业：</w:t>
            </w:r>
            <w:r>
              <w:rPr>
                <w:rFonts w:hint="eastAsia"/>
                <w:b/>
                <w:bCs/>
              </w:rPr>
              <w:t xml:space="preserve">其他未列明行业  </w:t>
            </w:r>
            <w:r/>
          </w:p>
        </w:tc>
      </w:tr>
      <w:tr>
        <w:trPr/>
        <w:tc>
          <w:tcPr>
            <w:tcW w:w="751" w:type="dxa"/>
            <w:vAlign w:val="center"/>
            <w:textDirection w:val="lrTb"/>
            <w:noWrap w:val="false"/>
          </w:tcPr>
          <w:p>
            <w:pPr>
              <w:jc w:val="center"/>
              <w:spacing w:line="360" w:lineRule="auto"/>
              <w:rPr>
                <w:color w:val="auto"/>
              </w:rPr>
            </w:pPr>
            <w:r>
              <w:rPr>
                <w:color w:val="auto"/>
              </w:rPr>
              <w:t xml:space="preserve">1</w:t>
            </w:r>
            <w:r>
              <w:rPr>
                <w:rFonts w:hint="eastAsia"/>
                <w:color w:val="auto"/>
              </w:rPr>
              <w:t xml:space="preserve">4</w:t>
            </w:r>
            <w:r/>
          </w:p>
        </w:tc>
        <w:tc>
          <w:tcPr>
            <w:tcW w:w="9305" w:type="dxa"/>
            <w:vAlign w:val="center"/>
            <w:textDirection w:val="lrTb"/>
            <w:noWrap w:val="false"/>
          </w:tcPr>
          <w:p>
            <w:pPr>
              <w:jc w:val="left"/>
              <w:spacing w:line="360" w:lineRule="auto"/>
              <w:rPr>
                <w:color w:val="auto"/>
                <w:szCs w:val="21"/>
              </w:rPr>
            </w:pPr>
            <w:r>
              <w:rPr>
                <w:color w:val="auto"/>
                <w:szCs w:val="21"/>
              </w:rPr>
              <w:t xml:space="preserve">招标代理服务费：</w:t>
            </w:r>
            <w:r/>
          </w:p>
          <w:p>
            <w:pPr>
              <w:jc w:val="left"/>
              <w:spacing w:line="360" w:lineRule="auto"/>
              <w:rPr>
                <w:bCs/>
                <w:color w:val="auto"/>
                <w:szCs w:val="21"/>
              </w:rPr>
            </w:pPr>
            <w:r>
              <w:rPr>
                <w:bCs/>
                <w:color w:val="auto"/>
                <w:szCs w:val="21"/>
              </w:rPr>
              <w:t xml:space="preserve">本项目的代理费由中标供应商支付。</w:t>
            </w:r>
            <w:r>
              <w:rPr>
                <w:color w:val="auto"/>
                <w:szCs w:val="21"/>
              </w:rPr>
              <w:t xml:space="preserve">招标代理服务费采用差额定率累进计费方式。合同签订后一周内，中标人按</w:t>
            </w:r>
            <w:r>
              <w:rPr>
                <w:bCs/>
                <w:color w:val="auto"/>
                <w:szCs w:val="21"/>
              </w:rPr>
              <w:t xml:space="preserve">照《招标代理服务收费管理暂行办法》（国家发展计划委员会“计价格〔2002〕1980号”）中规定的</w:t>
            </w:r>
            <w:r>
              <w:rPr>
                <w:color w:val="auto"/>
                <w:szCs w:val="21"/>
              </w:rPr>
              <w:t xml:space="preserve">收费标准的65%的比例</w:t>
            </w:r>
            <w:r>
              <w:rPr>
                <w:rFonts w:hint="eastAsia"/>
                <w:color w:val="auto"/>
                <w:szCs w:val="21"/>
              </w:rPr>
              <w:t xml:space="preserve">减去评审专家费后</w:t>
            </w:r>
            <w:r>
              <w:rPr>
                <w:color w:val="auto"/>
                <w:szCs w:val="21"/>
              </w:rPr>
              <w:t xml:space="preserve">向采购代理机构交付招标代理服务费，招标代理服务费一次付清</w:t>
            </w:r>
            <w:r>
              <w:rPr>
                <w:bCs/>
                <w:color w:val="auto"/>
                <w:szCs w:val="21"/>
              </w:rPr>
              <w:t xml:space="preserve">。</w:t>
            </w:r>
            <w:r/>
          </w:p>
          <w:p>
            <w:pPr>
              <w:spacing w:line="360" w:lineRule="auto"/>
              <w:rPr>
                <w:color w:val="auto"/>
              </w:rPr>
            </w:pPr>
            <w:r>
              <w:rPr>
                <w:color w:val="auto"/>
              </w:rPr>
              <w:t xml:space="preserve">收款信息：</w:t>
            </w:r>
            <w:r/>
          </w:p>
          <w:p>
            <w:pPr>
              <w:spacing w:line="360" w:lineRule="auto"/>
              <w:rPr>
                <w:color w:val="auto"/>
              </w:rPr>
            </w:pPr>
            <w:r>
              <w:rPr>
                <w:color w:val="auto"/>
              </w:rPr>
              <w:t xml:space="preserve">户名：江苏苏美达仪器设备有限公司</w:t>
            </w:r>
            <w:r/>
          </w:p>
          <w:p>
            <w:pPr>
              <w:spacing w:line="360" w:lineRule="auto"/>
              <w:rPr>
                <w:color w:val="auto"/>
              </w:rPr>
            </w:pPr>
            <w:r>
              <w:rPr>
                <w:color w:val="auto"/>
              </w:rPr>
              <w:t xml:space="preserve">开户银行：农行南京广州路支行</w:t>
            </w:r>
            <w:r/>
          </w:p>
          <w:p>
            <w:pPr>
              <w:jc w:val="left"/>
              <w:spacing w:line="360" w:lineRule="auto"/>
              <w:rPr>
                <w:color w:val="auto"/>
                <w:szCs w:val="21"/>
              </w:rPr>
            </w:pPr>
            <w:r>
              <w:rPr>
                <w:color w:val="auto"/>
              </w:rPr>
              <w:t xml:space="preserve">账户：10100301040003106</w:t>
            </w:r>
            <w:r/>
          </w:p>
        </w:tc>
      </w:tr>
      <w:tr>
        <w:trPr/>
        <w:tc>
          <w:tcPr>
            <w:tcW w:w="751" w:type="dxa"/>
            <w:vAlign w:val="center"/>
            <w:textDirection w:val="lrTb"/>
            <w:noWrap w:val="false"/>
          </w:tcPr>
          <w:p>
            <w:pPr>
              <w:jc w:val="center"/>
              <w:spacing w:line="360" w:lineRule="auto"/>
            </w:pPr>
            <w:r>
              <w:t xml:space="preserve">1</w:t>
            </w:r>
            <w:r>
              <w:rPr>
                <w:rFonts w:hint="eastAsia"/>
              </w:rPr>
              <w:t xml:space="preserve">5</w:t>
            </w:r>
            <w:r/>
          </w:p>
        </w:tc>
        <w:tc>
          <w:tcPr>
            <w:tcW w:w="9305" w:type="dxa"/>
            <w:vAlign w:val="center"/>
            <w:textDirection w:val="lrTb"/>
            <w:noWrap w:val="false"/>
          </w:tcPr>
          <w:p>
            <w:pPr>
              <w:spacing w:line="440" w:lineRule="exact"/>
              <w:rPr>
                <w:bCs/>
                <w:color w:val="000000"/>
                <w:szCs w:val="21"/>
              </w:rPr>
            </w:pPr>
            <w:r>
              <w:rPr>
                <w:bCs/>
                <w:color w:val="000000"/>
                <w:szCs w:val="21"/>
              </w:rPr>
              <w:t xml:space="preserve">1、供应商对政府采购活动事项有疑问的，可以提出询问，</w:t>
            </w:r>
            <w:r>
              <w:rPr>
                <w:b/>
                <w:color w:val="000000"/>
                <w:szCs w:val="21"/>
              </w:rPr>
              <w:t xml:space="preserve">联系方式详见第一章技术咨询联系人</w:t>
            </w:r>
            <w:r>
              <w:rPr>
                <w:bCs/>
                <w:color w:val="000000"/>
                <w:szCs w:val="21"/>
              </w:rPr>
              <w:t xml:space="preserve">。</w:t>
            </w:r>
            <w:r/>
          </w:p>
          <w:p>
            <w:pPr>
              <w:spacing w:line="440" w:lineRule="exact"/>
              <w:rPr>
                <w:bCs/>
                <w:color w:val="000000"/>
                <w:szCs w:val="21"/>
              </w:rPr>
            </w:pPr>
            <w:r>
              <w:rPr>
                <w:bCs/>
                <w:color w:val="000000"/>
                <w:szCs w:val="21"/>
              </w:rPr>
              <w:t xml:space="preserve">2、供应商认为采购文件、采购过程、中标或者成交结果使自己的权益受到损害的，可以在知道或者应知权益受到损害之日起7个工作日内，提出质疑。</w:t>
            </w:r>
            <w:r/>
          </w:p>
          <w:p>
            <w:pPr>
              <w:spacing w:line="440" w:lineRule="exact"/>
              <w:rPr>
                <w:bCs/>
                <w:color w:val="000000"/>
                <w:szCs w:val="21"/>
              </w:rPr>
            </w:pPr>
            <w:r>
              <w:rPr>
                <w:bCs/>
                <w:color w:val="000000"/>
                <w:szCs w:val="21"/>
              </w:rPr>
              <w:t xml:space="preserve">（1）接收质疑函的方式：供应商应在法定质疑期内将质疑函以</w:t>
            </w:r>
            <w:r>
              <w:rPr>
                <w:b/>
                <w:color w:val="000000"/>
                <w:szCs w:val="21"/>
              </w:rPr>
              <w:t xml:space="preserve">书面形式（原件）</w:t>
            </w:r>
            <w:r>
              <w:rPr>
                <w:bCs/>
                <w:color w:val="000000"/>
                <w:szCs w:val="21"/>
              </w:rPr>
              <w:t xml:space="preserve">送达代理机构，</w:t>
            </w:r>
            <w:r>
              <w:rPr>
                <w:b/>
                <w:color w:val="000000"/>
                <w:szCs w:val="21"/>
              </w:rPr>
              <w:t xml:space="preserve">针对本项目同一采购程序环节</w:t>
            </w:r>
            <w:r>
              <w:rPr>
                <w:bCs/>
                <w:color w:val="000000"/>
                <w:szCs w:val="21"/>
              </w:rPr>
              <w:t xml:space="preserve">的质疑应</w:t>
            </w:r>
            <w:r>
              <w:rPr>
                <w:b/>
                <w:color w:val="000000"/>
                <w:szCs w:val="21"/>
              </w:rPr>
              <w:t xml:space="preserve">一次性提出</w:t>
            </w:r>
            <w:r>
              <w:rPr>
                <w:bCs/>
                <w:color w:val="000000"/>
                <w:szCs w:val="21"/>
              </w:rPr>
              <w:t xml:space="preserve">。</w:t>
            </w:r>
            <w:r/>
          </w:p>
          <w:p>
            <w:pPr>
              <w:spacing w:line="440" w:lineRule="exact"/>
              <w:rPr>
                <w:bCs/>
                <w:color w:val="000000"/>
                <w:szCs w:val="21"/>
              </w:rPr>
            </w:pPr>
            <w:r>
              <w:rPr>
                <w:bCs/>
                <w:color w:val="000000"/>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spacing w:line="440" w:lineRule="exact"/>
              <w:rPr>
                <w:bCs/>
                <w:color w:val="000000"/>
                <w:szCs w:val="21"/>
              </w:rPr>
            </w:pPr>
            <w:r>
              <w:rPr>
                <w:bCs/>
                <w:color w:val="000000"/>
                <w:szCs w:val="21"/>
              </w:rPr>
              <w:t xml:space="preserve">①供应商的姓名或者名称、地址、邮编、联系人及联系电话；</w:t>
            </w:r>
            <w:r/>
          </w:p>
          <w:p>
            <w:pPr>
              <w:ind w:firstLine="210"/>
              <w:spacing w:line="440" w:lineRule="exact"/>
              <w:rPr>
                <w:bCs/>
                <w:color w:val="000000"/>
                <w:szCs w:val="21"/>
              </w:rPr>
            </w:pPr>
            <w:r>
              <w:rPr>
                <w:bCs/>
                <w:color w:val="000000"/>
                <w:szCs w:val="21"/>
              </w:rPr>
              <w:t xml:space="preserve">②质疑项目的名称、编号；</w:t>
            </w:r>
            <w:r/>
          </w:p>
          <w:p>
            <w:pPr>
              <w:ind w:firstLine="210"/>
              <w:spacing w:line="440" w:lineRule="exact"/>
              <w:rPr>
                <w:bCs/>
                <w:color w:val="000000"/>
                <w:szCs w:val="21"/>
              </w:rPr>
            </w:pPr>
            <w:r>
              <w:rPr>
                <w:bCs/>
                <w:color w:val="000000"/>
                <w:szCs w:val="21"/>
              </w:rPr>
              <w:t xml:space="preserve">③具体、明确的质疑事项和与质疑事项相关的请求；</w:t>
            </w:r>
            <w:r/>
          </w:p>
          <w:p>
            <w:pPr>
              <w:ind w:firstLine="210"/>
              <w:spacing w:line="440" w:lineRule="exact"/>
              <w:rPr>
                <w:bCs/>
                <w:color w:val="000000"/>
                <w:szCs w:val="21"/>
              </w:rPr>
            </w:pPr>
            <w:r>
              <w:rPr>
                <w:bCs/>
                <w:color w:val="000000"/>
                <w:szCs w:val="21"/>
              </w:rPr>
              <w:t xml:space="preserve">④事实依据；</w:t>
            </w:r>
            <w:r/>
          </w:p>
          <w:p>
            <w:pPr>
              <w:ind w:firstLine="210"/>
              <w:spacing w:line="440" w:lineRule="exact"/>
              <w:rPr>
                <w:bCs/>
                <w:color w:val="000000"/>
                <w:szCs w:val="21"/>
              </w:rPr>
            </w:pPr>
            <w:r>
              <w:rPr>
                <w:bCs/>
                <w:color w:val="000000"/>
                <w:szCs w:val="21"/>
              </w:rPr>
              <w:t xml:space="preserve">⑤必要的法律依据；</w:t>
            </w:r>
            <w:r/>
          </w:p>
          <w:p>
            <w:pPr>
              <w:ind w:firstLine="210"/>
              <w:spacing w:line="440" w:lineRule="exact"/>
              <w:rPr>
                <w:bCs/>
                <w:color w:val="000000"/>
                <w:szCs w:val="21"/>
              </w:rPr>
            </w:pPr>
            <w:r>
              <w:rPr>
                <w:bCs/>
                <w:color w:val="000000"/>
                <w:szCs w:val="21"/>
              </w:rPr>
              <w:t xml:space="preserve">⑥提出质疑的日期；</w:t>
            </w:r>
            <w:r/>
          </w:p>
          <w:p>
            <w:pPr>
              <w:ind w:firstLine="210"/>
              <w:spacing w:line="440" w:lineRule="exact"/>
              <w:rPr>
                <w:bCs/>
                <w:color w:val="000000"/>
                <w:szCs w:val="21"/>
              </w:rPr>
            </w:pPr>
            <w:r>
              <w:rPr>
                <w:bCs/>
                <w:color w:val="000000"/>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spacing w:line="440" w:lineRule="exact"/>
              <w:rPr>
                <w:bCs/>
                <w:color w:val="000000"/>
                <w:szCs w:val="21"/>
              </w:rPr>
            </w:pPr>
            <w:r>
              <w:rPr>
                <w:bCs/>
                <w:color w:val="000000"/>
                <w:szCs w:val="21"/>
              </w:rPr>
              <w:t xml:space="preserve">（3）质疑供应商若对项目的某一分包进行质疑，质疑函中应列明具体分包号。</w:t>
            </w:r>
            <w:r/>
          </w:p>
          <w:p>
            <w:pPr>
              <w:spacing w:line="440" w:lineRule="exact"/>
              <w:rPr>
                <w:bCs/>
                <w:color w:val="000000"/>
                <w:szCs w:val="21"/>
              </w:rPr>
            </w:pPr>
            <w:r>
              <w:rPr>
                <w:bCs/>
                <w:color w:val="000000"/>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spacing w:line="440" w:lineRule="exact"/>
              <w:rPr>
                <w:bCs/>
                <w:color w:val="000000"/>
                <w:szCs w:val="21"/>
              </w:rPr>
            </w:pPr>
            <w:r>
              <w:rPr>
                <w:bCs/>
                <w:color w:val="000000"/>
                <w:szCs w:val="21"/>
              </w:rPr>
              <w:t xml:space="preserve">（5）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p>
          <w:p>
            <w:pPr>
              <w:spacing w:line="440" w:lineRule="exact"/>
              <w:rPr>
                <w:bCs/>
                <w:color w:val="000000"/>
                <w:szCs w:val="21"/>
              </w:rPr>
            </w:pPr>
            <w:r>
              <w:rPr>
                <w:bCs/>
                <w:color w:val="000000"/>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spacing w:line="440" w:lineRule="exact"/>
              <w:rPr>
                <w:bCs/>
                <w:color w:val="000000"/>
                <w:szCs w:val="21"/>
              </w:rPr>
            </w:pPr>
            <w:r>
              <w:rPr>
                <w:bCs/>
                <w:color w:val="000000"/>
                <w:szCs w:val="21"/>
              </w:rPr>
              <w:t xml:space="preserve">（7）本项目质疑函的联系部门、联系电话和通讯地址如下：</w:t>
            </w:r>
            <w:r/>
          </w:p>
          <w:p>
            <w:pPr>
              <w:spacing w:line="440" w:lineRule="exact"/>
              <w:rPr>
                <w:bCs/>
                <w:color w:val="000000"/>
                <w:szCs w:val="21"/>
              </w:rPr>
            </w:pPr>
            <w:r>
              <w:rPr>
                <w:bCs/>
                <w:color w:val="000000"/>
                <w:szCs w:val="21"/>
              </w:rPr>
              <w:t xml:space="preserve">联系部门：江苏苏美达仪器设备有限公司招标中心 黄经理</w:t>
            </w:r>
            <w:r/>
          </w:p>
          <w:p>
            <w:pPr>
              <w:spacing w:line="440" w:lineRule="exact"/>
              <w:rPr>
                <w:bCs/>
                <w:color w:val="000000"/>
                <w:szCs w:val="21"/>
              </w:rPr>
            </w:pPr>
            <w:r>
              <w:rPr>
                <w:bCs/>
                <w:color w:val="000000"/>
                <w:szCs w:val="21"/>
              </w:rPr>
              <w:t xml:space="preserve">联系电话：025-84531274</w:t>
            </w:r>
            <w:r/>
          </w:p>
          <w:p>
            <w:pPr>
              <w:spacing w:line="440" w:lineRule="exact"/>
              <w:rPr>
                <w:color w:val="000000"/>
                <w:szCs w:val="21"/>
              </w:rPr>
            </w:pPr>
            <w:r>
              <w:rPr>
                <w:bCs/>
                <w:color w:val="000000"/>
                <w:szCs w:val="21"/>
              </w:rPr>
              <w:t xml:space="preserve">通讯地址：江苏省南京市长江路198号苏美达大厦14F</w:t>
            </w:r>
            <w:r/>
          </w:p>
        </w:tc>
      </w:tr>
      <w:tr>
        <w:trPr>
          <w:trHeight w:val="860"/>
        </w:trPr>
        <w:tc>
          <w:tcPr>
            <w:tcW w:w="751" w:type="dxa"/>
            <w:vAlign w:val="center"/>
            <w:textDirection w:val="lrTb"/>
            <w:noWrap w:val="false"/>
          </w:tcPr>
          <w:p>
            <w:pPr>
              <w:jc w:val="center"/>
              <w:spacing w:line="360" w:lineRule="auto"/>
            </w:pPr>
            <w:r>
              <w:t xml:space="preserve">1</w:t>
            </w:r>
            <w:r>
              <w:rPr>
                <w:rFonts w:hint="eastAsia"/>
              </w:rPr>
              <w:t xml:space="preserve">6</w:t>
            </w:r>
            <w:r/>
          </w:p>
        </w:tc>
        <w:tc>
          <w:tcPr>
            <w:tcW w:w="9305" w:type="dxa"/>
            <w:vAlign w:val="center"/>
            <w:textDirection w:val="lrTb"/>
            <w:noWrap w:val="false"/>
          </w:tcPr>
          <w:p>
            <w:pPr>
              <w:spacing w:line="360" w:lineRule="auto"/>
            </w:pPr>
            <w:r>
              <w:t xml:space="preserve">投标报价中的投标价不得超过招标公告、招标文件规定的预算价或对应最高限价，超过规定的预算价或对应最高限价的投标文件，按无效投标处理。 </w:t>
            </w:r>
            <w:r/>
          </w:p>
        </w:tc>
      </w:tr>
    </w:tbl>
    <w:p>
      <w:pPr>
        <w:ind w:firstLine="422"/>
        <w:spacing w:line="360" w:lineRule="auto"/>
        <w:rPr>
          <w:b/>
          <w:bCs/>
          <w:color w:val="000000"/>
          <w:szCs w:val="21"/>
        </w:rPr>
      </w:pPr>
      <w:r>
        <w:rPr>
          <w:b/>
          <w:bCs/>
          <w:szCs w:val="21"/>
        </w:rPr>
        <w:t xml:space="preserve"> </w:t>
      </w:r>
      <w:bookmarkStart w:id="10" w:name="_Toc19726"/>
      <w:r/>
      <w:bookmarkStart w:id="11" w:name="_Toc19894"/>
      <w:r>
        <w:rPr>
          <w:b/>
          <w:bCs/>
          <w:szCs w:val="21"/>
        </w:rPr>
        <w:t xml:space="preserve">一、总 则</w:t>
      </w:r>
      <w:bookmarkEnd w:id="10"/>
      <w:r/>
      <w:bookmarkEnd w:id="11"/>
      <w:r/>
      <w:r/>
    </w:p>
    <w:p>
      <w:pPr>
        <w:ind w:firstLine="422"/>
        <w:spacing w:line="360" w:lineRule="auto"/>
        <w:rPr>
          <w:b/>
          <w:szCs w:val="21"/>
          <w:lang w:val="zh-CN"/>
        </w:rPr>
        <w:outlineLvl w:val="2"/>
      </w:pPr>
      <w:r/>
      <w:bookmarkStart w:id="12" w:name="_Toc3951"/>
      <w:r/>
      <w:bookmarkStart w:id="13" w:name="_Toc5219"/>
      <w:r/>
      <w:bookmarkStart w:id="14" w:name="_Toc26256"/>
      <w:r/>
      <w:bookmarkStart w:id="15" w:name="_Toc16938520"/>
      <w:r/>
      <w:bookmarkStart w:id="16" w:name="_Toc513029204"/>
      <w:r/>
      <w:bookmarkStart w:id="17" w:name="_Toc20823276"/>
      <w:r/>
      <w:bookmarkStart w:id="18" w:name="_Toc458694821"/>
      <w:r/>
      <w:bookmarkStart w:id="19" w:name="_Toc24947"/>
      <w:r>
        <w:rPr>
          <w:b/>
          <w:bCs/>
          <w:color w:val="000000"/>
          <w:szCs w:val="21"/>
          <w:lang w:val="zh-CN"/>
        </w:rPr>
        <w:t xml:space="preserve">1.</w:t>
      </w:r>
      <w:r>
        <w:rPr>
          <w:b/>
          <w:szCs w:val="21"/>
          <w:lang w:val="zh-CN"/>
        </w:rPr>
        <w:t xml:space="preserve">适用法律</w:t>
      </w:r>
      <w:bookmarkEnd w:id="12"/>
      <w:r/>
      <w:bookmarkEnd w:id="13"/>
      <w:r/>
      <w:bookmarkEnd w:id="14"/>
      <w:r/>
      <w:r/>
    </w:p>
    <w:p>
      <w:pPr>
        <w:ind w:firstLine="420"/>
        <w:spacing w:line="360" w:lineRule="auto"/>
        <w:rPr>
          <w:szCs w:val="21"/>
          <w:lang w:val="zh-CN"/>
        </w:rPr>
      </w:pPr>
      <w:r>
        <w:rPr>
          <w:color w:val="000000"/>
          <w:szCs w:val="21"/>
          <w:lang w:val="zh-CN"/>
        </w:rPr>
        <w:t xml:space="preserve">1.1 《中华人民共和国政府采购法》《中华人民共和国政府采购法实施条</w:t>
      </w:r>
      <w:r>
        <w:rPr>
          <w:szCs w:val="21"/>
          <w:lang w:val="zh-CN"/>
        </w:rPr>
        <w:t xml:space="preserve">例》《政府采购货物和服务招标投标管理办法》等有关法律、规章和规定等。</w:t>
      </w:r>
      <w:r/>
    </w:p>
    <w:p>
      <w:pPr>
        <w:ind w:firstLine="422"/>
        <w:spacing w:line="360" w:lineRule="auto"/>
        <w:rPr>
          <w:b/>
          <w:szCs w:val="21"/>
          <w:lang w:val="zh-CN"/>
        </w:rPr>
        <w:outlineLvl w:val="2"/>
      </w:pPr>
      <w:r/>
      <w:bookmarkStart w:id="20" w:name="_Toc10994"/>
      <w:r/>
      <w:bookmarkStart w:id="21" w:name="_Toc14738"/>
      <w:r/>
      <w:bookmarkStart w:id="22" w:name="_Toc6911"/>
      <w:r>
        <w:rPr>
          <w:b/>
          <w:bCs/>
          <w:color w:val="000000"/>
          <w:szCs w:val="21"/>
          <w:lang w:val="zh-CN"/>
        </w:rPr>
        <w:t xml:space="preserve">2.</w:t>
      </w:r>
      <w:r>
        <w:rPr>
          <w:b/>
          <w:szCs w:val="21"/>
          <w:lang w:val="zh-CN"/>
        </w:rPr>
        <w:t xml:space="preserve">定义</w:t>
      </w:r>
      <w:bookmarkEnd w:id="20"/>
      <w:r/>
      <w:bookmarkEnd w:id="21"/>
      <w:r/>
      <w:bookmarkEnd w:id="22"/>
      <w:r/>
      <w:bookmarkEnd w:id="15"/>
      <w:r/>
      <w:bookmarkEnd w:id="16"/>
      <w:r/>
      <w:bookmarkEnd w:id="17"/>
      <w:r/>
      <w:bookmarkEnd w:id="18"/>
      <w:r/>
      <w:bookmarkEnd w:id="19"/>
      <w:r/>
      <w:r/>
    </w:p>
    <w:p>
      <w:pPr>
        <w:ind w:firstLine="420"/>
        <w:spacing w:line="360" w:lineRule="auto"/>
        <w:rPr>
          <w:bCs/>
          <w:color w:val="000000"/>
          <w:szCs w:val="21"/>
        </w:rPr>
      </w:pPr>
      <w:r>
        <w:rPr>
          <w:color w:val="000000"/>
          <w:szCs w:val="21"/>
        </w:rPr>
        <w:t xml:space="preserve">2.1本文件</w:t>
      </w:r>
      <w:r>
        <w:rPr>
          <w:bCs/>
          <w:color w:val="000000"/>
          <w:szCs w:val="21"/>
        </w:rPr>
        <w:t xml:space="preserve">中采购代理机构为</w:t>
      </w:r>
      <w:r>
        <w:rPr>
          <w:b/>
          <w:color w:val="000000"/>
          <w:szCs w:val="21"/>
          <w:u w:val="single"/>
        </w:rPr>
        <w:t xml:space="preserve">江苏苏美达仪器设备有限公司</w:t>
      </w:r>
      <w:r>
        <w:rPr>
          <w:bCs/>
          <w:color w:val="000000"/>
          <w:szCs w:val="21"/>
        </w:rPr>
        <w:t xml:space="preserve">；采购</w:t>
      </w:r>
      <w:r>
        <w:rPr>
          <w:bCs/>
          <w:szCs w:val="21"/>
        </w:rPr>
        <w:t xml:space="preserve">人为</w:t>
      </w:r>
      <w:r>
        <w:rPr>
          <w:b/>
          <w:szCs w:val="21"/>
          <w:u w:val="single"/>
        </w:rPr>
        <w:t xml:space="preserve">南京中医药大学</w:t>
      </w:r>
      <w:r>
        <w:rPr>
          <w:bCs/>
          <w:szCs w:val="21"/>
        </w:rPr>
        <w:t xml:space="preserve">；投标</w:t>
      </w:r>
      <w:r>
        <w:rPr>
          <w:bCs/>
          <w:color w:val="000000"/>
          <w:szCs w:val="21"/>
        </w:rPr>
        <w:t xml:space="preserve">人（亦称供应商）系指参加投标竞争并满足招标文件资格要求规定的法人、其他组织或者自然人。</w:t>
      </w:r>
      <w:r/>
    </w:p>
    <w:p>
      <w:pPr>
        <w:ind w:firstLine="420"/>
        <w:spacing w:line="360" w:lineRule="auto"/>
        <w:rPr>
          <w:bCs/>
          <w:szCs w:val="21"/>
        </w:rPr>
      </w:pPr>
      <w:r>
        <w:rPr>
          <w:bCs/>
          <w:szCs w:val="21"/>
        </w:rPr>
        <w:t xml:space="preserve">2.2“货物和服务”指本文件中所述产品及相关货物和服务。</w:t>
      </w:r>
      <w:r/>
    </w:p>
    <w:p>
      <w:pPr>
        <w:ind w:firstLine="420"/>
        <w:spacing w:line="360" w:lineRule="auto"/>
        <w:rPr>
          <w:bCs/>
          <w:szCs w:val="21"/>
        </w:rPr>
      </w:pPr>
      <w:r>
        <w:rPr>
          <w:bCs/>
          <w:szCs w:val="21"/>
        </w:rPr>
        <w:t xml:space="preserve">2.3“用户或使用单位”指使用</w:t>
      </w:r>
      <w:r>
        <w:rPr>
          <w:szCs w:val="21"/>
          <w:lang w:val="zh-CN"/>
        </w:rPr>
        <w:t xml:space="preserve">货物、服务的</w:t>
      </w:r>
      <w:r>
        <w:rPr>
          <w:bCs/>
          <w:szCs w:val="21"/>
        </w:rPr>
        <w:t xml:space="preserve">单位。</w:t>
      </w:r>
      <w:r/>
    </w:p>
    <w:p>
      <w:pPr>
        <w:ind w:firstLine="422"/>
        <w:spacing w:line="360" w:lineRule="auto"/>
        <w:rPr>
          <w:bCs/>
          <w:szCs w:val="21"/>
        </w:rPr>
        <w:outlineLvl w:val="2"/>
      </w:pPr>
      <w:r/>
      <w:bookmarkStart w:id="23" w:name="_Toc16201"/>
      <w:r>
        <w:rPr>
          <w:b/>
          <w:szCs w:val="21"/>
        </w:rPr>
        <w:t xml:space="preserve">3.政策功能</w:t>
      </w:r>
      <w:bookmarkEnd w:id="23"/>
      <w:r/>
      <w:r/>
    </w:p>
    <w:p>
      <w:pPr>
        <w:ind w:firstLine="420"/>
        <w:spacing w:line="360" w:lineRule="auto"/>
        <w:rPr>
          <w:bCs/>
          <w:szCs w:val="21"/>
        </w:rPr>
      </w:pPr>
      <w:r>
        <w:rPr>
          <w:bCs/>
          <w:szCs w:val="21"/>
        </w:rPr>
        <w:t xml:space="preserve">3.1促进中小企业发展政策：</w:t>
      </w:r>
      <w:r/>
    </w:p>
    <w:p>
      <w:pPr>
        <w:ind w:firstLine="420"/>
        <w:spacing w:line="360" w:lineRule="auto"/>
        <w:rPr>
          <w:bCs/>
          <w:szCs w:val="21"/>
        </w:rPr>
      </w:pPr>
      <w:r>
        <w:rPr>
          <w:bCs/>
          <w:szCs w:val="21"/>
        </w:rPr>
        <w:t xml:space="preserve">（1）促进小微企业发展政策：根据《政府采购促进中小企业发展管理办法》规定，</w:t>
      </w:r>
      <w:r>
        <w:rPr>
          <w:rFonts w:hint="eastAsia"/>
          <w:b/>
          <w:bCs/>
          <w:color w:val="auto"/>
          <w:szCs w:val="21"/>
        </w:rPr>
        <w:t xml:space="preserve">本项目专门面向中小企业采购</w:t>
      </w:r>
      <w:r>
        <w:rPr>
          <w:bCs/>
          <w:szCs w:val="21"/>
        </w:rPr>
        <w:t xml:space="preserve">。参加投标的中小企业，应当按照《政府采购促进中小企业发展管理办法》的规定提供《中小企业声明函》（中小企业划型标准详见《关于印发中小企业划型标准规定的通知》工信部联企业〔2011〕300号）。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bCs/>
          <w:szCs w:val="21"/>
        </w:rPr>
      </w:pPr>
      <w:r>
        <w:rPr>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w:t>
      </w:r>
      <w:r/>
    </w:p>
    <w:p>
      <w:pPr>
        <w:ind w:firstLine="420"/>
        <w:spacing w:line="360" w:lineRule="auto"/>
        <w:rPr>
          <w:bCs/>
          <w:szCs w:val="21"/>
        </w:rPr>
      </w:pPr>
      <w:r>
        <w:rPr>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bCs/>
          <w:szCs w:val="21"/>
        </w:rPr>
      </w:pPr>
      <w:r>
        <w:rPr>
          <w:bCs/>
          <w:szCs w:val="21"/>
        </w:rPr>
        <w:t xml:space="preserve">3.2节能产品、环境标志产品政策</w:t>
      </w:r>
      <w:r/>
    </w:p>
    <w:p>
      <w:pPr>
        <w:ind w:firstLine="420"/>
        <w:spacing w:line="360" w:lineRule="auto"/>
        <w:rPr>
          <w:bCs/>
          <w:szCs w:val="21"/>
        </w:rPr>
      </w:pPr>
      <w:r>
        <w:rPr>
          <w:bCs/>
          <w:szCs w:val="21"/>
        </w:rPr>
        <w:t xml:space="preserve">（1）政府采购节能产品、环境标志产品实施品目清单管理。</w:t>
      </w:r>
      <w:r/>
    </w:p>
    <w:p>
      <w:pPr>
        <w:ind w:firstLine="420"/>
        <w:spacing w:line="360" w:lineRule="auto"/>
        <w:rPr>
          <w:bCs/>
          <w:szCs w:val="21"/>
        </w:rPr>
      </w:pPr>
      <w:r>
        <w:rPr>
          <w:bCs/>
          <w:szCs w:val="21"/>
        </w:rPr>
        <w:t xml:space="preserve">（2）拟采购产品属于节能产品、环境标志产品品目清单规定必须强制采购的，实行强制采购。</w:t>
      </w:r>
      <w:r/>
    </w:p>
    <w:p>
      <w:pPr>
        <w:ind w:firstLine="420"/>
        <w:spacing w:line="360" w:lineRule="auto"/>
        <w:rPr>
          <w:bCs/>
          <w:szCs w:val="21"/>
        </w:rPr>
      </w:pPr>
      <w:r>
        <w:rPr>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bCs/>
          <w:szCs w:val="21"/>
        </w:rPr>
      </w:pPr>
      <w:r>
        <w:rPr>
          <w:bCs/>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b/>
          <w:bCs/>
          <w:szCs w:val="21"/>
        </w:rPr>
      </w:pPr>
      <w:r>
        <w:rPr>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bCs/>
          <w:szCs w:val="21"/>
        </w:rPr>
      </w:pPr>
      <w:r>
        <w:rPr>
          <w:bCs/>
          <w:szCs w:val="21"/>
        </w:rPr>
        <w:t xml:space="preserve">3.4提供的产品属于信息安全产品的，供应商应当选择经国家认证的信息安全产品投标，并提供由中国网络安全审查技术与认证中心按国家标准认证颁发的有效认证证书复印件。</w:t>
      </w:r>
      <w:r/>
    </w:p>
    <w:p>
      <w:pPr>
        <w:ind w:firstLine="420"/>
        <w:spacing w:line="360" w:lineRule="auto"/>
        <w:rPr>
          <w:bCs/>
          <w:szCs w:val="21"/>
        </w:rPr>
      </w:pPr>
      <w:r>
        <w:rPr>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bCs/>
          <w:szCs w:val="21"/>
        </w:rPr>
      </w:pPr>
      <w:r>
        <w:rPr>
          <w:bCs/>
          <w:szCs w:val="21"/>
        </w:rPr>
        <w:t xml:space="preserve">3.6为推进</w:t>
      </w:r>
      <w:r>
        <w:rPr>
          <w:rFonts w:hint="eastAsia"/>
          <w:bCs/>
          <w:szCs w:val="21"/>
        </w:rPr>
        <w:t xml:space="preserve">社会信用体系建设</w:t>
      </w:r>
      <w:r>
        <w:rPr>
          <w:bCs/>
          <w:szCs w:val="21"/>
        </w:rPr>
        <w:t xml:space="preserve">，根据财政部等政策要求，在政府采购活动中查询、使用信用记录，推进政府采购领域联合惩戒工作。</w:t>
      </w:r>
      <w:r/>
    </w:p>
    <w:p>
      <w:pPr>
        <w:ind w:firstLine="420"/>
        <w:spacing w:line="360" w:lineRule="auto"/>
        <w:rPr>
          <w:bCs/>
          <w:szCs w:val="21"/>
        </w:rPr>
      </w:pPr>
      <w:r>
        <w:rPr>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360" w:lineRule="auto"/>
        <w:rPr>
          <w:szCs w:val="21"/>
          <w:lang w:val="zh-CN"/>
        </w:rPr>
      </w:pPr>
      <w:r/>
      <w:bookmarkStart w:id="24" w:name="_Toc1972"/>
      <w:r/>
      <w:bookmarkStart w:id="25" w:name="_Toc21421"/>
      <w:r>
        <w:rPr>
          <w:szCs w:val="21"/>
        </w:rPr>
        <w:t xml:space="preserve">3.7</w:t>
      </w:r>
      <w:r>
        <w:rPr>
          <w:szCs w:val="21"/>
          <w:lang w:val="zh-CN"/>
        </w:rPr>
        <w:t xml:space="preserve">采购本国产品的支持政策：</w:t>
      </w:r>
      <w:bookmarkEnd w:id="24"/>
      <w:r/>
      <w:bookmarkEnd w:id="25"/>
      <w:r/>
      <w:r/>
    </w:p>
    <w:p>
      <w:pPr>
        <w:ind w:firstLine="420"/>
        <w:spacing w:line="360" w:lineRule="auto"/>
        <w:rPr>
          <w:szCs w:val="21"/>
          <w:lang w:val="zh-CN"/>
        </w:rPr>
      </w:pPr>
      <w:r/>
      <w:bookmarkStart w:id="26" w:name="_Toc30765"/>
      <w:r/>
      <w:bookmarkStart w:id="27" w:name="_Toc6952"/>
      <w:r>
        <w:rPr>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26"/>
      <w:r/>
      <w:bookmarkEnd w:id="27"/>
      <w:r/>
      <w:r/>
    </w:p>
    <w:p>
      <w:pPr>
        <w:ind w:firstLine="420"/>
        <w:spacing w:line="360" w:lineRule="auto"/>
        <w:rPr>
          <w:szCs w:val="21"/>
          <w:lang w:val="zh-CN"/>
        </w:rPr>
      </w:pPr>
      <w:r/>
      <w:bookmarkStart w:id="28" w:name="_Toc21427"/>
      <w:r/>
      <w:bookmarkStart w:id="29" w:name="_Toc22036"/>
      <w:r>
        <w:rPr>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28"/>
      <w:r/>
      <w:bookmarkEnd w:id="29"/>
      <w:r/>
      <w:r/>
    </w:p>
    <w:p>
      <w:pPr>
        <w:ind w:firstLine="420"/>
        <w:spacing w:line="360" w:lineRule="auto"/>
        <w:rPr>
          <w:szCs w:val="21"/>
          <w:lang w:val="zh-CN"/>
        </w:rPr>
      </w:pPr>
      <w:r/>
      <w:bookmarkStart w:id="30" w:name="_Toc29291"/>
      <w:r/>
      <w:bookmarkStart w:id="31" w:name="_Toc13564"/>
      <w:r>
        <w:rPr>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30"/>
      <w:r/>
      <w:bookmarkEnd w:id="31"/>
      <w:r/>
      <w:r/>
    </w:p>
    <w:p>
      <w:pPr>
        <w:ind w:firstLine="420"/>
        <w:spacing w:line="360" w:lineRule="auto"/>
        <w:rPr>
          <w:bCs/>
          <w:szCs w:val="21"/>
        </w:rPr>
      </w:pPr>
      <w:r/>
      <w:bookmarkStart w:id="32" w:name="_Toc28481"/>
      <w:r/>
      <w:bookmarkStart w:id="33" w:name="_Toc14680"/>
      <w:r/>
      <w:bookmarkStart w:id="34" w:name="_Toc2242"/>
      <w:r/>
      <w:bookmarkStart w:id="35" w:name="_Toc14793"/>
      <w:r>
        <w:rPr>
          <w:szCs w:val="21"/>
          <w:lang w:val="zh-CN"/>
        </w:rPr>
        <w:t xml:space="preserve">具体内容详见第三章 评标标准。</w:t>
      </w:r>
      <w:bookmarkEnd w:id="32"/>
      <w:r/>
      <w:bookmarkEnd w:id="33"/>
      <w:r/>
      <w:bookmarkEnd w:id="34"/>
      <w:r/>
      <w:bookmarkEnd w:id="35"/>
      <w:r/>
      <w:r/>
    </w:p>
    <w:p>
      <w:pPr>
        <w:ind w:firstLine="422"/>
        <w:spacing w:line="360" w:lineRule="auto"/>
        <w:rPr>
          <w:b/>
          <w:szCs w:val="21"/>
          <w:lang w:val="zh-CN"/>
        </w:rPr>
        <w:outlineLvl w:val="2"/>
      </w:pPr>
      <w:r/>
      <w:bookmarkStart w:id="36" w:name="_Toc17711"/>
      <w:r/>
      <w:bookmarkStart w:id="37" w:name="_Toc5016"/>
      <w:r/>
      <w:bookmarkStart w:id="38" w:name="_Toc13991"/>
      <w:r/>
      <w:bookmarkStart w:id="39" w:name="_Toc18719"/>
      <w:r/>
      <w:bookmarkStart w:id="40" w:name="_Toc462564067"/>
      <w:r/>
      <w:bookmarkStart w:id="41" w:name="_Toc4759"/>
      <w:r/>
      <w:bookmarkStart w:id="42" w:name="_Toc20823279"/>
      <w:r/>
      <w:bookmarkStart w:id="43" w:name="_Toc513029207"/>
      <w:r/>
      <w:bookmarkStart w:id="44" w:name="_Toc16938523"/>
      <w:r/>
      <w:bookmarkStart w:id="45" w:name="_Toc27455"/>
      <w:r>
        <w:rPr>
          <w:b/>
          <w:bCs/>
          <w:color w:val="000000"/>
          <w:szCs w:val="21"/>
          <w:lang w:val="zh-CN"/>
        </w:rPr>
        <w:t xml:space="preserve">4.</w:t>
      </w:r>
      <w:r>
        <w:rPr>
          <w:b/>
          <w:szCs w:val="21"/>
          <w:lang w:val="zh-CN"/>
        </w:rPr>
        <w:t xml:space="preserve">投标费用</w:t>
      </w:r>
      <w:bookmarkEnd w:id="36"/>
      <w:r/>
      <w:bookmarkEnd w:id="37"/>
      <w:r/>
      <w:bookmarkEnd w:id="38"/>
      <w:r/>
      <w:bookmarkEnd w:id="39"/>
      <w:r/>
      <w:bookmarkEnd w:id="40"/>
      <w:r/>
      <w:bookmarkEnd w:id="41"/>
      <w:r/>
      <w:bookmarkEnd w:id="42"/>
      <w:r/>
      <w:bookmarkEnd w:id="43"/>
      <w:r/>
      <w:bookmarkEnd w:id="44"/>
      <w:r/>
      <w:r/>
    </w:p>
    <w:p>
      <w:pPr>
        <w:ind w:firstLine="420"/>
        <w:spacing w:line="360" w:lineRule="auto"/>
        <w:rPr>
          <w:szCs w:val="21"/>
        </w:rPr>
      </w:pPr>
      <w:r>
        <w:rPr>
          <w:szCs w:val="21"/>
        </w:rPr>
        <w:t xml:space="preserve">4.1 供应商应自行承担所有与参加投标有关的费用，无论采购结果如何，代理机构和采购人在任何情况下均无义务和责任承担这些费用。</w:t>
      </w:r>
      <w:r/>
    </w:p>
    <w:p>
      <w:pPr>
        <w:ind w:firstLine="422"/>
        <w:spacing w:line="360" w:lineRule="auto"/>
        <w:rPr>
          <w:b/>
          <w:szCs w:val="21"/>
          <w:lang w:val="zh-CN"/>
        </w:rPr>
        <w:outlineLvl w:val="2"/>
      </w:pPr>
      <w:r/>
      <w:bookmarkStart w:id="46" w:name="_Toc20613"/>
      <w:r/>
      <w:bookmarkStart w:id="47" w:name="_Toc8787"/>
      <w:r/>
      <w:bookmarkStart w:id="48" w:name="_Toc344"/>
      <w:r/>
      <w:bookmarkStart w:id="49" w:name="_Toc21787"/>
      <w:r>
        <w:rPr>
          <w:b/>
          <w:bCs/>
          <w:color w:val="000000"/>
          <w:szCs w:val="21"/>
          <w:lang w:val="zh-CN"/>
        </w:rPr>
        <w:t xml:space="preserve">5.</w:t>
      </w:r>
      <w:r>
        <w:rPr>
          <w:b/>
          <w:szCs w:val="21"/>
          <w:lang w:val="zh-CN"/>
        </w:rPr>
        <w:t xml:space="preserve">招标文件的约束力</w:t>
      </w:r>
      <w:bookmarkEnd w:id="46"/>
      <w:r/>
      <w:bookmarkEnd w:id="47"/>
      <w:r/>
      <w:bookmarkEnd w:id="48"/>
      <w:r/>
      <w:bookmarkEnd w:id="49"/>
      <w:r/>
      <w:r/>
    </w:p>
    <w:p>
      <w:pPr>
        <w:ind w:firstLine="420"/>
        <w:spacing w:line="360" w:lineRule="auto"/>
        <w:rPr>
          <w:color w:val="000000"/>
          <w:szCs w:val="21"/>
        </w:rPr>
      </w:pPr>
      <w:r>
        <w:rPr>
          <w:color w:val="000000"/>
          <w:szCs w:val="21"/>
        </w:rPr>
        <w:t xml:space="preserve">5.1 供应商一旦参加本项目采购活动，即被认为接受了本招标文件的规定和约束。</w:t>
      </w:r>
      <w:r/>
    </w:p>
    <w:p>
      <w:pPr>
        <w:ind w:firstLine="422"/>
        <w:spacing w:line="360" w:lineRule="auto"/>
        <w:widowControl/>
        <w:rPr>
          <w:b/>
          <w:bCs/>
          <w:color w:val="000000"/>
          <w:szCs w:val="21"/>
        </w:rPr>
        <w:outlineLvl w:val="1"/>
      </w:pPr>
      <w:r/>
      <w:bookmarkStart w:id="50" w:name="_Toc120614215"/>
      <w:r/>
      <w:bookmarkStart w:id="51" w:name="_Toc1378"/>
      <w:r/>
      <w:bookmarkStart w:id="52" w:name="_Toc16938525"/>
      <w:r/>
      <w:bookmarkStart w:id="53" w:name="_Toc513029209"/>
      <w:r/>
      <w:bookmarkStart w:id="54" w:name="_Toc20823281"/>
      <w:r/>
      <w:bookmarkStart w:id="55" w:name="_Toc15606"/>
      <w:r/>
      <w:bookmarkStart w:id="56" w:name="_Toc15035"/>
      <w:r/>
      <w:bookmarkStart w:id="57" w:name="_Toc21538"/>
      <w:r>
        <w:rPr>
          <w:b/>
          <w:bCs/>
          <w:color w:val="000000"/>
          <w:szCs w:val="21"/>
        </w:rPr>
        <w:t xml:space="preserve">二、招标文件</w:t>
      </w:r>
      <w:bookmarkEnd w:id="50"/>
      <w:r/>
      <w:bookmarkEnd w:id="51"/>
      <w:r/>
      <w:bookmarkEnd w:id="52"/>
      <w:r/>
      <w:bookmarkEnd w:id="53"/>
      <w:r/>
      <w:bookmarkEnd w:id="54"/>
      <w:r/>
      <w:bookmarkEnd w:id="55"/>
      <w:r/>
      <w:bookmarkEnd w:id="56"/>
      <w:r/>
      <w:bookmarkEnd w:id="57"/>
      <w:r/>
      <w:r/>
    </w:p>
    <w:p>
      <w:pPr>
        <w:ind w:firstLine="422"/>
        <w:spacing w:line="360" w:lineRule="auto"/>
        <w:rPr>
          <w:b/>
          <w:szCs w:val="21"/>
          <w:lang w:val="zh-CN"/>
        </w:rPr>
        <w:outlineLvl w:val="2"/>
      </w:pPr>
      <w:r/>
      <w:bookmarkStart w:id="58" w:name="_Toc20823282"/>
      <w:r/>
      <w:bookmarkStart w:id="59" w:name="_Toc16938526"/>
      <w:r/>
      <w:bookmarkStart w:id="60" w:name="_Toc31631"/>
      <w:r/>
      <w:bookmarkStart w:id="61" w:name="_Toc16742"/>
      <w:r/>
      <w:bookmarkStart w:id="62" w:name="_Toc513029210"/>
      <w:r/>
      <w:bookmarkStart w:id="63" w:name="_Toc16370"/>
      <w:r/>
      <w:bookmarkStart w:id="64" w:name="_Toc17869"/>
      <w:r>
        <w:rPr>
          <w:b/>
          <w:bCs/>
          <w:color w:val="000000"/>
          <w:szCs w:val="21"/>
          <w:lang w:val="zh-CN"/>
        </w:rPr>
        <w:t xml:space="preserve">6.</w:t>
      </w:r>
      <w:r>
        <w:rPr>
          <w:b/>
          <w:szCs w:val="21"/>
          <w:lang w:val="zh-CN"/>
        </w:rPr>
        <w:t xml:space="preserve">招标文件构成</w:t>
      </w:r>
      <w:bookmarkEnd w:id="58"/>
      <w:r/>
      <w:bookmarkEnd w:id="59"/>
      <w:r/>
      <w:bookmarkEnd w:id="60"/>
      <w:r/>
      <w:bookmarkEnd w:id="61"/>
      <w:r/>
      <w:bookmarkEnd w:id="62"/>
      <w:r/>
      <w:bookmarkEnd w:id="63"/>
      <w:r/>
      <w:bookmarkEnd w:id="64"/>
      <w:r/>
      <w:r/>
    </w:p>
    <w:p>
      <w:pPr>
        <w:ind w:firstLine="420"/>
        <w:spacing w:line="360" w:lineRule="auto"/>
        <w:rPr>
          <w:color w:val="000000"/>
          <w:szCs w:val="21"/>
        </w:rPr>
      </w:pPr>
      <w:r>
        <w:rPr>
          <w:color w:val="000000"/>
          <w:szCs w:val="21"/>
        </w:rPr>
        <w:t xml:space="preserve">6.1 招标文件由以下部分组成：</w:t>
      </w:r>
      <w:r/>
    </w:p>
    <w:p>
      <w:pPr>
        <w:ind w:firstLine="420"/>
        <w:spacing w:line="360" w:lineRule="auto"/>
        <w:rPr>
          <w:color w:val="000000"/>
          <w:szCs w:val="21"/>
        </w:rPr>
      </w:pPr>
      <w:r>
        <w:rPr>
          <w:color w:val="000000"/>
          <w:szCs w:val="21"/>
        </w:rPr>
        <w:t xml:space="preserve">第一章  招标公告</w:t>
      </w:r>
      <w:r/>
    </w:p>
    <w:p>
      <w:pPr>
        <w:ind w:firstLine="420"/>
        <w:spacing w:line="360" w:lineRule="auto"/>
        <w:rPr>
          <w:color w:val="000000"/>
          <w:szCs w:val="21"/>
        </w:rPr>
      </w:pPr>
      <w:r>
        <w:rPr>
          <w:color w:val="000000"/>
          <w:szCs w:val="21"/>
        </w:rPr>
        <w:t xml:space="preserve">第二章  投标人须知</w:t>
      </w:r>
      <w:r/>
    </w:p>
    <w:p>
      <w:pPr>
        <w:ind w:firstLine="420"/>
        <w:spacing w:line="360" w:lineRule="auto"/>
        <w:rPr>
          <w:color w:val="000000"/>
          <w:szCs w:val="21"/>
        </w:rPr>
      </w:pPr>
      <w:r>
        <w:rPr>
          <w:color w:val="000000"/>
          <w:szCs w:val="21"/>
        </w:rPr>
        <w:t xml:space="preserve">第三章  评标标准</w:t>
      </w:r>
      <w:r/>
    </w:p>
    <w:p>
      <w:pPr>
        <w:ind w:firstLine="420"/>
        <w:spacing w:line="360" w:lineRule="auto"/>
        <w:rPr>
          <w:color w:val="000000"/>
          <w:szCs w:val="21"/>
        </w:rPr>
      </w:pPr>
      <w:r>
        <w:rPr>
          <w:color w:val="000000"/>
          <w:szCs w:val="21"/>
        </w:rPr>
        <w:t xml:space="preserve">第四章  招标技术规格及要求</w:t>
      </w:r>
      <w:r/>
    </w:p>
    <w:p>
      <w:pPr>
        <w:ind w:firstLine="420"/>
        <w:spacing w:line="360" w:lineRule="auto"/>
        <w:rPr>
          <w:color w:val="000000"/>
          <w:szCs w:val="21"/>
        </w:rPr>
      </w:pPr>
      <w:r>
        <w:rPr>
          <w:color w:val="000000"/>
          <w:szCs w:val="21"/>
        </w:rPr>
        <w:t xml:space="preserve">第五章  拟签订的合同文本</w:t>
      </w:r>
      <w:r/>
    </w:p>
    <w:p>
      <w:pPr>
        <w:ind w:firstLine="420"/>
        <w:spacing w:line="360" w:lineRule="auto"/>
        <w:rPr>
          <w:color w:val="000000"/>
          <w:szCs w:val="21"/>
        </w:rPr>
      </w:pPr>
      <w:r>
        <w:rPr>
          <w:color w:val="000000"/>
          <w:szCs w:val="21"/>
        </w:rPr>
        <w:t xml:space="preserve">第六章  投标文件格式及附件</w:t>
      </w:r>
      <w:r/>
    </w:p>
    <w:p>
      <w:pPr>
        <w:ind w:firstLine="420"/>
        <w:spacing w:line="360" w:lineRule="auto"/>
        <w:rPr>
          <w:color w:val="000000"/>
          <w:szCs w:val="21"/>
        </w:rPr>
      </w:pPr>
      <w:r>
        <w:rPr>
          <w:color w:val="000000"/>
          <w:szCs w:val="21"/>
        </w:rPr>
        <w:t xml:space="preserve">6.2</w:t>
      </w:r>
      <w:r>
        <w:rPr>
          <w:b/>
          <w:bCs/>
          <w:color w:val="000000"/>
          <w:szCs w:val="21"/>
        </w:rPr>
        <w:t xml:space="preserve">招标的最小单位是分包。招标技术规格及要求中未分包的，供应商对要求提供的服务不得部分投标；招标技术规格及要求中已经分包的，以分包为单位投标</w:t>
      </w:r>
      <w:r>
        <w:rPr>
          <w:color w:val="000000"/>
          <w:szCs w:val="21"/>
        </w:rPr>
        <w:t xml:space="preserve">。</w:t>
      </w:r>
      <w:r/>
    </w:p>
    <w:p>
      <w:pPr>
        <w:ind w:firstLine="420"/>
        <w:spacing w:line="360" w:lineRule="auto"/>
        <w:rPr>
          <w:color w:val="000000"/>
          <w:szCs w:val="21"/>
        </w:rPr>
      </w:pPr>
      <w:r>
        <w:rPr>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color w:val="000000"/>
          <w:szCs w:val="21"/>
        </w:rPr>
      </w:pPr>
      <w:r>
        <w:rPr>
          <w:color w:val="000000"/>
          <w:szCs w:val="21"/>
        </w:rPr>
        <w:t xml:space="preserve">6.4供应商被视为充分熟悉本招标项目的各种情况以及与履行合同有关的一切其他情况。</w:t>
      </w:r>
      <w:r/>
    </w:p>
    <w:p>
      <w:pPr>
        <w:pStyle w:val="1142"/>
        <w:ind w:left="0" w:firstLine="422"/>
        <w:jc w:val="both"/>
        <w:spacing w:line="360" w:lineRule="auto"/>
        <w:rPr>
          <w:rFonts w:ascii="Times New Roman" w:eastAsia="宋体"/>
          <w:b/>
          <w:bCs/>
          <w:color w:val="000000"/>
          <w:sz w:val="21"/>
          <w:szCs w:val="21"/>
        </w:rPr>
      </w:pPr>
      <w:r/>
      <w:bookmarkStart w:id="65" w:name="_Toc15040"/>
      <w:r/>
      <w:bookmarkStart w:id="66" w:name="_Toc23412"/>
      <w:r/>
      <w:bookmarkStart w:id="67" w:name="_Toc14415"/>
      <w:r/>
      <w:bookmarkStart w:id="68" w:name="_Toc26364"/>
      <w:r>
        <w:rPr>
          <w:rFonts w:ascii="Times New Roman" w:eastAsia="宋体"/>
          <w:b/>
          <w:bCs/>
          <w:color w:val="000000"/>
          <w:sz w:val="21"/>
          <w:szCs w:val="21"/>
        </w:rPr>
        <w:t xml:space="preserve">7.招标文件的澄清、补充或修改</w:t>
      </w:r>
      <w:bookmarkEnd w:id="65"/>
      <w:r/>
      <w:bookmarkEnd w:id="66"/>
      <w:r/>
      <w:bookmarkEnd w:id="67"/>
      <w:r/>
      <w:bookmarkEnd w:id="68"/>
      <w:r/>
      <w:r/>
    </w:p>
    <w:p>
      <w:pPr>
        <w:ind w:firstLine="420"/>
        <w:spacing w:line="360" w:lineRule="auto"/>
        <w:rPr>
          <w:szCs w:val="21"/>
        </w:rPr>
      </w:pPr>
      <w:r/>
      <w:bookmarkStart w:id="69" w:name="_Toc29128"/>
      <w:r>
        <w:rPr>
          <w:color w:val="000000"/>
          <w:szCs w:val="21"/>
        </w:rPr>
        <w:t xml:space="preserve">7.1</w:t>
      </w:r>
      <w:r>
        <w:rPr>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20"/>
        <w:spacing w:line="360" w:lineRule="auto"/>
        <w:rPr>
          <w:szCs w:val="21"/>
        </w:rPr>
      </w:pPr>
      <w:r>
        <w:rPr>
          <w:color w:val="000000"/>
          <w:szCs w:val="21"/>
        </w:rPr>
        <w:t xml:space="preserve">7.2 </w:t>
      </w:r>
      <w:r>
        <w:rPr>
          <w:szCs w:val="21"/>
        </w:rPr>
        <w:t xml:space="preserve">采购代理机构可对已发出的招标文件用更正公告的方式进行必要的澄清或者修改，并以书面形式通知所有获取文件的供应商。</w:t>
      </w:r>
      <w:r/>
    </w:p>
    <w:p>
      <w:pPr>
        <w:ind w:firstLine="420"/>
        <w:spacing w:line="360" w:lineRule="auto"/>
        <w:rPr>
          <w:szCs w:val="21"/>
        </w:rPr>
      </w:pPr>
      <w:r>
        <w:rPr>
          <w:color w:val="000000"/>
          <w:szCs w:val="21"/>
        </w:rPr>
        <w:t xml:space="preserve">7.3 </w:t>
      </w:r>
      <w:r>
        <w:rPr>
          <w:szCs w:val="21"/>
        </w:rPr>
        <w:t xml:space="preserve">采购代理机构发出的以上</w:t>
      </w:r>
      <w:r>
        <w:rPr>
          <w:bCs/>
          <w:szCs w:val="21"/>
        </w:rPr>
        <w:t xml:space="preserve">澄清或修改的内容</w:t>
      </w:r>
      <w:r>
        <w:rPr>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20"/>
        <w:spacing w:line="360" w:lineRule="auto"/>
        <w:rPr>
          <w:bCs/>
          <w:szCs w:val="21"/>
        </w:rPr>
      </w:pPr>
      <w:r>
        <w:rPr>
          <w:bCs/>
          <w:szCs w:val="21"/>
        </w:rPr>
        <w:t xml:space="preserve">7.4 当招标文件与以上澄清或修改公告的内容相互矛盾时，以采购代理机构最后发出的澄清或修改为准。 </w:t>
      </w:r>
      <w:r/>
    </w:p>
    <w:p>
      <w:pPr>
        <w:ind w:firstLine="420"/>
        <w:spacing w:line="360" w:lineRule="auto"/>
        <w:rPr>
          <w:szCs w:val="21"/>
        </w:rPr>
      </w:pPr>
      <w:r>
        <w:rPr>
          <w:color w:val="000000"/>
          <w:szCs w:val="21"/>
        </w:rPr>
        <w:t xml:space="preserve">7.5</w:t>
      </w:r>
      <w:r>
        <w:rPr>
          <w:bCs/>
          <w:szCs w:val="21"/>
        </w:rPr>
        <w:t xml:space="preserve">为使供应商有足够的时间按招标文件的澄清或修改要求修正投标文件，</w:t>
      </w:r>
      <w:r>
        <w:rPr>
          <w:szCs w:val="21"/>
        </w:rPr>
        <w:t xml:space="preserve">采购代理机构有权决定推迟投标截止时间和开标时间，并按7.2条规定的方式通知供应商。</w:t>
      </w:r>
      <w:r/>
    </w:p>
    <w:p>
      <w:pPr>
        <w:ind w:firstLine="422"/>
        <w:spacing w:line="360" w:lineRule="auto"/>
        <w:shd w:val="clear" w:color="auto" w:fill="ffffff"/>
        <w:widowControl/>
        <w:rPr>
          <w:b/>
          <w:bCs/>
          <w:szCs w:val="21"/>
        </w:rPr>
        <w:outlineLvl w:val="1"/>
      </w:pPr>
      <w:r/>
      <w:bookmarkStart w:id="70" w:name="_Toc27113"/>
      <w:r/>
      <w:bookmarkStart w:id="71" w:name="_Toc26883"/>
      <w:r/>
      <w:bookmarkStart w:id="72" w:name="_Toc6542"/>
      <w:r>
        <w:rPr>
          <w:b/>
          <w:bCs/>
          <w:szCs w:val="21"/>
        </w:rPr>
        <w:t xml:space="preserve">三、投标文件的编制</w:t>
      </w:r>
      <w:bookmarkEnd w:id="69"/>
      <w:r/>
      <w:bookmarkEnd w:id="70"/>
      <w:r/>
      <w:bookmarkEnd w:id="71"/>
      <w:r/>
      <w:bookmarkEnd w:id="72"/>
      <w:r/>
      <w:r/>
    </w:p>
    <w:p>
      <w:pPr>
        <w:pStyle w:val="1142"/>
        <w:ind w:left="0" w:firstLine="422"/>
        <w:jc w:val="both"/>
        <w:spacing w:line="360" w:lineRule="auto"/>
        <w:rPr>
          <w:rFonts w:ascii="Times New Roman" w:eastAsia="宋体"/>
          <w:b/>
          <w:bCs/>
          <w:sz w:val="21"/>
          <w:szCs w:val="21"/>
        </w:rPr>
      </w:pPr>
      <w:r/>
      <w:bookmarkStart w:id="73" w:name="_Toc28127"/>
      <w:r/>
      <w:bookmarkStart w:id="74" w:name="_Toc25114"/>
      <w:r/>
      <w:bookmarkStart w:id="75" w:name="_Toc17513"/>
      <w:r/>
      <w:bookmarkStart w:id="76" w:name="_Toc18221"/>
      <w:r>
        <w:rPr>
          <w:rFonts w:ascii="Times New Roman" w:eastAsia="宋体"/>
          <w:b/>
          <w:bCs/>
          <w:sz w:val="21"/>
          <w:szCs w:val="21"/>
        </w:rPr>
        <w:t xml:space="preserve">8.</w:t>
      </w:r>
      <w:bookmarkEnd w:id="73"/>
      <w:r>
        <w:rPr>
          <w:rFonts w:ascii="Times New Roman" w:eastAsia="宋体"/>
          <w:b/>
          <w:bCs/>
          <w:sz w:val="21"/>
          <w:szCs w:val="21"/>
        </w:rPr>
        <w:t xml:space="preserve">投标文件的语言、计量单位、货币</w:t>
      </w:r>
      <w:bookmarkEnd w:id="74"/>
      <w:r/>
      <w:bookmarkEnd w:id="75"/>
      <w:r/>
      <w:bookmarkEnd w:id="76"/>
      <w:r/>
      <w:r/>
    </w:p>
    <w:p>
      <w:pPr>
        <w:ind w:firstLine="420"/>
        <w:spacing w:line="360" w:lineRule="auto"/>
        <w:shd w:val="clear" w:color="auto" w:fill="ffffff"/>
        <w:widowControl/>
        <w:rPr>
          <w:color w:val="000000"/>
          <w:szCs w:val="21"/>
        </w:rPr>
      </w:pPr>
      <w:r>
        <w:rPr>
          <w:szCs w:val="21"/>
        </w:rPr>
        <w:t xml:space="preserve">8.1 供应商提交的投标文件（包括技术文件和资料、图纸中的说明）以及</w:t>
      </w:r>
      <w:r>
        <w:rPr>
          <w:color w:val="000000"/>
          <w:szCs w:val="21"/>
        </w:rPr>
        <w:t xml:space="preserve">供应商与采购代理机构之间</w:t>
      </w:r>
      <w:r>
        <w:rPr>
          <w:szCs w:val="21"/>
        </w:rPr>
        <w:t xml:space="preserve">就有关投标的所有来往函电均应</w:t>
      </w:r>
      <w:r>
        <w:rPr>
          <w:color w:val="000000"/>
          <w:szCs w:val="21"/>
        </w:rPr>
        <w:t xml:space="preserve">以简体中文书写。</w:t>
      </w:r>
      <w:r/>
    </w:p>
    <w:p>
      <w:pPr>
        <w:ind w:firstLine="420"/>
        <w:spacing w:line="360" w:lineRule="auto"/>
        <w:shd w:val="clear" w:color="auto" w:fill="ffffff"/>
        <w:widowControl/>
        <w:rPr>
          <w:color w:val="000000"/>
          <w:szCs w:val="21"/>
        </w:rPr>
      </w:pPr>
      <w:r>
        <w:rPr>
          <w:color w:val="000000"/>
          <w:szCs w:val="21"/>
        </w:rPr>
        <w:t xml:space="preserve">8.2供应商已印刷好的资料如产品样本、说明书等可以用其他语言，但其中要点应附有中文译文。对不同文本投标文件的解释发生异议的，以中文翻译文本为准。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szCs w:val="21"/>
        </w:rPr>
      </w:pPr>
      <w:r/>
      <w:bookmarkStart w:id="77" w:name="_Toc19298"/>
      <w:r>
        <w:rPr>
          <w:szCs w:val="21"/>
        </w:rPr>
        <w:t xml:space="preserve">8.3 除招标文件中有特殊要求外，招标文件中所使用的计量单位应为国家法定计量单位。</w:t>
      </w:r>
      <w:r/>
    </w:p>
    <w:p>
      <w:pPr>
        <w:ind w:firstLine="420"/>
        <w:spacing w:line="360" w:lineRule="auto"/>
        <w:shd w:val="clear" w:color="auto" w:fill="ffffff"/>
        <w:widowControl/>
        <w:rPr>
          <w:szCs w:val="21"/>
        </w:rPr>
      </w:pPr>
      <w:r>
        <w:rPr>
          <w:szCs w:val="21"/>
        </w:rPr>
        <w:t xml:space="preserve">8.4 本招标文件所表述的时间均为北京时间。</w:t>
      </w:r>
      <w:r/>
    </w:p>
    <w:p>
      <w:pPr>
        <w:ind w:firstLine="420"/>
        <w:spacing w:line="360" w:lineRule="auto"/>
        <w:shd w:val="clear" w:color="auto" w:fill="ffffff"/>
        <w:widowControl/>
        <w:rPr>
          <w:color w:val="000000"/>
          <w:szCs w:val="21"/>
        </w:rPr>
      </w:pPr>
      <w:r>
        <w:rPr>
          <w:szCs w:val="21"/>
        </w:rPr>
        <w:t xml:space="preserve">8.5 </w:t>
      </w:r>
      <w:r>
        <w:rPr>
          <w:b/>
          <w:bCs/>
          <w:szCs w:val="21"/>
        </w:rPr>
        <w:t xml:space="preserve">所有投标响应报价具体详见投标人须知前附表。</w:t>
      </w:r>
      <w:r/>
    </w:p>
    <w:p>
      <w:pPr>
        <w:ind w:firstLine="422"/>
        <w:spacing w:line="360" w:lineRule="auto"/>
        <w:rPr>
          <w:b/>
          <w:szCs w:val="21"/>
          <w:lang w:val="zh-CN"/>
        </w:rPr>
        <w:outlineLvl w:val="2"/>
      </w:pPr>
      <w:r/>
      <w:bookmarkStart w:id="78" w:name="_Toc8836"/>
      <w:r/>
      <w:bookmarkStart w:id="79" w:name="_Toc31000"/>
      <w:r/>
      <w:bookmarkStart w:id="80" w:name="_Toc30894"/>
      <w:r/>
      <w:bookmarkStart w:id="81" w:name="_Toc5950"/>
      <w:r>
        <w:rPr>
          <w:b/>
          <w:bCs/>
          <w:color w:val="000000"/>
          <w:szCs w:val="21"/>
        </w:rPr>
        <w:t xml:space="preserve">9.</w:t>
      </w:r>
      <w:r>
        <w:rPr>
          <w:b/>
          <w:szCs w:val="21"/>
          <w:lang w:val="zh-CN"/>
        </w:rPr>
        <w:t xml:space="preserve">联合体（</w:t>
      </w:r>
      <w:r>
        <w:rPr>
          <w:b/>
          <w:bCs/>
          <w:szCs w:val="21"/>
        </w:rPr>
        <w:t xml:space="preserve">本项目接受联合体投标</w:t>
      </w:r>
      <w:r>
        <w:rPr>
          <w:b/>
          <w:szCs w:val="21"/>
          <w:lang w:val="zh-CN"/>
        </w:rPr>
        <w:t xml:space="preserve">）</w:t>
      </w:r>
      <w:bookmarkEnd w:id="78"/>
      <w:r/>
      <w:bookmarkEnd w:id="79"/>
      <w:r/>
      <w:bookmarkEnd w:id="80"/>
      <w:r/>
      <w:bookmarkEnd w:id="81"/>
      <w:r/>
      <w:r/>
    </w:p>
    <w:p>
      <w:pPr>
        <w:ind w:firstLine="420"/>
        <w:spacing w:line="360" w:lineRule="auto"/>
        <w:rPr>
          <w:color w:val="000000"/>
          <w:szCs w:val="21"/>
        </w:rPr>
      </w:pPr>
      <w:r>
        <w:rPr>
          <w:szCs w:val="21"/>
        </w:rPr>
        <w:t xml:space="preserve">9.1</w:t>
      </w:r>
      <w:r>
        <w:rPr>
          <w:color w:val="000000"/>
          <w:szCs w:val="21"/>
        </w:rPr>
        <w:t xml:space="preserve">两个以上的自然人、法人或者其他组织可以组成一个联合体，以一个供应商的身份共同参加政府采购。</w:t>
      </w:r>
      <w:r/>
    </w:p>
    <w:p>
      <w:pPr>
        <w:ind w:firstLine="420"/>
        <w:spacing w:line="360" w:lineRule="auto"/>
        <w:rPr>
          <w:color w:val="000000"/>
          <w:szCs w:val="21"/>
        </w:rPr>
      </w:pPr>
      <w:r>
        <w:rPr>
          <w:szCs w:val="21"/>
        </w:rPr>
        <w:t xml:space="preserve">9.2</w:t>
      </w:r>
      <w:r>
        <w:rPr>
          <w:color w:val="000000"/>
          <w:szCs w:val="21"/>
        </w:rPr>
        <w:t xml:space="preserve">鼓励大中型企业和其他自然人、法人或者其他组织与小型、微型企业组成联合体共同参加非专门面向中小企业的政府采购活动。</w:t>
      </w:r>
      <w:r/>
    </w:p>
    <w:p>
      <w:pPr>
        <w:ind w:firstLine="420"/>
        <w:spacing w:line="360" w:lineRule="auto"/>
        <w:rPr>
          <w:szCs w:val="21"/>
        </w:rPr>
      </w:pPr>
      <w:r>
        <w:rPr>
          <w:szCs w:val="21"/>
        </w:rPr>
        <w:t xml:space="preserve">9.3</w:t>
      </w:r>
      <w:r>
        <w:rPr>
          <w:szCs w:val="21"/>
        </w:rPr>
        <w:t xml:space="preserve">以联合体形式参加采购的，</w:t>
      </w:r>
      <w:r>
        <w:rPr>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szCs w:val="21"/>
        </w:rPr>
        <w:t xml:space="preserve">。由同一专业的供应商组成的联合体，</w:t>
      </w:r>
      <w:r>
        <w:rPr>
          <w:color w:val="000000"/>
          <w:szCs w:val="21"/>
        </w:rPr>
        <w:t xml:space="preserve">联合体中有同类资质的供应商按照联合体分工承担相同工作的，按照资质等级较低的供应商确定资质等级，并</w:t>
      </w:r>
      <w:r>
        <w:rPr>
          <w:szCs w:val="21"/>
        </w:rPr>
        <w:t xml:space="preserve">以响应全权代表方的应答材料作为商务评审的依据</w:t>
      </w:r>
      <w:r>
        <w:rPr>
          <w:color w:val="000000"/>
          <w:szCs w:val="21"/>
        </w:rPr>
        <w:t xml:space="preserve">。</w:t>
      </w:r>
      <w:r>
        <w:rPr>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szCs w:val="21"/>
        </w:rPr>
      </w:pPr>
      <w:r>
        <w:rPr>
          <w:szCs w:val="21"/>
        </w:rPr>
        <w:t xml:space="preserve">9.4 </w:t>
      </w:r>
      <w:r>
        <w:rPr>
          <w:szCs w:val="21"/>
        </w:rPr>
        <w:t xml:space="preserve">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szCs w:val="21"/>
        </w:rPr>
      </w:pPr>
      <w:r>
        <w:rPr>
          <w:szCs w:val="21"/>
        </w:rPr>
        <w:t xml:space="preserve">9.5 </w:t>
      </w:r>
      <w:r>
        <w:rPr>
          <w:szCs w:val="21"/>
        </w:rPr>
        <w:t xml:space="preserve">以联合体形式参加政府采购活动的，联合体各方不得再单独参加或者与其他供应商另外组成联合体参加同一合同项下的政府采购活动。</w:t>
      </w:r>
      <w:bookmarkEnd w:id="77"/>
      <w:r/>
      <w:r/>
    </w:p>
    <w:p>
      <w:pPr>
        <w:pStyle w:val="1142"/>
        <w:ind w:left="0" w:firstLine="422"/>
        <w:jc w:val="both"/>
        <w:spacing w:line="360" w:lineRule="auto"/>
        <w:rPr>
          <w:rFonts w:ascii="Times New Roman" w:eastAsia="宋体"/>
          <w:color w:val="000000"/>
          <w:sz w:val="21"/>
          <w:szCs w:val="21"/>
        </w:rPr>
      </w:pPr>
      <w:r/>
      <w:bookmarkStart w:id="82" w:name="_Toc22790"/>
      <w:r/>
      <w:bookmarkStart w:id="83" w:name="_Toc24940"/>
      <w:r/>
      <w:bookmarkStart w:id="84" w:name="_Toc23063"/>
      <w:r/>
      <w:bookmarkStart w:id="85" w:name="_Toc27456"/>
      <w:r>
        <w:rPr>
          <w:rFonts w:ascii="Times New Roman" w:eastAsia="宋体"/>
          <w:b/>
          <w:bCs/>
          <w:color w:val="000000"/>
          <w:sz w:val="21"/>
          <w:szCs w:val="21"/>
        </w:rPr>
        <w:t xml:space="preserve">10.投标文件的</w:t>
      </w:r>
      <w:bookmarkEnd w:id="82"/>
      <w:r>
        <w:rPr>
          <w:rFonts w:ascii="Times New Roman" w:eastAsia="宋体"/>
          <w:b/>
          <w:bCs/>
          <w:color w:val="000000"/>
          <w:sz w:val="21"/>
          <w:szCs w:val="21"/>
        </w:rPr>
        <w:t xml:space="preserve">组成</w:t>
      </w:r>
      <w:bookmarkEnd w:id="83"/>
      <w:r/>
      <w:bookmarkEnd w:id="84"/>
      <w:r/>
      <w:bookmarkEnd w:id="85"/>
      <w:r/>
      <w:r/>
    </w:p>
    <w:p>
      <w:pPr>
        <w:ind w:firstLine="420"/>
        <w:spacing w:line="360" w:lineRule="auto"/>
        <w:shd w:val="clear" w:color="auto" w:fill="ffffff"/>
        <w:widowControl/>
        <w:rPr>
          <w:szCs w:val="21"/>
        </w:rPr>
      </w:pPr>
      <w:r>
        <w:rPr>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spacing w:line="360" w:lineRule="auto"/>
        <w:shd w:val="clear" w:color="auto" w:fill="ffffff"/>
        <w:widowControl/>
        <w:rPr>
          <w:szCs w:val="21"/>
        </w:rPr>
      </w:pPr>
      <w:r>
        <w:rPr>
          <w:szCs w:val="21"/>
        </w:rPr>
        <w:t xml:space="preserve">10.2 投标文件由商务、技术、价格及其他部分组成，应包括但不限于下列文件，其中加※项目不得有缺失或无效：</w:t>
      </w:r>
      <w:r/>
    </w:p>
    <w:p>
      <w:pPr>
        <w:ind w:firstLine="420"/>
        <w:spacing w:line="360" w:lineRule="auto"/>
        <w:shd w:val="clear" w:color="auto" w:fill="ffffff"/>
        <w:widowControl/>
        <w:rPr>
          <w:szCs w:val="21"/>
        </w:rPr>
      </w:pPr>
      <w:r>
        <w:rPr>
          <w:szCs w:val="21"/>
        </w:rPr>
        <w:t xml:space="preserve">（1）※ 投标函（投标申请及声明）</w:t>
      </w:r>
      <w:r/>
    </w:p>
    <w:p>
      <w:pPr>
        <w:ind w:firstLine="420"/>
        <w:spacing w:line="360" w:lineRule="auto"/>
        <w:shd w:val="clear" w:color="auto" w:fill="ffffff"/>
        <w:widowControl/>
        <w:rPr>
          <w:szCs w:val="21"/>
        </w:rPr>
      </w:pPr>
      <w:r>
        <w:rPr>
          <w:szCs w:val="21"/>
        </w:rPr>
        <w:t xml:space="preserve">（2）※开标一览表 </w:t>
      </w:r>
      <w:r/>
    </w:p>
    <w:p>
      <w:pPr>
        <w:ind w:firstLine="420"/>
        <w:spacing w:line="360" w:lineRule="auto"/>
        <w:shd w:val="clear" w:color="auto" w:fill="ffffff"/>
        <w:widowControl/>
        <w:rPr>
          <w:szCs w:val="21"/>
        </w:rPr>
      </w:pPr>
      <w:r>
        <w:rPr>
          <w:szCs w:val="21"/>
        </w:rPr>
        <w:t xml:space="preserve">（3）分项报价表</w:t>
      </w:r>
      <w:r/>
    </w:p>
    <w:p>
      <w:pPr>
        <w:ind w:firstLine="420"/>
        <w:spacing w:line="360" w:lineRule="auto"/>
        <w:shd w:val="clear" w:color="auto" w:fill="ffffff"/>
        <w:widowControl/>
        <w:rPr>
          <w:szCs w:val="21"/>
        </w:rPr>
      </w:pPr>
      <w:r>
        <w:rPr>
          <w:szCs w:val="21"/>
        </w:rPr>
        <w:t xml:space="preserve">（4）《商务条款偏离表》</w:t>
      </w:r>
      <w:r/>
    </w:p>
    <w:p>
      <w:pPr>
        <w:ind w:firstLine="420"/>
        <w:spacing w:line="360" w:lineRule="auto"/>
        <w:shd w:val="clear" w:color="auto" w:fill="ffffff"/>
        <w:widowControl/>
        <w:rPr>
          <w:szCs w:val="21"/>
        </w:rPr>
      </w:pPr>
      <w:r>
        <w:rPr>
          <w:szCs w:val="21"/>
        </w:rPr>
        <w:t xml:space="preserve">（5）※《技术条款偏离表》</w:t>
      </w:r>
      <w:r/>
    </w:p>
    <w:p>
      <w:pPr>
        <w:ind w:firstLine="420"/>
        <w:spacing w:line="360" w:lineRule="auto"/>
        <w:shd w:val="clear" w:color="auto" w:fill="ffffff"/>
        <w:widowControl/>
        <w:rPr>
          <w:szCs w:val="21"/>
        </w:rPr>
      </w:pPr>
      <w:r>
        <w:rPr>
          <w:szCs w:val="21"/>
        </w:rPr>
        <w:t xml:space="preserve">（6）政府采购政策</w:t>
      </w:r>
      <w:r/>
    </w:p>
    <w:p>
      <w:pPr>
        <w:ind w:firstLine="420"/>
        <w:spacing w:line="360" w:lineRule="auto"/>
        <w:shd w:val="clear" w:color="auto" w:fill="ffffff"/>
        <w:widowControl/>
        <w:rPr>
          <w:szCs w:val="21"/>
        </w:rPr>
      </w:pPr>
      <w:r>
        <w:rPr>
          <w:szCs w:val="21"/>
        </w:rPr>
        <w:t xml:space="preserve">（7）供应商基本情况表</w:t>
      </w:r>
      <w:r/>
    </w:p>
    <w:p>
      <w:pPr>
        <w:ind w:firstLine="420"/>
        <w:spacing w:line="360" w:lineRule="auto"/>
        <w:shd w:val="clear" w:color="auto" w:fill="ffffff"/>
        <w:widowControl/>
        <w:rPr>
          <w:szCs w:val="21"/>
        </w:rPr>
      </w:pPr>
      <w:r>
        <w:rPr>
          <w:szCs w:val="21"/>
        </w:rPr>
        <w:t xml:space="preserve">（8）※资格证明文件</w:t>
      </w:r>
      <w:r/>
    </w:p>
    <w:p>
      <w:pPr>
        <w:ind w:firstLine="420"/>
        <w:spacing w:line="360" w:lineRule="auto"/>
        <w:shd w:val="clear" w:color="auto" w:fill="ffffff"/>
        <w:widowControl/>
        <w:rPr>
          <w:szCs w:val="21"/>
        </w:rPr>
      </w:pPr>
      <w:r>
        <w:rPr>
          <w:szCs w:val="21"/>
        </w:rPr>
        <w:t xml:space="preserve">（9）供应商认为需要提供的其他资料</w:t>
      </w:r>
      <w:r/>
    </w:p>
    <w:p>
      <w:pPr>
        <w:ind w:firstLine="420"/>
        <w:spacing w:line="360" w:lineRule="auto"/>
        <w:shd w:val="clear" w:color="auto" w:fill="ffffff"/>
        <w:widowControl/>
        <w:rPr>
          <w:szCs w:val="21"/>
        </w:rPr>
      </w:pPr>
      <w:r/>
      <w:bookmarkStart w:id="86" w:name="_Toc32484"/>
      <w:r/>
      <w:bookmarkStart w:id="87" w:name="_Toc12595"/>
      <w:r>
        <w:rPr>
          <w:szCs w:val="21"/>
        </w:rPr>
        <w:t xml:space="preserve">10.3投标文件的商务部分：是证明供应商有资格参加投标和中标后有能力履行合同的文件，这些文件应能满足招标的要求。</w:t>
      </w:r>
      <w:r/>
    </w:p>
    <w:p>
      <w:pPr>
        <w:ind w:firstLine="420"/>
        <w:spacing w:line="360" w:lineRule="auto"/>
        <w:shd w:val="clear" w:color="auto" w:fill="ffffff"/>
        <w:widowControl/>
        <w:rPr>
          <w:szCs w:val="21"/>
        </w:rPr>
      </w:pPr>
      <w:r>
        <w:rPr>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spacing w:line="360" w:lineRule="auto"/>
        <w:shd w:val="clear" w:color="auto" w:fill="ffffff"/>
        <w:widowControl/>
        <w:rPr>
          <w:szCs w:val="21"/>
        </w:rPr>
      </w:pPr>
      <w:r>
        <w:rPr>
          <w:szCs w:val="21"/>
        </w:rPr>
        <w:t xml:space="preserve">10.5 投标文件的价格部分：</w:t>
      </w:r>
      <w:r/>
    </w:p>
    <w:p>
      <w:pPr>
        <w:ind w:firstLine="420"/>
        <w:spacing w:line="360" w:lineRule="auto"/>
        <w:shd w:val="clear" w:color="auto" w:fill="ffffff"/>
        <w:widowControl/>
        <w:rPr>
          <w:szCs w:val="21"/>
        </w:rPr>
      </w:pPr>
      <w:r>
        <w:rPr>
          <w:szCs w:val="21"/>
        </w:rPr>
        <w:t xml:space="preserve">（1）价格文件是对投标价格构成的说明，招标文件如没有特别说明的话，对每一项产品/服务仅接受一个价格。</w:t>
      </w:r>
      <w:r/>
    </w:p>
    <w:p>
      <w:pPr>
        <w:ind w:firstLine="420"/>
        <w:spacing w:line="360" w:lineRule="auto"/>
        <w:shd w:val="clear" w:color="auto" w:fill="ffffff"/>
        <w:widowControl/>
        <w:rPr>
          <w:szCs w:val="21"/>
        </w:rPr>
      </w:pPr>
      <w:r>
        <w:rPr>
          <w:szCs w:val="21"/>
        </w:rPr>
        <w:t xml:space="preserve">（2）报价应包含完成本项目发生的所有含税费用、支付给员工的工资和国家强制缴纳的各种社会保障资金，以及供应商认为需要的其他费用等。</w:t>
      </w:r>
      <w:r/>
    </w:p>
    <w:p>
      <w:pPr>
        <w:ind w:firstLine="420"/>
        <w:spacing w:line="360" w:lineRule="auto"/>
        <w:shd w:val="clear" w:color="auto" w:fill="ffffff"/>
        <w:widowControl/>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360" w:lineRule="auto"/>
        <w:shd w:val="clear" w:color="auto" w:fill="ffffff"/>
        <w:widowControl/>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spacing w:line="360" w:lineRule="auto"/>
        <w:shd w:val="clear" w:color="auto" w:fill="ffffff"/>
        <w:widowControl/>
        <w:rPr>
          <w:szCs w:val="21"/>
        </w:rPr>
      </w:pPr>
      <w:r>
        <w:rPr>
          <w:szCs w:val="21"/>
        </w:rPr>
        <w:t xml:space="preserve">10.6 投标文件的其他部分：</w:t>
      </w:r>
      <w:r/>
    </w:p>
    <w:p>
      <w:pPr>
        <w:ind w:firstLine="420"/>
        <w:spacing w:line="360" w:lineRule="auto"/>
        <w:shd w:val="clear" w:color="auto" w:fill="ffffff"/>
        <w:widowControl/>
        <w:rPr>
          <w:szCs w:val="21"/>
        </w:rPr>
      </w:pPr>
      <w:r>
        <w:rPr>
          <w:szCs w:val="21"/>
        </w:rPr>
        <w:t xml:space="preserve">其他文件由供应商根据编制投标文件需要提供的其他相关文件。</w:t>
      </w:r>
      <w:r/>
    </w:p>
    <w:p>
      <w:pPr>
        <w:pStyle w:val="1142"/>
        <w:ind w:left="0" w:firstLine="422"/>
        <w:jc w:val="both"/>
        <w:spacing w:line="360" w:lineRule="auto"/>
        <w:rPr>
          <w:rFonts w:ascii="Times New Roman" w:eastAsia="宋体"/>
          <w:b/>
          <w:bCs/>
          <w:color w:val="000000"/>
          <w:sz w:val="21"/>
          <w:szCs w:val="21"/>
        </w:rPr>
      </w:pPr>
      <w:r/>
      <w:bookmarkStart w:id="88" w:name="_Toc17454"/>
      <w:r/>
      <w:bookmarkStart w:id="89" w:name="_Toc9293"/>
      <w:r>
        <w:rPr>
          <w:rFonts w:ascii="Times New Roman" w:eastAsia="宋体"/>
          <w:b/>
          <w:bCs/>
          <w:color w:val="000000"/>
          <w:sz w:val="21"/>
          <w:szCs w:val="21"/>
        </w:rPr>
        <w:t xml:space="preserve">11.投标保证金</w:t>
      </w:r>
      <w:bookmarkEnd w:id="86"/>
      <w:r/>
      <w:bookmarkEnd w:id="87"/>
      <w:r>
        <w:rPr>
          <w:rFonts w:ascii="Times New Roman" w:eastAsia="宋体"/>
          <w:b/>
          <w:bCs/>
          <w:color w:val="000000"/>
          <w:sz w:val="21"/>
          <w:szCs w:val="21"/>
        </w:rPr>
        <w:t xml:space="preserve">（如有）</w:t>
      </w:r>
      <w:bookmarkEnd w:id="88"/>
      <w:r/>
      <w:bookmarkEnd w:id="89"/>
      <w:r/>
      <w:r/>
    </w:p>
    <w:p>
      <w:pPr>
        <w:ind w:firstLine="420"/>
        <w:spacing w:line="360" w:lineRule="auto"/>
        <w:shd w:val="clear" w:color="auto" w:fill="ffffff"/>
        <w:widowControl/>
        <w:rPr>
          <w:color w:val="000000"/>
          <w:szCs w:val="21"/>
        </w:rPr>
      </w:pPr>
      <w:r/>
      <w:bookmarkStart w:id="90" w:name="_Toc31206"/>
      <w:r>
        <w:rPr>
          <w:szCs w:val="21"/>
        </w:rPr>
        <w:t xml:space="preserve">11.1</w:t>
      </w:r>
      <w:r>
        <w:rPr>
          <w:color w:val="000000"/>
          <w:szCs w:val="21"/>
        </w:rPr>
        <w:t xml:space="preserve">作为投标文件的一部分，</w:t>
      </w:r>
      <w:r>
        <w:rPr>
          <w:szCs w:val="21"/>
        </w:rPr>
        <w:t xml:space="preserve">供应商</w:t>
      </w:r>
      <w:r>
        <w:rPr>
          <w:color w:val="000000"/>
          <w:szCs w:val="21"/>
        </w:rPr>
        <w:t xml:space="preserve">应按照招标文件要求的数额和办法交纳投标保证金；投标保证金有效期应当与投标有效期一致。</w:t>
      </w:r>
      <w:r/>
    </w:p>
    <w:p>
      <w:pPr>
        <w:ind w:firstLine="420"/>
        <w:spacing w:line="360" w:lineRule="auto"/>
        <w:shd w:val="clear" w:color="auto" w:fill="ffffff"/>
        <w:widowControl/>
        <w:rPr>
          <w:color w:val="000000"/>
          <w:szCs w:val="21"/>
        </w:rPr>
      </w:pPr>
      <w:r>
        <w:rPr>
          <w:color w:val="000000"/>
          <w:szCs w:val="21"/>
        </w:rPr>
        <w:t xml:space="preserve">投标保证金金额及形式：</w:t>
      </w:r>
      <w:r>
        <w:rPr>
          <w:b/>
          <w:bCs/>
          <w:color w:val="000000"/>
          <w:szCs w:val="21"/>
        </w:rPr>
        <w:t xml:space="preserve">详见</w:t>
      </w:r>
      <w:r>
        <w:rPr>
          <w:b/>
          <w:bCs/>
          <w:szCs w:val="21"/>
        </w:rPr>
        <w:t xml:space="preserve">投标人</w:t>
      </w:r>
      <w:r>
        <w:rPr>
          <w:b/>
          <w:bCs/>
          <w:color w:val="000000"/>
          <w:szCs w:val="21"/>
        </w:rPr>
        <w:t xml:space="preserve">须知前附表</w:t>
      </w:r>
      <w:r>
        <w:rPr>
          <w:color w:val="000000"/>
          <w:szCs w:val="21"/>
        </w:rPr>
        <w:t xml:space="preserve">。</w:t>
      </w:r>
      <w:r/>
    </w:p>
    <w:p>
      <w:pPr>
        <w:ind w:firstLine="422"/>
        <w:spacing w:line="360" w:lineRule="auto"/>
        <w:shd w:val="clear" w:color="auto" w:fill="ffffff"/>
        <w:widowControl/>
        <w:rPr>
          <w:b/>
          <w:bCs/>
          <w:color w:val="000000"/>
          <w:szCs w:val="21"/>
        </w:rPr>
      </w:pPr>
      <w:r>
        <w:rPr>
          <w:b/>
          <w:bCs/>
          <w:szCs w:val="21"/>
        </w:rPr>
        <w:t xml:space="preserve">11.2</w:t>
      </w:r>
      <w:r>
        <w:rPr>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spacing w:line="360" w:lineRule="auto"/>
        <w:shd w:val="clear" w:color="auto" w:fill="ffffff"/>
        <w:widowControl/>
        <w:rPr>
          <w:color w:val="000000"/>
          <w:szCs w:val="21"/>
        </w:rPr>
      </w:pPr>
      <w:r>
        <w:rPr>
          <w:szCs w:val="21"/>
        </w:rPr>
        <w:t xml:space="preserve">11.3</w:t>
      </w:r>
      <w:r>
        <w:rPr>
          <w:color w:val="000000"/>
          <w:szCs w:val="21"/>
        </w:rPr>
        <w:t xml:space="preserve">中标供应商的保证金将按要求缴纳招标代理服务费后在采购合同签订后五个工作日内退还。</w:t>
      </w:r>
      <w:r/>
    </w:p>
    <w:p>
      <w:pPr>
        <w:ind w:firstLine="420"/>
        <w:spacing w:line="360" w:lineRule="auto"/>
        <w:shd w:val="clear" w:color="auto" w:fill="ffffff"/>
        <w:widowControl/>
        <w:rPr>
          <w:color w:val="000000"/>
          <w:szCs w:val="21"/>
        </w:rPr>
      </w:pPr>
      <w:r>
        <w:rPr>
          <w:szCs w:val="21"/>
        </w:rPr>
        <w:t xml:space="preserve">11.4</w:t>
      </w:r>
      <w:r>
        <w:rPr>
          <w:color w:val="000000"/>
          <w:szCs w:val="21"/>
        </w:rPr>
        <w:t xml:space="preserve">发生下列情况之一，保证金将被没收：</w:t>
      </w:r>
      <w:r/>
    </w:p>
    <w:p>
      <w:pPr>
        <w:ind w:firstLine="420"/>
        <w:spacing w:line="360" w:lineRule="auto"/>
        <w:shd w:val="clear" w:color="auto" w:fill="ffffff"/>
        <w:widowControl/>
        <w:rPr>
          <w:color w:val="000000"/>
          <w:szCs w:val="21"/>
        </w:rPr>
      </w:pPr>
      <w:r>
        <w:rPr>
          <w:color w:val="000000"/>
          <w:szCs w:val="21"/>
        </w:rPr>
        <w:t xml:space="preserve">（1）中标供应商在中标后无正当理由不与采购人签订合同的；</w:t>
      </w:r>
      <w:r/>
    </w:p>
    <w:p>
      <w:pPr>
        <w:ind w:firstLine="420"/>
        <w:spacing w:line="360" w:lineRule="auto"/>
        <w:shd w:val="clear" w:color="auto" w:fill="ffffff"/>
        <w:widowControl/>
        <w:rPr>
          <w:color w:val="000000"/>
          <w:szCs w:val="21"/>
        </w:rPr>
      </w:pPr>
      <w:r>
        <w:rPr>
          <w:color w:val="000000"/>
          <w:szCs w:val="21"/>
        </w:rPr>
        <w:t xml:space="preserve">（2）</w:t>
      </w:r>
      <w:r>
        <w:rPr>
          <w:color w:val="000000"/>
          <w:szCs w:val="21"/>
          <w:lang w:val="zh-CN"/>
        </w:rPr>
        <w:t xml:space="preserve">投标有效期内撤回其投标的；</w:t>
      </w:r>
      <w:r/>
    </w:p>
    <w:p>
      <w:pPr>
        <w:ind w:firstLine="420"/>
        <w:spacing w:line="360" w:lineRule="auto"/>
        <w:shd w:val="clear" w:color="auto" w:fill="ffffff"/>
        <w:widowControl/>
        <w:rPr>
          <w:color w:val="000000"/>
          <w:szCs w:val="21"/>
        </w:rPr>
      </w:pPr>
      <w:r>
        <w:rPr>
          <w:color w:val="000000"/>
          <w:szCs w:val="21"/>
        </w:rPr>
        <w:t xml:space="preserve">（3）提供虚假材料谋取成交的；</w:t>
      </w:r>
      <w:r/>
    </w:p>
    <w:p>
      <w:pPr>
        <w:ind w:firstLine="420"/>
        <w:spacing w:line="360" w:lineRule="auto"/>
        <w:shd w:val="clear" w:color="auto" w:fill="ffffff"/>
        <w:widowControl/>
        <w:rPr>
          <w:color w:val="000000"/>
          <w:szCs w:val="21"/>
        </w:rPr>
      </w:pPr>
      <w:r>
        <w:rPr>
          <w:color w:val="000000"/>
          <w:szCs w:val="21"/>
        </w:rPr>
        <w:t xml:space="preserve">（4）采取不正当手段诋毁、排挤其他</w:t>
      </w:r>
      <w:r>
        <w:rPr>
          <w:szCs w:val="21"/>
        </w:rPr>
        <w:t xml:space="preserve">供应商</w:t>
      </w:r>
      <w:r>
        <w:rPr>
          <w:color w:val="000000"/>
          <w:szCs w:val="21"/>
        </w:rPr>
        <w:t xml:space="preserve">的；</w:t>
      </w:r>
      <w:r/>
    </w:p>
    <w:p>
      <w:pPr>
        <w:ind w:firstLine="420"/>
        <w:spacing w:line="360" w:lineRule="auto"/>
        <w:shd w:val="clear" w:color="auto" w:fill="ffffff"/>
        <w:widowControl/>
        <w:rPr>
          <w:color w:val="000000"/>
          <w:szCs w:val="21"/>
        </w:rPr>
      </w:pPr>
      <w:r>
        <w:rPr>
          <w:color w:val="000000"/>
          <w:szCs w:val="21"/>
        </w:rPr>
        <w:t xml:space="preserve">（5）与采购人、采购代理机构或者其他</w:t>
      </w:r>
      <w:r>
        <w:rPr>
          <w:szCs w:val="21"/>
        </w:rPr>
        <w:t xml:space="preserve">供应商</w:t>
      </w:r>
      <w:r>
        <w:rPr>
          <w:color w:val="000000"/>
          <w:szCs w:val="21"/>
        </w:rPr>
        <w:t xml:space="preserve">恶意串通的；</w:t>
      </w:r>
      <w:r/>
    </w:p>
    <w:p>
      <w:pPr>
        <w:ind w:firstLine="420"/>
        <w:spacing w:line="360" w:lineRule="auto"/>
        <w:shd w:val="clear" w:color="auto" w:fill="ffffff"/>
        <w:widowControl/>
        <w:rPr>
          <w:color w:val="000000"/>
          <w:szCs w:val="21"/>
        </w:rPr>
      </w:pPr>
      <w:r>
        <w:rPr>
          <w:color w:val="000000"/>
          <w:szCs w:val="21"/>
        </w:rPr>
        <w:t xml:space="preserve">（6）中标供应商在中标后将中标项目转让给他人，或者在投标文件中未说明，且未经采购人同意，将中标项目分包给他人的；</w:t>
      </w:r>
      <w:r/>
    </w:p>
    <w:p>
      <w:pPr>
        <w:ind w:firstLine="420"/>
        <w:spacing w:line="360" w:lineRule="auto"/>
        <w:shd w:val="clear" w:color="auto" w:fill="ffffff"/>
        <w:widowControl/>
        <w:rPr>
          <w:bCs/>
          <w:szCs w:val="21"/>
        </w:rPr>
      </w:pPr>
      <w:r>
        <w:rPr>
          <w:color w:val="000000"/>
          <w:szCs w:val="21"/>
        </w:rPr>
        <w:t xml:space="preserve">（7）中标供应商在中标后拒绝</w:t>
      </w:r>
      <w:r>
        <w:rPr>
          <w:bCs/>
          <w:szCs w:val="21"/>
        </w:rPr>
        <w:t xml:space="preserve">履行合同义务的。</w:t>
      </w:r>
      <w:r/>
    </w:p>
    <w:p>
      <w:pPr>
        <w:pStyle w:val="1142"/>
        <w:ind w:left="0" w:firstLine="422"/>
        <w:jc w:val="both"/>
        <w:spacing w:line="360" w:lineRule="auto"/>
        <w:rPr>
          <w:rFonts w:ascii="Times New Roman" w:eastAsia="宋体"/>
          <w:b/>
          <w:bCs/>
          <w:color w:val="000000"/>
          <w:sz w:val="21"/>
          <w:szCs w:val="21"/>
        </w:rPr>
      </w:pPr>
      <w:r/>
      <w:bookmarkStart w:id="91" w:name="_Toc27605"/>
      <w:r/>
      <w:bookmarkStart w:id="92" w:name="_Toc18102"/>
      <w:r/>
      <w:bookmarkStart w:id="93" w:name="_Toc10832"/>
      <w:r>
        <w:rPr>
          <w:rFonts w:ascii="Times New Roman" w:eastAsia="宋体"/>
          <w:b/>
          <w:bCs/>
          <w:color w:val="000000"/>
          <w:sz w:val="21"/>
          <w:szCs w:val="21"/>
        </w:rPr>
        <w:t xml:space="preserve">12.投标文件的有效期</w:t>
      </w:r>
      <w:bookmarkEnd w:id="90"/>
      <w:r/>
      <w:bookmarkEnd w:id="91"/>
      <w:r/>
      <w:bookmarkEnd w:id="92"/>
      <w:r/>
      <w:bookmarkEnd w:id="93"/>
      <w:r/>
      <w:r/>
    </w:p>
    <w:p>
      <w:pPr>
        <w:ind w:firstLine="420"/>
        <w:jc w:val="left"/>
        <w:spacing w:line="360" w:lineRule="auto"/>
        <w:rPr>
          <w:bCs/>
          <w:szCs w:val="21"/>
        </w:rPr>
      </w:pPr>
      <w:r/>
      <w:bookmarkStart w:id="94" w:name="_Toc6811"/>
      <w:r>
        <w:rPr>
          <w:bCs/>
          <w:szCs w:val="21"/>
        </w:rPr>
        <w:t xml:space="preserve">12.1自开标之日起90天内，投标文件应保持有效，有效期短于此规定的投标文件将视为无效。</w:t>
      </w:r>
      <w:r/>
    </w:p>
    <w:p>
      <w:pPr>
        <w:ind w:firstLine="420"/>
        <w:spacing w:line="360" w:lineRule="auto"/>
        <w:rPr>
          <w:bCs/>
          <w:szCs w:val="21"/>
        </w:rPr>
      </w:pPr>
      <w:r>
        <w:rPr>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142"/>
        <w:ind w:left="0" w:firstLine="422"/>
        <w:jc w:val="both"/>
        <w:spacing w:line="360" w:lineRule="auto"/>
        <w:rPr>
          <w:rFonts w:ascii="Times New Roman" w:eastAsia="宋体"/>
          <w:b/>
          <w:bCs/>
          <w:color w:val="000000"/>
          <w:sz w:val="21"/>
          <w:szCs w:val="21"/>
        </w:rPr>
      </w:pPr>
      <w:r/>
      <w:bookmarkStart w:id="95" w:name="_Toc12969"/>
      <w:r/>
      <w:bookmarkStart w:id="96" w:name="_Toc18186"/>
      <w:r/>
      <w:bookmarkStart w:id="97" w:name="_Toc30690"/>
      <w:r>
        <w:rPr>
          <w:rFonts w:ascii="Times New Roman" w:eastAsia="宋体"/>
          <w:b/>
          <w:bCs/>
          <w:color w:val="000000"/>
          <w:sz w:val="21"/>
          <w:szCs w:val="21"/>
        </w:rPr>
        <w:t xml:space="preserve">13.投标文件的签署及其形式</w:t>
      </w:r>
      <w:bookmarkEnd w:id="94"/>
      <w:r/>
      <w:bookmarkEnd w:id="95"/>
      <w:r/>
      <w:bookmarkEnd w:id="96"/>
      <w:r/>
      <w:bookmarkEnd w:id="97"/>
      <w:r/>
      <w:r/>
    </w:p>
    <w:p>
      <w:pPr>
        <w:ind w:firstLine="420"/>
        <w:spacing w:line="360" w:lineRule="auto"/>
        <w:rPr>
          <w:bCs/>
          <w:szCs w:val="21"/>
        </w:rPr>
      </w:pPr>
      <w:r>
        <w:rPr>
          <w:bCs/>
          <w:szCs w:val="21"/>
        </w:rPr>
        <w:t xml:space="preserve">13.1投标文件的应用打印机或不褪色墨水书写，且经法定代表人或授权代表签署</w:t>
      </w:r>
      <w:r>
        <w:rPr>
          <w:bCs/>
          <w:color w:val="000000"/>
          <w:szCs w:val="21"/>
        </w:rPr>
        <w:t xml:space="preserve">。</w:t>
      </w:r>
      <w:r/>
    </w:p>
    <w:p>
      <w:pPr>
        <w:ind w:firstLine="420"/>
        <w:spacing w:line="360" w:lineRule="auto"/>
        <w:rPr>
          <w:bCs/>
          <w:szCs w:val="21"/>
        </w:rPr>
      </w:pPr>
      <w:r>
        <w:rPr>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360" w:lineRule="auto"/>
        <w:rPr>
          <w:szCs w:val="21"/>
        </w:rPr>
      </w:pPr>
      <w:r>
        <w:rPr>
          <w:bCs/>
          <w:szCs w:val="21"/>
        </w:rPr>
        <w:t xml:space="preserve">13.3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p>
    <w:p>
      <w:pPr>
        <w:ind w:firstLine="422"/>
        <w:spacing w:line="360" w:lineRule="auto"/>
        <w:rPr>
          <w:szCs w:val="21"/>
        </w:rPr>
      </w:pPr>
      <w:r/>
      <w:bookmarkStart w:id="98" w:name="_Toc3725"/>
      <w:r>
        <w:rPr>
          <w:b/>
          <w:bCs/>
          <w:szCs w:val="21"/>
        </w:rPr>
        <w:t xml:space="preserve">四、投标文件的递交</w:t>
      </w:r>
      <w:bookmarkEnd w:id="45"/>
      <w:r/>
      <w:bookmarkEnd w:id="98"/>
      <w:r/>
      <w:r/>
    </w:p>
    <w:p>
      <w:pPr>
        <w:pStyle w:val="1142"/>
        <w:ind w:left="0" w:firstLine="422"/>
        <w:jc w:val="both"/>
        <w:spacing w:line="360" w:lineRule="auto"/>
        <w:rPr>
          <w:rFonts w:ascii="Times New Roman" w:eastAsia="宋体"/>
          <w:b/>
          <w:bCs/>
          <w:color w:val="000000"/>
          <w:sz w:val="21"/>
          <w:szCs w:val="21"/>
        </w:rPr>
      </w:pPr>
      <w:r/>
      <w:bookmarkStart w:id="99" w:name="_Toc30813"/>
      <w:r/>
      <w:bookmarkStart w:id="100" w:name="_Toc14201"/>
      <w:r/>
      <w:bookmarkStart w:id="101" w:name="_Toc11996"/>
      <w:r>
        <w:rPr>
          <w:rFonts w:ascii="Times New Roman" w:eastAsia="宋体"/>
          <w:b/>
          <w:bCs/>
          <w:color w:val="000000"/>
          <w:sz w:val="21"/>
          <w:szCs w:val="21"/>
        </w:rPr>
        <w:t xml:space="preserve">14.投标文件的密封及标记</w:t>
      </w:r>
      <w:bookmarkEnd w:id="99"/>
      <w:r/>
      <w:bookmarkEnd w:id="100"/>
      <w:r/>
      <w:bookmarkEnd w:id="101"/>
      <w:r/>
      <w:r/>
    </w:p>
    <w:p>
      <w:pPr>
        <w:ind w:firstLine="422"/>
        <w:spacing w:line="360" w:lineRule="auto"/>
        <w:tabs>
          <w:tab w:val="left" w:pos="480" w:leader="none"/>
        </w:tabs>
        <w:rPr>
          <w:b/>
          <w:bCs/>
          <w:szCs w:val="21"/>
        </w:rPr>
        <w:outlineLvl w:val="2"/>
      </w:pPr>
      <w:r/>
      <w:bookmarkStart w:id="102" w:name="_Toc462564084"/>
      <w:r/>
      <w:bookmarkStart w:id="103" w:name="_Toc16938541"/>
      <w:r/>
      <w:bookmarkStart w:id="104" w:name="_Toc20823297"/>
      <w:r/>
      <w:bookmarkStart w:id="105" w:name="_Toc513029225"/>
      <w:r/>
      <w:bookmarkStart w:id="106" w:name="_Toc18495"/>
      <w:r/>
      <w:bookmarkStart w:id="107" w:name="_Toc7687"/>
      <w:r/>
      <w:bookmarkStart w:id="108" w:name="_Toc21766"/>
      <w:r/>
      <w:bookmarkStart w:id="109" w:name="_Toc14747"/>
      <w:r>
        <w:rPr>
          <w:b/>
          <w:bCs/>
          <w:szCs w:val="21"/>
        </w:rPr>
        <w:t xml:space="preserve">14.投标文件</w:t>
      </w:r>
      <w:bookmarkEnd w:id="102"/>
      <w:r/>
      <w:bookmarkEnd w:id="103"/>
      <w:r/>
      <w:bookmarkEnd w:id="104"/>
      <w:r/>
      <w:bookmarkEnd w:id="105"/>
      <w:r>
        <w:rPr>
          <w:b/>
          <w:bCs/>
          <w:szCs w:val="21"/>
        </w:rPr>
        <w:t xml:space="preserve">的递交</w:t>
      </w:r>
      <w:bookmarkEnd w:id="106"/>
      <w:r/>
      <w:bookmarkEnd w:id="107"/>
      <w:r/>
      <w:r/>
    </w:p>
    <w:p>
      <w:pPr>
        <w:ind w:firstLine="420"/>
        <w:spacing w:line="360" w:lineRule="auto"/>
        <w:tabs>
          <w:tab w:val="left" w:pos="480" w:leader="none"/>
        </w:tabs>
        <w:rPr>
          <w:szCs w:val="21"/>
        </w:rPr>
      </w:pPr>
      <w:r>
        <w:rPr>
          <w:szCs w:val="21"/>
        </w:rPr>
        <w:t xml:space="preserve">14.1 电子投标文件的递交：投标人应当按照《操作手册》规定，在投标截止时间前制作并上传电子投标文件。</w:t>
      </w:r>
      <w:bookmarkStart w:id="110" w:name="_Toc1507"/>
      <w:r/>
      <w:bookmarkStart w:id="111" w:name="_Toc16938542"/>
      <w:r/>
      <w:bookmarkStart w:id="112" w:name="_Toc513029226"/>
      <w:r/>
      <w:bookmarkStart w:id="113" w:name="_Toc20823298"/>
      <w:r/>
      <w:r/>
    </w:p>
    <w:p>
      <w:pPr>
        <w:ind w:firstLine="420"/>
        <w:spacing w:line="360" w:lineRule="auto"/>
        <w:tabs>
          <w:tab w:val="left" w:pos="480" w:leader="none"/>
        </w:tabs>
        <w:rPr>
          <w:szCs w:val="21"/>
        </w:rPr>
      </w:pPr>
      <w:r>
        <w:rPr>
          <w:szCs w:val="21"/>
        </w:rPr>
        <w:t xml:space="preserve">14.2 投标文件的解密</w:t>
      </w:r>
      <w:bookmarkEnd w:id="110"/>
      <w:r>
        <w:rPr>
          <w:szCs w:val="21"/>
        </w:rPr>
        <w:t xml:space="preserve">：开标当天各供应商及时登录不见面开标大厅，投标文件递交截止时间后，采购人将在系统内公布供应商名单，然后通</w:t>
      </w:r>
      <w:r>
        <w:rPr>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spacing w:line="360" w:lineRule="auto"/>
        <w:tabs>
          <w:tab w:val="left" w:pos="480" w:leader="none"/>
        </w:tabs>
        <w:rPr>
          <w:b/>
          <w:bCs/>
          <w:szCs w:val="21"/>
        </w:rPr>
        <w:outlineLvl w:val="2"/>
      </w:pPr>
      <w:r/>
      <w:bookmarkStart w:id="114" w:name="_Toc20071"/>
      <w:r/>
      <w:bookmarkStart w:id="115" w:name="_Toc10719"/>
      <w:r>
        <w:rPr>
          <w:b/>
          <w:bCs/>
          <w:szCs w:val="21"/>
        </w:rPr>
        <w:t xml:space="preserve">15.投标截止</w:t>
      </w:r>
      <w:bookmarkEnd w:id="111"/>
      <w:r/>
      <w:bookmarkEnd w:id="112"/>
      <w:r/>
      <w:bookmarkEnd w:id="113"/>
      <w:r>
        <w:rPr>
          <w:b/>
          <w:bCs/>
          <w:szCs w:val="21"/>
        </w:rPr>
        <w:t xml:space="preserve">时间</w:t>
      </w:r>
      <w:bookmarkEnd w:id="114"/>
      <w:r/>
      <w:bookmarkEnd w:id="115"/>
      <w:r/>
      <w:r/>
    </w:p>
    <w:p>
      <w:pPr>
        <w:ind w:firstLine="420"/>
        <w:spacing w:line="360" w:lineRule="auto"/>
        <w:tabs>
          <w:tab w:val="left" w:pos="480" w:leader="none"/>
        </w:tabs>
        <w:rPr>
          <w:szCs w:val="21"/>
        </w:rPr>
      </w:pPr>
      <w:r>
        <w:rPr>
          <w:szCs w:val="21"/>
        </w:rPr>
        <w:t xml:space="preserve">15.1 投标人上传电子投标文件的时间不得迟于招标公告中规定的投标截止时间。</w:t>
      </w:r>
      <w:r/>
    </w:p>
    <w:p>
      <w:pPr>
        <w:ind w:firstLine="420"/>
        <w:spacing w:line="360" w:lineRule="auto"/>
        <w:tabs>
          <w:tab w:val="left" w:pos="480" w:leader="none"/>
        </w:tabs>
        <w:rPr>
          <w:szCs w:val="21"/>
        </w:rPr>
      </w:pPr>
      <w:r>
        <w:rPr>
          <w:szCs w:val="21"/>
        </w:rPr>
        <w:t xml:space="preserve">投标人应充分考虑到网络环境、网络带宽等风险因素，如因投标人自身原因造成的电子投标文件上传不成功的</w:t>
      </w:r>
      <w:r>
        <w:rPr>
          <w:rFonts w:hint="eastAsia"/>
          <w:szCs w:val="21"/>
        </w:rPr>
        <w:t xml:space="preserve">作</w:t>
      </w:r>
      <w:r>
        <w:rPr>
          <w:szCs w:val="21"/>
        </w:rPr>
        <w:t xml:space="preserve">无效投标处理。</w:t>
      </w:r>
      <w:r/>
    </w:p>
    <w:p>
      <w:pPr>
        <w:ind w:firstLine="420"/>
        <w:spacing w:line="360" w:lineRule="auto"/>
        <w:tabs>
          <w:tab w:val="left" w:pos="480" w:leader="none"/>
        </w:tabs>
        <w:rPr>
          <w:szCs w:val="21"/>
        </w:rPr>
      </w:pPr>
      <w:r>
        <w:rPr>
          <w:szCs w:val="21"/>
        </w:rPr>
        <w:t xml:space="preserve">15.2 采购人可以按照规定，通过修改招标文件酌情延长投标截止时间，在此情况下，投标人的所有权利和义务以及投标人受制的截止时间均应以延长后新的截止时间为准。</w:t>
      </w:r>
      <w:r/>
    </w:p>
    <w:p>
      <w:pPr>
        <w:ind w:firstLine="422"/>
        <w:spacing w:line="360" w:lineRule="auto"/>
        <w:tabs>
          <w:tab w:val="left" w:pos="480" w:leader="none"/>
        </w:tabs>
        <w:rPr>
          <w:b/>
          <w:bCs/>
          <w:color w:val="000000"/>
          <w:szCs w:val="21"/>
        </w:rPr>
        <w:outlineLvl w:val="2"/>
      </w:pPr>
      <w:r/>
      <w:bookmarkStart w:id="116" w:name="_Toc513029227"/>
      <w:r/>
      <w:bookmarkStart w:id="117" w:name="_Toc20823299"/>
      <w:r/>
      <w:bookmarkStart w:id="118" w:name="_Toc16938543"/>
      <w:r/>
      <w:bookmarkStart w:id="119" w:name="_Toc358"/>
      <w:r/>
      <w:bookmarkStart w:id="120" w:name="_Toc2075"/>
      <w:r>
        <w:rPr>
          <w:b/>
          <w:bCs/>
          <w:color w:val="000000"/>
          <w:szCs w:val="21"/>
        </w:rPr>
        <w:t xml:space="preserve">16.投标文件</w:t>
      </w:r>
      <w:bookmarkEnd w:id="116"/>
      <w:r/>
      <w:bookmarkEnd w:id="117"/>
      <w:r/>
      <w:bookmarkEnd w:id="118"/>
      <w:r>
        <w:rPr>
          <w:b/>
          <w:bCs/>
          <w:color w:val="000000"/>
          <w:szCs w:val="21"/>
        </w:rPr>
        <w:t xml:space="preserve">的拒收</w:t>
      </w:r>
      <w:bookmarkEnd w:id="119"/>
      <w:r/>
      <w:bookmarkEnd w:id="120"/>
      <w:r/>
      <w:r/>
    </w:p>
    <w:p>
      <w:pPr>
        <w:ind w:firstLine="420"/>
        <w:spacing w:line="360" w:lineRule="auto"/>
        <w:tabs>
          <w:tab w:val="left" w:pos="480" w:leader="none"/>
        </w:tabs>
        <w:rPr>
          <w:szCs w:val="21"/>
        </w:rPr>
      </w:pPr>
      <w:r>
        <w:rPr>
          <w:szCs w:val="21"/>
        </w:rPr>
        <w:t xml:space="preserve">16.1采购人拒绝接收在其规定的投标截止时间后上传的任何投标文件。</w:t>
      </w:r>
      <w:r/>
    </w:p>
    <w:p>
      <w:pPr>
        <w:ind w:firstLine="422"/>
        <w:spacing w:line="360" w:lineRule="auto"/>
        <w:tabs>
          <w:tab w:val="left" w:pos="480" w:leader="none"/>
        </w:tabs>
        <w:rPr>
          <w:szCs w:val="21"/>
        </w:rPr>
        <w:outlineLvl w:val="2"/>
      </w:pPr>
      <w:r/>
      <w:bookmarkStart w:id="121" w:name="_Toc513029228"/>
      <w:r/>
      <w:bookmarkStart w:id="122" w:name="_Toc20823300"/>
      <w:r/>
      <w:bookmarkStart w:id="123" w:name="_Toc16938544"/>
      <w:r/>
      <w:bookmarkStart w:id="124" w:name="_Toc4238"/>
      <w:r/>
      <w:bookmarkStart w:id="125" w:name="_Toc11702"/>
      <w:r>
        <w:rPr>
          <w:b/>
          <w:bCs/>
          <w:szCs w:val="21"/>
        </w:rPr>
        <w:t xml:space="preserve">17</w:t>
      </w:r>
      <w:bookmarkEnd w:id="121"/>
      <w:r/>
      <w:bookmarkEnd w:id="122"/>
      <w:r/>
      <w:bookmarkEnd w:id="123"/>
      <w:r>
        <w:rPr>
          <w:b/>
          <w:bCs/>
          <w:szCs w:val="21"/>
        </w:rPr>
        <w:t xml:space="preserve">.</w:t>
      </w:r>
      <w:r>
        <w:rPr>
          <w:b/>
          <w:bCs/>
          <w:color w:val="000000"/>
          <w:szCs w:val="21"/>
        </w:rPr>
        <w:t xml:space="preserve">投标文件的修改或撤回</w:t>
      </w:r>
      <w:bookmarkEnd w:id="124"/>
      <w:r/>
      <w:bookmarkEnd w:id="125"/>
      <w:r/>
      <w:r/>
    </w:p>
    <w:p>
      <w:pPr>
        <w:ind w:firstLine="420"/>
        <w:spacing w:line="360" w:lineRule="auto"/>
        <w:tabs>
          <w:tab w:val="left" w:pos="480" w:leader="none"/>
        </w:tabs>
        <w:rPr>
          <w:szCs w:val="21"/>
        </w:rPr>
      </w:pPr>
      <w:r>
        <w:rPr>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360" w:lineRule="auto"/>
        <w:tabs>
          <w:tab w:val="left" w:pos="480" w:leader="none"/>
        </w:tabs>
        <w:rPr>
          <w:szCs w:val="21"/>
        </w:rPr>
      </w:pPr>
      <w:r>
        <w:rPr>
          <w:szCs w:val="21"/>
        </w:rPr>
        <w:t xml:space="preserve">17.1 投标文件的撤回</w:t>
      </w:r>
      <w:r/>
    </w:p>
    <w:p>
      <w:pPr>
        <w:ind w:firstLine="420"/>
        <w:spacing w:line="360" w:lineRule="auto"/>
        <w:tabs>
          <w:tab w:val="left" w:pos="480" w:leader="none"/>
        </w:tabs>
        <w:rPr>
          <w:szCs w:val="21"/>
        </w:rPr>
      </w:pPr>
      <w:r>
        <w:rPr>
          <w:szCs w:val="21"/>
        </w:rPr>
        <w:t xml:space="preserve">17.1.1 电子投标文件的撤回</w:t>
      </w:r>
      <w:r/>
    </w:p>
    <w:p>
      <w:pPr>
        <w:ind w:firstLine="420"/>
        <w:spacing w:line="360" w:lineRule="auto"/>
        <w:tabs>
          <w:tab w:val="left" w:pos="480" w:leader="none"/>
        </w:tabs>
        <w:rPr>
          <w:szCs w:val="21"/>
        </w:rPr>
      </w:pPr>
      <w:r>
        <w:rPr>
          <w:szCs w:val="21"/>
        </w:rPr>
        <w:t xml:space="preserve">投标人可在投标截止时间前，撤回其电子投标文件，具体操作方法见《操作手册》。</w:t>
      </w:r>
      <w:r/>
    </w:p>
    <w:p>
      <w:pPr>
        <w:ind w:firstLine="420"/>
        <w:spacing w:line="360" w:lineRule="auto"/>
        <w:tabs>
          <w:tab w:val="left" w:pos="480" w:leader="none"/>
        </w:tabs>
        <w:rPr>
          <w:szCs w:val="21"/>
        </w:rPr>
      </w:pPr>
      <w:r>
        <w:rPr>
          <w:szCs w:val="21"/>
        </w:rPr>
        <w:t xml:space="preserve">17.1.2 投标人撤回电子投标文件，则认为其不再参与本项目投标活动。</w:t>
      </w:r>
      <w:r/>
    </w:p>
    <w:p>
      <w:pPr>
        <w:ind w:firstLine="420"/>
        <w:spacing w:line="360" w:lineRule="auto"/>
        <w:tabs>
          <w:tab w:val="left" w:pos="480" w:leader="none"/>
        </w:tabs>
        <w:rPr>
          <w:szCs w:val="21"/>
        </w:rPr>
      </w:pPr>
      <w:r>
        <w:rPr>
          <w:szCs w:val="21"/>
        </w:rPr>
        <w:t xml:space="preserve">17.2 投标文件的修改</w:t>
      </w:r>
      <w:r/>
    </w:p>
    <w:p>
      <w:pPr>
        <w:ind w:firstLine="420"/>
        <w:spacing w:line="360" w:lineRule="auto"/>
        <w:tabs>
          <w:tab w:val="left" w:pos="480" w:leader="none"/>
        </w:tabs>
        <w:rPr>
          <w:szCs w:val="21"/>
        </w:rPr>
      </w:pPr>
      <w:r>
        <w:rPr>
          <w:szCs w:val="21"/>
        </w:rPr>
        <w:t xml:space="preserve">17.2.1投标人可在投标截止时间前，对其电子投标文件进行修改，具体操作方法见《操作手册》。</w:t>
      </w:r>
      <w:r/>
    </w:p>
    <w:p>
      <w:pPr>
        <w:ind w:firstLine="420"/>
        <w:spacing w:line="360" w:lineRule="auto"/>
        <w:tabs>
          <w:tab w:val="left" w:pos="480" w:leader="none"/>
        </w:tabs>
        <w:rPr>
          <w:szCs w:val="21"/>
        </w:rPr>
      </w:pPr>
      <w:r>
        <w:rPr>
          <w:szCs w:val="21"/>
        </w:rPr>
        <w:t xml:space="preserve">17.2.2 在投标截止时间之后，投标人不得对其电子投标文件作任何修改。</w:t>
      </w:r>
      <w:r/>
    </w:p>
    <w:p>
      <w:pPr>
        <w:ind w:firstLine="420"/>
        <w:spacing w:line="360" w:lineRule="auto"/>
        <w:tabs>
          <w:tab w:val="left" w:pos="480" w:leader="none"/>
        </w:tabs>
        <w:rPr>
          <w:szCs w:val="21"/>
        </w:rPr>
      </w:pPr>
      <w:r>
        <w:rPr>
          <w:szCs w:val="21"/>
        </w:rPr>
        <w:t xml:space="preserve">17.3 在投标截止时间至招标文件中规定的投标有效期满之间的这段时间内，投标人不得撤回其投标。</w:t>
      </w:r>
      <w:bookmarkEnd w:id="108"/>
      <w:r/>
      <w:bookmarkEnd w:id="109"/>
      <w:r/>
      <w:r/>
    </w:p>
    <w:p>
      <w:pPr>
        <w:ind w:firstLine="422"/>
        <w:spacing w:line="360" w:lineRule="auto"/>
        <w:shd w:val="clear" w:color="auto" w:fill="ffffff"/>
        <w:widowControl/>
        <w:rPr>
          <w:b/>
          <w:bCs/>
          <w:color w:val="000000"/>
          <w:szCs w:val="21"/>
        </w:rPr>
        <w:outlineLvl w:val="1"/>
      </w:pPr>
      <w:r/>
      <w:bookmarkStart w:id="126" w:name="_Toc20823301"/>
      <w:r/>
      <w:bookmarkStart w:id="127" w:name="_Toc16938545"/>
      <w:r/>
      <w:bookmarkStart w:id="128" w:name="_Toc513029229"/>
      <w:r/>
      <w:bookmarkStart w:id="129" w:name="_Toc27442"/>
      <w:r/>
      <w:bookmarkStart w:id="130" w:name="_Toc120614218"/>
      <w:r/>
      <w:bookmarkStart w:id="131" w:name="_Toc16652"/>
      <w:r/>
      <w:bookmarkStart w:id="132" w:name="_Toc24233"/>
      <w:r/>
      <w:bookmarkStart w:id="133" w:name="_Toc7027"/>
      <w:r>
        <w:rPr>
          <w:b/>
          <w:bCs/>
          <w:color w:val="000000"/>
          <w:szCs w:val="21"/>
        </w:rPr>
        <w:t xml:space="preserve">五、开标与评标</w:t>
      </w:r>
      <w:bookmarkEnd w:id="126"/>
      <w:r/>
      <w:bookmarkEnd w:id="127"/>
      <w:r/>
      <w:bookmarkEnd w:id="128"/>
      <w:r/>
      <w:bookmarkEnd w:id="129"/>
      <w:r/>
      <w:bookmarkEnd w:id="130"/>
      <w:r/>
      <w:bookmarkEnd w:id="131"/>
      <w:r/>
      <w:bookmarkEnd w:id="132"/>
      <w:r/>
      <w:bookmarkEnd w:id="133"/>
      <w:r/>
      <w:r/>
    </w:p>
    <w:p>
      <w:pPr>
        <w:pStyle w:val="1142"/>
        <w:ind w:left="0" w:firstLine="422"/>
        <w:jc w:val="both"/>
        <w:spacing w:line="360" w:lineRule="auto"/>
        <w:rPr>
          <w:rFonts w:ascii="Times New Roman" w:eastAsia="宋体"/>
          <w:b/>
          <w:bCs/>
          <w:color w:val="000000"/>
          <w:sz w:val="21"/>
          <w:szCs w:val="21"/>
        </w:rPr>
      </w:pPr>
      <w:r/>
      <w:bookmarkStart w:id="134" w:name="_Toc3679"/>
      <w:r/>
      <w:bookmarkStart w:id="135" w:name="_Toc13829"/>
      <w:r/>
      <w:bookmarkStart w:id="136" w:name="_Toc15345"/>
      <w:r/>
      <w:bookmarkStart w:id="137" w:name="_Toc29835"/>
      <w:r/>
      <w:bookmarkStart w:id="138" w:name="_Toc201"/>
      <w:r/>
      <w:bookmarkStart w:id="139" w:name="_Toc30752"/>
      <w:r/>
      <w:bookmarkStart w:id="140" w:name="OLE_LINK7"/>
      <w:r/>
      <w:bookmarkStart w:id="141" w:name="OLE_LINK3"/>
      <w:r/>
      <w:bookmarkStart w:id="142" w:name="_Toc6944"/>
      <w:r>
        <w:rPr>
          <w:rFonts w:ascii="Times New Roman" w:eastAsia="宋体"/>
          <w:b/>
          <w:bCs/>
          <w:color w:val="000000"/>
          <w:sz w:val="21"/>
          <w:szCs w:val="21"/>
        </w:rPr>
        <w:t xml:space="preserve">18.开标</w:t>
      </w:r>
      <w:bookmarkEnd w:id="134"/>
      <w:r/>
      <w:bookmarkEnd w:id="135"/>
      <w:r/>
      <w:bookmarkEnd w:id="136"/>
      <w:r/>
      <w:bookmarkEnd w:id="137"/>
      <w:r/>
      <w:bookmarkEnd w:id="138"/>
      <w:r/>
      <w:bookmarkEnd w:id="139"/>
      <w:r/>
      <w:bookmarkEnd w:id="140"/>
      <w:r/>
      <w:bookmarkEnd w:id="141"/>
      <w:r/>
      <w:r/>
    </w:p>
    <w:p>
      <w:pPr>
        <w:ind w:firstLine="420"/>
        <w:spacing w:line="360" w:lineRule="auto"/>
        <w:rPr>
          <w:bCs/>
          <w:szCs w:val="21"/>
        </w:rPr>
      </w:pPr>
      <w:r>
        <w:rPr>
          <w:bCs/>
          <w:szCs w:val="21"/>
        </w:rPr>
        <w:t xml:space="preserve">18.1采购人将在招标公告中规定的时间和地点组织公开开标。投标人应当按照《操作手册》规定，参加开标活动和在苏采云系统规定的时间内对投标文件进行解密。</w:t>
      </w:r>
      <w:r/>
    </w:p>
    <w:p>
      <w:pPr>
        <w:ind w:firstLine="420"/>
        <w:spacing w:line="360" w:lineRule="auto"/>
        <w:rPr>
          <w:bCs/>
          <w:szCs w:val="21"/>
        </w:rPr>
      </w:pPr>
      <w:r>
        <w:rPr>
          <w:bCs/>
          <w:szCs w:val="21"/>
        </w:rPr>
        <w:t xml:space="preserve">18.2开标仪式由采购人组织。苏采云系统将自动对项目进行开标，并宣布各投标人名称和投标价格。</w:t>
      </w:r>
      <w:r/>
    </w:p>
    <w:p>
      <w:pPr>
        <w:ind w:firstLine="420"/>
        <w:spacing w:line="360" w:lineRule="auto"/>
        <w:rPr>
          <w:bCs/>
          <w:szCs w:val="21"/>
        </w:rPr>
      </w:pPr>
      <w:r>
        <w:rPr>
          <w:bCs/>
          <w:szCs w:val="21"/>
        </w:rPr>
        <w:t xml:space="preserve">18.3投标人在开标过程中涉及到的投标文件解密、开标结果确认等工作，应按照《操作手册》规定执行。</w:t>
      </w:r>
      <w:r/>
    </w:p>
    <w:p>
      <w:pPr>
        <w:ind w:firstLine="420"/>
        <w:spacing w:line="360" w:lineRule="auto"/>
        <w:rPr>
          <w:bCs/>
          <w:szCs w:val="21"/>
        </w:rPr>
      </w:pPr>
      <w:r>
        <w:rPr>
          <w:bCs/>
          <w:szCs w:val="21"/>
        </w:rPr>
        <w:t xml:space="preserve">18.4投标人如果对开标过程和开标记录有疑义，应当根据《操作手册》规定提出，如 苏采云系统中《开标记录表》宣布后5分钟内未提出的，视同认可开标结果。</w:t>
      </w:r>
      <w:bookmarkEnd w:id="142"/>
      <w:r/>
      <w:r/>
    </w:p>
    <w:p>
      <w:pPr>
        <w:pStyle w:val="1142"/>
        <w:ind w:left="0" w:firstLine="422"/>
        <w:jc w:val="both"/>
        <w:spacing w:line="360" w:lineRule="auto"/>
        <w:rPr>
          <w:rFonts w:ascii="Times New Roman" w:eastAsia="宋体"/>
          <w:b/>
          <w:bCs/>
          <w:color w:val="000000"/>
          <w:sz w:val="21"/>
          <w:szCs w:val="21"/>
        </w:rPr>
      </w:pPr>
      <w:r/>
      <w:bookmarkStart w:id="143" w:name="_Toc4585"/>
      <w:r/>
      <w:bookmarkStart w:id="144" w:name="_Toc27911"/>
      <w:r/>
      <w:bookmarkStart w:id="145" w:name="_Toc18343"/>
      <w:r/>
      <w:bookmarkStart w:id="146" w:name="_Toc29284"/>
      <w:r/>
      <w:bookmarkStart w:id="147" w:name="_Toc16938547"/>
      <w:r/>
      <w:bookmarkStart w:id="148" w:name="_Toc20823303"/>
      <w:r/>
      <w:bookmarkStart w:id="149" w:name="_Toc513029231"/>
      <w:r>
        <w:rPr>
          <w:rFonts w:ascii="Times New Roman" w:eastAsia="宋体"/>
          <w:b/>
          <w:bCs/>
          <w:color w:val="000000"/>
          <w:sz w:val="21"/>
          <w:szCs w:val="21"/>
        </w:rPr>
        <w:t xml:space="preserve">19.评标组织</w:t>
      </w:r>
      <w:bookmarkEnd w:id="143"/>
      <w:r/>
      <w:bookmarkEnd w:id="144"/>
      <w:r/>
      <w:bookmarkEnd w:id="145"/>
      <w:r/>
      <w:r/>
    </w:p>
    <w:p>
      <w:pPr>
        <w:ind w:firstLine="420"/>
        <w:spacing w:line="360" w:lineRule="auto"/>
        <w:rPr>
          <w:bCs/>
          <w:szCs w:val="21"/>
        </w:rPr>
      </w:pPr>
      <w:r>
        <w:rPr>
          <w:bCs/>
          <w:szCs w:val="21"/>
        </w:rPr>
        <w:t xml:space="preserve">19.1评标工作由采购代理机构负责组织，具体评标事务由依法组建的评标委员会负责，并独立履行下列职责：</w:t>
      </w:r>
      <w:r/>
    </w:p>
    <w:p>
      <w:pPr>
        <w:ind w:firstLine="420"/>
        <w:spacing w:line="360" w:lineRule="auto"/>
        <w:rPr>
          <w:bCs/>
          <w:szCs w:val="21"/>
        </w:rPr>
      </w:pPr>
      <w:r>
        <w:rPr>
          <w:bCs/>
          <w:szCs w:val="21"/>
        </w:rPr>
        <w:t xml:space="preserve">（1）审查、评价投标文件是否符合招标文件的商务、技术等实质性要求；</w:t>
      </w:r>
      <w:r/>
    </w:p>
    <w:p>
      <w:pPr>
        <w:ind w:firstLine="420"/>
        <w:spacing w:line="360" w:lineRule="auto"/>
        <w:rPr>
          <w:bCs/>
          <w:szCs w:val="21"/>
        </w:rPr>
      </w:pPr>
      <w:r>
        <w:rPr>
          <w:bCs/>
          <w:szCs w:val="21"/>
        </w:rPr>
        <w:t xml:space="preserve">（2）要求供应商对投标文件有关事项作出澄清或者说明；</w:t>
      </w:r>
      <w:r/>
    </w:p>
    <w:p>
      <w:pPr>
        <w:ind w:firstLine="420"/>
        <w:spacing w:line="360" w:lineRule="auto"/>
        <w:rPr>
          <w:bCs/>
          <w:szCs w:val="21"/>
        </w:rPr>
      </w:pPr>
      <w:r>
        <w:rPr>
          <w:bCs/>
          <w:szCs w:val="21"/>
        </w:rPr>
        <w:t xml:space="preserve">（3）对投标文件进行比较和评价；</w:t>
      </w:r>
      <w:r/>
    </w:p>
    <w:p>
      <w:pPr>
        <w:ind w:firstLine="420"/>
        <w:spacing w:line="360" w:lineRule="auto"/>
        <w:rPr>
          <w:bCs/>
          <w:szCs w:val="21"/>
        </w:rPr>
      </w:pPr>
      <w:r>
        <w:rPr>
          <w:bCs/>
          <w:szCs w:val="21"/>
        </w:rPr>
        <w:t xml:space="preserve">（4）确定中标候选人名单，以及根据采购人委托直接确定中标供应商；</w:t>
      </w:r>
      <w:r/>
    </w:p>
    <w:p>
      <w:pPr>
        <w:ind w:firstLine="420"/>
        <w:spacing w:line="360" w:lineRule="auto"/>
        <w:rPr>
          <w:bCs/>
          <w:szCs w:val="21"/>
        </w:rPr>
      </w:pPr>
      <w:r>
        <w:rPr>
          <w:bCs/>
          <w:szCs w:val="21"/>
        </w:rPr>
        <w:t xml:space="preserve">（5）向采购人、采购代理机构或者有关部门报告评标中发现的违法行为。</w:t>
      </w:r>
      <w:r/>
    </w:p>
    <w:p>
      <w:pPr>
        <w:ind w:firstLine="420"/>
        <w:spacing w:line="360" w:lineRule="auto"/>
        <w:rPr>
          <w:bCs/>
          <w:szCs w:val="21"/>
        </w:rPr>
      </w:pPr>
      <w:r>
        <w:rPr>
          <w:bCs/>
          <w:szCs w:val="21"/>
        </w:rPr>
        <w:t xml:space="preserve">19.2评标委员会由采购人代表和有关技术、经济等方面的专家组成，独立开展评审工作且评标委员会人员构成符合有关规定。</w:t>
      </w:r>
      <w:bookmarkEnd w:id="146"/>
      <w:r/>
      <w:bookmarkEnd w:id="147"/>
      <w:r/>
      <w:bookmarkEnd w:id="148"/>
      <w:r/>
      <w:bookmarkEnd w:id="149"/>
      <w:r/>
      <w:r/>
    </w:p>
    <w:p>
      <w:pPr>
        <w:pStyle w:val="1142"/>
        <w:ind w:left="0" w:firstLine="422"/>
        <w:jc w:val="both"/>
        <w:spacing w:line="360" w:lineRule="auto"/>
        <w:rPr>
          <w:rFonts w:ascii="Times New Roman" w:eastAsia="宋体"/>
          <w:b/>
          <w:bCs/>
          <w:color w:val="000000"/>
          <w:sz w:val="21"/>
          <w:szCs w:val="21"/>
        </w:rPr>
      </w:pPr>
      <w:r/>
      <w:bookmarkStart w:id="150" w:name="_Toc21772"/>
      <w:r/>
      <w:bookmarkStart w:id="151" w:name="_Toc862"/>
      <w:r/>
      <w:bookmarkStart w:id="152" w:name="_Toc30767"/>
      <w:r/>
      <w:bookmarkStart w:id="153" w:name="_Toc32113"/>
      <w:r/>
      <w:bookmarkStart w:id="154" w:name="_Toc26401"/>
      <w:r/>
      <w:bookmarkStart w:id="155" w:name="_Toc16496"/>
      <w:r>
        <w:rPr>
          <w:rFonts w:ascii="Times New Roman" w:eastAsia="宋体"/>
          <w:b/>
          <w:bCs/>
          <w:color w:val="000000"/>
          <w:sz w:val="21"/>
          <w:szCs w:val="21"/>
        </w:rPr>
        <w:t xml:space="preserve">20.</w:t>
      </w:r>
      <w:bookmarkEnd w:id="150"/>
      <w:r/>
      <w:bookmarkEnd w:id="151"/>
      <w:r>
        <w:rPr>
          <w:rFonts w:ascii="Times New Roman" w:eastAsia="宋体"/>
          <w:b/>
          <w:bCs/>
          <w:color w:val="000000"/>
          <w:sz w:val="21"/>
          <w:szCs w:val="21"/>
        </w:rPr>
        <w:t xml:space="preserve">对投标文件的资格性审查和符合性审查</w:t>
      </w:r>
      <w:bookmarkEnd w:id="152"/>
      <w:r/>
      <w:bookmarkEnd w:id="153"/>
      <w:r/>
      <w:bookmarkEnd w:id="154"/>
      <w:r/>
      <w:r/>
    </w:p>
    <w:p>
      <w:pPr>
        <w:ind w:firstLine="420"/>
        <w:spacing w:line="360" w:lineRule="auto"/>
        <w:rPr>
          <w:bCs/>
          <w:szCs w:val="21"/>
        </w:rPr>
      </w:pPr>
      <w:r>
        <w:rPr>
          <w:bCs/>
          <w:szCs w:val="21"/>
        </w:rPr>
        <w:t xml:space="preserve">20.1投标文件初审分为资格性审查和符合性审查。</w:t>
      </w:r>
      <w:r/>
    </w:p>
    <w:p>
      <w:pPr>
        <w:ind w:firstLine="420"/>
        <w:spacing w:line="360" w:lineRule="auto"/>
        <w:rPr>
          <w:bCs/>
          <w:szCs w:val="21"/>
        </w:rPr>
      </w:pPr>
      <w:r>
        <w:rPr>
          <w:bCs/>
          <w:szCs w:val="21"/>
        </w:rPr>
        <w:t xml:space="preserve">资格性审查：采购人或者采购代理机构依据法律法规和招标文件的规定，对投标文件中</w:t>
      </w:r>
      <w:r>
        <w:rPr>
          <w:b/>
          <w:szCs w:val="21"/>
        </w:rPr>
        <w:t xml:space="preserve">资格证明文件、投标保证金（如有）</w:t>
      </w:r>
      <w:r>
        <w:rPr>
          <w:bCs/>
          <w:szCs w:val="21"/>
        </w:rPr>
        <w:t xml:space="preserve">进行审查，以确定供应商是否具备投标资格。</w:t>
      </w:r>
      <w:r/>
    </w:p>
    <w:p>
      <w:pPr>
        <w:ind w:firstLine="420"/>
        <w:spacing w:line="360" w:lineRule="auto"/>
        <w:rPr>
          <w:bCs/>
          <w:szCs w:val="21"/>
        </w:rPr>
      </w:pPr>
      <w:r>
        <w:rPr>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p>
    <w:p>
      <w:pPr>
        <w:ind w:firstLine="420"/>
        <w:spacing w:line="360" w:lineRule="auto"/>
        <w:rPr>
          <w:bCs/>
          <w:szCs w:val="21"/>
        </w:rPr>
      </w:pPr>
      <w:r>
        <w:rPr>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rPr>
          <w:bCs/>
          <w:szCs w:val="21"/>
        </w:rPr>
      </w:pPr>
      <w:r>
        <w:rPr>
          <w:bCs/>
          <w:szCs w:val="21"/>
        </w:rPr>
        <w:t xml:space="preserve">20.3未实质性响应招标文件要求的将视为无效投标，</w:t>
      </w:r>
      <w:r>
        <w:rPr>
          <w:b/>
          <w:szCs w:val="21"/>
        </w:rPr>
        <w:t xml:space="preserve">供应商不得通过修正或撤销不符合要求的偏离从而使其投标成为实质性响应</w:t>
      </w:r>
      <w:r>
        <w:rPr>
          <w:bCs/>
          <w:szCs w:val="21"/>
        </w:rPr>
        <w:t xml:space="preserve">。如发现下列情况之一的，将视为无效投标：</w:t>
      </w:r>
      <w:r/>
    </w:p>
    <w:p>
      <w:pPr>
        <w:ind w:firstLine="420"/>
        <w:spacing w:line="360" w:lineRule="auto"/>
        <w:rPr>
          <w:bCs/>
          <w:szCs w:val="21"/>
        </w:rPr>
      </w:pPr>
      <w:r>
        <w:rPr>
          <w:bCs/>
          <w:szCs w:val="21"/>
        </w:rPr>
        <w:t xml:space="preserve">（1）未按照招标文件规定要求密封、签署、盖章的；</w:t>
      </w:r>
      <w:r/>
    </w:p>
    <w:p>
      <w:pPr>
        <w:ind w:firstLine="420"/>
        <w:spacing w:line="360" w:lineRule="auto"/>
        <w:rPr>
          <w:bCs/>
          <w:szCs w:val="21"/>
        </w:rPr>
      </w:pPr>
      <w:r>
        <w:rPr>
          <w:bCs/>
          <w:szCs w:val="21"/>
        </w:rPr>
        <w:t xml:space="preserve">（2）投标有效期不足的；</w:t>
      </w:r>
      <w:r/>
    </w:p>
    <w:p>
      <w:pPr>
        <w:ind w:firstLine="420"/>
        <w:spacing w:line="360" w:lineRule="auto"/>
        <w:rPr>
          <w:bCs/>
          <w:szCs w:val="21"/>
        </w:rPr>
      </w:pPr>
      <w:r>
        <w:rPr>
          <w:bCs/>
          <w:szCs w:val="21"/>
        </w:rPr>
        <w:t xml:space="preserve">（3）不同供应商的投标文件由同一单位或者个人编制；</w:t>
      </w:r>
      <w:r/>
    </w:p>
    <w:p>
      <w:pPr>
        <w:ind w:firstLine="420"/>
        <w:spacing w:line="360" w:lineRule="auto"/>
        <w:rPr>
          <w:bCs/>
          <w:szCs w:val="21"/>
        </w:rPr>
      </w:pPr>
      <w:r>
        <w:rPr>
          <w:bCs/>
          <w:szCs w:val="21"/>
        </w:rPr>
        <w:t xml:space="preserve">（4）不同供应商委托同一单位或者个人办理投标事宜；</w:t>
      </w:r>
      <w:r/>
    </w:p>
    <w:p>
      <w:pPr>
        <w:ind w:firstLine="420"/>
        <w:spacing w:line="360" w:lineRule="auto"/>
        <w:rPr>
          <w:bCs/>
          <w:szCs w:val="21"/>
        </w:rPr>
      </w:pPr>
      <w:r>
        <w:rPr>
          <w:bCs/>
          <w:szCs w:val="21"/>
        </w:rPr>
        <w:t xml:space="preserve">（5）不同供应商的投标文件载明的项目管理成员或者联系人员为同一人；</w:t>
      </w:r>
      <w:r/>
    </w:p>
    <w:p>
      <w:pPr>
        <w:ind w:firstLine="420"/>
        <w:spacing w:line="360" w:lineRule="auto"/>
        <w:rPr>
          <w:bCs/>
          <w:szCs w:val="21"/>
        </w:rPr>
      </w:pPr>
      <w:r>
        <w:rPr>
          <w:bCs/>
          <w:szCs w:val="21"/>
        </w:rPr>
        <w:t xml:space="preserve">（6）不同供应商的投标文件异常一致或者投标报价呈规律性差异；</w:t>
      </w:r>
      <w:r/>
    </w:p>
    <w:p>
      <w:pPr>
        <w:ind w:firstLine="420"/>
        <w:spacing w:line="360" w:lineRule="auto"/>
        <w:rPr>
          <w:bCs/>
          <w:szCs w:val="21"/>
        </w:rPr>
      </w:pPr>
      <w:r>
        <w:rPr>
          <w:bCs/>
          <w:szCs w:val="21"/>
        </w:rPr>
        <w:t xml:space="preserve">（7）不同供应商的投标文件相互混装；</w:t>
      </w:r>
      <w:r/>
    </w:p>
    <w:p>
      <w:pPr>
        <w:ind w:firstLine="420"/>
        <w:spacing w:line="360" w:lineRule="auto"/>
        <w:rPr>
          <w:bCs/>
          <w:szCs w:val="21"/>
        </w:rPr>
      </w:pPr>
      <w:r>
        <w:rPr>
          <w:bCs/>
          <w:szCs w:val="21"/>
        </w:rPr>
        <w:t xml:space="preserve">（8）不同供应商的投标保证金从同一单位或者个人的账户转出；</w:t>
      </w:r>
      <w:r/>
    </w:p>
    <w:p>
      <w:pPr>
        <w:ind w:firstLine="420"/>
        <w:spacing w:line="360" w:lineRule="auto"/>
        <w:rPr>
          <w:bCs/>
          <w:szCs w:val="21"/>
        </w:rPr>
      </w:pPr>
      <w:r>
        <w:rPr>
          <w:bCs/>
          <w:szCs w:val="21"/>
        </w:rPr>
        <w:t xml:space="preserve">（9）报价超过招标文件中规定的项目预算或者最高限价的；</w:t>
      </w:r>
      <w:r/>
    </w:p>
    <w:p>
      <w:pPr>
        <w:ind w:firstLine="420"/>
        <w:spacing w:line="360" w:lineRule="auto"/>
        <w:rPr>
          <w:bCs/>
          <w:szCs w:val="21"/>
        </w:rPr>
      </w:pPr>
      <w:r>
        <w:rPr>
          <w:bCs/>
          <w:szCs w:val="21"/>
        </w:rPr>
        <w:t xml:space="preserve">（10）投标文件含有采购人不能接受的附加条件的；</w:t>
      </w:r>
      <w:r/>
    </w:p>
    <w:p>
      <w:pPr>
        <w:ind w:firstLine="420"/>
        <w:spacing w:line="360" w:lineRule="auto"/>
        <w:rPr>
          <w:bCs/>
          <w:szCs w:val="21"/>
        </w:rPr>
      </w:pPr>
      <w:r>
        <w:rPr>
          <w:bCs/>
          <w:szCs w:val="21"/>
        </w:rPr>
        <w:t xml:space="preserve">（11）不同供应商的负责人为同一人或者存在控股、管理关系的；</w:t>
      </w:r>
      <w:r/>
    </w:p>
    <w:p>
      <w:pPr>
        <w:ind w:firstLine="420"/>
        <w:spacing w:line="360" w:lineRule="auto"/>
        <w:rPr>
          <w:bCs/>
          <w:szCs w:val="21"/>
        </w:rPr>
      </w:pPr>
      <w:r>
        <w:rPr>
          <w:bCs/>
          <w:szCs w:val="21"/>
        </w:rPr>
        <w:t xml:space="preserve">（12）法律、法规和招标文件规定的其他无效情形。</w:t>
      </w:r>
      <w:r/>
    </w:p>
    <w:p>
      <w:pPr>
        <w:ind w:firstLine="420"/>
        <w:spacing w:line="360" w:lineRule="auto"/>
        <w:rPr>
          <w:bCs/>
          <w:szCs w:val="21"/>
        </w:rPr>
      </w:pPr>
      <w:r>
        <w:rPr>
          <w:bCs/>
          <w:szCs w:val="21"/>
        </w:rPr>
        <w:t xml:space="preserve">20</w:t>
      </w:r>
      <w:r>
        <w:rPr>
          <w:bCs/>
          <w:color w:val="0000ff"/>
          <w:szCs w:val="21"/>
        </w:rPr>
        <w:t xml:space="preserve">.</w:t>
      </w:r>
      <w:r>
        <w:rPr>
          <w:bCs/>
          <w:color w:val="000000"/>
          <w:szCs w:val="21"/>
        </w:rPr>
        <w:t xml:space="preserve">4</w:t>
      </w:r>
      <w:r>
        <w:rPr>
          <w:bCs/>
          <w:szCs w:val="21"/>
        </w:rPr>
        <w:t xml:space="preserve">评标委员会在初审中，对明显的文字和算术错误的修正原则如下：</w:t>
      </w:r>
      <w:r/>
    </w:p>
    <w:p>
      <w:pPr>
        <w:ind w:firstLine="422"/>
        <w:spacing w:line="360" w:lineRule="auto"/>
        <w:rPr>
          <w:bCs/>
          <w:szCs w:val="21"/>
        </w:rPr>
      </w:pPr>
      <w:r>
        <w:rPr>
          <w:b/>
          <w:szCs w:val="21"/>
        </w:rPr>
        <w:t xml:space="preserve">（1）《开标一览表》（报价表）内容与投标文件中相应内容不一致的，以《开标一览表》（报价表）为准</w:t>
      </w:r>
      <w:r>
        <w:rPr>
          <w:bCs/>
          <w:szCs w:val="21"/>
        </w:rPr>
        <w:t xml:space="preserve">；</w:t>
      </w:r>
      <w:r/>
    </w:p>
    <w:p>
      <w:pPr>
        <w:ind w:firstLine="420"/>
        <w:spacing w:line="360" w:lineRule="auto"/>
        <w:rPr>
          <w:bCs/>
          <w:szCs w:val="21"/>
        </w:rPr>
      </w:pPr>
      <w:r>
        <w:rPr>
          <w:bCs/>
          <w:szCs w:val="21"/>
        </w:rPr>
        <w:t xml:space="preserve">（2）投标文件的大写金额与小写金额不一致的，以大写金额为准；</w:t>
      </w:r>
      <w:r/>
    </w:p>
    <w:p>
      <w:pPr>
        <w:ind w:firstLine="420"/>
        <w:spacing w:line="360" w:lineRule="auto"/>
        <w:rPr>
          <w:bCs/>
          <w:szCs w:val="21"/>
        </w:rPr>
      </w:pPr>
      <w:r>
        <w:rPr>
          <w:bCs/>
          <w:szCs w:val="21"/>
        </w:rPr>
        <w:t xml:space="preserve">（3）总价金额与单价金额不一致的，以单价金额计算结果为准；</w:t>
      </w:r>
      <w:r/>
    </w:p>
    <w:p>
      <w:pPr>
        <w:ind w:firstLine="420"/>
        <w:spacing w:line="360" w:lineRule="auto"/>
        <w:rPr>
          <w:bCs/>
          <w:szCs w:val="21"/>
        </w:rPr>
      </w:pPr>
      <w:r>
        <w:rPr>
          <w:bCs/>
          <w:szCs w:val="21"/>
        </w:rPr>
        <w:t xml:space="preserve">（4）单价金额小数点有明显错位的，以总价金额为准，并修改单价金额；</w:t>
      </w:r>
      <w:r/>
    </w:p>
    <w:p>
      <w:pPr>
        <w:ind w:firstLine="420"/>
        <w:spacing w:line="360" w:lineRule="auto"/>
        <w:rPr>
          <w:bCs/>
          <w:szCs w:val="21"/>
        </w:rPr>
      </w:pPr>
      <w:r>
        <w:rPr>
          <w:bCs/>
          <w:szCs w:val="21"/>
        </w:rPr>
        <w:t xml:space="preserve">（5）对不同文字文本投标文件的解释发生异议的，以中文文本为准；如果正本投标文件和副本投标文件之间有差异，则以正本投标文件为准。</w:t>
      </w:r>
      <w:r/>
    </w:p>
    <w:p>
      <w:pPr>
        <w:ind w:firstLine="420"/>
        <w:spacing w:line="360" w:lineRule="auto"/>
        <w:rPr>
          <w:bCs/>
          <w:szCs w:val="21"/>
        </w:rPr>
      </w:pPr>
      <w:r>
        <w:rPr>
          <w:bCs/>
          <w:szCs w:val="21"/>
        </w:rPr>
        <w:t xml:space="preserve">同时出现两种以上不一致的，按照前款规定的顺序修正。修正后的报价由法定代表人或其授权的代表签字确认后产生约束力，供应商不确认的，投标无效。</w:t>
      </w:r>
      <w:bookmarkEnd w:id="155"/>
      <w:r/>
      <w:r/>
    </w:p>
    <w:p>
      <w:pPr>
        <w:ind w:firstLine="422"/>
        <w:spacing w:line="360" w:lineRule="auto"/>
        <w:rPr>
          <w:b/>
          <w:szCs w:val="21"/>
        </w:rPr>
      </w:pPr>
      <w:r/>
      <w:bookmarkStart w:id="156" w:name="_Toc25188"/>
      <w:r/>
      <w:bookmarkStart w:id="157" w:name="_Toc13685"/>
      <w:r>
        <w:rPr>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p>
    <w:p>
      <w:pPr>
        <w:ind w:firstLine="422"/>
        <w:spacing w:line="360" w:lineRule="auto"/>
        <w:rPr>
          <w:b/>
          <w:szCs w:val="21"/>
        </w:rPr>
      </w:pPr>
      <w:r>
        <w:rPr>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p>
    <w:p>
      <w:pPr>
        <w:ind w:firstLine="422"/>
        <w:spacing w:line="360" w:lineRule="auto"/>
        <w:rPr>
          <w:b/>
          <w:szCs w:val="21"/>
        </w:rPr>
      </w:pPr>
      <w:r>
        <w:rPr>
          <w:b/>
          <w:szCs w:val="21"/>
        </w:rPr>
        <w:t xml:space="preserve">20.7异常低价投标（响应）审查：</w:t>
      </w:r>
      <w:r/>
    </w:p>
    <w:p>
      <w:pPr>
        <w:ind w:firstLine="420"/>
        <w:spacing w:line="360" w:lineRule="auto"/>
        <w:rPr>
          <w:szCs w:val="21"/>
        </w:rPr>
      </w:pPr>
      <w:r>
        <w:rPr>
          <w:szCs w:val="21"/>
        </w:rPr>
        <w:t xml:space="preserve">（1）评审过程中出现下列情形之一的，评审委员会应当启动异常低价投标（响应）审查程序：</w:t>
      </w:r>
      <w:r/>
    </w:p>
    <w:p>
      <w:pPr>
        <w:ind w:firstLine="420"/>
        <w:spacing w:line="360" w:lineRule="auto"/>
        <w:rPr>
          <w:szCs w:val="21"/>
        </w:rPr>
      </w:pPr>
      <w:r>
        <w:rPr>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szCs w:val="21"/>
        </w:rPr>
      </w:pPr>
      <w:r>
        <w:rPr>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szCs w:val="21"/>
        </w:rPr>
      </w:pPr>
      <w:r>
        <w:rPr>
          <w:szCs w:val="21"/>
        </w:rPr>
        <w:t xml:space="preserve">3.投标（响应）报价低于采购项目最高限价45%的，即投标（响应）报价&lt;采购项目最高限价×45%；</w:t>
      </w:r>
      <w:r/>
    </w:p>
    <w:p>
      <w:pPr>
        <w:ind w:firstLine="420"/>
        <w:spacing w:line="360" w:lineRule="auto"/>
        <w:rPr>
          <w:color w:val="000000"/>
          <w:szCs w:val="21"/>
        </w:rPr>
      </w:pPr>
      <w:r>
        <w:rPr>
          <w:szCs w:val="21"/>
        </w:rPr>
        <w:t xml:space="preserve">4.评审委员会基于专业判断，认为供应商报价过低，有可能影响产品质量或者不能诚信履约的其他情形。</w:t>
      </w:r>
      <w:r/>
    </w:p>
    <w:p>
      <w:pPr>
        <w:ind w:firstLine="420"/>
        <w:spacing w:line="360" w:lineRule="auto"/>
        <w:rPr>
          <w:szCs w:val="21"/>
        </w:rPr>
      </w:pPr>
      <w:r>
        <w:rPr>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szCs w:val="21"/>
        </w:rPr>
      </w:pPr>
      <w:r>
        <w:rPr>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szCs w:val="21"/>
        </w:rPr>
      </w:pPr>
      <w:r>
        <w:rPr>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bCs/>
          <w:szCs w:val="21"/>
        </w:rPr>
      </w:pPr>
      <w:r>
        <w:rPr>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b/>
          <w:szCs w:val="21"/>
        </w:rPr>
      </w:pPr>
      <w:r>
        <w:rPr>
          <w:b/>
          <w:szCs w:val="21"/>
        </w:rPr>
        <w:t xml:space="preserve">20.8评标委员会在评标时只能依据招标文件规定的办法进行评审，不得寻求外部的证据。</w:t>
      </w:r>
      <w:r/>
    </w:p>
    <w:p>
      <w:pPr>
        <w:pStyle w:val="1142"/>
        <w:ind w:left="0" w:firstLine="422"/>
        <w:jc w:val="both"/>
        <w:spacing w:line="360" w:lineRule="auto"/>
        <w:rPr>
          <w:rFonts w:ascii="Times New Roman" w:eastAsia="宋体"/>
          <w:b/>
          <w:bCs/>
          <w:sz w:val="21"/>
          <w:szCs w:val="21"/>
        </w:rPr>
      </w:pPr>
      <w:r/>
      <w:bookmarkStart w:id="158" w:name="_Toc8788"/>
      <w:r/>
      <w:bookmarkStart w:id="159" w:name="_Toc28258"/>
      <w:r>
        <w:rPr>
          <w:rFonts w:ascii="Times New Roman" w:eastAsia="宋体"/>
          <w:b/>
          <w:bCs/>
          <w:sz w:val="21"/>
          <w:szCs w:val="21"/>
        </w:rPr>
        <w:t xml:space="preserve">21.投标文件的澄清</w:t>
      </w:r>
      <w:bookmarkEnd w:id="156"/>
      <w:r/>
      <w:bookmarkEnd w:id="158"/>
      <w:r/>
      <w:bookmarkEnd w:id="159"/>
      <w:r/>
      <w:r/>
    </w:p>
    <w:p>
      <w:pPr>
        <w:ind w:firstLine="420"/>
        <w:spacing w:line="360" w:lineRule="auto"/>
        <w:rPr>
          <w:bCs/>
          <w:szCs w:val="21"/>
        </w:rPr>
      </w:pPr>
      <w:r>
        <w:rPr>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360" w:lineRule="auto"/>
        <w:rPr>
          <w:bCs/>
          <w:szCs w:val="21"/>
        </w:rPr>
      </w:pPr>
      <w:r>
        <w:rPr>
          <w:bCs/>
          <w:szCs w:val="21"/>
        </w:rPr>
        <w:t xml:space="preserve">21.2 评标委员会应当给供应商以足够合理的时间作出澄清、说明或者补正，供应商必须按照评标委员会通知的内容和时间</w:t>
      </w:r>
      <w:r>
        <w:rPr>
          <w:rFonts w:hint="eastAsia"/>
          <w:bCs/>
          <w:szCs w:val="21"/>
        </w:rPr>
        <w:t xml:space="preserve">作出</w:t>
      </w:r>
      <w:r>
        <w:rPr>
          <w:bCs/>
          <w:szCs w:val="21"/>
        </w:rPr>
        <w:t xml:space="preserve">书面答复，该答复经法定代表人或其授权代表的签字，或者加盖公章认可，将作为投标文件内容的一部分。</w:t>
      </w:r>
      <w:r/>
    </w:p>
    <w:p>
      <w:pPr>
        <w:ind w:firstLine="420"/>
        <w:spacing w:line="360" w:lineRule="auto"/>
        <w:rPr>
          <w:bCs/>
          <w:szCs w:val="21"/>
        </w:rPr>
      </w:pPr>
      <w:r>
        <w:rPr>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bCs/>
          <w:szCs w:val="21"/>
        </w:rPr>
      </w:pPr>
      <w:r>
        <w:rPr>
          <w:bCs/>
          <w:szCs w:val="21"/>
        </w:rPr>
        <w:t xml:space="preserve">21.4供应商澄清、说明或者补正不得超出投标文件的范围或者改变投标文件的实质性内容。供应商拒不按照要求对投标文件进行澄清、说明或者补正的，视其放弃该项权利。</w:t>
      </w:r>
      <w:r/>
    </w:p>
    <w:p>
      <w:pPr>
        <w:pStyle w:val="1142"/>
        <w:ind w:left="0" w:firstLine="422"/>
        <w:jc w:val="both"/>
        <w:spacing w:line="360" w:lineRule="auto"/>
        <w:rPr>
          <w:rFonts w:ascii="Times New Roman" w:eastAsia="宋体"/>
          <w:b/>
          <w:bCs/>
          <w:sz w:val="21"/>
          <w:szCs w:val="21"/>
        </w:rPr>
      </w:pPr>
      <w:r/>
      <w:bookmarkStart w:id="160" w:name="_Toc1213"/>
      <w:r/>
      <w:bookmarkStart w:id="161" w:name="_Toc438"/>
      <w:r/>
      <w:bookmarkStart w:id="162" w:name="_Toc9825"/>
      <w:r>
        <w:rPr>
          <w:rFonts w:ascii="Times New Roman" w:eastAsia="宋体"/>
          <w:b/>
          <w:bCs/>
          <w:sz w:val="21"/>
          <w:szCs w:val="21"/>
        </w:rPr>
        <w:t xml:space="preserve">22.对投标文件的详细评审</w:t>
      </w:r>
      <w:bookmarkEnd w:id="160"/>
      <w:r/>
      <w:bookmarkEnd w:id="161"/>
      <w:r/>
      <w:bookmarkEnd w:id="162"/>
      <w:r/>
      <w:bookmarkEnd w:id="157"/>
      <w:r/>
      <w:r/>
    </w:p>
    <w:p>
      <w:pPr>
        <w:ind w:firstLine="420"/>
        <w:spacing w:line="360" w:lineRule="auto"/>
        <w:rPr>
          <w:szCs w:val="21"/>
        </w:rPr>
      </w:pPr>
      <w:r/>
      <w:bookmarkStart w:id="163" w:name="_Toc12358"/>
      <w:r/>
      <w:bookmarkStart w:id="164" w:name="_Toc28875"/>
      <w:r/>
      <w:bookmarkStart w:id="165" w:name="_Toc21985"/>
      <w:r/>
      <w:bookmarkStart w:id="166" w:name="_Toc26838"/>
      <w:r>
        <w:rPr>
          <w:bCs/>
          <w:szCs w:val="21"/>
        </w:rPr>
        <w:t xml:space="preserve">22.1</w:t>
      </w:r>
      <w:r>
        <w:rPr>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szCs w:val="21"/>
        </w:rPr>
      </w:pPr>
      <w:r>
        <w:rPr>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bCs/>
          <w:szCs w:val="21"/>
        </w:rPr>
        <w:t xml:space="preserve">取技术分最高者；均相同时，由</w:t>
      </w:r>
      <w:r>
        <w:rPr>
          <w:szCs w:val="21"/>
        </w:rPr>
        <w:t xml:space="preserve">评标委员会</w:t>
      </w:r>
      <w:r>
        <w:rPr>
          <w:bCs/>
          <w:szCs w:val="21"/>
        </w:rPr>
        <w:t xml:space="preserve">集体决定</w:t>
      </w:r>
      <w:r>
        <w:rPr>
          <w:szCs w:val="21"/>
        </w:rPr>
        <w:t xml:space="preserve">一个供应商获得中标供应商推荐资格，或采取随机抽取方式确定，其他同品牌供应商不作为中标候选人。</w:t>
      </w:r>
      <w:r/>
    </w:p>
    <w:p>
      <w:pPr>
        <w:ind w:firstLine="420"/>
        <w:spacing w:line="360" w:lineRule="auto"/>
        <w:rPr>
          <w:szCs w:val="21"/>
        </w:rPr>
      </w:pPr>
      <w:r>
        <w:rPr>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rPr>
          <w:bCs/>
          <w:szCs w:val="21"/>
        </w:rPr>
      </w:pPr>
      <w:r>
        <w:rPr>
          <w:bCs/>
          <w:szCs w:val="21"/>
        </w:rPr>
        <w:t xml:space="preserve">22.2评标委员会应当按照招标文件中规定的评标方法和标准，对符合性审查合格的投标文件进行商务和技术评估，综合比较与评价。</w:t>
      </w:r>
      <w:r/>
    </w:p>
    <w:p>
      <w:pPr>
        <w:ind w:firstLine="420"/>
        <w:spacing w:line="360" w:lineRule="auto"/>
        <w:rPr>
          <w:bCs/>
          <w:szCs w:val="21"/>
        </w:rPr>
      </w:pPr>
      <w:r>
        <w:rPr>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360" w:lineRule="auto"/>
        <w:rPr>
          <w:bCs/>
          <w:szCs w:val="21"/>
        </w:rPr>
      </w:pPr>
      <w:r>
        <w:rPr>
          <w:bCs/>
          <w:szCs w:val="21"/>
        </w:rPr>
        <w:t xml:space="preserve">22.4评审因素包括投标报价、技术或者服务水平、履约能力、售后服务等</w:t>
      </w:r>
      <w:r/>
    </w:p>
    <w:p>
      <w:pPr>
        <w:ind w:firstLine="420"/>
        <w:spacing w:line="360" w:lineRule="auto"/>
        <w:rPr>
          <w:bCs/>
          <w:szCs w:val="21"/>
        </w:rPr>
      </w:pPr>
      <w:r>
        <w:rPr>
          <w:bCs/>
          <w:szCs w:val="21"/>
        </w:rPr>
        <w:t xml:space="preserve">22.5评标标准详见文件第三章。</w:t>
      </w:r>
      <w:r/>
    </w:p>
    <w:p>
      <w:pPr>
        <w:pStyle w:val="1142"/>
        <w:ind w:left="0" w:firstLine="422"/>
        <w:jc w:val="both"/>
        <w:spacing w:line="360" w:lineRule="auto"/>
        <w:rPr>
          <w:rFonts w:ascii="Times New Roman" w:eastAsia="宋体"/>
          <w:b/>
          <w:bCs/>
          <w:sz w:val="21"/>
          <w:szCs w:val="21"/>
        </w:rPr>
      </w:pPr>
      <w:r/>
      <w:bookmarkStart w:id="167" w:name="_Toc11682"/>
      <w:r/>
      <w:bookmarkStart w:id="168" w:name="_Toc12263"/>
      <w:r>
        <w:rPr>
          <w:rFonts w:ascii="Times New Roman" w:eastAsia="宋体"/>
          <w:b/>
          <w:bCs/>
          <w:sz w:val="21"/>
          <w:szCs w:val="21"/>
        </w:rPr>
        <w:t xml:space="preserve">23.评标过程的保密与公正</w:t>
      </w:r>
      <w:bookmarkEnd w:id="163"/>
      <w:r/>
      <w:bookmarkEnd w:id="164"/>
      <w:r/>
      <w:bookmarkEnd w:id="165"/>
      <w:r/>
      <w:bookmarkEnd w:id="167"/>
      <w:r/>
      <w:bookmarkEnd w:id="168"/>
      <w:r/>
      <w:bookmarkEnd w:id="166"/>
      <w:r/>
      <w:r/>
    </w:p>
    <w:p>
      <w:pPr>
        <w:ind w:firstLine="420"/>
        <w:spacing w:line="360" w:lineRule="auto"/>
        <w:rPr>
          <w:bCs/>
          <w:szCs w:val="21"/>
        </w:rPr>
      </w:pPr>
      <w:r/>
      <w:bookmarkStart w:id="169" w:name="_Toc30824"/>
      <w:r/>
      <w:bookmarkStart w:id="170" w:name="_Toc26041"/>
      <w:r/>
      <w:bookmarkStart w:id="171" w:name="_Toc18327"/>
      <w:r>
        <w:rPr>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p>
    <w:p>
      <w:pPr>
        <w:ind w:firstLine="420"/>
        <w:spacing w:line="360" w:lineRule="auto"/>
        <w:rPr>
          <w:bCs/>
          <w:szCs w:val="21"/>
        </w:rPr>
      </w:pPr>
      <w:r>
        <w:rPr>
          <w:bCs/>
          <w:szCs w:val="21"/>
        </w:rPr>
        <w:t xml:space="preserve">23.2在评标过程中，供应商不得以任何行为影响评标过程，否则其投标文件将被作为无效投标文件。</w:t>
      </w:r>
      <w:r/>
    </w:p>
    <w:p>
      <w:pPr>
        <w:ind w:firstLine="420"/>
        <w:spacing w:line="360" w:lineRule="auto"/>
        <w:rPr>
          <w:bCs/>
          <w:szCs w:val="21"/>
        </w:rPr>
      </w:pPr>
      <w:r>
        <w:rPr>
          <w:bCs/>
          <w:szCs w:val="21"/>
        </w:rPr>
        <w:t xml:space="preserve">23.3 采购代理机构和评标委员会不得向落标的供应商解释未中标原因，也不公布评标过程中的相关细节。</w:t>
      </w:r>
      <w:r/>
    </w:p>
    <w:p>
      <w:pPr>
        <w:ind w:firstLine="420"/>
        <w:spacing w:line="360" w:lineRule="auto"/>
        <w:rPr>
          <w:bCs/>
          <w:szCs w:val="21"/>
        </w:rPr>
      </w:pPr>
      <w:r>
        <w:rPr>
          <w:bCs/>
          <w:szCs w:val="21"/>
        </w:rPr>
        <w:t xml:space="preserve">23.4 在评标期间，采购代理机构将指定联络员与供应商进行联络。</w:t>
      </w:r>
      <w:r/>
    </w:p>
    <w:p>
      <w:pPr>
        <w:pStyle w:val="1142"/>
        <w:ind w:left="0" w:firstLine="422"/>
        <w:jc w:val="both"/>
        <w:spacing w:line="360" w:lineRule="auto"/>
        <w:rPr>
          <w:rFonts w:ascii="Times New Roman" w:eastAsia="宋体"/>
          <w:b/>
          <w:bCs/>
          <w:color w:val="000000"/>
          <w:sz w:val="21"/>
          <w:szCs w:val="21"/>
        </w:rPr>
      </w:pPr>
      <w:r/>
      <w:bookmarkStart w:id="172" w:name="_Toc6245"/>
      <w:r/>
      <w:bookmarkStart w:id="173" w:name="_Toc23312"/>
      <w:r/>
      <w:bookmarkStart w:id="174" w:name="_Toc21168"/>
      <w:r>
        <w:rPr>
          <w:rFonts w:ascii="Times New Roman" w:eastAsia="宋体"/>
          <w:b/>
          <w:bCs/>
          <w:color w:val="000000"/>
          <w:sz w:val="21"/>
          <w:szCs w:val="21"/>
        </w:rPr>
        <w:t xml:space="preserve">24.无效投标条款和废标条款</w:t>
      </w:r>
      <w:bookmarkEnd w:id="169"/>
      <w:r/>
      <w:bookmarkEnd w:id="170"/>
      <w:r/>
      <w:bookmarkEnd w:id="172"/>
      <w:r/>
      <w:bookmarkEnd w:id="173"/>
      <w:r/>
      <w:bookmarkEnd w:id="174"/>
      <w:r/>
      <w:r/>
    </w:p>
    <w:p>
      <w:pPr>
        <w:ind w:firstLine="420"/>
        <w:spacing w:line="360" w:lineRule="auto"/>
        <w:rPr>
          <w:bCs/>
          <w:szCs w:val="21"/>
        </w:rPr>
      </w:pPr>
      <w:r>
        <w:rPr>
          <w:bCs/>
          <w:szCs w:val="21"/>
        </w:rPr>
        <w:t xml:space="preserve">24.1无效投标条款</w:t>
      </w:r>
      <w:r/>
    </w:p>
    <w:p>
      <w:pPr>
        <w:ind w:firstLine="420"/>
        <w:spacing w:line="360" w:lineRule="auto"/>
        <w:rPr>
          <w:bCs/>
          <w:szCs w:val="21"/>
        </w:rPr>
      </w:pPr>
      <w:r>
        <w:rPr>
          <w:bCs/>
          <w:szCs w:val="21"/>
        </w:rPr>
        <w:t xml:space="preserve">（1）未按要求交纳投标保证金的；</w:t>
      </w:r>
      <w:r/>
    </w:p>
    <w:p>
      <w:pPr>
        <w:ind w:firstLine="420"/>
        <w:spacing w:line="360" w:lineRule="auto"/>
        <w:rPr>
          <w:bCs/>
          <w:szCs w:val="21"/>
        </w:rPr>
      </w:pPr>
      <w:r>
        <w:rPr>
          <w:bCs/>
          <w:szCs w:val="21"/>
        </w:rPr>
        <w:t xml:space="preserve">（2）供应商在苏采云系统规定的时间内未成功解密电子投标文件的。</w:t>
      </w:r>
      <w:r/>
    </w:p>
    <w:p>
      <w:pPr>
        <w:ind w:firstLine="420"/>
        <w:spacing w:line="360" w:lineRule="auto"/>
        <w:rPr>
          <w:bCs/>
          <w:szCs w:val="21"/>
        </w:rPr>
      </w:pPr>
      <w:r>
        <w:rPr>
          <w:bCs/>
          <w:szCs w:val="21"/>
        </w:rPr>
        <w:t xml:space="preserve">（3）未按照招标文件规定要求签署、加盖CA电子公章的；</w:t>
      </w:r>
      <w:r/>
    </w:p>
    <w:p>
      <w:pPr>
        <w:ind w:firstLine="420"/>
        <w:spacing w:line="360" w:lineRule="auto"/>
        <w:rPr>
          <w:bCs/>
          <w:szCs w:val="21"/>
        </w:rPr>
      </w:pPr>
      <w:r>
        <w:rPr>
          <w:bCs/>
          <w:szCs w:val="21"/>
        </w:rPr>
        <w:t xml:space="preserve">（4）供应商在报价时采用选择性报价；</w:t>
      </w:r>
      <w:r/>
    </w:p>
    <w:p>
      <w:pPr>
        <w:ind w:firstLine="420"/>
        <w:spacing w:line="360" w:lineRule="auto"/>
        <w:rPr>
          <w:bCs/>
          <w:szCs w:val="21"/>
        </w:rPr>
      </w:pPr>
      <w:r>
        <w:rPr>
          <w:bCs/>
          <w:szCs w:val="21"/>
        </w:rPr>
        <w:t xml:space="preserve">（5）供应商不具备招标文件中规定资格要求的；</w:t>
      </w:r>
      <w:r/>
    </w:p>
    <w:p>
      <w:pPr>
        <w:ind w:firstLine="420"/>
        <w:spacing w:line="360" w:lineRule="auto"/>
        <w:rPr>
          <w:bCs/>
          <w:szCs w:val="21"/>
        </w:rPr>
      </w:pPr>
      <w:r>
        <w:rPr>
          <w:bCs/>
          <w:szCs w:val="21"/>
        </w:rPr>
        <w:t xml:space="preserve">（6）供应商的报价超过了采购预算的；</w:t>
      </w:r>
      <w:r/>
    </w:p>
    <w:p>
      <w:pPr>
        <w:ind w:firstLine="420"/>
        <w:spacing w:line="360" w:lineRule="auto"/>
        <w:rPr>
          <w:bCs/>
          <w:szCs w:val="21"/>
        </w:rPr>
      </w:pPr>
      <w:r>
        <w:rPr>
          <w:bCs/>
          <w:szCs w:val="21"/>
        </w:rPr>
        <w:t xml:space="preserve">（7）未通过符合性检查的；</w:t>
      </w:r>
      <w:r/>
    </w:p>
    <w:p>
      <w:pPr>
        <w:ind w:firstLine="420"/>
        <w:spacing w:line="360" w:lineRule="auto"/>
        <w:rPr>
          <w:bCs/>
          <w:szCs w:val="21"/>
        </w:rPr>
      </w:pPr>
      <w:r>
        <w:rPr>
          <w:bCs/>
          <w:szCs w:val="21"/>
        </w:rPr>
        <w:t xml:space="preserve">（8）不符合招标文件中规定的其他实质性要求和条件的；</w:t>
      </w:r>
      <w:r/>
    </w:p>
    <w:p>
      <w:pPr>
        <w:ind w:firstLine="420"/>
        <w:spacing w:line="360" w:lineRule="auto"/>
        <w:rPr>
          <w:bCs/>
          <w:szCs w:val="21"/>
        </w:rPr>
      </w:pPr>
      <w:r>
        <w:rPr>
          <w:bCs/>
          <w:szCs w:val="21"/>
        </w:rPr>
        <w:t xml:space="preserve">（9）其他法律、法规及本招标文件规定的属无效投标的情形。</w:t>
      </w:r>
      <w:r/>
    </w:p>
    <w:p>
      <w:pPr>
        <w:ind w:firstLine="420"/>
        <w:spacing w:line="360" w:lineRule="auto"/>
        <w:rPr>
          <w:bCs/>
          <w:szCs w:val="21"/>
        </w:rPr>
      </w:pPr>
      <w:r>
        <w:rPr>
          <w:bCs/>
          <w:szCs w:val="21"/>
        </w:rPr>
        <w:t xml:space="preserve">24.2废标条款：</w:t>
      </w:r>
      <w:r/>
    </w:p>
    <w:p>
      <w:pPr>
        <w:ind w:firstLine="420"/>
        <w:spacing w:line="360" w:lineRule="auto"/>
        <w:rPr>
          <w:bCs/>
          <w:szCs w:val="21"/>
        </w:rPr>
      </w:pPr>
      <w:r>
        <w:rPr>
          <w:bCs/>
          <w:szCs w:val="21"/>
        </w:rPr>
        <w:t xml:space="preserve">（1）符合专业条件的供应商或者对招标文件作实质响应的供应商不足三家的；</w:t>
      </w:r>
      <w:r/>
    </w:p>
    <w:p>
      <w:pPr>
        <w:ind w:firstLine="420"/>
        <w:spacing w:line="360" w:lineRule="auto"/>
        <w:rPr>
          <w:bCs/>
          <w:szCs w:val="21"/>
        </w:rPr>
      </w:pPr>
      <w:r>
        <w:rPr>
          <w:bCs/>
          <w:szCs w:val="21"/>
        </w:rPr>
        <w:t xml:space="preserve">（2）出现影响采购公正的违法、违规行为的；</w:t>
      </w:r>
      <w:r/>
    </w:p>
    <w:p>
      <w:pPr>
        <w:ind w:firstLine="420"/>
        <w:spacing w:line="360" w:lineRule="auto"/>
        <w:rPr>
          <w:bCs/>
          <w:szCs w:val="21"/>
        </w:rPr>
      </w:pPr>
      <w:r>
        <w:rPr>
          <w:bCs/>
          <w:szCs w:val="21"/>
        </w:rPr>
        <w:t xml:space="preserve">（3）因重大变故，采购任务取消的；</w:t>
      </w:r>
      <w:r/>
    </w:p>
    <w:p>
      <w:pPr>
        <w:ind w:firstLine="420"/>
        <w:spacing w:line="360" w:lineRule="auto"/>
        <w:rPr>
          <w:bCs/>
          <w:szCs w:val="21"/>
        </w:rPr>
      </w:pPr>
      <w:r>
        <w:rPr>
          <w:bCs/>
          <w:szCs w:val="21"/>
        </w:rPr>
        <w:t xml:space="preserve">（4）评标委员会认定投标文件存在歧义、重大缺陷导致评审工作无法进行的，或者招标文件内容违反国家有关强制性规定的。</w:t>
      </w:r>
      <w:r/>
    </w:p>
    <w:p>
      <w:pPr>
        <w:ind w:firstLine="420"/>
        <w:spacing w:line="360" w:lineRule="auto"/>
        <w:rPr>
          <w:bCs/>
          <w:szCs w:val="21"/>
        </w:rPr>
      </w:pPr>
      <w:r>
        <w:rPr>
          <w:bCs/>
          <w:szCs w:val="21"/>
        </w:rPr>
        <w:t xml:space="preserve">（5）因苏采云系统故障原因造成开标不成功的。</w:t>
      </w:r>
      <w:r/>
    </w:p>
    <w:p>
      <w:pPr>
        <w:pStyle w:val="1142"/>
        <w:ind w:left="0" w:firstLine="422"/>
        <w:jc w:val="both"/>
        <w:spacing w:line="360" w:lineRule="auto"/>
        <w:rPr>
          <w:rFonts w:ascii="Times New Roman" w:eastAsia="宋体"/>
          <w:b/>
          <w:bCs/>
          <w:sz w:val="21"/>
          <w:szCs w:val="21"/>
        </w:rPr>
      </w:pPr>
      <w:r/>
      <w:bookmarkStart w:id="175" w:name="_Toc22113"/>
      <w:r/>
      <w:bookmarkStart w:id="176" w:name="_Toc15719"/>
      <w:r/>
      <w:bookmarkStart w:id="177" w:name="_Toc323"/>
      <w:r>
        <w:rPr>
          <w:rFonts w:ascii="Times New Roman" w:eastAsia="宋体"/>
          <w:b/>
          <w:bCs/>
          <w:sz w:val="21"/>
          <w:szCs w:val="21"/>
        </w:rPr>
        <w:t xml:space="preserve">25.投标截止时间结束参加投标的供应商不足三家的处理</w:t>
      </w:r>
      <w:bookmarkEnd w:id="175"/>
      <w:r/>
      <w:bookmarkEnd w:id="176"/>
      <w:r/>
      <w:bookmarkEnd w:id="177"/>
      <w:r/>
      <w:r/>
    </w:p>
    <w:p>
      <w:pPr>
        <w:ind w:firstLine="420"/>
        <w:spacing w:line="360" w:lineRule="auto"/>
        <w:rPr>
          <w:bCs/>
          <w:szCs w:val="21"/>
        </w:rPr>
      </w:pPr>
      <w:r>
        <w:rPr>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25.3供应商若不接受采购方式的改变，应在规定的时间内书面向评标委员会说明，未在规定时间内提交书面说明的视为接受采购方式的改变。</w:t>
      </w:r>
      <w:r/>
    </w:p>
    <w:p>
      <w:pPr>
        <w:ind w:firstLine="422"/>
        <w:spacing w:line="360" w:lineRule="auto"/>
        <w:shd w:val="clear" w:color="auto" w:fill="ffffff"/>
        <w:widowControl/>
        <w:rPr>
          <w:b/>
          <w:bCs/>
          <w:color w:val="000000"/>
          <w:szCs w:val="21"/>
        </w:rPr>
        <w:outlineLvl w:val="1"/>
      </w:pPr>
      <w:r/>
      <w:bookmarkStart w:id="178" w:name="_Toc12812"/>
      <w:r/>
      <w:bookmarkStart w:id="179" w:name="_Toc7584"/>
      <w:r/>
      <w:bookmarkStart w:id="180" w:name="_Toc5044"/>
      <w:r>
        <w:rPr>
          <w:b/>
          <w:bCs/>
          <w:color w:val="000000"/>
          <w:szCs w:val="21"/>
        </w:rPr>
        <w:t xml:space="preserve">六、授标</w:t>
      </w:r>
      <w:bookmarkEnd w:id="171"/>
      <w:r/>
      <w:bookmarkEnd w:id="178"/>
      <w:r/>
      <w:bookmarkEnd w:id="179"/>
      <w:r/>
      <w:bookmarkEnd w:id="180"/>
      <w:r/>
      <w:r/>
    </w:p>
    <w:p>
      <w:pPr>
        <w:pStyle w:val="1142"/>
        <w:ind w:left="0" w:firstLine="422"/>
        <w:jc w:val="both"/>
        <w:spacing w:line="360" w:lineRule="auto"/>
        <w:rPr>
          <w:rFonts w:ascii="Times New Roman" w:eastAsia="宋体"/>
          <w:b/>
          <w:bCs/>
          <w:color w:val="000000"/>
          <w:sz w:val="21"/>
          <w:szCs w:val="21"/>
        </w:rPr>
      </w:pPr>
      <w:r/>
      <w:bookmarkStart w:id="181" w:name="_Toc28693"/>
      <w:r/>
      <w:bookmarkStart w:id="182" w:name="_Toc3878"/>
      <w:r/>
      <w:bookmarkStart w:id="183" w:name="_Toc27874"/>
      <w:r/>
      <w:bookmarkStart w:id="184" w:name="_Toc6735"/>
      <w:r>
        <w:rPr>
          <w:rFonts w:ascii="Times New Roman" w:eastAsia="宋体"/>
          <w:b/>
          <w:bCs/>
          <w:color w:val="000000"/>
          <w:sz w:val="21"/>
          <w:szCs w:val="21"/>
        </w:rPr>
        <w:t xml:space="preserve">26.确定中标</w:t>
      </w:r>
      <w:bookmarkEnd w:id="181"/>
      <w:r>
        <w:rPr>
          <w:rFonts w:ascii="Times New Roman" w:eastAsia="宋体"/>
          <w:b/>
          <w:bCs/>
          <w:color w:val="000000"/>
          <w:sz w:val="21"/>
          <w:szCs w:val="21"/>
        </w:rPr>
        <w:t xml:space="preserve">供应商</w:t>
      </w:r>
      <w:bookmarkEnd w:id="182"/>
      <w:r/>
      <w:bookmarkEnd w:id="183"/>
      <w:r/>
      <w:bookmarkEnd w:id="184"/>
      <w:r/>
      <w:r/>
    </w:p>
    <w:p>
      <w:pPr>
        <w:ind w:firstLine="420"/>
        <w:spacing w:line="360" w:lineRule="auto"/>
        <w:rPr>
          <w:szCs w:val="21"/>
        </w:rPr>
      </w:pPr>
      <w:r/>
      <w:bookmarkStart w:id="185" w:name="_Toc7377"/>
      <w:r>
        <w:rPr>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w:t>
      </w:r>
      <w:r>
        <w:rPr>
          <w:rFonts w:ascii="宋体" w:hAnsi="宋体" w:cs="宋体"/>
          <w:color w:val="000000"/>
          <w:u w:val="single"/>
        </w:rPr>
        <w:t xml:space="preserve">绿化养护方案</w:t>
      </w:r>
      <w:r>
        <w:rPr>
          <w:szCs w:val="21"/>
        </w:rPr>
        <w:t xml:space="preserve">优劣顺序排列。评标委员会根据最终排名向采购人推荐中标候选供应商。最低投标价等任何单项因素的最优不是中标的必要条件。</w:t>
      </w:r>
      <w:r/>
    </w:p>
    <w:p>
      <w:pPr>
        <w:ind w:firstLine="420"/>
        <w:spacing w:line="360" w:lineRule="auto"/>
        <w:shd w:val="clear" w:color="auto" w:fill="ffffff"/>
        <w:widowControl/>
        <w:rPr>
          <w:szCs w:val="21"/>
        </w:rPr>
      </w:pPr>
      <w:r>
        <w:rPr>
          <w:szCs w:val="21"/>
        </w:rPr>
        <w:t xml:space="preserve">26.2 采购人应根据评标委员会推荐的中标候选供应商确定中标供应商。</w:t>
      </w:r>
      <w:r/>
    </w:p>
    <w:p>
      <w:pPr>
        <w:ind w:firstLine="420"/>
        <w:spacing w:line="360" w:lineRule="auto"/>
        <w:rPr>
          <w:szCs w:val="21"/>
        </w:rPr>
      </w:pPr>
      <w:r>
        <w:rPr>
          <w:szCs w:val="21"/>
        </w:rPr>
        <w:t xml:space="preserve">26.3评标委员会根据全体评标成员签字的原始评标记录和评标结果编写评标报告。</w:t>
      </w:r>
      <w:r/>
    </w:p>
    <w:p>
      <w:pPr>
        <w:ind w:firstLine="420"/>
        <w:spacing w:line="360" w:lineRule="auto"/>
        <w:rPr>
          <w:szCs w:val="21"/>
        </w:rPr>
      </w:pPr>
      <w:r>
        <w:rPr>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p>
    <w:p>
      <w:pPr>
        <w:ind w:firstLine="420"/>
        <w:spacing w:line="360" w:lineRule="auto"/>
        <w:rPr>
          <w:szCs w:val="21"/>
        </w:rPr>
      </w:pPr>
      <w:r>
        <w:rPr>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szCs w:val="21"/>
        </w:rPr>
      </w:pPr>
      <w:r>
        <w:rPr>
          <w:szCs w:val="21"/>
        </w:rPr>
        <w:t xml:space="preserve">26.6 若评标委员会发现供应商的投标文件中有弄虚作假行为，则该供应商将失去中标资格。</w:t>
      </w:r>
      <w:r/>
    </w:p>
    <w:p>
      <w:pPr>
        <w:ind w:firstLine="420"/>
        <w:spacing w:line="360" w:lineRule="auto"/>
        <w:rPr>
          <w:szCs w:val="21"/>
        </w:rPr>
      </w:pPr>
      <w:r>
        <w:rPr>
          <w:szCs w:val="21"/>
        </w:rPr>
        <w:t xml:space="preserve">26.7 所有投标文件都将作为档案保存，不论中标与否，代理机构均不退回。</w:t>
      </w:r>
      <w:bookmarkEnd w:id="185"/>
      <w:r/>
      <w:r/>
    </w:p>
    <w:p>
      <w:pPr>
        <w:pStyle w:val="1142"/>
        <w:ind w:left="0" w:firstLine="422"/>
        <w:jc w:val="both"/>
        <w:spacing w:line="360" w:lineRule="auto"/>
        <w:rPr>
          <w:rFonts w:ascii="Times New Roman" w:eastAsia="宋体"/>
          <w:b/>
          <w:bCs/>
          <w:color w:val="000000"/>
          <w:sz w:val="21"/>
          <w:szCs w:val="21"/>
        </w:rPr>
      </w:pPr>
      <w:r/>
      <w:bookmarkStart w:id="186" w:name="_Toc32182"/>
      <w:r/>
      <w:bookmarkStart w:id="187" w:name="_Toc17252"/>
      <w:r/>
      <w:bookmarkStart w:id="188" w:name="_Toc21169"/>
      <w:r/>
      <w:bookmarkStart w:id="189" w:name="_Toc1981"/>
      <w:r/>
      <w:bookmarkStart w:id="190" w:name="_Toc28365"/>
      <w:r/>
      <w:bookmarkStart w:id="191" w:name="_Toc19713"/>
      <w:r/>
      <w:bookmarkStart w:id="192" w:name="_Toc4684"/>
      <w:r>
        <w:rPr>
          <w:rFonts w:ascii="Times New Roman" w:eastAsia="宋体"/>
          <w:b/>
          <w:bCs/>
          <w:color w:val="000000"/>
          <w:sz w:val="21"/>
          <w:szCs w:val="21"/>
        </w:rPr>
        <w:t xml:space="preserve">27.中标的通知</w:t>
      </w:r>
      <w:bookmarkEnd w:id="186"/>
      <w:r/>
      <w:bookmarkEnd w:id="187"/>
      <w:r/>
      <w:bookmarkEnd w:id="188"/>
      <w:r/>
      <w:bookmarkEnd w:id="189"/>
      <w:r/>
      <w:bookmarkEnd w:id="190"/>
      <w:r/>
      <w:bookmarkEnd w:id="191"/>
      <w:r/>
      <w:r/>
    </w:p>
    <w:p>
      <w:pPr>
        <w:ind w:firstLine="420"/>
        <w:spacing w:line="360" w:lineRule="auto"/>
        <w:rPr>
          <w:bCs/>
          <w:szCs w:val="21"/>
        </w:rPr>
      </w:pPr>
      <w:r>
        <w:rPr>
          <w:bCs/>
          <w:szCs w:val="21"/>
        </w:rPr>
        <w:t xml:space="preserve">27.1定标后，采购代理机构将以公告形式将定标结果通知所有的供应商，请中标人在中标结果公告届满之日起30日内</w:t>
      </w:r>
      <w:r>
        <w:rPr>
          <w:rFonts w:hint="eastAsia"/>
          <w:bCs/>
          <w:szCs w:val="21"/>
        </w:rPr>
        <w:t xml:space="preserve">，</w:t>
      </w:r>
      <w:r>
        <w:rPr>
          <w:bCs/>
          <w:szCs w:val="21"/>
        </w:rPr>
        <w:t xml:space="preserve">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360" w:lineRule="auto"/>
        <w:rPr>
          <w:bCs/>
          <w:szCs w:val="21"/>
        </w:rPr>
      </w:pPr>
      <w:r>
        <w:rPr>
          <w:bCs/>
          <w:szCs w:val="21"/>
        </w:rPr>
        <w:t xml:space="preserve">27.2中标通知书将是合同的一个组成部分。对采购人和中标人均具有法律效力。中标通知书发出后，采购人改变中标结果的，或者中标人放弃中标项目的，应当依法承担法律责任。</w:t>
      </w:r>
      <w:bookmarkEnd w:id="192"/>
      <w:r/>
      <w:r/>
    </w:p>
    <w:p>
      <w:pPr>
        <w:pStyle w:val="1142"/>
        <w:ind w:left="0" w:firstLine="422"/>
        <w:jc w:val="both"/>
        <w:spacing w:line="360" w:lineRule="auto"/>
        <w:rPr>
          <w:rFonts w:ascii="Times New Roman" w:eastAsia="宋体"/>
          <w:b/>
          <w:bCs/>
          <w:sz w:val="21"/>
          <w:szCs w:val="21"/>
        </w:rPr>
      </w:pPr>
      <w:r/>
      <w:bookmarkStart w:id="193" w:name="_Toc28003"/>
      <w:r/>
      <w:bookmarkStart w:id="194" w:name="_Toc2049"/>
      <w:r/>
      <w:bookmarkStart w:id="195" w:name="_Toc22225"/>
      <w:r/>
      <w:bookmarkStart w:id="196" w:name="_Toc15484"/>
      <w:r/>
      <w:bookmarkStart w:id="197" w:name="_Toc15861"/>
      <w:r/>
      <w:bookmarkStart w:id="198" w:name="_Toc24788"/>
      <w:r>
        <w:rPr>
          <w:rFonts w:ascii="Times New Roman" w:eastAsia="宋体"/>
          <w:b/>
          <w:bCs/>
          <w:color w:val="000000"/>
          <w:sz w:val="21"/>
          <w:szCs w:val="21"/>
        </w:rPr>
        <w:t xml:space="preserve">28.签订合同</w:t>
      </w:r>
      <w:bookmarkEnd w:id="193"/>
      <w:r/>
      <w:bookmarkEnd w:id="194"/>
      <w:r/>
      <w:bookmarkEnd w:id="195"/>
      <w:r/>
      <w:bookmarkEnd w:id="196"/>
      <w:r/>
      <w:bookmarkEnd w:id="197"/>
      <w:r/>
      <w:r/>
    </w:p>
    <w:p>
      <w:pPr>
        <w:ind w:firstLine="420"/>
        <w:spacing w:line="360" w:lineRule="auto"/>
        <w:rPr>
          <w:bCs/>
          <w:szCs w:val="21"/>
        </w:rPr>
      </w:pPr>
      <w:r>
        <w:rPr>
          <w:bCs/>
          <w:szCs w:val="21"/>
        </w:rPr>
        <w:t xml:space="preserve">28.1中标供应商应当自中标通知书发出之日起三十日内，按照招标文件和投标文件的约定与采购人签订采购合同，所签订的合同不得对招标文件和投标文件作实质性修改。</w:t>
      </w:r>
      <w:r/>
    </w:p>
    <w:p>
      <w:pPr>
        <w:ind w:firstLine="420"/>
        <w:spacing w:line="360" w:lineRule="auto"/>
        <w:rPr>
          <w:bCs/>
          <w:szCs w:val="21"/>
        </w:rPr>
      </w:pPr>
      <w:r>
        <w:rPr>
          <w:bCs/>
          <w:szCs w:val="21"/>
        </w:rPr>
        <w:t xml:space="preserve">28.2招标文件、中标供应商的投标文件及评标过程中有关澄清、说明或者补正文件均应作为合同附件。</w:t>
      </w:r>
      <w:r/>
    </w:p>
    <w:p>
      <w:pPr>
        <w:ind w:firstLine="420"/>
        <w:spacing w:line="360" w:lineRule="auto"/>
        <w:rPr>
          <w:bCs/>
          <w:szCs w:val="21"/>
        </w:rPr>
      </w:pPr>
      <w:r>
        <w:rPr>
          <w:bCs/>
          <w:szCs w:val="21"/>
        </w:rPr>
        <w:t xml:space="preserve">28.3若中标供应商未能按规定签约，中标将被撤销及投标保证金被没收，在这种情况下采购人可以另选中标供应商或重新招标。</w:t>
      </w:r>
      <w:r/>
    </w:p>
    <w:p>
      <w:pPr>
        <w:ind w:firstLine="420"/>
        <w:spacing w:line="360" w:lineRule="auto"/>
        <w:rPr>
          <w:bCs/>
          <w:szCs w:val="21"/>
        </w:rPr>
      </w:pPr>
      <w:r>
        <w:rPr>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198"/>
      <w:r/>
      <w:r/>
    </w:p>
    <w:p>
      <w:pPr>
        <w:pStyle w:val="1142"/>
        <w:ind w:left="0" w:firstLine="422"/>
        <w:jc w:val="both"/>
        <w:spacing w:line="360" w:lineRule="auto"/>
        <w:rPr>
          <w:rFonts w:ascii="Times New Roman" w:eastAsia="宋体"/>
          <w:b/>
          <w:bCs/>
          <w:color w:val="000000"/>
          <w:sz w:val="21"/>
          <w:szCs w:val="21"/>
        </w:rPr>
      </w:pPr>
      <w:r/>
      <w:bookmarkStart w:id="199" w:name="_Toc22298"/>
      <w:r/>
      <w:bookmarkStart w:id="200" w:name="_Toc7209"/>
      <w:r/>
      <w:bookmarkStart w:id="201" w:name="_Toc19763"/>
      <w:r/>
      <w:bookmarkStart w:id="202" w:name="_Toc11230"/>
      <w:r/>
      <w:bookmarkStart w:id="203" w:name="_Toc15509"/>
      <w:r/>
      <w:bookmarkStart w:id="204" w:name="_Toc20112"/>
      <w:r>
        <w:rPr>
          <w:rFonts w:ascii="Times New Roman" w:eastAsia="宋体"/>
          <w:b/>
          <w:bCs/>
          <w:color w:val="000000"/>
          <w:sz w:val="21"/>
          <w:szCs w:val="21"/>
        </w:rPr>
        <w:t xml:space="preserve">29.</w:t>
      </w:r>
      <w:bookmarkEnd w:id="199"/>
      <w:r>
        <w:rPr>
          <w:rFonts w:ascii="Times New Roman" w:eastAsia="宋体"/>
          <w:b/>
          <w:bCs/>
          <w:color w:val="000000"/>
          <w:sz w:val="21"/>
          <w:szCs w:val="21"/>
        </w:rPr>
        <w:t xml:space="preserve">招标代理服务费</w:t>
      </w:r>
      <w:bookmarkEnd w:id="200"/>
      <w:r/>
      <w:bookmarkEnd w:id="201"/>
      <w:r/>
      <w:bookmarkEnd w:id="202"/>
      <w:r/>
      <w:bookmarkEnd w:id="203"/>
      <w:r/>
      <w:r/>
    </w:p>
    <w:p>
      <w:pPr>
        <w:ind w:firstLine="420"/>
        <w:spacing w:line="360" w:lineRule="auto"/>
        <w:shd w:val="clear" w:color="auto" w:fill="ffffff"/>
        <w:widowControl/>
        <w:rPr>
          <w:bCs/>
          <w:szCs w:val="21"/>
        </w:rPr>
      </w:pPr>
      <w:r/>
      <w:bookmarkStart w:id="205" w:name="_Toc30326"/>
      <w:r>
        <w:rPr>
          <w:bCs/>
          <w:szCs w:val="21"/>
        </w:rPr>
        <w:t xml:space="preserve">详见投标人须知前附表。</w:t>
      </w:r>
      <w:r/>
    </w:p>
    <w:p>
      <w:pPr>
        <w:ind w:firstLine="422"/>
        <w:spacing w:line="360" w:lineRule="auto"/>
        <w:shd w:val="clear" w:color="auto" w:fill="ffffff"/>
        <w:widowControl/>
        <w:rPr>
          <w:b/>
          <w:bCs/>
          <w:color w:val="000000"/>
          <w:szCs w:val="21"/>
        </w:rPr>
        <w:outlineLvl w:val="1"/>
      </w:pPr>
      <w:r/>
      <w:bookmarkStart w:id="206" w:name="_Toc3393"/>
      <w:r/>
      <w:bookmarkStart w:id="207" w:name="_Toc30466"/>
      <w:r>
        <w:rPr>
          <w:b/>
          <w:bCs/>
          <w:color w:val="000000"/>
          <w:szCs w:val="21"/>
        </w:rPr>
        <w:t xml:space="preserve">七、质疑</w:t>
      </w:r>
      <w:bookmarkEnd w:id="204"/>
      <w:r/>
      <w:bookmarkEnd w:id="205"/>
      <w:r/>
      <w:bookmarkEnd w:id="206"/>
      <w:r/>
      <w:bookmarkEnd w:id="207"/>
      <w:r/>
      <w:r/>
    </w:p>
    <w:p>
      <w:pPr>
        <w:pStyle w:val="1142"/>
        <w:ind w:left="0" w:firstLine="422"/>
        <w:jc w:val="both"/>
        <w:spacing w:line="360" w:lineRule="auto"/>
        <w:rPr>
          <w:rFonts w:ascii="Times New Roman" w:eastAsia="宋体"/>
          <w:b/>
          <w:bCs/>
          <w:color w:val="000000"/>
          <w:sz w:val="21"/>
          <w:szCs w:val="21"/>
        </w:rPr>
      </w:pPr>
      <w:r/>
      <w:bookmarkStart w:id="208" w:name="_Toc19917"/>
      <w:r/>
      <w:bookmarkStart w:id="209" w:name="_Toc16085"/>
      <w:r/>
      <w:bookmarkStart w:id="210" w:name="_Toc4679"/>
      <w:r/>
      <w:bookmarkStart w:id="211" w:name="_Toc18922"/>
      <w:r/>
      <w:bookmarkStart w:id="212" w:name="_Toc794"/>
      <w:r/>
      <w:bookmarkStart w:id="213" w:name="_Toc29529"/>
      <w:r>
        <w:rPr>
          <w:rFonts w:ascii="Times New Roman" w:eastAsia="宋体"/>
          <w:b/>
          <w:bCs/>
          <w:color w:val="000000"/>
          <w:sz w:val="21"/>
          <w:szCs w:val="21"/>
        </w:rPr>
        <w:t xml:space="preserve">30.质疑</w:t>
      </w:r>
      <w:bookmarkEnd w:id="208"/>
      <w:r/>
      <w:bookmarkEnd w:id="209"/>
      <w:r/>
      <w:bookmarkEnd w:id="210"/>
      <w:r/>
      <w:bookmarkEnd w:id="211"/>
      <w:r/>
      <w:bookmarkEnd w:id="212"/>
      <w:r/>
      <w:bookmarkEnd w:id="213"/>
      <w:r/>
      <w:r/>
    </w:p>
    <w:p>
      <w:pPr>
        <w:ind w:firstLine="420"/>
        <w:spacing w:line="360" w:lineRule="auto"/>
        <w:rPr>
          <w:bCs/>
          <w:szCs w:val="21"/>
        </w:rPr>
      </w:pPr>
      <w:r>
        <w:rPr>
          <w:bCs/>
          <w:szCs w:val="21"/>
        </w:rPr>
        <w:t xml:space="preserve">30.1供应商对招标活动事项有疑问的，可以向采购代理机构提出询问，采购代理机构将依法作出答复，但答复的内容不涉及商业秘密。</w:t>
      </w:r>
      <w:r/>
    </w:p>
    <w:p>
      <w:pPr>
        <w:ind w:firstLine="420"/>
        <w:spacing w:line="360" w:lineRule="auto"/>
        <w:rPr>
          <w:bCs/>
          <w:szCs w:val="21"/>
        </w:rPr>
      </w:pPr>
      <w:r>
        <w:rPr>
          <w:bCs/>
          <w:szCs w:val="21"/>
        </w:rPr>
        <w:t xml:space="preserve">30.2供应商认为采购文件、采购过程和中标结果使自己的合法权益受到损害的，可以在知道或者应当知道其权益受到损害之日起七个工作日内，将质疑函以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p>
    <w:p>
      <w:pPr>
        <w:ind w:firstLine="420"/>
        <w:spacing w:line="360" w:lineRule="auto"/>
        <w:rPr>
          <w:bCs/>
          <w:szCs w:val="21"/>
        </w:rPr>
      </w:pPr>
      <w:r>
        <w:rPr>
          <w:bCs/>
          <w:szCs w:val="21"/>
        </w:rPr>
        <w:t xml:space="preserve">30.3供应商须在法定质疑期内</w:t>
      </w:r>
      <w:r>
        <w:rPr>
          <w:b/>
          <w:szCs w:val="21"/>
        </w:rPr>
        <w:t xml:space="preserve">一次性提出</w:t>
      </w:r>
      <w:r>
        <w:rPr>
          <w:bCs/>
          <w:szCs w:val="21"/>
        </w:rPr>
        <w:t xml:space="preserve">针对本项目同一采购程序环节的质疑。</w:t>
      </w:r>
      <w:r/>
    </w:p>
    <w:p>
      <w:pPr>
        <w:ind w:firstLine="420"/>
        <w:spacing w:line="360" w:lineRule="auto"/>
        <w:rPr>
          <w:bCs/>
          <w:szCs w:val="21"/>
        </w:rPr>
      </w:pPr>
      <w:r>
        <w:rPr>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360" w:lineRule="auto"/>
        <w:rPr>
          <w:bCs/>
          <w:szCs w:val="21"/>
        </w:rPr>
      </w:pPr>
      <w:r>
        <w:rPr>
          <w:bCs/>
          <w:szCs w:val="21"/>
        </w:rPr>
        <w:t xml:space="preserve">30.5质疑供应商若对项目的某一分包进行质疑，质疑函中应列明具体分包号。</w:t>
      </w:r>
      <w:r/>
    </w:p>
    <w:p>
      <w:pPr>
        <w:ind w:firstLine="420"/>
        <w:spacing w:line="360" w:lineRule="auto"/>
        <w:rPr>
          <w:bCs/>
          <w:szCs w:val="21"/>
        </w:rPr>
      </w:pPr>
      <w:r>
        <w:rPr>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360" w:lineRule="auto"/>
        <w:rPr>
          <w:bCs/>
          <w:szCs w:val="21"/>
        </w:rPr>
      </w:pPr>
      <w:r>
        <w:rPr>
          <w:bCs/>
          <w:szCs w:val="21"/>
        </w:rPr>
        <w:t xml:space="preserve">（1）供应商的姓名或者名称、地址、邮编、联系人及联系电话；</w:t>
      </w:r>
      <w:r/>
    </w:p>
    <w:p>
      <w:pPr>
        <w:ind w:firstLine="420"/>
        <w:spacing w:line="360" w:lineRule="auto"/>
        <w:rPr>
          <w:bCs/>
          <w:szCs w:val="21"/>
        </w:rPr>
      </w:pPr>
      <w:r>
        <w:rPr>
          <w:bCs/>
          <w:szCs w:val="21"/>
        </w:rPr>
        <w:t xml:space="preserve">（2）质疑项目的名称、编号；</w:t>
      </w:r>
      <w:r/>
    </w:p>
    <w:p>
      <w:pPr>
        <w:ind w:firstLine="420"/>
        <w:spacing w:line="360" w:lineRule="auto"/>
        <w:rPr>
          <w:bCs/>
          <w:szCs w:val="21"/>
        </w:rPr>
      </w:pPr>
      <w:r>
        <w:rPr>
          <w:bCs/>
          <w:szCs w:val="21"/>
        </w:rPr>
        <w:t xml:space="preserve">（3）具体、明确的质疑事项和与质疑事项相关的请求；</w:t>
      </w:r>
      <w:r/>
    </w:p>
    <w:p>
      <w:pPr>
        <w:ind w:firstLine="420"/>
        <w:spacing w:line="360" w:lineRule="auto"/>
        <w:rPr>
          <w:bCs/>
          <w:szCs w:val="21"/>
        </w:rPr>
      </w:pPr>
      <w:r>
        <w:rPr>
          <w:bCs/>
          <w:szCs w:val="21"/>
        </w:rPr>
        <w:t xml:space="preserve">（4）事实依据；</w:t>
      </w:r>
      <w:r/>
    </w:p>
    <w:p>
      <w:pPr>
        <w:ind w:firstLine="420"/>
        <w:spacing w:line="360" w:lineRule="auto"/>
        <w:rPr>
          <w:bCs/>
          <w:szCs w:val="21"/>
        </w:rPr>
      </w:pPr>
      <w:r>
        <w:rPr>
          <w:bCs/>
          <w:szCs w:val="21"/>
        </w:rPr>
        <w:t xml:space="preserve">（5）必要的法律依据</w:t>
      </w:r>
      <w:r/>
    </w:p>
    <w:p>
      <w:pPr>
        <w:ind w:firstLine="420"/>
        <w:spacing w:line="360" w:lineRule="auto"/>
        <w:rPr>
          <w:bCs/>
          <w:szCs w:val="21"/>
        </w:rPr>
      </w:pPr>
      <w:r>
        <w:rPr>
          <w:bCs/>
          <w:szCs w:val="21"/>
        </w:rPr>
        <w:t xml:space="preserve">（6）提出质疑的日期</w:t>
      </w:r>
      <w:r/>
    </w:p>
    <w:p>
      <w:pPr>
        <w:ind w:firstLine="420"/>
        <w:spacing w:line="360" w:lineRule="auto"/>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bCs/>
          <w:color w:val="000000"/>
          <w:szCs w:val="21"/>
        </w:rPr>
      </w:pPr>
      <w:r>
        <w:rPr>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ind w:firstLine="420"/>
        <w:spacing w:line="360" w:lineRule="auto"/>
        <w:rPr>
          <w:bCs/>
          <w:szCs w:val="21"/>
        </w:rPr>
      </w:pPr>
      <w:r>
        <w:rPr>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bCs/>
          <w:szCs w:val="21"/>
        </w:rPr>
      </w:pPr>
      <w:r>
        <w:rPr>
          <w:bCs/>
          <w:szCs w:val="21"/>
        </w:rPr>
        <w:t xml:space="preserve">30.9</w:t>
      </w:r>
      <w:r>
        <w:rPr>
          <w:b/>
          <w:szCs w:val="21"/>
        </w:rPr>
        <w:t xml:space="preserve">本项目质疑函的联系部门、联系电话和通讯地址详见第二章投标人须知前附表</w:t>
      </w:r>
      <w:r>
        <w:rPr>
          <w:bCs/>
          <w:szCs w:val="21"/>
        </w:rPr>
        <w:t xml:space="preserve">。</w:t>
      </w:r>
      <w:r/>
    </w:p>
    <w:p>
      <w:pPr>
        <w:ind w:firstLine="420"/>
        <w:spacing w:line="360" w:lineRule="auto"/>
        <w:rPr>
          <w:bCs/>
          <w:szCs w:val="21"/>
        </w:rPr>
      </w:pPr>
      <w:r>
        <w:rPr>
          <w:bCs/>
          <w:szCs w:val="21"/>
        </w:rPr>
        <w:t xml:space="preserve">30.10采购代理机构在收到书面质疑后七个工作日内作出答复，并以书面形式通知质疑供应商和其他有关供应商，答复的内容不涉及商业秘密。</w:t>
      </w:r>
      <w:r>
        <w:rPr>
          <w:bCs/>
          <w:szCs w:val="21"/>
        </w:rPr>
        <w:br/>
      </w:r>
      <w:r>
        <w:rPr>
          <w:b/>
          <w:bCs/>
          <w:szCs w:val="21"/>
        </w:rPr>
        <w:t xml:space="preserve">八、政府采购履约资金扶持政策</w:t>
      </w:r>
      <w:r/>
    </w:p>
    <w:p>
      <w:pPr>
        <w:ind w:firstLine="420"/>
        <w:spacing w:line="360" w:lineRule="auto"/>
        <w:rPr>
          <w:bCs/>
          <w:szCs w:val="21"/>
        </w:rPr>
      </w:pPr>
      <w:r>
        <w:rPr>
          <w:bCs/>
          <w:szCs w:val="21"/>
        </w:rPr>
        <w:t xml:space="preserve">中标人可凭政府采购合同办理融资贷款，详情请见江苏政府采购网</w:t>
      </w:r>
      <w:r>
        <w:rPr>
          <w:rFonts w:hint="eastAsia"/>
          <w:bCs/>
          <w:szCs w:val="21"/>
        </w:rPr>
        <w:t xml:space="preserve">“</w:t>
      </w:r>
      <w:r>
        <w:rPr>
          <w:bCs/>
          <w:szCs w:val="21"/>
        </w:rPr>
        <w:t xml:space="preserve">政采贷</w:t>
      </w:r>
      <w:r>
        <w:rPr>
          <w:rFonts w:hint="eastAsia"/>
          <w:bCs/>
          <w:szCs w:val="21"/>
        </w:rPr>
        <w:t xml:space="preserve">”</w:t>
      </w:r>
      <w:r>
        <w:rPr>
          <w:bCs/>
          <w:szCs w:val="21"/>
        </w:rPr>
        <w:t xml:space="preserve">专栏。</w:t>
      </w:r>
      <w:r/>
    </w:p>
    <w:p>
      <w:pPr>
        <w:ind w:firstLine="420"/>
        <w:spacing w:line="360" w:lineRule="auto"/>
        <w:rPr>
          <w:bCs/>
          <w:szCs w:val="21"/>
        </w:rPr>
      </w:pPr>
      <w:r>
        <w:rPr>
          <w:bCs/>
          <w:szCs w:val="21"/>
        </w:rPr>
      </w:r>
      <w:r/>
    </w:p>
    <w:p>
      <w:pPr>
        <w:ind w:firstLine="422"/>
        <w:jc w:val="center"/>
        <w:spacing w:line="360" w:lineRule="auto"/>
        <w:rPr>
          <w:b/>
          <w:szCs w:val="21"/>
        </w:rPr>
      </w:pPr>
      <w:r/>
      <w:bookmarkStart w:id="214" w:name="_Toc189726853"/>
      <w:r/>
      <w:bookmarkEnd w:id="214"/>
      <w:r/>
      <w:bookmarkStart w:id="215" w:name="_Toc142623417"/>
      <w:r/>
      <w:bookmarkEnd w:id="215"/>
      <w:r/>
      <w:bookmarkStart w:id="216" w:name="_Hlk297273538"/>
      <w:r/>
      <w:bookmarkEnd w:id="216"/>
      <w:r/>
      <w:bookmarkStart w:id="217" w:name="_Toc521839351"/>
      <w:r/>
      <w:bookmarkEnd w:id="217"/>
      <w:r/>
      <w:bookmarkStart w:id="218" w:name="_Toc25032666"/>
      <w:r/>
      <w:bookmarkEnd w:id="218"/>
      <w:r/>
      <w:bookmarkStart w:id="219" w:name="_Toc163629751"/>
      <w:r/>
      <w:bookmarkEnd w:id="219"/>
      <w:r/>
      <w:bookmarkStart w:id="220" w:name="_Toc522347554"/>
      <w:r/>
      <w:bookmarkEnd w:id="220"/>
      <w:r/>
      <w:bookmarkStart w:id="221" w:name="_Toc16918"/>
      <w:r/>
      <w:bookmarkStart w:id="222" w:name="_Toc12622"/>
      <w:r>
        <w:rPr>
          <w:b/>
          <w:szCs w:val="21"/>
        </w:rPr>
        <w:br w:type="page" w:clear="all"/>
      </w:r>
      <w:r/>
    </w:p>
    <w:p>
      <w:pPr>
        <w:jc w:val="center"/>
        <w:spacing w:line="360" w:lineRule="auto"/>
        <w:rPr>
          <w:b/>
          <w:sz w:val="28"/>
          <w:szCs w:val="28"/>
        </w:rPr>
        <w:outlineLvl w:val="0"/>
      </w:pPr>
      <w:r/>
      <w:bookmarkStart w:id="223" w:name="_Toc11294"/>
      <w:r>
        <w:rPr>
          <w:b/>
          <w:sz w:val="28"/>
          <w:szCs w:val="28"/>
        </w:rPr>
        <w:t xml:space="preserve">第三章 评标标准</w:t>
      </w:r>
      <w:bookmarkEnd w:id="221"/>
      <w:r/>
      <w:bookmarkEnd w:id="222"/>
      <w:r/>
      <w:bookmarkEnd w:id="223"/>
      <w:r/>
      <w:r/>
    </w:p>
    <w:p>
      <w:pPr>
        <w:ind w:left="632" w:hanging="632"/>
        <w:spacing w:line="360" w:lineRule="auto"/>
        <w:widowControl/>
        <w:rPr>
          <w:b/>
          <w:bCs/>
          <w:color w:val="000000"/>
          <w:szCs w:val="21"/>
        </w:rPr>
      </w:pPr>
      <w:r>
        <w:rPr>
          <w:b/>
          <w:bCs/>
          <w:color w:val="000000"/>
          <w:szCs w:val="21"/>
        </w:rPr>
        <w:t xml:space="preserve">（一）评标方法</w:t>
      </w:r>
      <w:r/>
    </w:p>
    <w:p>
      <w:pPr>
        <w:ind w:firstLine="422"/>
        <w:spacing w:line="360" w:lineRule="auto"/>
        <w:rPr>
          <w:b/>
          <w:bCs/>
        </w:rPr>
      </w:pPr>
      <w:r>
        <w:rPr>
          <w:b/>
          <w:bCs/>
        </w:rPr>
        <w:t xml:space="preserve">本项目采用综合评分法。</w:t>
      </w:r>
      <w:r/>
    </w:p>
    <w:p>
      <w:pPr>
        <w:spacing w:line="360" w:lineRule="auto"/>
        <w:rPr>
          <w:b/>
          <w:bCs/>
          <w:color w:val="000000"/>
          <w:szCs w:val="21"/>
        </w:rPr>
      </w:pPr>
      <w:r>
        <w:rPr>
          <w:b/>
          <w:bCs/>
          <w:color w:val="000000"/>
          <w:szCs w:val="21"/>
        </w:rPr>
        <w:t xml:space="preserve">（二）评标标准</w:t>
      </w:r>
      <w:r/>
    </w:p>
    <w:p>
      <w:pPr>
        <w:ind w:firstLine="422"/>
        <w:spacing w:line="360" w:lineRule="auto"/>
        <w:rPr>
          <w:szCs w:val="21"/>
        </w:rPr>
      </w:pPr>
      <w:r>
        <w:rPr>
          <w:b/>
          <w:bCs/>
        </w:rPr>
        <w:t xml:space="preserve">1.</w:t>
      </w:r>
      <w:r>
        <w:rPr>
          <w:b/>
          <w:bCs/>
          <w:color w:val="000000"/>
          <w:szCs w:val="21"/>
        </w:rPr>
        <w:t xml:space="preserve">国家政策导向</w:t>
      </w:r>
      <w:r/>
    </w:p>
    <w:p>
      <w:pPr>
        <w:ind w:firstLine="422"/>
        <w:spacing w:line="360" w:lineRule="auto"/>
        <w:rPr>
          <w:szCs w:val="21"/>
        </w:rPr>
      </w:pPr>
      <w:r>
        <w:rPr>
          <w:b/>
          <w:bCs/>
          <w:szCs w:val="21"/>
        </w:rPr>
        <w:t xml:space="preserve">（1）促进小微企业发展政策</w:t>
      </w:r>
      <w:r>
        <w:rPr>
          <w:szCs w:val="21"/>
        </w:rPr>
        <w:t xml:space="preserve">：根据《政府采购促进中小企业发展管理办法》规定，</w:t>
      </w:r>
      <w:r>
        <w:rPr>
          <w:rFonts w:hint="eastAsia"/>
          <w:b/>
          <w:bCs/>
          <w:color w:val="auto"/>
          <w:szCs w:val="21"/>
        </w:rPr>
        <w:t xml:space="preserve">本项目专门面向中小企业采购</w:t>
      </w:r>
      <w:r>
        <w:rPr>
          <w:szCs w:val="21"/>
        </w:rPr>
        <w:t xml:space="preserve">。参加投标的中小企业，应当按照《政府采购促进中小企业发展管理办法》的规定提供《中小企业声明函》（中小企业划型标准详见《关于印发中小企业划型标准规定的通知》工信部联企业〔2011〕300号）。</w:t>
      </w:r>
      <w:bookmarkStart w:id="328" w:name="_GoBack"/>
      <w:r/>
      <w:bookmarkEnd w:id="328"/>
      <w:r/>
      <w:r/>
    </w:p>
    <w:p>
      <w:pPr>
        <w:ind w:firstLine="422"/>
        <w:spacing w:line="360" w:lineRule="auto"/>
        <w:rPr>
          <w:szCs w:val="21"/>
        </w:rPr>
      </w:pPr>
      <w:r>
        <w:rPr>
          <w:b/>
          <w:bCs/>
          <w:szCs w:val="21"/>
        </w:rPr>
        <w:t xml:space="preserve">（2）监狱企业扶持政策：</w:t>
      </w:r>
      <w:r>
        <w:rPr>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rPr>
          <w:szCs w:val="21"/>
        </w:rPr>
      </w:pPr>
      <w:r>
        <w:rPr>
          <w:b/>
          <w:bCs/>
          <w:szCs w:val="21"/>
        </w:rPr>
        <w:t xml:space="preserve">（3）残疾人福利性单位扶持政策：</w:t>
      </w:r>
      <w:r>
        <w:rPr>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rPr>
          <w:szCs w:val="21"/>
        </w:rPr>
      </w:pPr>
      <w:r>
        <w:rPr>
          <w:b/>
          <w:bCs/>
          <w:szCs w:val="21"/>
        </w:rPr>
        <w:t xml:space="preserve">（4）乡村产业振兴支持政策：</w:t>
      </w:r>
      <w:r>
        <w:rPr>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spacing w:line="360" w:lineRule="auto"/>
        <w:rPr>
          <w:szCs w:val="21"/>
        </w:rPr>
      </w:pPr>
      <w:r>
        <w:rPr>
          <w:b/>
          <w:bCs/>
          <w:szCs w:val="21"/>
        </w:rPr>
        <w:t xml:space="preserve">（5）采购本国产品的支持政策：</w:t>
      </w:r>
      <w:r/>
    </w:p>
    <w:p>
      <w:pPr>
        <w:ind w:firstLine="420"/>
        <w:spacing w:line="360" w:lineRule="auto"/>
        <w:rPr>
          <w:color w:val="000000"/>
          <w:szCs w:val="21"/>
        </w:rPr>
      </w:pPr>
      <w:r>
        <w:rPr>
          <w:color w:val="000000"/>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color w:val="000000"/>
          <w:szCs w:val="21"/>
        </w:rPr>
      </w:pPr>
      <w:r>
        <w:rPr>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w:t>
      </w:r>
      <w:r>
        <w:rPr>
          <w:rFonts w:hint="eastAsia"/>
          <w:color w:val="000000"/>
          <w:szCs w:val="21"/>
        </w:rPr>
        <w:t xml:space="preserve">六</w:t>
      </w:r>
      <w:r>
        <w:rPr>
          <w:color w:val="000000"/>
          <w:szCs w:val="21"/>
        </w:rPr>
        <w:t xml:space="preserve">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szCs w:val="21"/>
        </w:rPr>
      </w:pPr>
      <w:r>
        <w:rPr>
          <w:szCs w:val="21"/>
        </w:rPr>
        <w:t xml:space="preserve">2.本项目总分为100分，</w:t>
      </w:r>
      <w:r>
        <w:rPr>
          <w:szCs w:val="21"/>
        </w:rPr>
        <w:t xml:space="preserve">小数点后保留2位。</w:t>
      </w:r>
      <w:r>
        <w:rPr>
          <w:szCs w:val="21"/>
        </w:rPr>
        <w:t xml:space="preserve">按评审后得分由高到低顺序排列，得分相同的，按投标报价由低到高顺序排列，得分且投标报价相同的，按</w:t>
      </w:r>
      <w:r>
        <w:rPr>
          <w:rFonts w:ascii="宋体" w:hAnsi="宋体" w:cs="宋体"/>
          <w:color w:val="000000"/>
          <w:u w:val="single"/>
        </w:rPr>
        <w:t xml:space="preserve">绿化养护方案</w:t>
      </w:r>
      <w:r>
        <w:rPr>
          <w:szCs w:val="21"/>
        </w:rPr>
        <w:t xml:space="preserve">优劣顺序排列，评标委员会根据最终排名向采购人推荐中标候选供应商。最低投标价等任何单项因素的最优不是中标的必要条件。</w:t>
      </w:r>
      <w:r/>
    </w:p>
    <w:p>
      <w:pPr>
        <w:ind w:firstLine="422"/>
        <w:spacing w:line="360" w:lineRule="auto"/>
        <w:rPr>
          <w:b/>
          <w:bCs/>
          <w:szCs w:val="21"/>
        </w:rPr>
      </w:pPr>
      <w:r>
        <w:rPr>
          <w:b/>
          <w:bCs/>
          <w:szCs w:val="21"/>
        </w:rPr>
        <w:t xml:space="preserve">具体打分方法如下：</w:t>
      </w:r>
      <w:r/>
    </w:p>
    <w:tbl>
      <w:tblPr>
        <w:tblStyle w:val="1149"/>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99"/>
        <w:gridCol w:w="1075"/>
        <w:gridCol w:w="7534"/>
        <w:gridCol w:w="675"/>
      </w:tblGrid>
      <w:tr>
        <w:trPr>
          <w:jc w:val="center"/>
          <w:trHeight w:val="530"/>
        </w:trPr>
        <w:tc>
          <w:tcPr>
            <w:tcMar>
              <w:left w:w="20" w:type="dxa"/>
              <w:top w:w="20" w:type="dxa"/>
              <w:right w:w="20" w:type="dxa"/>
              <w:bottom w:w="20" w:type="dxa"/>
            </w:tcMar>
            <w:tcW w:w="599" w:type="dxa"/>
            <w:vAlign w:val="center"/>
            <w:textDirection w:val="lrTb"/>
            <w:noWrap w:val="false"/>
          </w:tcPr>
          <w:p>
            <w:pPr>
              <w:jc w:val="center"/>
              <w:spacing w:line="360" w:lineRule="auto"/>
              <w:rPr>
                <w:b/>
                <w:color w:val="000000"/>
              </w:rPr>
            </w:pPr>
            <w:r>
              <w:rPr>
                <w:b/>
                <w:color w:val="000000"/>
              </w:rPr>
              <w:t xml:space="preserve">序号</w:t>
            </w:r>
            <w:r/>
          </w:p>
        </w:tc>
        <w:tc>
          <w:tcPr>
            <w:tcMar>
              <w:left w:w="20" w:type="dxa"/>
              <w:top w:w="20" w:type="dxa"/>
              <w:right w:w="20" w:type="dxa"/>
              <w:bottom w:w="20" w:type="dxa"/>
            </w:tcMar>
            <w:tcW w:w="1075" w:type="dxa"/>
            <w:vAlign w:val="center"/>
            <w:textDirection w:val="lrTb"/>
            <w:noWrap w:val="false"/>
          </w:tcPr>
          <w:p>
            <w:pPr>
              <w:jc w:val="center"/>
              <w:spacing w:line="360" w:lineRule="auto"/>
            </w:pPr>
            <w:r>
              <w:rPr>
                <w:b/>
                <w:color w:val="000000"/>
              </w:rPr>
              <w:t xml:space="preserve">评分因素</w:t>
            </w:r>
            <w:r/>
          </w:p>
        </w:tc>
        <w:tc>
          <w:tcPr>
            <w:tcMar>
              <w:left w:w="20" w:type="dxa"/>
              <w:top w:w="20" w:type="dxa"/>
              <w:right w:w="20" w:type="dxa"/>
              <w:bottom w:w="20" w:type="dxa"/>
            </w:tcMar>
            <w:tcW w:w="7534" w:type="dxa"/>
            <w:vAlign w:val="center"/>
            <w:textDirection w:val="lrTb"/>
            <w:noWrap w:val="false"/>
          </w:tcPr>
          <w:p>
            <w:pPr>
              <w:jc w:val="center"/>
              <w:spacing w:line="360" w:lineRule="auto"/>
            </w:pPr>
            <w:r>
              <w:rPr>
                <w:b/>
                <w:color w:val="000000"/>
              </w:rPr>
              <w:t xml:space="preserve">评分标准</w:t>
            </w:r>
            <w:r/>
          </w:p>
        </w:tc>
        <w:tc>
          <w:tcPr>
            <w:tcMar>
              <w:left w:w="20" w:type="dxa"/>
              <w:top w:w="20" w:type="dxa"/>
              <w:right w:w="20" w:type="dxa"/>
              <w:bottom w:w="20" w:type="dxa"/>
            </w:tcMar>
            <w:tcW w:w="675" w:type="dxa"/>
            <w:vAlign w:val="center"/>
            <w:textDirection w:val="lrTb"/>
            <w:noWrap w:val="false"/>
          </w:tcPr>
          <w:p>
            <w:pPr>
              <w:jc w:val="center"/>
              <w:spacing w:line="360" w:lineRule="auto"/>
            </w:pPr>
            <w:r>
              <w:rPr>
                <w:b/>
                <w:color w:val="000000"/>
              </w:rPr>
              <w:t xml:space="preserve">分值</w:t>
            </w:r>
            <w:r/>
          </w:p>
        </w:tc>
      </w:tr>
      <w:tr>
        <w:trPr>
          <w:jc w:val="center"/>
          <w:trHeight w:val="1000"/>
        </w:trPr>
        <w:tc>
          <w:tcPr>
            <w:tcMar>
              <w:left w:w="20" w:type="dxa"/>
              <w:top w:w="20" w:type="dxa"/>
              <w:right w:w="20" w:type="dxa"/>
              <w:bottom w:w="20" w:type="dxa"/>
            </w:tcMar>
            <w:tcW w:w="599" w:type="dxa"/>
            <w:vAlign w:val="center"/>
            <w:textDirection w:val="lrTb"/>
            <w:noWrap w:val="false"/>
          </w:tcPr>
          <w:p>
            <w:pPr>
              <w:jc w:val="center"/>
              <w:spacing w:line="360" w:lineRule="auto"/>
              <w:rPr>
                <w:color w:val="000000"/>
              </w:rPr>
            </w:pPr>
            <w:r>
              <w:rPr>
                <w:color w:val="000000"/>
              </w:rPr>
              <w:t xml:space="preserve">1</w:t>
            </w:r>
            <w:r/>
          </w:p>
        </w:tc>
        <w:tc>
          <w:tcPr>
            <w:tcMar>
              <w:left w:w="20" w:type="dxa"/>
              <w:top w:w="20" w:type="dxa"/>
              <w:right w:w="20" w:type="dxa"/>
              <w:bottom w:w="20" w:type="dxa"/>
            </w:tcMar>
            <w:tcW w:w="1075" w:type="dxa"/>
            <w:vAlign w:val="center"/>
            <w:textDirection w:val="lrTb"/>
            <w:noWrap w:val="false"/>
          </w:tcPr>
          <w:p>
            <w:pPr>
              <w:jc w:val="center"/>
              <w:spacing w:line="360" w:lineRule="auto"/>
              <w:rPr>
                <w:b/>
                <w:bCs/>
              </w:rPr>
            </w:pPr>
            <w:r>
              <w:rPr>
                <w:b/>
                <w:bCs/>
                <w:color w:val="000000"/>
              </w:rPr>
              <w:t xml:space="preserve">价格</w:t>
            </w:r>
            <w:r/>
          </w:p>
        </w:tc>
        <w:tc>
          <w:tcPr>
            <w:tcMar>
              <w:left w:w="20" w:type="dxa"/>
              <w:top w:w="20" w:type="dxa"/>
              <w:right w:w="20" w:type="dxa"/>
              <w:bottom w:w="20" w:type="dxa"/>
            </w:tcMar>
            <w:tcW w:w="7534" w:type="dxa"/>
            <w:textDirection w:val="lrTb"/>
            <w:noWrap w:val="false"/>
          </w:tcPr>
          <w:p>
            <w:pPr>
              <w:jc w:val="left"/>
              <w:spacing w:line="360" w:lineRule="auto"/>
            </w:pPr>
            <w:r>
              <w:rPr>
                <w:b/>
                <w:bCs/>
              </w:rPr>
              <w:t xml:space="preserve">投标最低报价为评标基准价</w:t>
            </w:r>
            <w:r>
              <w:t xml:space="preserve">：满足招标文件要求且投标价格最低的投标报价为评标基准价，其价格分为满分。其他投标人的价格分统一按照下列公式计算：投标报价得分=(评标基准价/投标报价)×30。</w:t>
            </w:r>
            <w:r/>
          </w:p>
        </w:tc>
        <w:tc>
          <w:tcPr>
            <w:tcMar>
              <w:left w:w="20" w:type="dxa"/>
              <w:top w:w="20" w:type="dxa"/>
              <w:right w:w="20" w:type="dxa"/>
              <w:bottom w:w="20" w:type="dxa"/>
            </w:tcMar>
            <w:tcW w:w="675" w:type="dxa"/>
            <w:vAlign w:val="center"/>
            <w:textDirection w:val="lrTb"/>
            <w:noWrap w:val="false"/>
          </w:tcPr>
          <w:p>
            <w:pPr>
              <w:jc w:val="center"/>
              <w:spacing w:line="360" w:lineRule="auto"/>
            </w:pPr>
            <w:r>
              <w:rPr>
                <w:rFonts w:hint="eastAsia"/>
                <w:color w:val="000000"/>
              </w:rPr>
              <w:t xml:space="preserve">3</w:t>
            </w:r>
            <w:r>
              <w:rPr>
                <w:color w:val="000000"/>
              </w:rPr>
              <w:t xml:space="preserve">0</w:t>
            </w:r>
            <w:r/>
          </w:p>
        </w:tc>
      </w:tr>
      <w:tr>
        <w:trPr>
          <w:jc w:val="center"/>
          <w:trHeight w:val="720"/>
        </w:trPr>
        <w:tc>
          <w:tcPr>
            <w:tcMar>
              <w:left w:w="20" w:type="dxa"/>
              <w:top w:w="20" w:type="dxa"/>
              <w:right w:w="20" w:type="dxa"/>
              <w:bottom w:w="20" w:type="dxa"/>
            </w:tcMar>
            <w:tcW w:w="599" w:type="dxa"/>
            <w:vAlign w:val="center"/>
            <w:vMerge w:val="restart"/>
            <w:textDirection w:val="lrTb"/>
            <w:noWrap w:val="false"/>
          </w:tcPr>
          <w:p>
            <w:pPr>
              <w:jc w:val="center"/>
              <w:spacing w:line="360" w:lineRule="auto"/>
              <w:rPr>
                <w:color w:val="000000"/>
              </w:rPr>
            </w:pPr>
            <w:r>
              <w:rPr>
                <w:color w:val="000000"/>
              </w:rPr>
              <w:t xml:space="preserve">2</w:t>
            </w:r>
            <w:r/>
          </w:p>
        </w:tc>
        <w:tc>
          <w:tcPr>
            <w:tcMar>
              <w:left w:w="20" w:type="dxa"/>
              <w:top w:w="20" w:type="dxa"/>
              <w:right w:w="20" w:type="dxa"/>
              <w:bottom w:w="20" w:type="dxa"/>
            </w:tcMar>
            <w:tcW w:w="1075" w:type="dxa"/>
            <w:vAlign w:val="center"/>
            <w:vMerge w:val="restart"/>
            <w:textDirection w:val="lrTb"/>
            <w:noWrap w:val="false"/>
          </w:tcPr>
          <w:p>
            <w:pPr>
              <w:jc w:val="center"/>
              <w:spacing w:line="360" w:lineRule="auto"/>
              <w:rPr>
                <w:b/>
                <w:bCs/>
              </w:rPr>
            </w:pPr>
            <w:r>
              <w:rPr>
                <w:b/>
                <w:bCs/>
              </w:rPr>
              <w:t xml:space="preserve">绿化养护方案</w:t>
            </w:r>
            <w:r/>
          </w:p>
        </w:tc>
        <w:tc>
          <w:tcPr>
            <w:tcMar>
              <w:left w:w="20" w:type="dxa"/>
              <w:top w:w="20" w:type="dxa"/>
              <w:right w:w="20" w:type="dxa"/>
              <w:bottom w:w="20" w:type="dxa"/>
            </w:tcMar>
            <w:tcW w:w="7534" w:type="dxa"/>
            <w:textDirection w:val="lrTb"/>
            <w:noWrap w:val="false"/>
          </w:tcPr>
          <w:p>
            <w:pPr>
              <w:spacing w:line="360" w:lineRule="auto"/>
            </w:pPr>
            <w:r>
              <w:t xml:space="preserve">根据供应商针对本项目编制的</w:t>
            </w:r>
            <w:r>
              <w:rPr>
                <w:rFonts w:hint="eastAsia"/>
              </w:rPr>
              <w:t xml:space="preserve">绿化</w:t>
            </w:r>
            <w:r>
              <w:t xml:space="preserve">养护整体方案</w:t>
            </w:r>
            <w:r>
              <w:rPr>
                <w:rFonts w:hint="eastAsia"/>
              </w:rPr>
              <w:t xml:space="preserve">（包括但不限于整体设想、重难点分析等）综合评价：</w:t>
            </w:r>
            <w:r/>
          </w:p>
          <w:p>
            <w:pPr>
              <w:spacing w:line="360" w:lineRule="auto"/>
            </w:pPr>
            <w:r>
              <w:t xml:space="preserve">方案</w:t>
            </w:r>
            <w:r>
              <w:rPr>
                <w:rFonts w:hint="eastAsia"/>
              </w:rPr>
              <w:t xml:space="preserve">完整全面，</w:t>
            </w:r>
            <w:r>
              <w:t xml:space="preserve">设想周到</w:t>
            </w:r>
            <w:r>
              <w:rPr>
                <w:rFonts w:hint="eastAsia"/>
              </w:rPr>
              <w:t xml:space="preserve">、新颖</w:t>
            </w:r>
            <w:r>
              <w:t xml:space="preserve">，在服务于本项目的重点、难点等方面措施全面、针对性强，得</w:t>
            </w:r>
            <w:r>
              <w:rPr>
                <w:rFonts w:hint="eastAsia"/>
              </w:rPr>
              <w:t xml:space="preserve">8</w:t>
            </w:r>
            <w:r>
              <w:t xml:space="preserve">分；</w:t>
            </w:r>
            <w:r>
              <w:rPr>
                <w:rFonts w:hint="eastAsia"/>
              </w:rPr>
              <w:t xml:space="preserve">方案基本完整，</w:t>
            </w:r>
            <w:r>
              <w:t xml:space="preserve">有较强的针对性、养护重难点突出、应对措施较有针对性，得</w:t>
            </w:r>
            <w:r>
              <w:rPr>
                <w:rFonts w:hint="eastAsia"/>
              </w:rPr>
              <w:t xml:space="preserve">5</w:t>
            </w:r>
            <w:r>
              <w:t xml:space="preserve">分；方案</w:t>
            </w:r>
            <w:r>
              <w:rPr>
                <w:rFonts w:hint="eastAsia"/>
              </w:rPr>
              <w:t xml:space="preserve">有部分瑕疵，需进一步改进，</w:t>
            </w:r>
            <w:r>
              <w:t xml:space="preserve">得</w:t>
            </w:r>
            <w:r>
              <w:rPr>
                <w:rFonts w:hint="eastAsia"/>
              </w:rPr>
              <w:t xml:space="preserve">2</w:t>
            </w:r>
            <w:r>
              <w:t xml:space="preserve">分；未提供不得分。</w:t>
            </w:r>
            <w:r/>
          </w:p>
        </w:tc>
        <w:tc>
          <w:tcPr>
            <w:tcMar>
              <w:left w:w="20" w:type="dxa"/>
              <w:top w:w="20" w:type="dxa"/>
              <w:right w:w="20" w:type="dxa"/>
              <w:bottom w:w="20" w:type="dxa"/>
            </w:tcMar>
            <w:tcW w:w="675" w:type="dxa"/>
            <w:vAlign w:val="center"/>
            <w:textDirection w:val="lrTb"/>
            <w:noWrap w:val="false"/>
          </w:tcPr>
          <w:p>
            <w:pPr>
              <w:jc w:val="center"/>
              <w:spacing w:line="360" w:lineRule="auto"/>
            </w:pPr>
            <w:r>
              <w:rPr>
                <w:rFonts w:hint="eastAsia"/>
              </w:rPr>
              <w:t xml:space="preserve">8</w:t>
            </w:r>
            <w:r/>
          </w:p>
        </w:tc>
      </w:tr>
      <w:tr>
        <w:trPr>
          <w:jc w:val="center"/>
          <w:trHeight w:val="720"/>
        </w:trPr>
        <w:tc>
          <w:tcPr>
            <w:tcMar>
              <w:left w:w="20" w:type="dxa"/>
              <w:top w:w="20" w:type="dxa"/>
              <w:right w:w="20" w:type="dxa"/>
              <w:bottom w:w="20" w:type="dxa"/>
            </w:tcMar>
            <w:tcW w:w="599" w:type="dxa"/>
            <w:vAlign w:val="center"/>
            <w:vMerge w:val="continue"/>
            <w:textDirection w:val="lrTb"/>
            <w:noWrap w:val="false"/>
          </w:tcPr>
          <w:p>
            <w:pPr>
              <w:jc w:val="center"/>
              <w:spacing w:line="360" w:lineRule="auto"/>
              <w:rPr>
                <w:color w:val="000000"/>
              </w:rPr>
            </w:pPr>
            <w:r>
              <w:rPr>
                <w:color w:val="000000"/>
              </w:rPr>
            </w:r>
            <w:r/>
          </w:p>
        </w:tc>
        <w:tc>
          <w:tcPr>
            <w:tcMar>
              <w:left w:w="20" w:type="dxa"/>
              <w:top w:w="20" w:type="dxa"/>
              <w:right w:w="20" w:type="dxa"/>
              <w:bottom w:w="20" w:type="dxa"/>
            </w:tcMar>
            <w:tcW w:w="1075" w:type="dxa"/>
            <w:vAlign w:val="center"/>
            <w:vMerge w:val="continue"/>
            <w:textDirection w:val="lrTb"/>
            <w:noWrap w:val="false"/>
          </w:tcPr>
          <w:p>
            <w:pPr>
              <w:jc w:val="center"/>
              <w:spacing w:line="360" w:lineRule="auto"/>
              <w:rPr>
                <w:b/>
                <w:bCs/>
              </w:rPr>
            </w:pPr>
            <w:r>
              <w:rPr>
                <w:b/>
                <w:bCs/>
              </w:rPr>
            </w:r>
            <w:r/>
          </w:p>
        </w:tc>
        <w:tc>
          <w:tcPr>
            <w:tcMar>
              <w:left w:w="20" w:type="dxa"/>
              <w:top w:w="20" w:type="dxa"/>
              <w:right w:w="20" w:type="dxa"/>
              <w:bottom w:w="20" w:type="dxa"/>
            </w:tcMar>
            <w:tcW w:w="7534" w:type="dxa"/>
            <w:textDirection w:val="lrTb"/>
            <w:noWrap w:val="false"/>
          </w:tcPr>
          <w:p>
            <w:pPr>
              <w:spacing w:line="360" w:lineRule="auto"/>
            </w:pPr>
            <w:r>
              <w:rPr>
                <w:rFonts w:hint="eastAsia"/>
              </w:rPr>
              <w:t xml:space="preserve">根据供应商提供的养护具体实施方案（包括但不限于人员安排、进度计划及组织管理体系建设等）综合评价：</w:t>
            </w:r>
            <w:r/>
          </w:p>
          <w:p>
            <w:pPr>
              <w:spacing w:line="360" w:lineRule="auto"/>
            </w:pPr>
            <w:r>
              <w:t xml:space="preserve">工作人员安排计划合理，组织管理体系科学，能够有效实施养护管理工作，包括各专业工种人员的配备以及劳动力安排等，方案完整、可行性强、可操作性高</w:t>
            </w:r>
            <w:r>
              <w:rPr>
                <w:rFonts w:hint="eastAsia"/>
              </w:rPr>
              <w:t xml:space="preserve">，</w:t>
            </w:r>
            <w:r>
              <w:t xml:space="preserve">得</w:t>
            </w:r>
            <w:r>
              <w:rPr>
                <w:rFonts w:hint="eastAsia"/>
              </w:rPr>
              <w:t xml:space="preserve">9</w:t>
            </w:r>
            <w:r>
              <w:t xml:space="preserve">分</w:t>
            </w:r>
            <w:r>
              <w:rPr>
                <w:rFonts w:hint="eastAsia"/>
              </w:rPr>
              <w:t xml:space="preserve">；</w:t>
            </w:r>
            <w:r>
              <w:t xml:space="preserve">方案基本完整、</w:t>
            </w:r>
            <w:r>
              <w:rPr>
                <w:rFonts w:hint="eastAsia"/>
              </w:rPr>
              <w:t xml:space="preserve">具备一定的</w:t>
            </w:r>
            <w:r>
              <w:t xml:space="preserve">可行性</w:t>
            </w:r>
            <w:r>
              <w:rPr>
                <w:rFonts w:hint="eastAsia"/>
              </w:rPr>
              <w:t xml:space="preserve">但略有瑕疵，</w:t>
            </w:r>
            <w:r>
              <w:t xml:space="preserve">得</w:t>
            </w:r>
            <w:r>
              <w:rPr>
                <w:rFonts w:hint="eastAsia"/>
              </w:rPr>
              <w:t xml:space="preserve">6</w:t>
            </w:r>
            <w:r>
              <w:t xml:space="preserve">分</w:t>
            </w:r>
            <w:r>
              <w:rPr>
                <w:rFonts w:hint="eastAsia"/>
              </w:rPr>
              <w:t xml:space="preserve">；</w:t>
            </w:r>
            <w:r>
              <w:t xml:space="preserve">方案</w:t>
            </w:r>
            <w:r>
              <w:rPr>
                <w:rFonts w:hint="eastAsia"/>
              </w:rPr>
              <w:t xml:space="preserve">有缺失，不具备</w:t>
            </w:r>
            <w:r>
              <w:t xml:space="preserve">可行性</w:t>
            </w:r>
            <w:r>
              <w:rPr>
                <w:rFonts w:hint="eastAsia"/>
              </w:rPr>
              <w:t xml:space="preserve">或需进一步改进，</w:t>
            </w:r>
            <w:r>
              <w:t xml:space="preserve">得</w:t>
            </w:r>
            <w:r>
              <w:rPr>
                <w:rFonts w:hint="eastAsia"/>
              </w:rPr>
              <w:t xml:space="preserve">3</w:t>
            </w:r>
            <w:r>
              <w:t xml:space="preserve">分</w:t>
            </w:r>
            <w:r>
              <w:rPr>
                <w:rFonts w:hint="eastAsia"/>
              </w:rPr>
              <w:t xml:space="preserve">；</w:t>
            </w:r>
            <w:r>
              <w:t xml:space="preserve">未提供</w:t>
            </w:r>
            <w:r>
              <w:rPr>
                <w:rFonts w:hint="eastAsia"/>
              </w:rPr>
              <w:t xml:space="preserve">不得分</w:t>
            </w:r>
            <w:r>
              <w:t xml:space="preserve">。</w:t>
            </w:r>
            <w:r/>
          </w:p>
        </w:tc>
        <w:tc>
          <w:tcPr>
            <w:tcMar>
              <w:left w:w="20" w:type="dxa"/>
              <w:top w:w="20" w:type="dxa"/>
              <w:right w:w="20" w:type="dxa"/>
              <w:bottom w:w="20" w:type="dxa"/>
            </w:tcMar>
            <w:tcW w:w="675" w:type="dxa"/>
            <w:vAlign w:val="center"/>
            <w:textDirection w:val="lrTb"/>
            <w:noWrap w:val="false"/>
          </w:tcPr>
          <w:p>
            <w:pPr>
              <w:jc w:val="center"/>
              <w:spacing w:line="360" w:lineRule="auto"/>
            </w:pPr>
            <w:r>
              <w:rPr>
                <w:rFonts w:hint="eastAsia"/>
              </w:rPr>
              <w:t xml:space="preserve">9</w:t>
            </w:r>
            <w:r/>
          </w:p>
        </w:tc>
      </w:tr>
      <w:tr>
        <w:trPr>
          <w:jc w:val="center"/>
          <w:trHeight w:val="720"/>
        </w:trPr>
        <w:tc>
          <w:tcPr>
            <w:tcMar>
              <w:left w:w="20" w:type="dxa"/>
              <w:top w:w="20" w:type="dxa"/>
              <w:right w:w="20" w:type="dxa"/>
              <w:bottom w:w="20" w:type="dxa"/>
            </w:tcMar>
            <w:tcW w:w="599" w:type="dxa"/>
            <w:vAlign w:val="center"/>
            <w:vMerge w:val="continue"/>
            <w:textDirection w:val="lrTb"/>
            <w:noWrap w:val="false"/>
          </w:tcPr>
          <w:p>
            <w:pPr>
              <w:jc w:val="center"/>
              <w:spacing w:line="360" w:lineRule="auto"/>
              <w:rPr>
                <w:color w:val="000000"/>
              </w:rPr>
            </w:pPr>
            <w:r>
              <w:rPr>
                <w:color w:val="000000"/>
              </w:rPr>
            </w:r>
            <w:r/>
          </w:p>
        </w:tc>
        <w:tc>
          <w:tcPr>
            <w:tcMar>
              <w:left w:w="20" w:type="dxa"/>
              <w:top w:w="20" w:type="dxa"/>
              <w:right w:w="20" w:type="dxa"/>
              <w:bottom w:w="20" w:type="dxa"/>
            </w:tcMar>
            <w:tcW w:w="1075" w:type="dxa"/>
            <w:vAlign w:val="center"/>
            <w:vMerge w:val="continue"/>
            <w:textDirection w:val="lrTb"/>
            <w:noWrap w:val="false"/>
          </w:tcPr>
          <w:p>
            <w:pPr>
              <w:jc w:val="center"/>
              <w:spacing w:line="360" w:lineRule="auto"/>
              <w:rPr>
                <w:b/>
                <w:bCs/>
              </w:rPr>
            </w:pPr>
            <w:r>
              <w:rPr>
                <w:b/>
                <w:bCs/>
              </w:rPr>
            </w:r>
            <w:r/>
          </w:p>
        </w:tc>
        <w:tc>
          <w:tcPr>
            <w:tcMar>
              <w:left w:w="20" w:type="dxa"/>
              <w:top w:w="20" w:type="dxa"/>
              <w:right w:w="20" w:type="dxa"/>
              <w:bottom w:w="20" w:type="dxa"/>
            </w:tcMar>
            <w:tcW w:w="7534" w:type="dxa"/>
            <w:textDirection w:val="lrTb"/>
            <w:noWrap w:val="false"/>
          </w:tcPr>
          <w:p>
            <w:pPr>
              <w:spacing w:line="360" w:lineRule="auto"/>
            </w:pPr>
            <w:r>
              <w:t xml:space="preserve">根据供应商提供项目服务期间的设备、园林绿化等的综合管理制度方案</w:t>
            </w:r>
            <w:r>
              <w:rPr>
                <w:rFonts w:hint="eastAsia"/>
              </w:rPr>
              <w:t xml:space="preserve">综合评价：</w:t>
            </w:r>
            <w:r/>
          </w:p>
          <w:p>
            <w:pPr>
              <w:spacing w:line="360" w:lineRule="auto"/>
            </w:pPr>
            <w:r>
              <w:t xml:space="preserve">方案完善，程序规范，责任明确，可行性、针对性强得</w:t>
            </w:r>
            <w:r>
              <w:rPr>
                <w:rFonts w:hint="eastAsia"/>
              </w:rPr>
              <w:t xml:space="preserve">9</w:t>
            </w:r>
            <w:r>
              <w:t xml:space="preserve">分；方案较完善，程序规范，责任明确，可行性、针对性较强得</w:t>
            </w:r>
            <w:r>
              <w:rPr>
                <w:rFonts w:hint="eastAsia"/>
              </w:rPr>
              <w:t xml:space="preserve">6</w:t>
            </w:r>
            <w:r>
              <w:t xml:space="preserve">分；方案</w:t>
            </w:r>
            <w:r>
              <w:rPr>
                <w:rFonts w:hint="eastAsia"/>
              </w:rPr>
              <w:t xml:space="preserve">有缺失，不具备</w:t>
            </w:r>
            <w:r>
              <w:t xml:space="preserve">可行性</w:t>
            </w:r>
            <w:r>
              <w:rPr>
                <w:rFonts w:hint="eastAsia"/>
              </w:rPr>
              <w:t xml:space="preserve">或需进一步改进方，</w:t>
            </w:r>
            <w:r>
              <w:t xml:space="preserve">得</w:t>
            </w:r>
            <w:r>
              <w:rPr>
                <w:rFonts w:hint="eastAsia"/>
              </w:rPr>
              <w:t xml:space="preserve">3</w:t>
            </w:r>
            <w:r>
              <w:t xml:space="preserve">分</w:t>
            </w:r>
            <w:r>
              <w:rPr>
                <w:rFonts w:hint="eastAsia"/>
              </w:rPr>
              <w:t xml:space="preserve">；</w:t>
            </w:r>
            <w:r>
              <w:t xml:space="preserve">未提供</w:t>
            </w:r>
            <w:r>
              <w:rPr>
                <w:rFonts w:hint="eastAsia"/>
              </w:rPr>
              <w:t xml:space="preserve">不得分</w:t>
            </w:r>
            <w:r>
              <w:t xml:space="preserve">。</w:t>
            </w:r>
            <w:r/>
          </w:p>
        </w:tc>
        <w:tc>
          <w:tcPr>
            <w:tcMar>
              <w:left w:w="20" w:type="dxa"/>
              <w:top w:w="20" w:type="dxa"/>
              <w:right w:w="20" w:type="dxa"/>
              <w:bottom w:w="20" w:type="dxa"/>
            </w:tcMar>
            <w:tcW w:w="675" w:type="dxa"/>
            <w:vAlign w:val="center"/>
            <w:textDirection w:val="lrTb"/>
            <w:noWrap w:val="false"/>
          </w:tcPr>
          <w:p>
            <w:pPr>
              <w:jc w:val="center"/>
              <w:spacing w:line="360" w:lineRule="auto"/>
            </w:pPr>
            <w:r>
              <w:rPr>
                <w:rFonts w:hint="eastAsia"/>
              </w:rPr>
              <w:t xml:space="preserve">9</w:t>
            </w:r>
            <w:r/>
          </w:p>
        </w:tc>
      </w:tr>
      <w:tr>
        <w:trPr>
          <w:jc w:val="center"/>
          <w:trHeight w:val="720"/>
        </w:trPr>
        <w:tc>
          <w:tcPr>
            <w:tcMar>
              <w:left w:w="20" w:type="dxa"/>
              <w:top w:w="20" w:type="dxa"/>
              <w:right w:w="20" w:type="dxa"/>
              <w:bottom w:w="20" w:type="dxa"/>
            </w:tcMar>
            <w:tcW w:w="599" w:type="dxa"/>
            <w:vAlign w:val="center"/>
            <w:vMerge w:val="continue"/>
            <w:textDirection w:val="lrTb"/>
            <w:noWrap w:val="false"/>
          </w:tcPr>
          <w:p>
            <w:pPr>
              <w:jc w:val="center"/>
              <w:spacing w:line="360" w:lineRule="auto"/>
              <w:rPr>
                <w:color w:val="000000"/>
              </w:rPr>
            </w:pPr>
            <w:r>
              <w:rPr>
                <w:color w:val="000000"/>
              </w:rPr>
            </w:r>
            <w:r/>
          </w:p>
        </w:tc>
        <w:tc>
          <w:tcPr>
            <w:tcMar>
              <w:left w:w="20" w:type="dxa"/>
              <w:top w:w="20" w:type="dxa"/>
              <w:right w:w="20" w:type="dxa"/>
              <w:bottom w:w="20" w:type="dxa"/>
            </w:tcMar>
            <w:tcW w:w="1075" w:type="dxa"/>
            <w:vAlign w:val="center"/>
            <w:vMerge w:val="continue"/>
            <w:textDirection w:val="lrTb"/>
            <w:noWrap w:val="false"/>
          </w:tcPr>
          <w:p>
            <w:pPr>
              <w:jc w:val="center"/>
              <w:spacing w:line="360" w:lineRule="auto"/>
              <w:rPr>
                <w:b/>
                <w:bCs/>
              </w:rPr>
            </w:pPr>
            <w:r>
              <w:rPr>
                <w:b/>
                <w:bCs/>
              </w:rPr>
            </w:r>
            <w:r/>
          </w:p>
        </w:tc>
        <w:tc>
          <w:tcPr>
            <w:tcMar>
              <w:left w:w="20" w:type="dxa"/>
              <w:top w:w="20" w:type="dxa"/>
              <w:right w:w="20" w:type="dxa"/>
              <w:bottom w:w="20" w:type="dxa"/>
            </w:tcMar>
            <w:tcW w:w="7534" w:type="dxa"/>
            <w:textDirection w:val="lrTb"/>
            <w:noWrap w:val="false"/>
          </w:tcPr>
          <w:p>
            <w:pPr>
              <w:spacing w:line="360" w:lineRule="auto"/>
            </w:pPr>
            <w:r>
              <w:rPr>
                <w:rFonts w:hint="eastAsia"/>
              </w:rPr>
              <w:t xml:space="preserve">根据供应商提供的养护质量控制方案（包括但不限于结合季节变化及植物特性的针对性</w:t>
            </w:r>
            <w:r>
              <w:t xml:space="preserve">措施、病虫害防治方案</w:t>
            </w:r>
            <w:r>
              <w:rPr>
                <w:rFonts w:hint="eastAsia"/>
              </w:rPr>
              <w:t xml:space="preserve">等）综合评价：</w:t>
            </w:r>
            <w:r/>
          </w:p>
          <w:p>
            <w:pPr>
              <w:spacing w:line="360" w:lineRule="auto"/>
            </w:pPr>
            <w:r>
              <w:t xml:space="preserve">方案完整、结合季节变化，考虑各类植物特性，养护计划周密，措施有效，得</w:t>
            </w:r>
            <w:r>
              <w:rPr>
                <w:rFonts w:hint="eastAsia"/>
              </w:rPr>
              <w:t xml:space="preserve">9</w:t>
            </w:r>
            <w:r>
              <w:t xml:space="preserve">分</w:t>
            </w:r>
            <w:r>
              <w:rPr>
                <w:rFonts w:hint="eastAsia"/>
              </w:rPr>
              <w:t xml:space="preserve">；</w:t>
            </w:r>
            <w:r>
              <w:t xml:space="preserve">方案基本完整、</w:t>
            </w:r>
            <w:r>
              <w:rPr>
                <w:rFonts w:hint="eastAsia"/>
              </w:rPr>
              <w:t xml:space="preserve">具备一定的</w:t>
            </w:r>
            <w:r>
              <w:t xml:space="preserve">可行性</w:t>
            </w:r>
            <w:r>
              <w:rPr>
                <w:rFonts w:hint="eastAsia"/>
              </w:rPr>
              <w:t xml:space="preserve">但略有瑕疵，</w:t>
            </w:r>
            <w:r>
              <w:t xml:space="preserve">得</w:t>
            </w:r>
            <w:r>
              <w:rPr>
                <w:rFonts w:hint="eastAsia"/>
              </w:rPr>
              <w:t xml:space="preserve">6</w:t>
            </w:r>
            <w:r>
              <w:t xml:space="preserve">分</w:t>
            </w:r>
            <w:r>
              <w:rPr>
                <w:rFonts w:hint="eastAsia"/>
              </w:rPr>
              <w:t xml:space="preserve">；</w:t>
            </w:r>
            <w:r>
              <w:t xml:space="preserve">方案</w:t>
            </w:r>
            <w:r>
              <w:rPr>
                <w:rFonts w:hint="eastAsia"/>
              </w:rPr>
              <w:t xml:space="preserve">有缺失，不具备</w:t>
            </w:r>
            <w:r>
              <w:t xml:space="preserve">可行性</w:t>
            </w:r>
            <w:r>
              <w:rPr>
                <w:rFonts w:hint="eastAsia"/>
              </w:rPr>
              <w:t xml:space="preserve">或需进一步改进，</w:t>
            </w:r>
            <w:r>
              <w:t xml:space="preserve">得</w:t>
            </w:r>
            <w:r>
              <w:rPr>
                <w:rFonts w:hint="eastAsia"/>
              </w:rPr>
              <w:t xml:space="preserve">3</w:t>
            </w:r>
            <w:r>
              <w:t xml:space="preserve">分</w:t>
            </w:r>
            <w:r>
              <w:rPr>
                <w:rFonts w:hint="eastAsia"/>
              </w:rPr>
              <w:t xml:space="preserve">；</w:t>
            </w:r>
            <w:r>
              <w:t xml:space="preserve">未提供</w:t>
            </w:r>
            <w:r>
              <w:rPr>
                <w:rFonts w:hint="eastAsia"/>
              </w:rPr>
              <w:t xml:space="preserve">不得分</w:t>
            </w:r>
            <w:r>
              <w:t xml:space="preserve">。</w:t>
            </w:r>
            <w:r/>
          </w:p>
        </w:tc>
        <w:tc>
          <w:tcPr>
            <w:tcMar>
              <w:left w:w="20" w:type="dxa"/>
              <w:top w:w="20" w:type="dxa"/>
              <w:right w:w="20" w:type="dxa"/>
              <w:bottom w:w="20" w:type="dxa"/>
            </w:tcMar>
            <w:tcW w:w="675" w:type="dxa"/>
            <w:vAlign w:val="center"/>
            <w:textDirection w:val="lrTb"/>
            <w:noWrap w:val="false"/>
          </w:tcPr>
          <w:p>
            <w:pPr>
              <w:jc w:val="center"/>
              <w:spacing w:line="360" w:lineRule="auto"/>
            </w:pPr>
            <w:r>
              <w:rPr>
                <w:rFonts w:hint="eastAsia"/>
              </w:rPr>
              <w:t xml:space="preserve">9</w:t>
            </w:r>
            <w:r/>
          </w:p>
        </w:tc>
      </w:tr>
      <w:tr>
        <w:trPr>
          <w:jc w:val="center"/>
          <w:trHeight w:val="614"/>
        </w:trPr>
        <w:tc>
          <w:tcPr>
            <w:tcMar>
              <w:left w:w="20" w:type="dxa"/>
              <w:top w:w="20" w:type="dxa"/>
              <w:right w:w="20" w:type="dxa"/>
              <w:bottom w:w="20" w:type="dxa"/>
            </w:tcMar>
            <w:tcW w:w="599" w:type="dxa"/>
            <w:vAlign w:val="center"/>
            <w:textDirection w:val="lrTb"/>
            <w:noWrap w:val="false"/>
          </w:tcPr>
          <w:p>
            <w:pPr>
              <w:jc w:val="center"/>
              <w:spacing w:line="360" w:lineRule="auto"/>
              <w:rPr>
                <w:color w:val="000000"/>
              </w:rPr>
            </w:pPr>
            <w:r>
              <w:rPr>
                <w:rFonts w:hint="eastAsia"/>
                <w:color w:val="000000"/>
              </w:rPr>
              <w:t xml:space="preserve">3</w:t>
            </w:r>
            <w:r/>
          </w:p>
        </w:tc>
        <w:tc>
          <w:tcPr>
            <w:tcMar>
              <w:left w:w="20" w:type="dxa"/>
              <w:top w:w="20" w:type="dxa"/>
              <w:right w:w="20" w:type="dxa"/>
              <w:bottom w:w="20" w:type="dxa"/>
            </w:tcMar>
            <w:tcW w:w="1075" w:type="dxa"/>
            <w:vAlign w:val="center"/>
            <w:textDirection w:val="lrTb"/>
            <w:noWrap w:val="false"/>
          </w:tcPr>
          <w:p>
            <w:pPr>
              <w:jc w:val="center"/>
              <w:spacing w:line="360" w:lineRule="auto"/>
              <w:rPr>
                <w:b/>
                <w:bCs/>
              </w:rPr>
            </w:pPr>
            <w:r>
              <w:rPr>
                <w:b/>
                <w:bCs/>
              </w:rPr>
              <w:t xml:space="preserve">应急预案</w:t>
            </w:r>
            <w:r/>
          </w:p>
        </w:tc>
        <w:tc>
          <w:tcPr>
            <w:tcMar>
              <w:left w:w="20" w:type="dxa"/>
              <w:top w:w="20" w:type="dxa"/>
              <w:right w:w="20" w:type="dxa"/>
              <w:bottom w:w="20" w:type="dxa"/>
            </w:tcMar>
            <w:tcW w:w="7534" w:type="dxa"/>
            <w:textDirection w:val="lrTb"/>
            <w:noWrap w:val="false"/>
          </w:tcPr>
          <w:p>
            <w:pPr>
              <w:spacing w:line="360" w:lineRule="auto"/>
            </w:pPr>
            <w:r>
              <w:t xml:space="preserve">根据各</w:t>
            </w:r>
            <w:r>
              <w:rPr>
                <w:rFonts w:hint="eastAsia"/>
              </w:rPr>
              <w:t xml:space="preserve">供应商</w:t>
            </w:r>
            <w:r>
              <w:t xml:space="preserve">提供的恶劣天气抢险抗灾及其他突发事件、应急事件及突击性工作等应急预案</w:t>
            </w:r>
            <w:r>
              <w:rPr>
                <w:rFonts w:hint="eastAsia"/>
              </w:rPr>
              <w:t xml:space="preserve">综合评分：</w:t>
            </w:r>
            <w:r/>
          </w:p>
          <w:p>
            <w:pPr>
              <w:spacing w:line="360" w:lineRule="auto"/>
            </w:pPr>
            <w:r>
              <w:t xml:space="preserve">应急预案科学合理，详细全面，针对性强，应急组织机构健全得</w:t>
            </w:r>
            <w:r>
              <w:rPr>
                <w:rFonts w:hint="eastAsia"/>
              </w:rPr>
              <w:t xml:space="preserve">9</w:t>
            </w:r>
            <w:r>
              <w:t xml:space="preserve">分；应急预案较合理，详细全面，针对性强，应急组织机构较健全得</w:t>
            </w:r>
            <w:r>
              <w:rPr>
                <w:rFonts w:hint="eastAsia"/>
              </w:rPr>
              <w:t xml:space="preserve">6</w:t>
            </w:r>
            <w:r>
              <w:t xml:space="preserve">分；应急预案可操作性、针对性一般得</w:t>
            </w:r>
            <w:r>
              <w:rPr>
                <w:rFonts w:hint="eastAsia"/>
              </w:rPr>
              <w:t xml:space="preserve">3</w:t>
            </w:r>
            <w:r>
              <w:t xml:space="preserve">分；未提供不得分。</w:t>
            </w:r>
            <w:r/>
          </w:p>
        </w:tc>
        <w:tc>
          <w:tcPr>
            <w:tcMar>
              <w:left w:w="20" w:type="dxa"/>
              <w:top w:w="20" w:type="dxa"/>
              <w:right w:w="20" w:type="dxa"/>
              <w:bottom w:w="20" w:type="dxa"/>
            </w:tcMar>
            <w:tcW w:w="675" w:type="dxa"/>
            <w:vAlign w:val="center"/>
            <w:textDirection w:val="lrTb"/>
            <w:noWrap w:val="false"/>
          </w:tcPr>
          <w:p>
            <w:pPr>
              <w:jc w:val="center"/>
              <w:spacing w:line="360" w:lineRule="auto"/>
            </w:pPr>
            <w:r>
              <w:rPr>
                <w:rFonts w:hint="eastAsia"/>
              </w:rPr>
              <w:t xml:space="preserve">9</w:t>
            </w:r>
            <w:r/>
          </w:p>
        </w:tc>
      </w:tr>
      <w:tr>
        <w:trPr>
          <w:jc w:val="center"/>
          <w:trHeight w:val="720"/>
        </w:trPr>
        <w:tc>
          <w:tcPr>
            <w:tcMar>
              <w:left w:w="20" w:type="dxa"/>
              <w:top w:w="20" w:type="dxa"/>
              <w:right w:w="20" w:type="dxa"/>
              <w:bottom w:w="20" w:type="dxa"/>
            </w:tcMar>
            <w:tcW w:w="599" w:type="dxa"/>
            <w:vAlign w:val="center"/>
            <w:textDirection w:val="lrTb"/>
            <w:noWrap w:val="false"/>
          </w:tcPr>
          <w:p>
            <w:pPr>
              <w:jc w:val="center"/>
              <w:spacing w:line="360" w:lineRule="auto"/>
              <w:rPr>
                <w:color w:val="000000"/>
              </w:rPr>
            </w:pPr>
            <w:r>
              <w:rPr>
                <w:rFonts w:hint="eastAsia"/>
                <w:color w:val="000000"/>
              </w:rPr>
              <w:t xml:space="preserve">4</w:t>
            </w:r>
            <w:r/>
          </w:p>
        </w:tc>
        <w:tc>
          <w:tcPr>
            <w:tcMar>
              <w:left w:w="20" w:type="dxa"/>
              <w:top w:w="20" w:type="dxa"/>
              <w:right w:w="20" w:type="dxa"/>
              <w:bottom w:w="20" w:type="dxa"/>
            </w:tcMar>
            <w:tcW w:w="1075" w:type="dxa"/>
            <w:vAlign w:val="center"/>
            <w:textDirection w:val="lrTb"/>
            <w:noWrap w:val="false"/>
          </w:tcPr>
          <w:p>
            <w:pPr>
              <w:jc w:val="center"/>
              <w:spacing w:line="360" w:lineRule="auto"/>
              <w:rPr>
                <w:color w:val="000000"/>
              </w:rPr>
            </w:pPr>
            <w:r>
              <w:rPr>
                <w:rFonts w:hint="eastAsia"/>
                <w:b/>
                <w:bCs/>
                <w:color w:val="000000"/>
              </w:rPr>
              <w:t xml:space="preserve">文化育人、劳动育人活动方案</w:t>
            </w:r>
            <w:r/>
          </w:p>
        </w:tc>
        <w:tc>
          <w:tcPr>
            <w:tcMar>
              <w:left w:w="20" w:type="dxa"/>
              <w:top w:w="20" w:type="dxa"/>
              <w:right w:w="20" w:type="dxa"/>
              <w:bottom w:w="20" w:type="dxa"/>
            </w:tcMar>
            <w:tcW w:w="7534" w:type="dxa"/>
            <w:textDirection w:val="lrTb"/>
            <w:noWrap w:val="false"/>
          </w:tcPr>
          <w:p>
            <w:pPr>
              <w:spacing w:line="360" w:lineRule="auto"/>
            </w:pPr>
            <w:r>
              <w:rPr>
                <w:rFonts w:hint="eastAsia"/>
              </w:rPr>
              <w:t xml:space="preserve">针对本项目提供的文化育人、劳动育人活动方案（包括但不限于绿化工作开展文化育人、劳动实践等校园育人活动等方面）进行打分：</w:t>
            </w:r>
            <w:r/>
          </w:p>
          <w:p>
            <w:pPr>
              <w:spacing w:line="360" w:lineRule="auto"/>
              <w:rPr>
                <w:color w:val="ee0000"/>
              </w:rPr>
            </w:pPr>
            <w:r>
              <w:rPr>
                <w:rFonts w:hint="eastAsia"/>
              </w:rPr>
              <w:t xml:space="preserve">预案前瞻性高、全面及时合理、针对性和可行性强、与采购人需求契合得3分；预案完整，满足采购人基本需求的得2分；仅提供部分内容或部分满足采购人需求的得1分；未提供相关评审内容或不可行不得分。</w:t>
            </w:r>
            <w:r/>
          </w:p>
        </w:tc>
        <w:tc>
          <w:tcPr>
            <w:tcMar>
              <w:left w:w="20" w:type="dxa"/>
              <w:top w:w="20" w:type="dxa"/>
              <w:right w:w="20" w:type="dxa"/>
              <w:bottom w:w="20" w:type="dxa"/>
            </w:tcMar>
            <w:tcW w:w="675" w:type="dxa"/>
            <w:vAlign w:val="center"/>
            <w:textDirection w:val="lrTb"/>
            <w:noWrap w:val="false"/>
          </w:tcPr>
          <w:p>
            <w:pPr>
              <w:jc w:val="center"/>
              <w:spacing w:line="360" w:lineRule="auto"/>
              <w:rPr>
                <w:color w:val="ee0000"/>
              </w:rPr>
            </w:pPr>
            <w:r>
              <w:rPr>
                <w:rFonts w:hint="eastAsia"/>
              </w:rPr>
              <w:t xml:space="preserve">3</w:t>
            </w:r>
            <w:r/>
          </w:p>
        </w:tc>
      </w:tr>
      <w:tr>
        <w:trPr>
          <w:jc w:val="center"/>
          <w:trHeight w:val="4039"/>
        </w:trPr>
        <w:tc>
          <w:tcPr>
            <w:tcMar>
              <w:left w:w="20" w:type="dxa"/>
              <w:top w:w="20" w:type="dxa"/>
              <w:right w:w="20" w:type="dxa"/>
              <w:bottom w:w="20" w:type="dxa"/>
            </w:tcMar>
            <w:tcW w:w="599" w:type="dxa"/>
            <w:vAlign w:val="center"/>
            <w:textDirection w:val="lrTb"/>
            <w:noWrap w:val="false"/>
          </w:tcPr>
          <w:p>
            <w:pPr>
              <w:jc w:val="center"/>
              <w:spacing w:line="360" w:lineRule="auto"/>
              <w:rPr>
                <w:color w:val="000000"/>
              </w:rPr>
            </w:pPr>
            <w:r>
              <w:rPr>
                <w:rFonts w:hint="eastAsia"/>
                <w:color w:val="000000"/>
              </w:rPr>
              <w:t xml:space="preserve">5</w:t>
            </w:r>
            <w:r/>
          </w:p>
        </w:tc>
        <w:tc>
          <w:tcPr>
            <w:tcMar>
              <w:left w:w="20" w:type="dxa"/>
              <w:top w:w="20" w:type="dxa"/>
              <w:right w:w="20" w:type="dxa"/>
              <w:bottom w:w="20" w:type="dxa"/>
            </w:tcMar>
            <w:tcW w:w="1075" w:type="dxa"/>
            <w:vAlign w:val="center"/>
            <w:textDirection w:val="lrTb"/>
            <w:noWrap w:val="false"/>
          </w:tcPr>
          <w:p>
            <w:pPr>
              <w:jc w:val="center"/>
              <w:spacing w:line="360" w:lineRule="auto"/>
              <w:rPr>
                <w:b/>
                <w:bCs/>
              </w:rPr>
            </w:pPr>
            <w:r>
              <w:rPr>
                <w:b/>
                <w:bCs/>
              </w:rPr>
              <w:t xml:space="preserve">人员配备</w:t>
            </w:r>
            <w:r/>
          </w:p>
        </w:tc>
        <w:tc>
          <w:tcPr>
            <w:tcMar>
              <w:left w:w="20" w:type="dxa"/>
              <w:top w:w="20" w:type="dxa"/>
              <w:right w:w="20" w:type="dxa"/>
              <w:bottom w:w="20" w:type="dxa"/>
            </w:tcMar>
            <w:tcW w:w="7534" w:type="dxa"/>
            <w:textDirection w:val="lrTb"/>
            <w:noWrap w:val="false"/>
          </w:tcPr>
          <w:p>
            <w:pPr>
              <w:spacing w:line="360" w:lineRule="auto"/>
            </w:pPr>
            <w:r>
              <w:rPr>
                <w:rFonts w:hint="eastAsia"/>
              </w:rPr>
              <w:t xml:space="preserve">（1）项目经理</w:t>
            </w:r>
            <w:r>
              <w:t xml:space="preserve">50</w:t>
            </w:r>
            <w:r>
              <w:rPr>
                <w:rFonts w:hint="eastAsia"/>
              </w:rPr>
              <w:t xml:space="preserve">周岁及以下，本科及以上学历，具备园林绿化相关专业中级职称及</w:t>
            </w:r>
            <w:r>
              <w:t xml:space="preserve">5</w:t>
            </w:r>
            <w:r>
              <w:rPr>
                <w:rFonts w:hint="eastAsia"/>
              </w:rPr>
              <w:t xml:space="preserve">年以上从业经验，得2分；在此基础上，具备园林绿化相关专业高级职称的，加1分；本小项最高得3分。</w:t>
            </w:r>
            <w:r/>
          </w:p>
          <w:p>
            <w:pPr>
              <w:spacing w:line="360" w:lineRule="auto"/>
            </w:pPr>
            <w:r>
              <w:rPr>
                <w:rFonts w:hint="eastAsia"/>
              </w:rPr>
              <w:t xml:space="preserve">（2）绿化技术员</w:t>
            </w:r>
            <w:r>
              <w:t xml:space="preserve">55</w:t>
            </w:r>
            <w:r>
              <w:rPr>
                <w:rFonts w:hint="eastAsia"/>
              </w:rPr>
              <w:t xml:space="preserve">周岁及以下，同时具备园林绿化相关专业中级及以上职称及</w:t>
            </w:r>
            <w:r>
              <w:t xml:space="preserve">5</w:t>
            </w:r>
            <w:r>
              <w:rPr>
                <w:rFonts w:hint="eastAsia"/>
              </w:rPr>
              <w:t xml:space="preserve">年以上从业经验，得2分。</w:t>
            </w:r>
            <w:r/>
          </w:p>
          <w:p>
            <w:pPr>
              <w:spacing w:line="360" w:lineRule="auto"/>
            </w:pPr>
            <w:r>
              <w:rPr>
                <w:rFonts w:hint="eastAsia"/>
              </w:rPr>
              <w:t xml:space="preserve">（3）承诺绿化操作工人数、年龄均满足要求，得2分。提供承诺函并加盖公章。</w:t>
            </w:r>
            <w:r/>
          </w:p>
          <w:p>
            <w:pPr>
              <w:spacing w:line="360" w:lineRule="auto"/>
            </w:pPr>
            <w:r>
              <w:rPr>
                <w:rFonts w:hint="eastAsia"/>
              </w:rPr>
              <w:t xml:space="preserve">针对第（1）（2）项，提供以下证明材料，缺一不可：</w:t>
            </w:r>
            <w:r/>
          </w:p>
          <w:p>
            <w:pPr>
              <w:spacing w:line="360" w:lineRule="auto"/>
            </w:pPr>
            <w:r>
              <w:rPr>
                <w:rFonts w:hint="eastAsia"/>
              </w:rPr>
              <w:t xml:space="preserve">①人员清单；</w:t>
            </w:r>
            <w:r/>
          </w:p>
          <w:p>
            <w:pPr>
              <w:spacing w:line="360" w:lineRule="auto"/>
            </w:pPr>
            <w:r>
              <w:rPr>
                <w:rFonts w:hint="eastAsia"/>
              </w:rPr>
              <w:t xml:space="preserve">②供应商为其缴纳的2026年1月至今任意一个月的社保缴费凭证或劳动合同。</w:t>
            </w:r>
            <w:r/>
          </w:p>
          <w:p>
            <w:pPr>
              <w:spacing w:line="360" w:lineRule="auto"/>
            </w:pPr>
            <w:r>
              <w:rPr>
                <w:rFonts w:hint="eastAsia"/>
              </w:rPr>
              <w:t xml:space="preserve">③身份证及相关证明材料（学历证明/职称证明）；</w:t>
            </w:r>
            <w:r/>
          </w:p>
          <w:p>
            <w:pPr>
              <w:spacing w:line="360" w:lineRule="auto"/>
            </w:pPr>
            <w:r>
              <w:rPr>
                <w:rFonts w:hint="eastAsia"/>
              </w:rPr>
              <w:t xml:space="preserve">④从业经验佐证材料。</w:t>
            </w:r>
            <w:r/>
          </w:p>
        </w:tc>
        <w:tc>
          <w:tcPr>
            <w:tcMar>
              <w:left w:w="20" w:type="dxa"/>
              <w:top w:w="20" w:type="dxa"/>
              <w:right w:w="20" w:type="dxa"/>
              <w:bottom w:w="20" w:type="dxa"/>
            </w:tcMar>
            <w:tcW w:w="675" w:type="dxa"/>
            <w:vAlign w:val="center"/>
            <w:textDirection w:val="lrTb"/>
            <w:noWrap w:val="false"/>
          </w:tcPr>
          <w:p>
            <w:pPr>
              <w:jc w:val="center"/>
              <w:spacing w:line="360" w:lineRule="auto"/>
            </w:pPr>
            <w:r>
              <w:rPr>
                <w:rFonts w:hint="eastAsia"/>
              </w:rPr>
              <w:t xml:space="preserve">7</w:t>
            </w:r>
            <w:r/>
          </w:p>
        </w:tc>
      </w:tr>
      <w:tr>
        <w:trPr>
          <w:jc w:val="center"/>
          <w:trHeight w:val="720"/>
        </w:trPr>
        <w:tc>
          <w:tcPr>
            <w:tcMar>
              <w:left w:w="20" w:type="dxa"/>
              <w:top w:w="20" w:type="dxa"/>
              <w:right w:w="20" w:type="dxa"/>
              <w:bottom w:w="20" w:type="dxa"/>
            </w:tcMar>
            <w:tcW w:w="599" w:type="dxa"/>
            <w:vAlign w:val="center"/>
            <w:textDirection w:val="lrTb"/>
            <w:noWrap w:val="false"/>
          </w:tcPr>
          <w:p>
            <w:pPr>
              <w:jc w:val="center"/>
              <w:spacing w:line="360" w:lineRule="auto"/>
              <w:rPr>
                <w:color w:val="000000"/>
              </w:rPr>
            </w:pPr>
            <w:r>
              <w:rPr>
                <w:rFonts w:hint="eastAsia"/>
                <w:color w:val="000000"/>
              </w:rPr>
              <w:t xml:space="preserve">6</w:t>
            </w:r>
            <w:r/>
          </w:p>
        </w:tc>
        <w:tc>
          <w:tcPr>
            <w:tcMar>
              <w:left w:w="20" w:type="dxa"/>
              <w:top w:w="20" w:type="dxa"/>
              <w:right w:w="20" w:type="dxa"/>
              <w:bottom w:w="20" w:type="dxa"/>
            </w:tcMar>
            <w:tcW w:w="1075" w:type="dxa"/>
            <w:vAlign w:val="center"/>
            <w:textDirection w:val="lrTb"/>
            <w:noWrap w:val="false"/>
          </w:tcPr>
          <w:p>
            <w:pPr>
              <w:jc w:val="center"/>
              <w:spacing w:line="360" w:lineRule="auto"/>
              <w:rPr>
                <w:b/>
                <w:bCs/>
              </w:rPr>
            </w:pPr>
            <w:r>
              <w:rPr>
                <w:b/>
                <w:bCs/>
              </w:rPr>
              <w:t xml:space="preserve">机械设备</w:t>
            </w:r>
            <w:r/>
          </w:p>
        </w:tc>
        <w:tc>
          <w:tcPr>
            <w:tcMar>
              <w:left w:w="20" w:type="dxa"/>
              <w:top w:w="20" w:type="dxa"/>
              <w:right w:w="20" w:type="dxa"/>
              <w:bottom w:w="20" w:type="dxa"/>
            </w:tcMar>
            <w:tcW w:w="7534" w:type="dxa"/>
            <w:textDirection w:val="lrTb"/>
            <w:noWrap w:val="false"/>
          </w:tcPr>
          <w:p>
            <w:pPr>
              <w:spacing w:line="360" w:lineRule="auto"/>
            </w:pPr>
            <w:r>
              <w:rPr>
                <w:rFonts w:hint="eastAsia"/>
              </w:rPr>
              <w:t xml:space="preserve">配有洒水车、垃圾清运车、高枝锯、油锯、草坪推草机、绿篱修剪机的，每有1类得1分，最高得6分。</w:t>
            </w:r>
            <w:r/>
          </w:p>
          <w:p>
            <w:pPr>
              <w:spacing w:line="360" w:lineRule="auto"/>
            </w:pPr>
            <w:r>
              <w:rPr>
                <w:rFonts w:hint="eastAsia"/>
              </w:rPr>
              <w:t xml:space="preserve">提供车辆行驶证或产权证明或购车发票，如为租赁设备，须同时提供有效的租赁协议。无对应证明材料的设备不计入有效配置清单。</w:t>
            </w:r>
            <w:r/>
          </w:p>
        </w:tc>
        <w:tc>
          <w:tcPr>
            <w:tcMar>
              <w:left w:w="20" w:type="dxa"/>
              <w:top w:w="20" w:type="dxa"/>
              <w:right w:w="20" w:type="dxa"/>
              <w:bottom w:w="20" w:type="dxa"/>
            </w:tcMar>
            <w:tcW w:w="675" w:type="dxa"/>
            <w:vAlign w:val="center"/>
            <w:textDirection w:val="lrTb"/>
            <w:noWrap w:val="false"/>
          </w:tcPr>
          <w:p>
            <w:pPr>
              <w:jc w:val="center"/>
              <w:spacing w:line="360" w:lineRule="auto"/>
            </w:pPr>
            <w:r>
              <w:rPr>
                <w:rFonts w:hint="eastAsia"/>
              </w:rPr>
              <w:t xml:space="preserve">6</w:t>
            </w:r>
            <w:r/>
          </w:p>
        </w:tc>
      </w:tr>
      <w:tr>
        <w:trPr>
          <w:jc w:val="center"/>
          <w:trHeight w:val="720"/>
        </w:trPr>
        <w:tc>
          <w:tcPr>
            <w:tcMar>
              <w:left w:w="20" w:type="dxa"/>
              <w:top w:w="20" w:type="dxa"/>
              <w:right w:w="20" w:type="dxa"/>
              <w:bottom w:w="20" w:type="dxa"/>
            </w:tcMar>
            <w:tcW w:w="599" w:type="dxa"/>
            <w:vAlign w:val="center"/>
            <w:textDirection w:val="lrTb"/>
            <w:noWrap w:val="false"/>
          </w:tcPr>
          <w:p>
            <w:pPr>
              <w:jc w:val="center"/>
              <w:spacing w:line="360" w:lineRule="auto"/>
              <w:rPr>
                <w:color w:val="000000"/>
              </w:rPr>
            </w:pPr>
            <w:r>
              <w:rPr>
                <w:rFonts w:hint="eastAsia"/>
                <w:color w:val="000000"/>
              </w:rPr>
              <w:t xml:space="preserve">7</w:t>
            </w:r>
            <w:r/>
          </w:p>
        </w:tc>
        <w:tc>
          <w:tcPr>
            <w:tcMar>
              <w:left w:w="20" w:type="dxa"/>
              <w:top w:w="20" w:type="dxa"/>
              <w:right w:w="20" w:type="dxa"/>
              <w:bottom w:w="20" w:type="dxa"/>
            </w:tcMar>
            <w:tcW w:w="1075" w:type="dxa"/>
            <w:vAlign w:val="center"/>
            <w:textDirection w:val="lrTb"/>
            <w:noWrap w:val="false"/>
          </w:tcPr>
          <w:p>
            <w:pPr>
              <w:jc w:val="center"/>
              <w:spacing w:line="360" w:lineRule="auto"/>
              <w:rPr>
                <w:b/>
                <w:bCs/>
              </w:rPr>
            </w:pPr>
            <w:r>
              <w:rPr>
                <w:b/>
                <w:bCs/>
              </w:rPr>
              <w:t xml:space="preserve">业绩</w:t>
            </w:r>
            <w:r/>
          </w:p>
        </w:tc>
        <w:tc>
          <w:tcPr>
            <w:tcMar>
              <w:left w:w="20" w:type="dxa"/>
              <w:top w:w="20" w:type="dxa"/>
              <w:right w:w="20" w:type="dxa"/>
              <w:bottom w:w="20" w:type="dxa"/>
            </w:tcMar>
            <w:tcW w:w="7534" w:type="dxa"/>
            <w:textDirection w:val="lrTb"/>
            <w:noWrap w:val="false"/>
          </w:tcPr>
          <w:p>
            <w:pPr>
              <w:spacing w:line="360" w:lineRule="auto"/>
            </w:pPr>
            <w:r>
              <w:t xml:space="preserve">提供</w:t>
            </w:r>
            <w:r>
              <w:rPr>
                <w:rFonts w:hint="eastAsia"/>
              </w:rPr>
              <w:t xml:space="preserve">供应商</w:t>
            </w:r>
            <w:r>
              <w:t xml:space="preserve">2023年6月1日以来类似绿化养护工作业绩证明（合同必须含有标的物、合同价以及盖章签字部分所在页且清晰可见，否则不得分）。每提供一份有效合同复印件得2分，最多得10分。（提供的合同复印件需加盖公章，原件备查）。</w:t>
            </w:r>
            <w:r/>
          </w:p>
        </w:tc>
        <w:tc>
          <w:tcPr>
            <w:tcMar>
              <w:left w:w="20" w:type="dxa"/>
              <w:top w:w="20" w:type="dxa"/>
              <w:right w:w="20" w:type="dxa"/>
              <w:bottom w:w="20" w:type="dxa"/>
            </w:tcMar>
            <w:tcW w:w="675" w:type="dxa"/>
            <w:vAlign w:val="center"/>
            <w:textDirection w:val="lrTb"/>
            <w:noWrap w:val="false"/>
          </w:tcPr>
          <w:p>
            <w:pPr>
              <w:jc w:val="center"/>
              <w:spacing w:line="360" w:lineRule="auto"/>
            </w:pPr>
            <w:r>
              <w:rPr>
                <w:rFonts w:hint="eastAsia"/>
              </w:rPr>
              <w:t xml:space="preserve">10</w:t>
            </w:r>
            <w:r/>
          </w:p>
        </w:tc>
      </w:tr>
    </w:tbl>
    <w:p>
      <w:pPr>
        <w:ind w:firstLine="422"/>
        <w:spacing w:line="360" w:lineRule="auto"/>
        <w:rPr>
          <w:b/>
          <w:bCs/>
          <w:szCs w:val="21"/>
        </w:rPr>
      </w:pPr>
      <w:r>
        <w:rPr>
          <w:b/>
          <w:bCs/>
          <w:color w:val="000000"/>
          <w:szCs w:val="21"/>
        </w:rPr>
        <w:t xml:space="preserve">说明：</w:t>
      </w:r>
      <w:r>
        <w:rPr>
          <w:b/>
          <w:color w:val="000000"/>
          <w:szCs w:val="21"/>
        </w:rPr>
        <w:t xml:space="preserve">评审标准中涉及的</w:t>
      </w:r>
      <w:r>
        <w:rPr>
          <w:b/>
          <w:bCs/>
          <w:color w:val="000000"/>
          <w:szCs w:val="21"/>
        </w:rPr>
        <w:t xml:space="preserve">证明材料均需附入投标文件内（复印件加盖公章）。</w:t>
      </w:r>
      <w:r/>
    </w:p>
    <w:p>
      <w:pPr>
        <w:jc w:val="center"/>
        <w:spacing w:line="360" w:lineRule="auto"/>
        <w:rPr>
          <w:b/>
          <w:sz w:val="28"/>
          <w:szCs w:val="28"/>
        </w:rPr>
        <w:sectPr>
          <w:headerReference w:type="default" r:id="rId11"/>
          <w:footerReference w:type="default" r:id="rId15"/>
          <w:footerReference w:type="first" r:id="rId16"/>
          <w:footnotePr/>
          <w:endnotePr/>
          <w:type w:val="nextPage"/>
          <w:pgSz w:w="11906" w:h="16838" w:orient="portrait"/>
          <w:pgMar w:top="1134" w:right="1134" w:bottom="1134" w:left="1134" w:header="851" w:footer="992" w:gutter="0"/>
          <w:cols w:num="1" w:sep="0" w:space="720" w:equalWidth="1"/>
          <w:docGrid w:linePitch="360"/>
          <w:titlePg/>
        </w:sectPr>
        <w:outlineLvl w:val="0"/>
      </w:pPr>
      <w:r/>
      <w:bookmarkStart w:id="224" w:name="_Toc17106"/>
      <w:r/>
      <w:bookmarkStart w:id="225" w:name="_Toc252"/>
      <w:r/>
      <w:r/>
    </w:p>
    <w:p>
      <w:pPr>
        <w:jc w:val="center"/>
        <w:spacing w:line="360" w:lineRule="auto"/>
        <w:rPr>
          <w:b/>
          <w:sz w:val="28"/>
          <w:szCs w:val="28"/>
        </w:rPr>
        <w:outlineLvl w:val="0"/>
      </w:pPr>
      <w:r/>
      <w:bookmarkStart w:id="226" w:name="_Toc8090"/>
      <w:r>
        <w:rPr>
          <w:b/>
          <w:sz w:val="28"/>
          <w:szCs w:val="28"/>
        </w:rPr>
        <w:t xml:space="preserve">第四章 招标</w:t>
      </w:r>
      <w:bookmarkEnd w:id="224"/>
      <w:r/>
      <w:bookmarkEnd w:id="225"/>
      <w:r>
        <w:rPr>
          <w:b/>
          <w:sz w:val="28"/>
          <w:szCs w:val="28"/>
        </w:rPr>
        <w:t xml:space="preserve">技术规格及要求</w:t>
      </w:r>
      <w:bookmarkEnd w:id="226"/>
      <w:r/>
      <w:r/>
    </w:p>
    <w:p>
      <w:pPr>
        <w:ind w:firstLine="422"/>
        <w:spacing w:line="360" w:lineRule="auto"/>
        <w:rPr>
          <w:b/>
          <w:szCs w:val="21"/>
        </w:rPr>
      </w:pPr>
      <w:r/>
      <w:bookmarkStart w:id="227" w:name="_Toc31358"/>
      <w:r>
        <w:rPr>
          <w:b/>
          <w:bCs/>
          <w:color w:val="000000"/>
          <w:szCs w:val="21"/>
        </w:rPr>
        <w:t xml:space="preserve">一、</w:t>
      </w:r>
      <w:bookmarkEnd w:id="227"/>
      <w:r>
        <w:rPr>
          <w:b/>
          <w:color w:val="000000"/>
          <w:szCs w:val="21"/>
        </w:rPr>
        <w:t xml:space="preserve">基本情况</w:t>
      </w:r>
      <w:r/>
    </w:p>
    <w:p>
      <w:pPr>
        <w:ind w:firstLine="420"/>
        <w:spacing w:line="360" w:lineRule="auto"/>
        <w:rPr>
          <w:szCs w:val="21"/>
        </w:rPr>
      </w:pPr>
      <w:r>
        <w:rPr>
          <w:rFonts w:hint="eastAsia"/>
          <w:szCs w:val="21"/>
        </w:rPr>
        <w:t xml:space="preserve">1.</w:t>
      </w:r>
      <w:r>
        <w:rPr>
          <w:szCs w:val="21"/>
        </w:rPr>
        <w:t xml:space="preserve">项目实施地点：南京中医药大学仙林校区及汉中门校区</w:t>
      </w:r>
      <w:r/>
    </w:p>
    <w:p>
      <w:pPr>
        <w:ind w:firstLine="420"/>
        <w:spacing w:line="360" w:lineRule="auto"/>
        <w:rPr>
          <w:b/>
          <w:bCs/>
          <w:szCs w:val="21"/>
        </w:rPr>
      </w:pPr>
      <w:r>
        <w:rPr>
          <w:rFonts w:hint="eastAsia"/>
          <w:szCs w:val="21"/>
        </w:rPr>
        <w:t xml:space="preserve">2.合同履行期限：自2026年8月20日至2027年9月30日，共计407天，合同到期后不再续签。采购人每年不定期（每季度至少一次）对养护管理进行考核，合同期内考核不合格或采购人认为供应商在服务期间未能履行服务承诺和合同规定的义务，发函给供应商后，供应商在采购人要求时间内没有整改完成的，采购人有权扣除履约保证金并提前解除合同。</w:t>
      </w:r>
      <w:r/>
    </w:p>
    <w:p>
      <w:pPr>
        <w:ind w:firstLine="422"/>
        <w:spacing w:line="360" w:lineRule="auto"/>
        <w:rPr>
          <w:b/>
          <w:bCs/>
          <w:szCs w:val="21"/>
        </w:rPr>
      </w:pPr>
      <w:r>
        <w:rPr>
          <w:b/>
          <w:bCs/>
          <w:szCs w:val="21"/>
        </w:rPr>
        <w:t xml:space="preserve">二、</w:t>
      </w:r>
      <w:bookmarkStart w:id="228" w:name="_Hlk143907185"/>
      <w:r>
        <w:rPr>
          <w:b/>
          <w:bCs/>
          <w:szCs w:val="21"/>
        </w:rPr>
        <w:t xml:space="preserve">采购清单</w:t>
      </w:r>
      <w:r/>
    </w:p>
    <w:tbl>
      <w:tblPr>
        <w:tblStyle w:val="1149"/>
        <w:tblW w:w="51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710"/>
        <w:gridCol w:w="2297"/>
        <w:gridCol w:w="1840"/>
        <w:gridCol w:w="5042"/>
      </w:tblGrid>
      <w:tr>
        <w:trPr>
          <w:jc w:val="center"/>
          <w:trHeight w:val="540"/>
        </w:trPr>
        <w:tc>
          <w:tcPr>
            <w:tcMar>
              <w:left w:w="20" w:type="dxa"/>
              <w:top w:w="20" w:type="dxa"/>
              <w:right w:w="20" w:type="dxa"/>
              <w:bottom w:w="20" w:type="dxa"/>
            </w:tcMar>
            <w:tcW w:w="359" w:type="pct"/>
            <w:vAlign w:val="center"/>
            <w:textDirection w:val="lrTb"/>
            <w:noWrap w:val="false"/>
          </w:tcPr>
          <w:p>
            <w:pPr>
              <w:jc w:val="center"/>
              <w:spacing w:line="360" w:lineRule="auto"/>
            </w:pPr>
            <w:r>
              <w:rPr>
                <w:b/>
                <w:color w:val="000000"/>
              </w:rPr>
              <w:t xml:space="preserve">序号</w:t>
            </w:r>
            <w:r/>
          </w:p>
        </w:tc>
        <w:tc>
          <w:tcPr>
            <w:tcMar>
              <w:left w:w="20" w:type="dxa"/>
              <w:top w:w="20" w:type="dxa"/>
              <w:right w:w="20" w:type="dxa"/>
              <w:bottom w:w="20" w:type="dxa"/>
            </w:tcMar>
            <w:tcW w:w="1161" w:type="pct"/>
            <w:vAlign w:val="center"/>
            <w:textDirection w:val="lrTb"/>
            <w:noWrap w:val="false"/>
          </w:tcPr>
          <w:p>
            <w:pPr>
              <w:jc w:val="center"/>
              <w:spacing w:line="360" w:lineRule="auto"/>
            </w:pPr>
            <w:r>
              <w:rPr>
                <w:b/>
                <w:color w:val="000000"/>
              </w:rPr>
              <w:t xml:space="preserve">服务内容</w:t>
            </w:r>
            <w:r/>
          </w:p>
        </w:tc>
        <w:tc>
          <w:tcPr>
            <w:tcMar>
              <w:left w:w="20" w:type="dxa"/>
              <w:top w:w="20" w:type="dxa"/>
              <w:right w:w="20" w:type="dxa"/>
              <w:bottom w:w="20" w:type="dxa"/>
            </w:tcMar>
            <w:tcW w:w="930" w:type="pct"/>
            <w:vAlign w:val="center"/>
            <w:textDirection w:val="lrTb"/>
            <w:noWrap w:val="false"/>
          </w:tcPr>
          <w:p>
            <w:pPr>
              <w:jc w:val="center"/>
              <w:spacing w:line="360" w:lineRule="auto"/>
            </w:pPr>
            <w:r>
              <w:rPr>
                <w:b/>
                <w:color w:val="000000"/>
              </w:rPr>
              <w:t xml:space="preserve">服务期限</w:t>
            </w:r>
            <w:r/>
          </w:p>
        </w:tc>
        <w:tc>
          <w:tcPr>
            <w:tcMar>
              <w:left w:w="20" w:type="dxa"/>
              <w:top w:w="20" w:type="dxa"/>
              <w:right w:w="20" w:type="dxa"/>
              <w:bottom w:w="20" w:type="dxa"/>
            </w:tcMar>
            <w:tcW w:w="2548" w:type="pct"/>
            <w:vAlign w:val="center"/>
            <w:textDirection w:val="lrTb"/>
            <w:noWrap w:val="false"/>
          </w:tcPr>
          <w:p>
            <w:pPr>
              <w:jc w:val="center"/>
              <w:spacing w:line="360" w:lineRule="auto"/>
            </w:pPr>
            <w:r>
              <w:rPr>
                <w:b/>
                <w:color w:val="000000"/>
              </w:rPr>
              <w:t xml:space="preserve">完成标准</w:t>
            </w:r>
            <w:r/>
          </w:p>
        </w:tc>
      </w:tr>
      <w:tr>
        <w:trPr>
          <w:jc w:val="center"/>
          <w:trHeight w:val="360"/>
        </w:trPr>
        <w:tc>
          <w:tcPr>
            <w:tcMar>
              <w:left w:w="20" w:type="dxa"/>
              <w:top w:w="20" w:type="dxa"/>
              <w:right w:w="20" w:type="dxa"/>
              <w:bottom w:w="20" w:type="dxa"/>
            </w:tcMar>
            <w:tcW w:w="359" w:type="pct"/>
            <w:vAlign w:val="center"/>
            <w:textDirection w:val="lrTb"/>
            <w:noWrap w:val="false"/>
          </w:tcPr>
          <w:p>
            <w:pPr>
              <w:jc w:val="center"/>
              <w:spacing w:line="360" w:lineRule="auto"/>
            </w:pPr>
            <w:r>
              <w:rPr>
                <w:color w:val="000000"/>
              </w:rPr>
              <w:t xml:space="preserve">1</w:t>
            </w:r>
            <w:r/>
          </w:p>
        </w:tc>
        <w:tc>
          <w:tcPr>
            <w:tcMar>
              <w:left w:w="20" w:type="dxa"/>
              <w:top w:w="20" w:type="dxa"/>
              <w:right w:w="20" w:type="dxa"/>
              <w:bottom w:w="20" w:type="dxa"/>
            </w:tcMar>
            <w:tcW w:w="1161" w:type="pct"/>
            <w:vAlign w:val="center"/>
            <w:textDirection w:val="lrTb"/>
            <w:noWrap w:val="false"/>
          </w:tcPr>
          <w:p>
            <w:pPr>
              <w:jc w:val="center"/>
              <w:spacing w:line="360" w:lineRule="auto"/>
            </w:pPr>
            <w:r>
              <w:rPr>
                <w:color w:val="000000"/>
              </w:rPr>
              <w:t xml:space="preserve">仙林校区及汉中门校区绿化养护托管</w:t>
            </w:r>
            <w:r/>
          </w:p>
        </w:tc>
        <w:tc>
          <w:tcPr>
            <w:tcMar>
              <w:left w:w="20" w:type="dxa"/>
              <w:top w:w="20" w:type="dxa"/>
              <w:right w:w="20" w:type="dxa"/>
              <w:bottom w:w="20" w:type="dxa"/>
            </w:tcMar>
            <w:tcW w:w="930" w:type="pct"/>
            <w:vAlign w:val="center"/>
            <w:textDirection w:val="lrTb"/>
            <w:noWrap w:val="false"/>
          </w:tcPr>
          <w:p>
            <w:pPr>
              <w:jc w:val="center"/>
              <w:spacing w:line="360" w:lineRule="auto"/>
            </w:pPr>
            <w:r>
              <w:rPr>
                <w:color w:val="000000"/>
              </w:rPr>
              <w:t xml:space="preserve">2026年8月20日至2027年9月30日</w:t>
            </w:r>
            <w:r/>
          </w:p>
        </w:tc>
        <w:tc>
          <w:tcPr>
            <w:tcMar>
              <w:left w:w="20" w:type="dxa"/>
              <w:top w:w="20" w:type="dxa"/>
              <w:right w:w="20" w:type="dxa"/>
              <w:bottom w:w="20" w:type="dxa"/>
            </w:tcMar>
            <w:tcW w:w="2548" w:type="pct"/>
            <w:vAlign w:val="center"/>
            <w:textDirection w:val="lrTb"/>
            <w:noWrap w:val="false"/>
          </w:tcPr>
          <w:p>
            <w:pPr>
              <w:jc w:val="center"/>
              <w:spacing w:line="360" w:lineRule="auto"/>
            </w:pPr>
            <w:r>
              <w:rPr>
                <w:color w:val="000000"/>
              </w:rPr>
              <w:t xml:space="preserve">《江苏省城市园林绿化养护管理规范及分级标准》、《</w:t>
            </w:r>
            <w:r>
              <w:rPr>
                <w:rFonts w:hint="eastAsia"/>
                <w:color w:val="000000"/>
              </w:rPr>
              <w:t xml:space="preserve">南京中医药大学绿化养护监管及考核办法（修订版）</w:t>
            </w:r>
            <w:r>
              <w:rPr>
                <w:color w:val="000000"/>
              </w:rPr>
              <w:t xml:space="preserve">》等有关规定</w:t>
            </w:r>
            <w:r/>
          </w:p>
        </w:tc>
      </w:tr>
    </w:tbl>
    <w:p>
      <w:pPr>
        <w:ind w:firstLine="422"/>
        <w:jc w:val="left"/>
        <w:spacing w:line="360" w:lineRule="auto"/>
        <w:rPr>
          <w:b/>
          <w:color w:val="000000"/>
        </w:rPr>
      </w:pPr>
      <w:r>
        <w:rPr>
          <w:b/>
          <w:color w:val="000000"/>
          <w:szCs w:val="21"/>
        </w:rPr>
        <w:t xml:space="preserve">三、技术参数</w:t>
      </w:r>
      <w:r/>
    </w:p>
    <w:p>
      <w:pPr>
        <w:ind w:firstLine="422"/>
        <w:spacing w:line="360" w:lineRule="auto"/>
        <w:rPr>
          <w:b/>
          <w:szCs w:val="21"/>
        </w:rPr>
      </w:pPr>
      <w:r>
        <w:rPr>
          <w:rFonts w:hint="eastAsia"/>
          <w:b/>
          <w:szCs w:val="21"/>
        </w:rPr>
        <w:t xml:space="preserve">（一）</w:t>
      </w:r>
      <w:r>
        <w:rPr>
          <w:b/>
          <w:szCs w:val="21"/>
        </w:rPr>
        <w:t xml:space="preserve">服务范围及内容</w:t>
      </w:r>
      <w:r/>
    </w:p>
    <w:p>
      <w:pPr>
        <w:ind w:firstLine="420"/>
        <w:spacing w:line="360" w:lineRule="auto"/>
        <w:rPr>
          <w:bCs/>
          <w:szCs w:val="21"/>
        </w:rPr>
      </w:pPr>
      <w:r>
        <w:rPr>
          <w:bCs/>
          <w:szCs w:val="21"/>
        </w:rPr>
        <w:t xml:space="preserve">除仙林校区药用植物园及素山未开发区域，两校区内所有绿地的养护管理均为服务范围，含四个校门门前三包区域、素山沥青路两侧人工种植绿地和景观</w:t>
      </w:r>
      <w:r>
        <w:rPr>
          <w:rFonts w:hint="eastAsia"/>
          <w:bCs/>
          <w:szCs w:val="21"/>
        </w:rPr>
        <w:t xml:space="preserve">，两校区总养护面积约26.5万平方米，其中汉中门校区约2万平方米</w:t>
      </w:r>
      <w:r>
        <w:rPr>
          <w:bCs/>
          <w:szCs w:val="21"/>
        </w:rPr>
        <w:t xml:space="preserve">。包括草坪的养护管理；模纹、花坛、花境、色块的养护管理</w:t>
      </w:r>
      <w:r>
        <w:rPr>
          <w:rFonts w:hint="eastAsia"/>
          <w:bCs/>
          <w:szCs w:val="21"/>
        </w:rPr>
        <w:t xml:space="preserve">，重大节日的草花摆放</w:t>
      </w:r>
      <w:r>
        <w:rPr>
          <w:bCs/>
          <w:szCs w:val="21"/>
        </w:rPr>
        <w:t xml:space="preserve">；绿篱、垂直绿化、水体绿化的养护管理；行道树及各类乔灌木的养护管理</w:t>
      </w:r>
      <w:r>
        <w:rPr>
          <w:rFonts w:hint="eastAsia"/>
          <w:bCs/>
          <w:szCs w:val="21"/>
        </w:rPr>
        <w:t xml:space="preserve">，</w:t>
      </w:r>
      <w:r>
        <w:rPr>
          <w:bCs/>
          <w:szCs w:val="21"/>
        </w:rPr>
        <w:t xml:space="preserve">以及</w:t>
      </w:r>
      <w:r>
        <w:rPr>
          <w:rFonts w:hint="eastAsia"/>
          <w:bCs/>
          <w:szCs w:val="21"/>
        </w:rPr>
        <w:t xml:space="preserve">素山</w:t>
      </w:r>
      <w:r>
        <w:rPr>
          <w:bCs/>
          <w:szCs w:val="21"/>
        </w:rPr>
        <w:t xml:space="preserve">格桑花海一年两季的</w:t>
      </w:r>
      <w:r>
        <w:rPr>
          <w:rFonts w:hint="eastAsia"/>
          <w:bCs/>
          <w:szCs w:val="21"/>
        </w:rPr>
        <w:t xml:space="preserve">种植与养护</w:t>
      </w:r>
      <w:r>
        <w:rPr>
          <w:bCs/>
          <w:szCs w:val="21"/>
        </w:rPr>
        <w:t xml:space="preserve">等。</w:t>
      </w:r>
      <w:r>
        <w:rPr>
          <w:rFonts w:hint="eastAsia"/>
          <w:bCs/>
          <w:szCs w:val="21"/>
        </w:rPr>
        <w:t xml:space="preserve">养护</w:t>
      </w:r>
      <w:r>
        <w:rPr>
          <w:bCs/>
          <w:szCs w:val="21"/>
        </w:rPr>
        <w:t xml:space="preserve">内容包括绿地保洁，除草，浇水，修剪，施肥，病虫害防治，抗旱，抗台，抗涝，防寒，绿地设施看管，苗木补植，草籽混播，绿化垃圾清运至投放点等。</w:t>
      </w:r>
      <w:r/>
    </w:p>
    <w:p>
      <w:pPr>
        <w:ind w:firstLine="422"/>
        <w:spacing w:line="360" w:lineRule="auto"/>
        <w:rPr>
          <w:b/>
          <w:szCs w:val="21"/>
        </w:rPr>
      </w:pPr>
      <w:r>
        <w:rPr>
          <w:rFonts w:hint="eastAsia"/>
          <w:b/>
          <w:szCs w:val="21"/>
        </w:rPr>
        <w:t xml:space="preserve">（二）</w:t>
      </w:r>
      <w:r>
        <w:rPr>
          <w:b/>
          <w:szCs w:val="21"/>
        </w:rPr>
        <w:t xml:space="preserve">养护管理技术要求</w:t>
      </w:r>
      <w:r/>
    </w:p>
    <w:p>
      <w:pPr>
        <w:ind w:firstLine="420"/>
        <w:spacing w:line="360" w:lineRule="auto"/>
        <w:rPr>
          <w:bCs/>
          <w:szCs w:val="21"/>
        </w:rPr>
      </w:pPr>
      <w:r>
        <w:rPr>
          <w:bCs/>
          <w:szCs w:val="21"/>
        </w:rPr>
        <w:t xml:space="preserve">1</w:t>
      </w:r>
      <w:r>
        <w:rPr>
          <w:rFonts w:hint="eastAsia"/>
          <w:bCs/>
          <w:szCs w:val="21"/>
        </w:rPr>
        <w:t xml:space="preserve">.</w:t>
      </w:r>
      <w:r>
        <w:rPr>
          <w:bCs/>
          <w:szCs w:val="21"/>
        </w:rPr>
        <w:t xml:space="preserve">标准</w:t>
      </w:r>
      <w:r/>
    </w:p>
    <w:p>
      <w:pPr>
        <w:ind w:firstLine="420"/>
        <w:spacing w:line="360" w:lineRule="auto"/>
        <w:rPr>
          <w:bCs/>
          <w:szCs w:val="21"/>
        </w:rPr>
      </w:pPr>
      <w:r>
        <w:rPr>
          <w:bCs/>
          <w:szCs w:val="21"/>
        </w:rPr>
        <w:t xml:space="preserve">绿化养护单位应按照《江苏省城市园林绿化养护管理规范及分级标准》</w:t>
      </w:r>
      <w:r>
        <w:rPr>
          <w:rFonts w:hint="eastAsia"/>
          <w:bCs/>
          <w:szCs w:val="21"/>
        </w:rPr>
        <w:t xml:space="preserve">、</w:t>
      </w:r>
      <w:r>
        <w:rPr>
          <w:color w:val="000000"/>
        </w:rPr>
        <w:t xml:space="preserve">《</w:t>
      </w:r>
      <w:r>
        <w:rPr>
          <w:rFonts w:hint="eastAsia"/>
          <w:color w:val="000000"/>
        </w:rPr>
        <w:t xml:space="preserve">南京中医药大学绿化养护监管及考核办法（修订版）</w:t>
      </w:r>
      <w:r>
        <w:rPr>
          <w:color w:val="000000"/>
        </w:rPr>
        <w:t xml:space="preserve">》等有关规定</w:t>
      </w:r>
      <w:r>
        <w:rPr>
          <w:bCs/>
          <w:szCs w:val="21"/>
        </w:rPr>
        <w:t xml:space="preserve">来执行，养护过程中无违章操作现象，无安全事故。</w:t>
      </w:r>
      <w:r/>
    </w:p>
    <w:p>
      <w:pPr>
        <w:ind w:firstLine="420"/>
        <w:spacing w:line="360" w:lineRule="auto"/>
        <w:rPr>
          <w:bCs/>
          <w:szCs w:val="21"/>
        </w:rPr>
      </w:pPr>
      <w:r>
        <w:rPr>
          <w:bCs/>
          <w:szCs w:val="21"/>
        </w:rPr>
        <w:t xml:space="preserve">2</w:t>
      </w:r>
      <w:r>
        <w:rPr>
          <w:rFonts w:hint="eastAsia"/>
          <w:bCs/>
          <w:szCs w:val="21"/>
        </w:rPr>
        <w:t xml:space="preserve">.</w:t>
      </w:r>
      <w:r>
        <w:rPr>
          <w:bCs/>
          <w:szCs w:val="21"/>
        </w:rPr>
        <w:t xml:space="preserve">修剪</w:t>
      </w:r>
      <w:r/>
    </w:p>
    <w:p>
      <w:pPr>
        <w:ind w:firstLine="420"/>
        <w:spacing w:line="360" w:lineRule="auto"/>
        <w:rPr>
          <w:bCs/>
          <w:szCs w:val="21"/>
        </w:rPr>
      </w:pPr>
      <w:r>
        <w:rPr>
          <w:bCs/>
          <w:szCs w:val="21"/>
        </w:rPr>
        <w:t xml:space="preserve">根据乔灌木、绿篱、地被及草坪生长特性，结合季节适时修剪。乔木树形优美，无明显枯枝、断枝、萌蘖枝；绿篱、球形灌木年修剪不少于4次，绿篱要平整、三面光，球冠树应保持形态完整、圆滑。草坪全年修剪次数不少于12次，修剪高度控制在：冷季型不超过6-7cm，暖季型不超过4-5cm。所有修剪剩余物要及时清理，需进行袋装化处理，保证现场整洁。</w:t>
      </w:r>
      <w:r/>
    </w:p>
    <w:p>
      <w:pPr>
        <w:ind w:firstLine="420"/>
        <w:spacing w:line="360" w:lineRule="auto"/>
        <w:rPr>
          <w:bCs/>
          <w:szCs w:val="21"/>
        </w:rPr>
      </w:pPr>
      <w:r>
        <w:rPr>
          <w:bCs/>
          <w:szCs w:val="21"/>
        </w:rPr>
        <w:t xml:space="preserve">3</w:t>
      </w:r>
      <w:r>
        <w:rPr>
          <w:rFonts w:hint="eastAsia"/>
          <w:bCs/>
          <w:szCs w:val="21"/>
        </w:rPr>
        <w:t xml:space="preserve">.</w:t>
      </w:r>
      <w:r>
        <w:rPr>
          <w:bCs/>
          <w:szCs w:val="21"/>
        </w:rPr>
        <w:t xml:space="preserve">浇水</w:t>
      </w:r>
      <w:r/>
    </w:p>
    <w:p>
      <w:pPr>
        <w:ind w:firstLine="420"/>
        <w:spacing w:line="360" w:lineRule="auto"/>
        <w:rPr>
          <w:bCs/>
          <w:szCs w:val="21"/>
        </w:rPr>
      </w:pPr>
      <w:r>
        <w:rPr>
          <w:bCs/>
          <w:szCs w:val="21"/>
        </w:rPr>
        <w:t xml:space="preserve">（1）根据不同的立地条件、季节、气候差异和生长状况及时进行浇水，并要浇透。</w:t>
      </w:r>
      <w:r/>
    </w:p>
    <w:p>
      <w:pPr>
        <w:ind w:firstLine="420"/>
        <w:spacing w:line="360" w:lineRule="auto"/>
        <w:rPr>
          <w:bCs/>
          <w:szCs w:val="21"/>
        </w:rPr>
      </w:pPr>
      <w:r>
        <w:rPr>
          <w:bCs/>
          <w:szCs w:val="21"/>
        </w:rPr>
        <w:t xml:space="preserve">（2）草坪浇水必须湿透根系层，冷季型草坪在春秋二季充分浇水，暖季型草坪夏季要勤浇水， 3－6月，1次／2周；7－9月，1次／周；10－11月，1次／2周；12月，1次／月。</w:t>
      </w:r>
      <w:r/>
    </w:p>
    <w:p>
      <w:pPr>
        <w:ind w:firstLine="420"/>
        <w:spacing w:line="360" w:lineRule="auto"/>
        <w:rPr>
          <w:bCs/>
          <w:szCs w:val="21"/>
        </w:rPr>
      </w:pPr>
      <w:r>
        <w:rPr>
          <w:bCs/>
          <w:szCs w:val="21"/>
        </w:rPr>
        <w:t xml:space="preserve">（3）植物周围雨后积水应及时排除。</w:t>
      </w:r>
      <w:r/>
    </w:p>
    <w:p>
      <w:pPr>
        <w:ind w:firstLine="420"/>
        <w:spacing w:line="360" w:lineRule="auto"/>
        <w:rPr>
          <w:bCs/>
          <w:szCs w:val="21"/>
        </w:rPr>
      </w:pPr>
      <w:r>
        <w:rPr>
          <w:bCs/>
          <w:szCs w:val="21"/>
        </w:rPr>
        <w:t xml:space="preserve">（4）绿化浇灌一律采用中水，学校提供中水取水点，严禁使用消防栓及自来水管取水，部分区域采用自动</w:t>
      </w:r>
      <w:r>
        <w:rPr>
          <w:rFonts w:hint="eastAsia"/>
          <w:bCs/>
          <w:szCs w:val="21"/>
        </w:rPr>
        <w:t xml:space="preserve">喷灌</w:t>
      </w:r>
      <w:r>
        <w:rPr>
          <w:bCs/>
          <w:szCs w:val="21"/>
        </w:rPr>
        <w:t xml:space="preserve">设施，需注意节约用水，不得出现水管漏水肆意喷灌现象，否则予以相应处罚。</w:t>
      </w:r>
      <w:r/>
    </w:p>
    <w:p>
      <w:pPr>
        <w:ind w:firstLine="420"/>
        <w:spacing w:line="360" w:lineRule="auto"/>
        <w:rPr>
          <w:bCs/>
          <w:szCs w:val="21"/>
        </w:rPr>
      </w:pPr>
      <w:r>
        <w:rPr>
          <w:bCs/>
          <w:szCs w:val="21"/>
        </w:rPr>
        <w:t xml:space="preserve">4</w:t>
      </w:r>
      <w:r>
        <w:rPr>
          <w:rFonts w:hint="eastAsia"/>
          <w:bCs/>
          <w:szCs w:val="21"/>
        </w:rPr>
        <w:t xml:space="preserve">.</w:t>
      </w:r>
      <w:r>
        <w:rPr>
          <w:bCs/>
          <w:szCs w:val="21"/>
        </w:rPr>
        <w:t xml:space="preserve">松土、除草</w:t>
      </w:r>
      <w:r/>
    </w:p>
    <w:p>
      <w:pPr>
        <w:ind w:firstLine="420"/>
        <w:spacing w:line="360" w:lineRule="auto"/>
        <w:rPr>
          <w:bCs/>
          <w:szCs w:val="21"/>
        </w:rPr>
      </w:pPr>
      <w:r>
        <w:rPr>
          <w:bCs/>
          <w:szCs w:val="21"/>
        </w:rPr>
        <w:t xml:space="preserve">（1）树木根部周围的土壤要保持疏松，易板结的土壤在蒸腾旺季须每月松土一次，松土深度以不伤根系生长为限。</w:t>
      </w:r>
      <w:r/>
    </w:p>
    <w:p>
      <w:pPr>
        <w:ind w:firstLine="420"/>
        <w:spacing w:line="360" w:lineRule="auto"/>
        <w:rPr>
          <w:bCs/>
          <w:szCs w:val="21"/>
        </w:rPr>
      </w:pPr>
      <w:r>
        <w:rPr>
          <w:bCs/>
          <w:szCs w:val="21"/>
        </w:rPr>
        <w:t xml:space="preserve">（2）乔、灌木下的杂草应及时铲除。草坪杂草应及时连根清除，做到除早、除小、除净，采用人工除草、机械除草或生物除草。</w:t>
      </w:r>
      <w:r/>
    </w:p>
    <w:p>
      <w:pPr>
        <w:ind w:firstLine="420"/>
        <w:spacing w:line="360" w:lineRule="auto"/>
        <w:rPr>
          <w:bCs/>
          <w:szCs w:val="21"/>
        </w:rPr>
      </w:pPr>
      <w:r>
        <w:rPr>
          <w:bCs/>
          <w:szCs w:val="21"/>
        </w:rPr>
        <w:t xml:space="preserve">5</w:t>
      </w:r>
      <w:r>
        <w:rPr>
          <w:rFonts w:hint="eastAsia"/>
          <w:bCs/>
          <w:szCs w:val="21"/>
        </w:rPr>
        <w:t xml:space="preserve">.</w:t>
      </w:r>
      <w:r>
        <w:rPr>
          <w:bCs/>
          <w:szCs w:val="21"/>
        </w:rPr>
        <w:t xml:space="preserve">病虫害防治</w:t>
      </w:r>
      <w:r/>
    </w:p>
    <w:p>
      <w:pPr>
        <w:ind w:firstLine="420"/>
        <w:spacing w:line="360" w:lineRule="auto"/>
        <w:rPr>
          <w:bCs/>
          <w:szCs w:val="21"/>
        </w:rPr>
      </w:pPr>
      <w:r>
        <w:rPr>
          <w:bCs/>
          <w:szCs w:val="21"/>
        </w:rPr>
        <w:t xml:space="preserve">做好植物病虫害的预测、预报，以防为主，防治结合。及时防治、控制植物病虫害。尤其重点加强对樱花、海棠、香樟、黄杨、桃李树、龙爪槐、月季等植物的病虫害日常观察。对树体上出现的伤口应清理后用药剂消毒，涂保护剂或抹灰膏。出现树洞要及时修补，防止腐朽进一步扩大； 每年需开展香樟树白蚁专项防治，禁止虫情继续扩大蔓延。药物用量及对环境的影响要符合环保要求和标准，用药配比正确，安全操作。发现病虫害应在2天内治理完毕，病虫害应控制在不影响观赏效果的范围之内。</w:t>
      </w:r>
      <w:r/>
    </w:p>
    <w:p>
      <w:pPr>
        <w:ind w:firstLine="420"/>
        <w:spacing w:line="360" w:lineRule="auto"/>
        <w:rPr>
          <w:bCs/>
          <w:szCs w:val="21"/>
        </w:rPr>
      </w:pPr>
      <w:r>
        <w:rPr>
          <w:bCs/>
          <w:szCs w:val="21"/>
        </w:rPr>
        <w:t xml:space="preserve">6</w:t>
      </w:r>
      <w:r>
        <w:rPr>
          <w:rFonts w:hint="eastAsia"/>
          <w:bCs/>
          <w:szCs w:val="21"/>
        </w:rPr>
        <w:t xml:space="preserve">.</w:t>
      </w:r>
      <w:r>
        <w:rPr>
          <w:bCs/>
          <w:szCs w:val="21"/>
        </w:rPr>
        <w:t xml:space="preserve">施肥</w:t>
      </w:r>
      <w:r/>
    </w:p>
    <w:p>
      <w:pPr>
        <w:ind w:firstLine="420"/>
        <w:spacing w:line="360" w:lineRule="auto"/>
        <w:rPr>
          <w:bCs/>
          <w:szCs w:val="21"/>
        </w:rPr>
      </w:pPr>
      <w:r>
        <w:rPr>
          <w:bCs/>
          <w:szCs w:val="21"/>
        </w:rPr>
        <w:t xml:space="preserve">（1）每年施肥的次数为：草坪、花草、乔木、灌木分为春季、秋冬季两次进行施肥；对樱花、杏花、银杏、海棠、月季、桃花等重点观赏树种施复合肥或有机肥。</w:t>
      </w:r>
      <w:r/>
    </w:p>
    <w:p>
      <w:pPr>
        <w:ind w:firstLine="420"/>
        <w:spacing w:line="360" w:lineRule="auto"/>
        <w:rPr>
          <w:bCs/>
          <w:szCs w:val="21"/>
        </w:rPr>
      </w:pPr>
      <w:r>
        <w:rPr>
          <w:bCs/>
          <w:szCs w:val="21"/>
        </w:rPr>
        <w:t xml:space="preserve">（2）施肥应根据不同的树种、树龄、生长势和土壤理化性质而定。树木休眠期施基肥，生长期施追肥，花灌木应在花前、花后进行施肥。</w:t>
      </w:r>
      <w:r/>
    </w:p>
    <w:p>
      <w:pPr>
        <w:ind w:firstLine="420"/>
        <w:spacing w:line="360" w:lineRule="auto"/>
        <w:rPr>
          <w:bCs/>
          <w:szCs w:val="21"/>
        </w:rPr>
      </w:pPr>
      <w:r>
        <w:rPr>
          <w:bCs/>
          <w:szCs w:val="21"/>
        </w:rPr>
        <w:t xml:space="preserve">（3）绿地以施有机肥为主，要求施肥量至少每亩25公斤有机复合肥。树木施肥先挖好施肥环沟，其外径与冠幅相适应。</w:t>
      </w:r>
      <w:r/>
    </w:p>
    <w:p>
      <w:pPr>
        <w:ind w:firstLine="420"/>
        <w:spacing w:line="360" w:lineRule="auto"/>
        <w:rPr>
          <w:bCs/>
          <w:szCs w:val="21"/>
        </w:rPr>
      </w:pPr>
      <w:r>
        <w:rPr>
          <w:bCs/>
          <w:szCs w:val="21"/>
        </w:rPr>
        <w:t xml:space="preserve">7</w:t>
      </w:r>
      <w:r>
        <w:rPr>
          <w:rFonts w:hint="eastAsia"/>
          <w:bCs/>
          <w:szCs w:val="21"/>
        </w:rPr>
        <w:t xml:space="preserve">.</w:t>
      </w:r>
      <w:r>
        <w:rPr>
          <w:bCs/>
          <w:szCs w:val="21"/>
        </w:rPr>
        <w:t xml:space="preserve">草籽补播</w:t>
      </w:r>
      <w:r/>
    </w:p>
    <w:p>
      <w:pPr>
        <w:ind w:firstLine="420"/>
        <w:spacing w:line="360" w:lineRule="auto"/>
        <w:rPr>
          <w:bCs/>
          <w:szCs w:val="21"/>
        </w:rPr>
      </w:pPr>
      <w:r>
        <w:rPr>
          <w:bCs/>
          <w:color w:val="auto"/>
          <w:szCs w:val="21"/>
        </w:rPr>
        <w:t xml:space="preserve">秋冬季节针对百慕大草坪及各类草坪退化、黄土裸露地块，必须撒播黑麦草籽进行交播复绿，保障冬季草坪整体常绿美观，全年无明显裸露黄土地块，始终保持草坪长势均匀、覆盖完整</w:t>
      </w:r>
      <w:r>
        <w:rPr>
          <w:bCs/>
          <w:szCs w:val="21"/>
        </w:rPr>
        <w:t xml:space="preserve">。</w:t>
      </w:r>
      <w:r/>
    </w:p>
    <w:p>
      <w:pPr>
        <w:ind w:firstLine="420"/>
        <w:spacing w:line="360" w:lineRule="auto"/>
        <w:rPr>
          <w:bCs/>
          <w:szCs w:val="21"/>
        </w:rPr>
      </w:pPr>
      <w:r>
        <w:rPr>
          <w:bCs/>
          <w:szCs w:val="21"/>
        </w:rPr>
        <w:t xml:space="preserve">8</w:t>
      </w:r>
      <w:r>
        <w:rPr>
          <w:rFonts w:hint="eastAsia"/>
          <w:bCs/>
          <w:szCs w:val="21"/>
        </w:rPr>
        <w:t xml:space="preserve">.</w:t>
      </w:r>
      <w:r>
        <w:rPr>
          <w:bCs/>
          <w:szCs w:val="21"/>
        </w:rPr>
        <w:t xml:space="preserve">应急处置</w:t>
      </w:r>
      <w:r/>
    </w:p>
    <w:p>
      <w:pPr>
        <w:ind w:firstLine="420"/>
        <w:spacing w:line="360" w:lineRule="auto"/>
        <w:rPr>
          <w:bCs/>
          <w:color w:val="auto"/>
          <w:szCs w:val="21"/>
        </w:rPr>
      </w:pPr>
      <w:r>
        <w:rPr>
          <w:bCs/>
          <w:szCs w:val="21"/>
        </w:rPr>
        <w:t xml:space="preserve">做好台风、暴雨、大雪等极端天气高大乔木抗倒伏的预防工作，根据树木的实际情况，采取立支柱、绑扎、加土、扶正、疏枝等措施。一旦风暴来临，应及时检查，发现问题，妥善处理。用于支撑、固定的材料应坚固耐用美观，并采用软性材料同植物</w:t>
      </w:r>
      <w:r>
        <w:rPr>
          <w:bCs/>
          <w:color w:val="auto"/>
          <w:szCs w:val="21"/>
        </w:rPr>
        <w:t xml:space="preserve">接触。极端天气结束后24小时内</w:t>
      </w:r>
      <w:r>
        <w:rPr>
          <w:rFonts w:hint="eastAsia"/>
          <w:bCs/>
          <w:color w:val="auto"/>
          <w:szCs w:val="21"/>
        </w:rPr>
        <w:t xml:space="preserve">响应并于一周内</w:t>
      </w:r>
      <w:r>
        <w:rPr>
          <w:bCs/>
          <w:color w:val="auto"/>
          <w:szCs w:val="21"/>
        </w:rPr>
        <w:t xml:space="preserve">完成交通恢复、树木扶正、断枝清理等工作，所产生的费用由</w:t>
      </w:r>
      <w:r>
        <w:rPr>
          <w:rFonts w:hint="eastAsia"/>
          <w:bCs/>
          <w:color w:val="auto"/>
          <w:szCs w:val="21"/>
        </w:rPr>
        <w:t xml:space="preserve">供应商</w:t>
      </w:r>
      <w:r>
        <w:rPr>
          <w:bCs/>
          <w:color w:val="auto"/>
          <w:szCs w:val="21"/>
        </w:rPr>
        <w:t xml:space="preserve">承担。</w:t>
      </w:r>
      <w:r/>
    </w:p>
    <w:p>
      <w:pPr>
        <w:ind w:firstLine="420"/>
        <w:spacing w:line="360" w:lineRule="auto"/>
        <w:rPr>
          <w:bCs/>
          <w:color w:val="auto"/>
          <w:szCs w:val="21"/>
        </w:rPr>
      </w:pPr>
      <w:r>
        <w:rPr>
          <w:bCs/>
          <w:color w:val="auto"/>
          <w:szCs w:val="21"/>
        </w:rPr>
        <w:t xml:space="preserve">9</w:t>
      </w:r>
      <w:r>
        <w:rPr>
          <w:rFonts w:hint="eastAsia"/>
          <w:bCs/>
          <w:color w:val="auto"/>
          <w:szCs w:val="21"/>
        </w:rPr>
        <w:t xml:space="preserve">.</w:t>
      </w:r>
      <w:r>
        <w:rPr>
          <w:bCs/>
          <w:color w:val="auto"/>
          <w:szCs w:val="21"/>
        </w:rPr>
        <w:t xml:space="preserve">枯枝、死枝清理及补植</w:t>
      </w:r>
      <w:r/>
    </w:p>
    <w:p>
      <w:pPr>
        <w:ind w:firstLine="420"/>
        <w:spacing w:line="360" w:lineRule="auto"/>
        <w:rPr>
          <w:bCs/>
          <w:color w:val="auto"/>
          <w:szCs w:val="21"/>
        </w:rPr>
      </w:pPr>
      <w:r>
        <w:rPr>
          <w:bCs/>
          <w:color w:val="auto"/>
          <w:szCs w:val="21"/>
        </w:rPr>
        <w:t xml:space="preserve">及时发现和清除、清理树木上及地面上的枯枝、死枝；出现树木不正常死亡，且无法给出非供应商责任死亡原因的，向采购人报告后及时倒伐和补植，在一个月内补种完毕；补植树木应选用同品种、同规格苗木，并确保成活；对花灌木、地被、草坪及草花缺损的，须及时补种。以上费用由供应商承担。</w:t>
      </w:r>
      <w:r/>
    </w:p>
    <w:p>
      <w:pPr>
        <w:ind w:firstLine="420"/>
        <w:spacing w:line="360" w:lineRule="auto"/>
        <w:rPr>
          <w:bCs/>
          <w:color w:val="auto"/>
          <w:szCs w:val="21"/>
        </w:rPr>
      </w:pPr>
      <w:r>
        <w:rPr>
          <w:bCs/>
          <w:color w:val="auto"/>
          <w:szCs w:val="21"/>
        </w:rPr>
        <w:t xml:space="preserve">10</w:t>
      </w:r>
      <w:r>
        <w:rPr>
          <w:rFonts w:hint="eastAsia"/>
          <w:bCs/>
          <w:color w:val="auto"/>
          <w:szCs w:val="21"/>
        </w:rPr>
        <w:t xml:space="preserve">.</w:t>
      </w:r>
      <w:r>
        <w:rPr>
          <w:bCs/>
          <w:color w:val="auto"/>
          <w:szCs w:val="21"/>
        </w:rPr>
        <w:t xml:space="preserve">水面景观管理</w:t>
      </w:r>
      <w:r/>
    </w:p>
    <w:p>
      <w:pPr>
        <w:ind w:firstLine="420"/>
        <w:spacing w:line="360" w:lineRule="auto"/>
        <w:rPr>
          <w:bCs/>
          <w:color w:val="auto"/>
          <w:szCs w:val="21"/>
        </w:rPr>
      </w:pPr>
      <w:r>
        <w:rPr>
          <w:bCs/>
          <w:color w:val="auto"/>
          <w:szCs w:val="21"/>
        </w:rPr>
        <w:t xml:space="preserve">春夏季对生长过盛的水草进行清理打捞，秋冬季</w:t>
      </w:r>
      <w:r>
        <w:rPr>
          <w:rFonts w:hint="eastAsia"/>
          <w:bCs/>
          <w:color w:val="auto"/>
          <w:szCs w:val="21"/>
        </w:rPr>
        <w:t xml:space="preserve">应</w:t>
      </w:r>
      <w:r>
        <w:rPr>
          <w:bCs/>
          <w:color w:val="auto"/>
          <w:szCs w:val="21"/>
        </w:rPr>
        <w:t xml:space="preserve">对枯萎荷花荷叶进行清理。</w:t>
      </w:r>
      <w:r/>
    </w:p>
    <w:p>
      <w:pPr>
        <w:ind w:firstLine="420"/>
        <w:spacing w:line="360" w:lineRule="auto"/>
        <w:rPr>
          <w:bCs/>
          <w:color w:val="auto"/>
          <w:szCs w:val="21"/>
        </w:rPr>
      </w:pPr>
      <w:r>
        <w:rPr>
          <w:bCs/>
          <w:color w:val="auto"/>
          <w:szCs w:val="21"/>
        </w:rPr>
        <w:t xml:space="preserve">11</w:t>
      </w:r>
      <w:r>
        <w:rPr>
          <w:rFonts w:hint="eastAsia"/>
          <w:bCs/>
          <w:color w:val="auto"/>
          <w:szCs w:val="21"/>
        </w:rPr>
        <w:t xml:space="preserve">.</w:t>
      </w:r>
      <w:r>
        <w:rPr>
          <w:bCs/>
          <w:color w:val="auto"/>
          <w:szCs w:val="21"/>
        </w:rPr>
        <w:t xml:space="preserve">卫生保洁</w:t>
      </w:r>
      <w:r/>
    </w:p>
    <w:p>
      <w:pPr>
        <w:ind w:firstLine="420"/>
        <w:spacing w:line="360" w:lineRule="auto"/>
        <w:rPr>
          <w:bCs/>
          <w:szCs w:val="21"/>
        </w:rPr>
      </w:pPr>
      <w:r>
        <w:rPr>
          <w:bCs/>
          <w:szCs w:val="21"/>
        </w:rPr>
        <w:t xml:space="preserve">（1）负责校园绿地内落枝、落叶的清理，原则上要求每月1次全面清扫，3-5月和11-12月集中落叶期应增加清扫频次。</w:t>
      </w:r>
      <w:r/>
    </w:p>
    <w:p>
      <w:pPr>
        <w:ind w:firstLine="420"/>
        <w:spacing w:line="360" w:lineRule="auto"/>
        <w:rPr>
          <w:bCs/>
          <w:szCs w:val="21"/>
        </w:rPr>
      </w:pPr>
      <w:r>
        <w:rPr>
          <w:bCs/>
          <w:szCs w:val="21"/>
        </w:rPr>
        <w:t xml:space="preserve">（2）按照南京市垃圾分类要求对绿色废弃物（如树枝、树叶、草屑等）进行规范处理，绿化垃圾禁止混入生活垃圾箱。重点区域随产随清，其它区域日产日清，重要活动和节日前必须进行突击清理、清运，保持校园环境整洁。</w:t>
      </w:r>
      <w:r/>
    </w:p>
    <w:p>
      <w:pPr>
        <w:ind w:firstLine="420"/>
        <w:spacing w:line="360" w:lineRule="auto"/>
        <w:rPr>
          <w:bCs/>
          <w:szCs w:val="21"/>
        </w:rPr>
      </w:pPr>
      <w:r>
        <w:rPr>
          <w:bCs/>
          <w:szCs w:val="21"/>
        </w:rPr>
        <w:t xml:space="preserve">12</w:t>
      </w:r>
      <w:r>
        <w:rPr>
          <w:rFonts w:hint="eastAsia"/>
          <w:bCs/>
          <w:szCs w:val="21"/>
        </w:rPr>
        <w:t xml:space="preserve">.</w:t>
      </w:r>
      <w:r>
        <w:rPr>
          <w:bCs/>
          <w:szCs w:val="21"/>
        </w:rPr>
        <w:t xml:space="preserve">设施看护</w:t>
      </w:r>
      <w:r/>
    </w:p>
    <w:p>
      <w:pPr>
        <w:ind w:firstLine="420"/>
        <w:spacing w:line="360" w:lineRule="auto"/>
        <w:rPr>
          <w:bCs/>
          <w:szCs w:val="21"/>
        </w:rPr>
      </w:pPr>
      <w:r>
        <w:rPr>
          <w:bCs/>
          <w:szCs w:val="21"/>
        </w:rPr>
        <w:t xml:space="preserve">（1）应安排专门地方用于养护工具、机械的安放，绿地中严禁停放任何车辆。</w:t>
      </w:r>
      <w:r/>
    </w:p>
    <w:p>
      <w:pPr>
        <w:ind w:firstLine="420"/>
        <w:spacing w:line="360" w:lineRule="auto"/>
        <w:rPr>
          <w:bCs/>
          <w:szCs w:val="21"/>
        </w:rPr>
      </w:pPr>
      <w:r>
        <w:rPr>
          <w:bCs/>
          <w:szCs w:val="21"/>
        </w:rPr>
        <w:t xml:space="preserve">（2）绿地中无堆物、堆料、搭棚，树干上无钉拴刻画等现象。</w:t>
      </w:r>
      <w:r/>
    </w:p>
    <w:p>
      <w:pPr>
        <w:ind w:firstLine="420"/>
        <w:spacing w:line="360" w:lineRule="auto"/>
        <w:rPr>
          <w:bCs/>
          <w:szCs w:val="21"/>
        </w:rPr>
      </w:pPr>
      <w:r>
        <w:rPr>
          <w:bCs/>
          <w:szCs w:val="21"/>
        </w:rPr>
        <w:t xml:space="preserve">（3）园林建筑、雕塑、花坛、草坪灯、座椅等绿地设施应维护良好，保持完整，损坏及存在安全隐患及时报修，未及时报修产生的的人员伤亡和财产损失，均由中标供应商负责赔偿。采购人因此被追究责任的，有权向中标供应商追偿。</w:t>
      </w:r>
      <w:r/>
    </w:p>
    <w:p>
      <w:pPr>
        <w:ind w:firstLine="420"/>
        <w:spacing w:line="360" w:lineRule="auto"/>
        <w:rPr>
          <w:bCs/>
          <w:szCs w:val="21"/>
        </w:rPr>
      </w:pPr>
      <w:r>
        <w:rPr>
          <w:bCs/>
          <w:szCs w:val="21"/>
        </w:rPr>
        <w:t xml:space="preserve">（4）严禁各种侵占绿地行为发生，加强巡视检查，制止任何未经学校绿化管理部门许可的装饰装修、基建、通讯、电力、燃气等以及施工需占用、开挖、改造绿地以及移植、砍伐、修剪树木等行为。绿地内严禁任何人种菜和摆放盆栽植物。对经过学校绿化管理部门许可的绿地内施工进行跟踪、监督施工方在施工结束后及时恢复原有绿化。如因未及时发现、制止或上报绿地侵占行为，绿化恢复费用由中标供应商承担。</w:t>
      </w:r>
      <w:r/>
    </w:p>
    <w:p>
      <w:pPr>
        <w:ind w:firstLine="420"/>
        <w:spacing w:line="360" w:lineRule="auto"/>
        <w:rPr>
          <w:bCs/>
          <w:szCs w:val="21"/>
        </w:rPr>
      </w:pPr>
      <w:r>
        <w:rPr>
          <w:bCs/>
          <w:szCs w:val="21"/>
        </w:rPr>
        <w:t xml:space="preserve">13</w:t>
      </w:r>
      <w:r>
        <w:rPr>
          <w:rFonts w:hint="eastAsia"/>
          <w:bCs/>
          <w:szCs w:val="21"/>
        </w:rPr>
        <w:t xml:space="preserve">.</w:t>
      </w:r>
      <w:r>
        <w:rPr>
          <w:bCs/>
          <w:szCs w:val="21"/>
        </w:rPr>
        <w:t xml:space="preserve">绿化养护台帐、计划</w:t>
      </w:r>
      <w:r/>
    </w:p>
    <w:p>
      <w:pPr>
        <w:ind w:firstLine="420"/>
        <w:spacing w:line="360" w:lineRule="auto"/>
        <w:rPr>
          <w:bCs/>
          <w:szCs w:val="21"/>
        </w:rPr>
      </w:pPr>
      <w:r>
        <w:rPr>
          <w:bCs/>
          <w:szCs w:val="21"/>
        </w:rPr>
        <w:t xml:space="preserve">建立完整的绿化养护</w:t>
      </w:r>
      <w:r>
        <w:rPr>
          <w:rFonts w:hint="eastAsia"/>
          <w:bCs/>
          <w:szCs w:val="21"/>
        </w:rPr>
        <w:t xml:space="preserve">台账</w:t>
      </w:r>
      <w:r>
        <w:rPr>
          <w:bCs/>
          <w:szCs w:val="21"/>
        </w:rPr>
        <w:t xml:space="preserve">，并由专人负责。绿化资料记录详细，分类清楚，数据详实。月度养护计划及养护作业应按时记录、及时上报，并符合现状和季节特点，针对性强，不弄虚作假。</w:t>
      </w:r>
      <w:r/>
    </w:p>
    <w:p>
      <w:pPr>
        <w:ind w:firstLine="420"/>
        <w:spacing w:line="360" w:lineRule="auto"/>
        <w:rPr>
          <w:bCs/>
          <w:szCs w:val="21"/>
        </w:rPr>
      </w:pPr>
      <w:r>
        <w:rPr>
          <w:bCs/>
          <w:szCs w:val="21"/>
        </w:rPr>
        <w:t xml:space="preserve">14</w:t>
      </w:r>
      <w:r>
        <w:rPr>
          <w:rFonts w:hint="eastAsia"/>
          <w:bCs/>
          <w:szCs w:val="21"/>
        </w:rPr>
        <w:t xml:space="preserve">.</w:t>
      </w:r>
      <w:r>
        <w:rPr>
          <w:bCs/>
          <w:szCs w:val="21"/>
        </w:rPr>
        <w:t xml:space="preserve">人员、安全管理</w:t>
      </w:r>
      <w:r/>
    </w:p>
    <w:p>
      <w:pPr>
        <w:ind w:firstLine="420"/>
        <w:spacing w:line="360" w:lineRule="auto"/>
        <w:rPr>
          <w:bCs/>
          <w:szCs w:val="21"/>
        </w:rPr>
      </w:pPr>
      <w:r>
        <w:rPr>
          <w:bCs/>
          <w:szCs w:val="21"/>
        </w:rPr>
        <w:t xml:space="preserve">（1）绿化管理养护施工人员必须经培训上岗，统一着装，穿戴整齐，遵守采购人的管理制度。</w:t>
      </w:r>
      <w:r/>
    </w:p>
    <w:p>
      <w:pPr>
        <w:ind w:firstLine="420"/>
        <w:spacing w:line="360" w:lineRule="auto"/>
        <w:rPr>
          <w:bCs/>
          <w:szCs w:val="21"/>
        </w:rPr>
      </w:pPr>
      <w:r>
        <w:rPr>
          <w:bCs/>
          <w:szCs w:val="21"/>
        </w:rPr>
        <w:t xml:space="preserve">（2）绿化养护项目实施期间，中标供应商的所有人员人身安全、财产安全均由中标供应商负责，与采购人无关。如中标供应商在实施绿化养护工作过程中，对第三方造成人身、财产损害，均由中标供应商负责，与采购人无关。采购人因此被追究责任的，有权向中标供应商追偿。</w:t>
      </w:r>
      <w:r/>
    </w:p>
    <w:p>
      <w:pPr>
        <w:ind w:firstLine="420"/>
        <w:spacing w:line="360" w:lineRule="auto"/>
        <w:rPr>
          <w:bCs/>
          <w:szCs w:val="21"/>
        </w:rPr>
      </w:pPr>
      <w:r>
        <w:rPr>
          <w:bCs/>
          <w:szCs w:val="21"/>
        </w:rPr>
        <w:t xml:space="preserve">（3）因树木枯枝、死枝坠落及树木倾倒，所发生的人员伤亡和财产损失，均由中标供应商负责赔偿。采购人因此被追究责任的，有权向中标供应商追偿。</w:t>
      </w:r>
      <w:r/>
    </w:p>
    <w:p>
      <w:pPr>
        <w:ind w:firstLine="420"/>
        <w:spacing w:line="360" w:lineRule="auto"/>
        <w:rPr>
          <w:bCs/>
          <w:szCs w:val="21"/>
        </w:rPr>
      </w:pPr>
      <w:r>
        <w:rPr>
          <w:bCs/>
          <w:szCs w:val="21"/>
        </w:rPr>
        <w:t xml:space="preserve">（4）中标供应商必须重视安全生产，作业期间应设置安全警示标志，工完场清。汽油、农药、化肥等养护器具材料应设专库存放，摆放整齐，并有专人管理，建立进出库及使用台账。机械、工具不得随意堆放于绿地内。严格执行安全操作规程，确保全年不出安全责任事故。养护期间，中标供应商工作人员因各种原因造成的安全责任事故由中标供应商承担一切责任及损失。</w:t>
      </w:r>
      <w:r/>
    </w:p>
    <w:p>
      <w:pPr>
        <w:ind w:firstLine="420"/>
        <w:spacing w:line="360" w:lineRule="auto"/>
        <w:rPr>
          <w:bCs/>
          <w:color w:val="auto"/>
          <w:szCs w:val="21"/>
        </w:rPr>
      </w:pPr>
      <w:r>
        <w:rPr>
          <w:bCs/>
          <w:szCs w:val="21"/>
        </w:rPr>
        <w:t xml:space="preserve">15</w:t>
      </w:r>
      <w:r>
        <w:rPr>
          <w:rFonts w:hint="eastAsia"/>
          <w:bCs/>
          <w:szCs w:val="21"/>
        </w:rPr>
        <w:t xml:space="preserve">.</w:t>
      </w:r>
      <w:r>
        <w:rPr>
          <w:bCs/>
          <w:szCs w:val="21"/>
        </w:rPr>
        <w:t xml:space="preserve">其他要求</w:t>
      </w:r>
      <w:r/>
    </w:p>
    <w:p>
      <w:pPr>
        <w:ind w:firstLine="420"/>
        <w:spacing w:line="360" w:lineRule="auto"/>
        <w:rPr>
          <w:bCs/>
          <w:color w:val="auto"/>
          <w:szCs w:val="21"/>
        </w:rPr>
      </w:pPr>
      <w:r>
        <w:rPr>
          <w:bCs/>
          <w:color w:val="auto"/>
          <w:szCs w:val="21"/>
        </w:rPr>
        <w:t xml:space="preserve">（1）校园核心区及教学楼周边，会产生噪音的园林机械作业，原则上不得安排在教学时间段和大型考试时间段，即周一至周五教学时间的上午8:00-12：00点；下午2:00-5:30；周六-周日大型考试日的考试时间段。学生宿舍区域，每天早上8：00前，中午12:00-2:00，不得进行有噪音的园林机械作业。抢险工作除外。</w:t>
      </w:r>
      <w:r/>
    </w:p>
    <w:p>
      <w:pPr>
        <w:ind w:firstLine="420"/>
        <w:spacing w:line="360" w:lineRule="auto"/>
        <w:rPr>
          <w:bCs/>
          <w:color w:val="auto"/>
          <w:szCs w:val="21"/>
        </w:rPr>
      </w:pPr>
      <w:r>
        <w:rPr>
          <w:bCs/>
          <w:color w:val="auto"/>
          <w:szCs w:val="21"/>
        </w:rPr>
        <w:t xml:space="preserve">（2）响应采购人</w:t>
      </w:r>
      <w:r>
        <w:rPr>
          <w:rFonts w:hint="eastAsia"/>
          <w:bCs/>
          <w:color w:val="auto"/>
          <w:szCs w:val="21"/>
        </w:rPr>
        <w:t xml:space="preserve">托管范围内</w:t>
      </w:r>
      <w:r>
        <w:rPr>
          <w:bCs/>
          <w:color w:val="auto"/>
          <w:szCs w:val="21"/>
        </w:rPr>
        <w:t xml:space="preserve">枯枝、断枝</w:t>
      </w:r>
      <w:r>
        <w:rPr>
          <w:rFonts w:hint="eastAsia"/>
          <w:bCs/>
          <w:color w:val="auto"/>
          <w:szCs w:val="21"/>
        </w:rPr>
        <w:t xml:space="preserve">、遮挡阳光及存在安全隐患枝条的</w:t>
      </w:r>
      <w:r>
        <w:rPr>
          <w:bCs/>
          <w:color w:val="auto"/>
          <w:szCs w:val="21"/>
        </w:rPr>
        <w:t xml:space="preserve">修剪及死树、构树、杂树等清理要求，所产生费用（机械、人工）及施工人员人身安全，均由供应商负责。</w:t>
      </w:r>
      <w:r/>
    </w:p>
    <w:p>
      <w:pPr>
        <w:ind w:firstLine="420"/>
        <w:spacing w:line="360" w:lineRule="auto"/>
        <w:rPr>
          <w:bCs/>
          <w:color w:val="auto"/>
          <w:szCs w:val="21"/>
        </w:rPr>
      </w:pPr>
      <w:r>
        <w:rPr>
          <w:bCs/>
          <w:color w:val="auto"/>
          <w:szCs w:val="21"/>
        </w:rPr>
        <w:t xml:space="preserve">（3）采购人对协议范围内的绿化养护工作提出建议或整改要求时，中标供应商须即时响应并按期完成。</w:t>
      </w:r>
      <w:r/>
    </w:p>
    <w:p>
      <w:pPr>
        <w:ind w:firstLine="420"/>
        <w:spacing w:line="360" w:lineRule="auto"/>
        <w:rPr>
          <w:bCs/>
          <w:color w:val="auto"/>
          <w:szCs w:val="21"/>
        </w:rPr>
      </w:pPr>
      <w:r>
        <w:rPr>
          <w:rFonts w:hint="eastAsia"/>
          <w:bCs/>
          <w:color w:val="auto"/>
          <w:szCs w:val="21"/>
        </w:rPr>
        <w:t xml:space="preserve">（4）毕业季、开学季等学校重大庆典时期，须按照采购人要求于仙林校区北门及汉中门校区大门前摆放草花，每年不少于2次。草花的采购、养护、清理费用均由供应商负责。</w:t>
      </w:r>
      <w:r/>
    </w:p>
    <w:p>
      <w:pPr>
        <w:ind w:firstLine="420"/>
        <w:spacing w:line="360" w:lineRule="auto"/>
        <w:rPr>
          <w:bCs/>
          <w:color w:val="auto"/>
          <w:szCs w:val="21"/>
        </w:rPr>
      </w:pPr>
      <w:r>
        <w:rPr>
          <w:rFonts w:hint="eastAsia"/>
          <w:bCs/>
          <w:color w:val="auto"/>
          <w:szCs w:val="21"/>
        </w:rPr>
        <w:t xml:space="preserve">（5）每年应按照采购人要求在校园内开展加拿大一枝黄花专项治理不少于1次。</w:t>
      </w:r>
      <w:r/>
    </w:p>
    <w:p>
      <w:pPr>
        <w:ind w:firstLine="420"/>
        <w:spacing w:line="360" w:lineRule="auto"/>
        <w:rPr>
          <w:bCs/>
          <w:color w:val="auto"/>
          <w:szCs w:val="21"/>
        </w:rPr>
      </w:pPr>
      <w:r>
        <w:rPr>
          <w:rFonts w:hint="eastAsia"/>
          <w:bCs/>
          <w:color w:val="auto"/>
          <w:szCs w:val="21"/>
        </w:rPr>
        <w:t xml:space="preserve">（6）供应商应在合同生效2个月之内，在校园黄土裸露或者草坪退化区域一次性铺种草坪不少于300平方，具体铺种区域由采购人指定。</w:t>
      </w:r>
      <w:r/>
    </w:p>
    <w:p>
      <w:pPr>
        <w:ind w:firstLine="422"/>
        <w:spacing w:line="360" w:lineRule="auto"/>
        <w:rPr>
          <w:b/>
          <w:color w:val="auto"/>
          <w:szCs w:val="21"/>
        </w:rPr>
      </w:pPr>
      <w:r>
        <w:rPr>
          <w:rFonts w:hint="eastAsia"/>
          <w:b/>
          <w:color w:val="auto"/>
          <w:szCs w:val="21"/>
        </w:rPr>
        <w:t xml:space="preserve">（三）素山</w:t>
      </w:r>
      <w:r>
        <w:rPr>
          <w:b/>
          <w:color w:val="auto"/>
          <w:szCs w:val="21"/>
        </w:rPr>
        <w:t xml:space="preserve">格桑花海</w:t>
      </w:r>
      <w:r>
        <w:rPr>
          <w:rFonts w:hint="eastAsia"/>
          <w:b/>
          <w:color w:val="auto"/>
          <w:szCs w:val="21"/>
        </w:rPr>
        <w:t xml:space="preserve">种植与养护</w:t>
      </w:r>
      <w:r/>
    </w:p>
    <w:p>
      <w:pPr>
        <w:ind w:firstLine="420"/>
        <w:spacing w:line="360" w:lineRule="auto"/>
        <w:rPr>
          <w:bCs/>
          <w:szCs w:val="21"/>
        </w:rPr>
      </w:pPr>
      <w:r>
        <w:rPr>
          <w:bCs/>
          <w:color w:val="auto"/>
          <w:szCs w:val="21"/>
        </w:rPr>
        <w:t xml:space="preserve">格桑花海采用一年两季播种营造模式，</w:t>
      </w:r>
      <w:r>
        <w:rPr>
          <w:rFonts w:hint="eastAsia"/>
          <w:bCs/>
          <w:color w:val="auto"/>
          <w:szCs w:val="21"/>
        </w:rPr>
        <w:t xml:space="preserve">面积约4000平方米。</w:t>
      </w:r>
      <w:r>
        <w:rPr>
          <w:bCs/>
          <w:color w:val="auto"/>
          <w:szCs w:val="21"/>
        </w:rPr>
        <w:t xml:space="preserve">春季播种时间不晚于3月15日，秋季播种时间</w:t>
      </w:r>
      <w:r>
        <w:rPr>
          <w:rFonts w:hint="eastAsia"/>
          <w:bCs/>
          <w:color w:val="auto"/>
          <w:szCs w:val="21"/>
        </w:rPr>
        <w:t xml:space="preserve">原则</w:t>
      </w:r>
      <w:r>
        <w:rPr>
          <w:bCs/>
          <w:color w:val="auto"/>
          <w:szCs w:val="21"/>
        </w:rPr>
        <w:t xml:space="preserve">不晚于</w:t>
      </w:r>
      <w:r>
        <w:rPr>
          <w:rFonts w:hint="eastAsia"/>
          <w:bCs/>
          <w:color w:val="auto"/>
          <w:szCs w:val="21"/>
        </w:rPr>
        <w:t xml:space="preserve">8</w:t>
      </w:r>
      <w:r>
        <w:rPr>
          <w:bCs/>
          <w:color w:val="auto"/>
          <w:szCs w:val="21"/>
        </w:rPr>
        <w:t xml:space="preserve">月15日，具体播种日期可根据当年气候及天气实际情况另行协商调整；</w:t>
      </w:r>
      <w:r>
        <w:rPr>
          <w:rFonts w:hint="eastAsia"/>
          <w:bCs/>
          <w:color w:val="auto"/>
          <w:szCs w:val="21"/>
        </w:rPr>
        <w:t xml:space="preserve">每季格桑花品种、花色布局应按采购人要求种植。</w:t>
      </w:r>
      <w:r>
        <w:rPr>
          <w:bCs/>
          <w:color w:val="auto"/>
          <w:szCs w:val="21"/>
        </w:rPr>
        <w:t xml:space="preserve">播种前需对场地进行全面清理，彻底捡拾清除地块内石块、杂物、生活垃圾及杂草残根，保持场地干净平整，严格把控格桑花播种密度，应为4-6g/平方米，做到均匀撒播、适时补播，确保出苗整齐；播种前需进行土壤改良，整地时施入腐熟有机肥进行地力改良、疏松土壤、提升土壤肥力，每季花海植株枯萎后须按采购人要求及时进行全面清理清运，同步做好</w:t>
      </w:r>
      <w:r>
        <w:rPr>
          <w:rFonts w:hint="eastAsia"/>
          <w:bCs/>
          <w:color w:val="auto"/>
          <w:szCs w:val="21"/>
        </w:rPr>
        <w:t xml:space="preserve">格桑花海及周边牡丹、芍药、梅树等该区域所有绿植的</w:t>
      </w:r>
      <w:r>
        <w:rPr>
          <w:bCs/>
          <w:color w:val="auto"/>
          <w:szCs w:val="21"/>
        </w:rPr>
        <w:t xml:space="preserve">常态化管护，</w:t>
      </w:r>
      <w:r>
        <w:rPr>
          <w:rFonts w:hint="eastAsia"/>
          <w:bCs/>
          <w:color w:val="auto"/>
          <w:szCs w:val="21"/>
        </w:rPr>
        <w:t xml:space="preserve">包括除草、浇水、施肥、病虫害防治等</w:t>
      </w:r>
      <w:r>
        <w:rPr>
          <w:bCs/>
          <w:color w:val="auto"/>
          <w:szCs w:val="21"/>
        </w:rPr>
        <w:t xml:space="preserve">，确保花海植株生长均匀、开花密度适中，整体地表覆盖率饱满无大面积裸露，达到标准景观花海建设效果。特别说明：本合同正式签订及起始日期为2026年8月20日，但当年秋季格桑花播种节点需按既定时间要求在8月15日前完成，相关前期播种工作按本技术标准提前实施、纳入</w:t>
      </w:r>
      <w:r>
        <w:rPr>
          <w:bCs/>
          <w:szCs w:val="21"/>
        </w:rPr>
        <w:t xml:space="preserve">本合同履约范围。</w:t>
      </w:r>
      <w:r/>
    </w:p>
    <w:p>
      <w:pPr>
        <w:ind w:firstLine="422"/>
        <w:spacing w:line="360" w:lineRule="auto"/>
        <w:rPr>
          <w:b/>
          <w:szCs w:val="21"/>
        </w:rPr>
      </w:pPr>
      <w:r>
        <w:rPr>
          <w:rFonts w:hint="eastAsia"/>
          <w:b/>
          <w:szCs w:val="21"/>
        </w:rPr>
        <w:t xml:space="preserve">（四）</w:t>
      </w:r>
      <w:r>
        <w:rPr>
          <w:b/>
          <w:szCs w:val="21"/>
        </w:rPr>
        <w:t xml:space="preserve">人员要求</w:t>
      </w:r>
      <w:r/>
    </w:p>
    <w:p>
      <w:pPr>
        <w:ind w:firstLine="420"/>
        <w:spacing w:line="360" w:lineRule="auto"/>
        <w:rPr>
          <w:bCs/>
          <w:szCs w:val="21"/>
        </w:rPr>
      </w:pPr>
      <w:r>
        <w:rPr>
          <w:bCs/>
          <w:szCs w:val="21"/>
        </w:rPr>
        <w:t xml:space="preserve">1.总体要求</w:t>
      </w:r>
      <w:r/>
    </w:p>
    <w:p>
      <w:pPr>
        <w:ind w:firstLine="420"/>
        <w:spacing w:line="360" w:lineRule="auto"/>
        <w:rPr>
          <w:bCs/>
          <w:szCs w:val="21"/>
        </w:rPr>
      </w:pPr>
      <w:r>
        <w:rPr>
          <w:bCs/>
          <w:szCs w:val="21"/>
        </w:rPr>
        <w:t xml:space="preserve">各类人员均不得有违法犯罪记录。中标单位必须依法用工，必须执行国家、省、市的劳动法规，为员工缴纳五险一金(养老保险、医疗保险、工伤保险、生育保险、失业保险、住房公积金)，五险一金缴纳基数符合南京市人社部门最新规定；所有人员工资不得低于南京市现行最低工资标准计算。员工全年节假日加班工资及高温津贴发放标准严格符合国家最新规定。未响应以上条款的，视为未实质性响应招标文件。</w:t>
      </w:r>
      <w:r/>
    </w:p>
    <w:p>
      <w:pPr>
        <w:ind w:firstLine="420"/>
        <w:spacing w:line="360" w:lineRule="auto"/>
        <w:rPr>
          <w:bCs/>
          <w:szCs w:val="21"/>
        </w:rPr>
      </w:pPr>
      <w:r>
        <w:rPr>
          <w:bCs/>
          <w:szCs w:val="21"/>
        </w:rPr>
        <w:t xml:space="preserve">2 .人员配置需求</w:t>
      </w:r>
      <w:r/>
    </w:p>
    <w:p>
      <w:pPr>
        <w:ind w:firstLine="420"/>
        <w:spacing w:line="360" w:lineRule="auto"/>
        <w:rPr>
          <w:bCs/>
          <w:szCs w:val="21"/>
        </w:rPr>
      </w:pPr>
      <w:r>
        <w:rPr>
          <w:bCs/>
          <w:szCs w:val="21"/>
        </w:rPr>
        <w:t xml:space="preserve">（1）总用工人数不得少于</w:t>
      </w:r>
      <w:r>
        <w:rPr>
          <w:rFonts w:hint="eastAsia"/>
          <w:bCs/>
          <w:szCs w:val="21"/>
        </w:rPr>
        <w:t xml:space="preserve">17</w:t>
      </w:r>
      <w:r>
        <w:rPr>
          <w:bCs/>
          <w:szCs w:val="21"/>
        </w:rPr>
        <w:t xml:space="preserve">人；项目经理不得与其他岗位兼任；绿化工作任务量重时投标供应商应根据需求增设岗位和人员。</w:t>
      </w:r>
      <w:r/>
    </w:p>
    <w:p>
      <w:pPr>
        <w:ind w:firstLine="420"/>
        <w:spacing w:line="360" w:lineRule="auto"/>
        <w:rPr>
          <w:bCs/>
          <w:szCs w:val="21"/>
        </w:rPr>
      </w:pPr>
      <w:r>
        <w:rPr>
          <w:bCs/>
          <w:szCs w:val="21"/>
        </w:rPr>
        <w:t xml:space="preserve">（2）项目经理（1人）：50周岁（含）以下，本科及以上学历，</w:t>
      </w:r>
      <w:r>
        <w:rPr>
          <w:rFonts w:hint="eastAsia"/>
          <w:bCs/>
          <w:szCs w:val="21"/>
        </w:rPr>
        <w:t xml:space="preserve">具备园林绿化相关专业中级及以上职称，</w:t>
      </w:r>
      <w:r>
        <w:rPr>
          <w:bCs/>
          <w:szCs w:val="21"/>
        </w:rPr>
        <w:t xml:space="preserve">性别不限。政治素质好，业务能力强，工作责任感好，组织管理能力强，管理经验丰富；服务期内必须常驻本项目；负责两校区校园绿化总体协调及员工管理等工作。</w:t>
      </w:r>
      <w:r/>
    </w:p>
    <w:p>
      <w:pPr>
        <w:ind w:firstLine="420"/>
        <w:spacing w:line="360" w:lineRule="auto"/>
        <w:rPr>
          <w:bCs/>
          <w:color w:val="auto"/>
          <w:szCs w:val="21"/>
        </w:rPr>
      </w:pPr>
      <w:r>
        <w:rPr>
          <w:bCs/>
          <w:szCs w:val="21"/>
        </w:rPr>
        <w:t xml:space="preserve">（3）绿化技术人员（1人）：55周岁（含）以下，具有本行业五年及以上从业经验。具备</w:t>
      </w:r>
      <w:r>
        <w:rPr>
          <w:rFonts w:hint="eastAsia"/>
          <w:bCs/>
          <w:szCs w:val="21"/>
        </w:rPr>
        <w:t xml:space="preserve">园林绿化相关专业中级</w:t>
      </w:r>
      <w:r>
        <w:rPr>
          <w:bCs/>
          <w:szCs w:val="21"/>
        </w:rPr>
        <w:t xml:space="preserve">及以上职称。负责</w:t>
      </w:r>
      <w:r>
        <w:rPr>
          <w:bCs/>
          <w:color w:val="auto"/>
          <w:szCs w:val="21"/>
        </w:rPr>
        <w:t xml:space="preserve">养护计划制定，树木、苗木等健康状况检查、记录、工作分配、安排，并常年在养护现场；</w:t>
      </w:r>
      <w:r/>
    </w:p>
    <w:p>
      <w:pPr>
        <w:ind w:firstLine="420"/>
        <w:spacing w:line="360" w:lineRule="auto"/>
        <w:rPr>
          <w:bCs/>
          <w:color w:val="auto"/>
          <w:szCs w:val="21"/>
        </w:rPr>
      </w:pPr>
      <w:r>
        <w:rPr>
          <w:bCs/>
          <w:color w:val="auto"/>
          <w:szCs w:val="21"/>
        </w:rPr>
        <w:t xml:space="preserve">（4）绿化操作工（</w:t>
      </w:r>
      <w:r>
        <w:rPr>
          <w:rFonts w:hint="eastAsia"/>
          <w:bCs/>
          <w:color w:val="auto"/>
          <w:szCs w:val="21"/>
        </w:rPr>
        <w:t xml:space="preserve">总人数不低于1</w:t>
      </w:r>
      <w:r>
        <w:rPr>
          <w:bCs/>
          <w:color w:val="auto"/>
          <w:szCs w:val="21"/>
        </w:rPr>
        <w:t xml:space="preserve">5</w:t>
      </w:r>
      <w:r>
        <w:rPr>
          <w:rFonts w:hint="eastAsia"/>
          <w:bCs/>
          <w:color w:val="auto"/>
          <w:szCs w:val="21"/>
        </w:rPr>
        <w:t xml:space="preserve">人</w:t>
      </w:r>
      <w:r>
        <w:rPr>
          <w:bCs/>
          <w:color w:val="auto"/>
          <w:szCs w:val="21"/>
        </w:rPr>
        <w:t xml:space="preserve">）：男 65 周岁（含）以下、女 60周岁（含）以下，有从事过绿化养护经验。身体健康、无慢性疾病、仪表整洁、有良好素养和职业道德。</w:t>
      </w:r>
      <w:r/>
    </w:p>
    <w:p>
      <w:pPr>
        <w:ind w:firstLine="420"/>
        <w:spacing w:line="360" w:lineRule="auto"/>
        <w:rPr>
          <w:bCs/>
          <w:szCs w:val="21"/>
        </w:rPr>
      </w:pPr>
      <w:r>
        <w:rPr>
          <w:bCs/>
          <w:color w:val="auto"/>
          <w:szCs w:val="21"/>
        </w:rPr>
        <w:t xml:space="preserve">（5）必须保证按照“投标文件”配备人员投入本项目，项目组人员原则上不允许更换，确因特殊原因需要更换的，经采购人同意后进行更换（项目经理、技术</w:t>
      </w:r>
      <w:r>
        <w:rPr>
          <w:bCs/>
          <w:szCs w:val="21"/>
        </w:rPr>
        <w:t xml:space="preserve">人员更换前需提前告知采购人，提供相关人员身份证明、技术资质材料由采购人进行审核），更换后的人员资格，应具备或高于原投标人员的资格。未经采购人许可更换的，采购人有权终止合同。</w:t>
      </w:r>
      <w:r/>
    </w:p>
    <w:p>
      <w:pPr>
        <w:ind w:firstLine="420"/>
        <w:spacing w:line="360" w:lineRule="auto"/>
        <w:rPr>
          <w:bCs/>
          <w:szCs w:val="21"/>
        </w:rPr>
      </w:pPr>
      <w:r>
        <w:rPr>
          <w:bCs/>
          <w:szCs w:val="21"/>
        </w:rPr>
        <w:t xml:space="preserve">（6）管理团队（项目经理、绿化技术人员）须是投标单位在职未退休人员。</w:t>
      </w:r>
      <w:r/>
    </w:p>
    <w:p>
      <w:pPr>
        <w:ind w:firstLine="422"/>
        <w:spacing w:line="360" w:lineRule="auto"/>
        <w:rPr>
          <w:b/>
          <w:szCs w:val="21"/>
        </w:rPr>
      </w:pPr>
      <w:r>
        <w:rPr>
          <w:rFonts w:hint="eastAsia"/>
          <w:b/>
          <w:szCs w:val="21"/>
        </w:rPr>
        <w:t xml:space="preserve">（五）</w:t>
      </w:r>
      <w:r>
        <w:rPr>
          <w:b/>
          <w:szCs w:val="21"/>
        </w:rPr>
        <w:t xml:space="preserve">设备设施要求</w:t>
      </w:r>
      <w:r/>
    </w:p>
    <w:p>
      <w:pPr>
        <w:ind w:firstLine="420"/>
        <w:spacing w:line="360" w:lineRule="auto"/>
        <w:rPr>
          <w:bCs/>
          <w:szCs w:val="21"/>
        </w:rPr>
      </w:pPr>
      <w:r>
        <w:rPr>
          <w:bCs/>
          <w:szCs w:val="21"/>
        </w:rPr>
        <w:t xml:space="preserve">中标供应商应根据项目的需求，应配备足量的洒水车、高枝锯、油锯、推草机、绿篱修剪机、垃圾清运车等机械设备。服务期内中标人车辆进入校园产生停车费，由中标供应商承担。</w:t>
      </w:r>
      <w:r/>
    </w:p>
    <w:p>
      <w:pPr>
        <w:ind w:firstLine="422"/>
        <w:spacing w:line="360" w:lineRule="auto"/>
        <w:rPr>
          <w:b/>
          <w:szCs w:val="21"/>
        </w:rPr>
      </w:pPr>
      <w:r>
        <w:rPr>
          <w:rFonts w:hint="eastAsia"/>
          <w:b/>
          <w:szCs w:val="21"/>
        </w:rPr>
        <w:t xml:space="preserve">（六）</w:t>
      </w:r>
      <w:r>
        <w:rPr>
          <w:b/>
          <w:szCs w:val="21"/>
        </w:rPr>
        <w:t xml:space="preserve">文化育人、劳动育人活动组织</w:t>
      </w:r>
      <w:r/>
    </w:p>
    <w:p>
      <w:pPr>
        <w:ind w:firstLine="420"/>
        <w:spacing w:line="360" w:lineRule="auto"/>
        <w:rPr>
          <w:bCs/>
          <w:szCs w:val="21"/>
        </w:rPr>
      </w:pPr>
      <w:r>
        <w:rPr>
          <w:bCs/>
          <w:szCs w:val="21"/>
        </w:rPr>
        <w:t xml:space="preserve">能结合绿化工作有计划性的策划、组织、开展文化育人、劳动实践等育人活动，每年不低于2次，并提供必要的劳动工具，费用由中标供应商承担。</w:t>
      </w:r>
      <w:r/>
    </w:p>
    <w:p>
      <w:pPr>
        <w:ind w:firstLine="422"/>
        <w:spacing w:line="360" w:lineRule="auto"/>
        <w:rPr>
          <w:b/>
          <w:szCs w:val="21"/>
        </w:rPr>
      </w:pPr>
      <w:r>
        <w:rPr>
          <w:rFonts w:hint="eastAsia"/>
          <w:b/>
          <w:szCs w:val="21"/>
        </w:rPr>
        <w:t xml:space="preserve">（七）</w:t>
      </w:r>
      <w:r>
        <w:rPr>
          <w:b/>
          <w:szCs w:val="21"/>
        </w:rPr>
        <w:t xml:space="preserve">管理用房</w:t>
      </w:r>
      <w:r/>
    </w:p>
    <w:p>
      <w:pPr>
        <w:ind w:firstLine="420"/>
        <w:spacing w:line="360" w:lineRule="auto"/>
        <w:rPr>
          <w:bCs/>
          <w:szCs w:val="21"/>
        </w:rPr>
      </w:pPr>
      <w:r>
        <w:rPr>
          <w:bCs/>
          <w:szCs w:val="21"/>
        </w:rPr>
        <w:t xml:space="preserve">采购人提供管理用房，包括员工</w:t>
      </w:r>
      <w:r>
        <w:rPr>
          <w:rFonts w:hint="eastAsia"/>
          <w:bCs/>
          <w:szCs w:val="21"/>
        </w:rPr>
        <w:t xml:space="preserve">值班室1</w:t>
      </w:r>
      <w:r>
        <w:rPr>
          <w:bCs/>
          <w:szCs w:val="21"/>
        </w:rPr>
        <w:t xml:space="preserve">间，物资仓库1处。提供给供应商使用的房屋由供应商全权负责安全管理责任，并承担水费、电费、日常维修等费用。</w:t>
      </w:r>
      <w:bookmarkEnd w:id="228"/>
      <w:r/>
      <w:r/>
    </w:p>
    <w:p>
      <w:pPr>
        <w:pStyle w:val="1184"/>
        <w:numPr>
          <w:ilvl w:val="255"/>
          <w:numId w:val="0"/>
        </w:numPr>
        <w:ind w:firstLine="422"/>
        <w:rPr>
          <w:b/>
          <w:bCs/>
          <w:szCs w:val="21"/>
        </w:rPr>
      </w:pPr>
      <w:r>
        <w:rPr>
          <w:rFonts w:hint="eastAsia"/>
          <w:b/>
          <w:bCs/>
          <w:szCs w:val="21"/>
        </w:rPr>
        <w:t xml:space="preserve">四</w:t>
      </w:r>
      <w:r>
        <w:rPr>
          <w:b/>
          <w:bCs/>
          <w:szCs w:val="21"/>
        </w:rPr>
        <w:t xml:space="preserve">、服务要求</w:t>
      </w:r>
      <w:r/>
    </w:p>
    <w:p>
      <w:pPr>
        <w:ind w:firstLine="420"/>
        <w:jc w:val="left"/>
        <w:spacing w:line="360" w:lineRule="auto"/>
        <w:rPr>
          <w:color w:val="000000"/>
        </w:rPr>
      </w:pPr>
      <w:r>
        <w:rPr>
          <w:rFonts w:hint="eastAsia"/>
          <w:color w:val="000000"/>
        </w:rPr>
        <w:t xml:space="preserve">1.中标供应商应以良好的服务态度，便利快捷的方式在24小时内响应并完成采购方提出的合理要求以及安排的其他绿化美化任务。</w:t>
      </w:r>
      <w:r/>
    </w:p>
    <w:p>
      <w:pPr>
        <w:ind w:firstLine="420"/>
        <w:jc w:val="left"/>
        <w:spacing w:line="360" w:lineRule="auto"/>
        <w:rPr>
          <w:color w:val="000000"/>
        </w:rPr>
      </w:pPr>
      <w:r>
        <w:rPr>
          <w:rFonts w:hint="eastAsia"/>
          <w:color w:val="000000"/>
        </w:rPr>
        <w:t xml:space="preserve">2.在校园绿化养护过程中必须服从采购人的管理、要求和监督。</w:t>
      </w:r>
      <w:r/>
    </w:p>
    <w:p>
      <w:pPr>
        <w:ind w:firstLine="420"/>
        <w:jc w:val="left"/>
        <w:spacing w:line="360" w:lineRule="auto"/>
        <w:rPr>
          <w:color w:val="000000"/>
        </w:rPr>
      </w:pPr>
      <w:r>
        <w:rPr>
          <w:rFonts w:hint="eastAsia"/>
          <w:color w:val="000000"/>
        </w:rPr>
        <w:t xml:space="preserve">3.中标供应商不得将校内的绿化业务转让给第三方，一经发现并证实，采购人有权随时终止合同。中标供应商不得擅自改变校园内绿化公用设施使用功能，不得将校园内的绿化设施、花卉、树木等进行出售。</w:t>
      </w:r>
      <w:r/>
    </w:p>
    <w:p>
      <w:pPr>
        <w:ind w:firstLine="420"/>
        <w:jc w:val="left"/>
        <w:spacing w:line="360" w:lineRule="auto"/>
        <w:rPr>
          <w:color w:val="auto"/>
          <w:highlight w:val="none"/>
        </w:rPr>
      </w:pPr>
      <w:r>
        <w:rPr>
          <w:rFonts w:hint="eastAsia"/>
          <w:color w:val="000000"/>
        </w:rPr>
        <w:t xml:space="preserve">4.因管理不善、</w:t>
      </w:r>
      <w:r>
        <w:rPr>
          <w:rFonts w:hint="eastAsia"/>
          <w:color w:val="auto"/>
          <w:highlight w:val="none"/>
        </w:rPr>
        <w:t xml:space="preserve">使用不当造成学校设施损坏，由中标供应商自行负责修复或进行赔偿，费用自理。</w:t>
      </w:r>
      <w:r/>
    </w:p>
    <w:p>
      <w:pPr>
        <w:ind w:firstLine="422"/>
        <w:spacing w:line="360" w:lineRule="auto"/>
        <w:rPr>
          <w:b/>
          <w:bCs/>
          <w:color w:val="auto"/>
          <w:highlight w:val="none"/>
        </w:rPr>
      </w:pPr>
      <w:r>
        <w:rPr>
          <w:rFonts w:hint="eastAsia"/>
          <w:b/>
          <w:bCs/>
          <w:color w:val="auto"/>
          <w:highlight w:val="none"/>
        </w:rPr>
        <w:t xml:space="preserve">五</w:t>
      </w:r>
      <w:r>
        <w:rPr>
          <w:b/>
          <w:bCs/>
          <w:color w:val="auto"/>
          <w:highlight w:val="none"/>
        </w:rPr>
        <w:t xml:space="preserve">、验收标准</w:t>
      </w:r>
      <w:r/>
    </w:p>
    <w:p>
      <w:pPr>
        <w:ind w:firstLine="420"/>
        <w:jc w:val="left"/>
        <w:spacing w:line="360" w:lineRule="auto"/>
        <w:rPr>
          <w:color w:val="auto"/>
          <w:highlight w:val="none"/>
        </w:rPr>
      </w:pPr>
      <w:r>
        <w:rPr>
          <w:color w:val="auto"/>
          <w:highlight w:val="none"/>
        </w:rPr>
        <w:t xml:space="preserve">《江苏省城市园林绿化养护管理规范及分级标准》、《</w:t>
      </w:r>
      <w:r>
        <w:rPr>
          <w:rFonts w:hint="eastAsia"/>
          <w:color w:val="auto"/>
          <w:highlight w:val="none"/>
        </w:rPr>
        <w:t xml:space="preserve">南京中医药大学绿化养护监管及考核办法（修订版）</w:t>
      </w:r>
      <w:r>
        <w:rPr>
          <w:color w:val="auto"/>
          <w:highlight w:val="none"/>
        </w:rPr>
        <w:t xml:space="preserve">》等有关规定。</w:t>
      </w:r>
      <w:r/>
    </w:p>
    <w:p>
      <w:pPr>
        <w:ind w:firstLine="422"/>
        <w:spacing w:line="360" w:lineRule="auto"/>
        <w:rPr>
          <w:color w:val="auto"/>
          <w:highlight w:val="none"/>
        </w:rPr>
      </w:pPr>
      <w:r>
        <w:rPr>
          <w:rFonts w:hint="eastAsia"/>
          <w:b/>
          <w:bCs/>
          <w:color w:val="auto"/>
          <w:highlight w:val="none"/>
        </w:rPr>
        <w:t xml:space="preserve">六</w:t>
      </w:r>
      <w:r>
        <w:rPr>
          <w:b/>
          <w:bCs/>
          <w:color w:val="auto"/>
          <w:highlight w:val="none"/>
        </w:rPr>
        <w:t xml:space="preserve">、履约保证金</w:t>
      </w:r>
      <w:r/>
    </w:p>
    <w:p>
      <w:pPr>
        <w:ind w:firstLine="420"/>
        <w:spacing w:line="360" w:lineRule="auto"/>
        <w:rPr>
          <w:color w:val="auto"/>
          <w:highlight w:val="none"/>
        </w:rPr>
      </w:pPr>
      <w:r>
        <w:rPr>
          <w:rFonts w:hint="eastAsia"/>
          <w:color w:val="auto"/>
          <w:highlight w:val="none"/>
        </w:rPr>
        <w:t xml:space="preserve">供应商</w:t>
      </w:r>
      <w:r>
        <w:rPr>
          <w:color w:val="auto"/>
          <w:highlight w:val="none"/>
        </w:rPr>
        <w:t xml:space="preserve">于本合同签订前向</w:t>
      </w:r>
      <w:r>
        <w:rPr>
          <w:rFonts w:hint="eastAsia"/>
          <w:color w:val="auto"/>
          <w:highlight w:val="none"/>
        </w:rPr>
        <w:t xml:space="preserve">采购人</w:t>
      </w:r>
      <w:r>
        <w:rPr>
          <w:color w:val="auto"/>
          <w:highlight w:val="none"/>
        </w:rPr>
        <w:t xml:space="preserve">交纳合同价的【3】%作为本合同的履约保证金，自本合同服务期限届满且</w:t>
      </w:r>
      <w:r>
        <w:rPr>
          <w:rFonts w:hint="eastAsia"/>
          <w:color w:val="auto"/>
          <w:highlight w:val="none"/>
        </w:rPr>
        <w:t xml:space="preserve">采购人</w:t>
      </w:r>
      <w:r>
        <w:rPr>
          <w:color w:val="auto"/>
          <w:highlight w:val="none"/>
        </w:rPr>
        <w:t xml:space="preserve">书面确认</w:t>
      </w:r>
      <w:r>
        <w:rPr>
          <w:rFonts w:hint="eastAsia"/>
          <w:color w:val="auto"/>
          <w:highlight w:val="none"/>
        </w:rPr>
        <w:t xml:space="preserve">供应商</w:t>
      </w:r>
      <w:r>
        <w:rPr>
          <w:color w:val="auto"/>
          <w:highlight w:val="none"/>
        </w:rPr>
        <w:t xml:space="preserve">服务合格且</w:t>
      </w:r>
      <w:r>
        <w:rPr>
          <w:rFonts w:hint="eastAsia"/>
          <w:color w:val="auto"/>
          <w:highlight w:val="none"/>
        </w:rPr>
        <w:t xml:space="preserve">供应商</w:t>
      </w:r>
      <w:r>
        <w:rPr>
          <w:color w:val="auto"/>
          <w:highlight w:val="none"/>
        </w:rPr>
        <w:t xml:space="preserve">无违约情形后将履约保证金无息退还给</w:t>
      </w:r>
      <w:r>
        <w:rPr>
          <w:rFonts w:hint="eastAsia"/>
          <w:color w:val="auto"/>
          <w:highlight w:val="none"/>
        </w:rPr>
        <w:t xml:space="preserve">供应商</w:t>
      </w:r>
      <w:r>
        <w:rPr>
          <w:color w:val="auto"/>
          <w:highlight w:val="none"/>
        </w:rPr>
        <w:t xml:space="preserve">。</w:t>
      </w:r>
      <w:r>
        <w:rPr>
          <w:rFonts w:hint="eastAsia"/>
          <w:color w:val="auto"/>
          <w:highlight w:val="none"/>
        </w:rPr>
        <w:t xml:space="preserve">供应商</w:t>
      </w:r>
      <w:r>
        <w:rPr>
          <w:color w:val="auto"/>
          <w:highlight w:val="none"/>
        </w:rPr>
        <w:t xml:space="preserve">若有违约情形的，</w:t>
      </w:r>
      <w:r>
        <w:rPr>
          <w:rFonts w:hint="eastAsia"/>
          <w:color w:val="auto"/>
          <w:highlight w:val="none"/>
        </w:rPr>
        <w:t xml:space="preserve">采购人</w:t>
      </w:r>
      <w:r>
        <w:rPr>
          <w:color w:val="auto"/>
          <w:highlight w:val="none"/>
        </w:rPr>
        <w:t xml:space="preserve">有权依据合同约定在履约保证金先行扣除相应金额的违约金或</w:t>
      </w:r>
      <w:r>
        <w:rPr>
          <w:rFonts w:hint="eastAsia"/>
          <w:color w:val="auto"/>
          <w:highlight w:val="none"/>
        </w:rPr>
        <w:t xml:space="preserve">损失</w:t>
      </w:r>
      <w:r>
        <w:rPr>
          <w:color w:val="auto"/>
          <w:highlight w:val="none"/>
        </w:rPr>
        <w:t xml:space="preserve">赔偿金。履约保证金金额不足扣除的，</w:t>
      </w:r>
      <w:r>
        <w:rPr>
          <w:rFonts w:hint="eastAsia"/>
          <w:color w:val="auto"/>
          <w:highlight w:val="none"/>
        </w:rPr>
        <w:t xml:space="preserve">供应商</w:t>
      </w:r>
      <w:r>
        <w:rPr>
          <w:color w:val="auto"/>
          <w:highlight w:val="none"/>
        </w:rPr>
        <w:t xml:space="preserve">应在接到</w:t>
      </w:r>
      <w:r>
        <w:rPr>
          <w:rFonts w:hint="eastAsia"/>
          <w:color w:val="auto"/>
          <w:highlight w:val="none"/>
        </w:rPr>
        <w:t xml:space="preserve">采购人</w:t>
      </w:r>
      <w:r>
        <w:rPr>
          <w:color w:val="auto"/>
          <w:highlight w:val="none"/>
        </w:rPr>
        <w:t xml:space="preserve">通知后及时补足。 </w:t>
      </w:r>
      <w:r/>
    </w:p>
    <w:p>
      <w:pPr>
        <w:ind w:firstLine="422"/>
        <w:spacing w:line="360" w:lineRule="auto"/>
        <w:rPr>
          <w:b/>
          <w:bCs/>
        </w:rPr>
      </w:pPr>
      <w:r>
        <w:rPr>
          <w:rFonts w:hint="eastAsia"/>
          <w:b/>
          <w:bCs/>
        </w:rPr>
        <w:t xml:space="preserve">七</w:t>
      </w:r>
      <w:r>
        <w:rPr>
          <w:b/>
          <w:bCs/>
        </w:rPr>
        <w:t xml:space="preserve">、付款方式</w:t>
      </w:r>
      <w:r/>
    </w:p>
    <w:p>
      <w:pPr>
        <w:ind w:firstLine="420"/>
        <w:spacing w:line="360" w:lineRule="auto"/>
        <w:rPr>
          <w:highlight w:val="none"/>
        </w:rPr>
      </w:pPr>
      <w:r>
        <w:rPr>
          <w:rFonts w:hint="eastAsia"/>
        </w:rPr>
        <w:t xml:space="preserve">（1）将全</w:t>
      </w:r>
      <w:r>
        <w:rPr>
          <w:rFonts w:hint="eastAsia"/>
          <w:highlight w:val="none"/>
        </w:rPr>
        <w:t xml:space="preserve">年的养护经费平均分配到四期中，分四次结算支付，各期对应的服务天数基本相同，四次结算周期如下：第一期（2026年8月20日—11月29日，共102天），第二期（2026年11月30日—2027年3月11日，共102天），第三期（2027年3月12日—6月21日，共102天），第四期（2027年6月22日—9月30日，共101天）。</w:t>
      </w:r>
      <w:r/>
    </w:p>
    <w:p>
      <w:pPr>
        <w:ind w:firstLine="420"/>
        <w:spacing w:line="360" w:lineRule="auto"/>
        <w:rPr>
          <w:highlight w:val="none"/>
        </w:rPr>
      </w:pPr>
      <w:r>
        <w:rPr>
          <w:rFonts w:hint="eastAsia"/>
          <w:highlight w:val="none"/>
        </w:rPr>
        <w:t xml:space="preserve">（2）采购人根据供应商对所在标段养护内容的完成情况，完成效果及日常保洁、设施维护等进行综合评定打分的考核结果，向供应商支付养护服务费用。每期实际支付金额按采购人对中标供应商的当期考核结果计算，具体结算方式如下：每期全额养护服务费用金额为中标总价款的25%，其中，每期全额养护服务费用的60％作为基本养护服务费用，40％作为每期全额考核服务费用，每期累计支付的养护服务费用金额不超过每期全额养护服务费用金额。</w:t>
      </w:r>
      <w:r/>
    </w:p>
    <w:p>
      <w:pPr>
        <w:ind w:firstLine="420"/>
        <w:spacing w:line="360" w:lineRule="auto"/>
        <w:rPr>
          <w:b/>
          <w:bCs/>
          <w:highlight w:val="none"/>
        </w:rPr>
      </w:pPr>
      <w:r>
        <w:rPr>
          <w:rFonts w:hint="eastAsia"/>
          <w:highlight w:val="none"/>
        </w:rPr>
        <w:t xml:space="preserve">具体每期应支付金额计算方式如下：当期考核成绩在90分以上（含90分）支付当期全额养护服务费用，即：当期应支付的养护服务费用金额=每期全额养护服务费用；当期考核成绩在85—90分（含85分）之间的，当期考核养护服务费用按[（100-实际得分）/100]*每期全额考</w:t>
      </w:r>
      <w:r>
        <w:rPr>
          <w:rFonts w:hint="eastAsia"/>
          <w:highlight w:val="none"/>
        </w:rPr>
        <w:t xml:space="preserve">核服务费用扣除后支付，即当期应支付的养护服务费用金额=每期基本养护服务费用+[1-（100-实际得分）/100]*每期全额考核养护服务费用）；75—85分（含75分）之间的，当期考核养护服务费用按[2*（100-实际得分）/100]*每期考核养护服务费用扣除后支付，即：当期应支付的养护服务费用金额=每期基本养护服务费用+[1-2*（100-实际得分）/100]*每期全额考核养护服务费用）；当期考核成绩在75分以下为不合格，直接扣除当期全额考核服务费用，即：当期应支付的养护服务费用金额=每期基本养护服务费用。</w:t>
      </w:r>
      <w:r>
        <w:rPr>
          <w:rFonts w:hint="eastAsia"/>
          <w:b/>
          <w:bCs/>
          <w:highlight w:val="none"/>
        </w:rPr>
        <w:t xml:space="preserve">最后一期费用支付前提还包括：中标供应商已完成工作交接、将绿地及设施完好移交采购人、无未了结违约索赔或损害赔偿，如因中标供应商原因导致交接工作延迟完成，采购人支付尾款的时间相应顺延，且不承担任何违约责任。若中标供应商连续两期考核成绩低于75分（不合格），采购人有权暂停支付后续款项。</w:t>
      </w:r>
      <w:r/>
    </w:p>
    <w:p>
      <w:pPr>
        <w:spacing w:line="360" w:lineRule="auto"/>
      </w:pPr>
      <w:r/>
      <w:r/>
    </w:p>
    <w:p>
      <w:pPr>
        <w:spacing w:line="360" w:lineRule="auto"/>
      </w:pPr>
      <w:r>
        <w:rPr>
          <w:rFonts w:hint="eastAsia"/>
        </w:rPr>
        <w:t xml:space="preserve">附件：</w:t>
      </w:r>
      <w:r/>
    </w:p>
    <w:p>
      <w:pPr>
        <w:jc w:val="center"/>
        <w:spacing w:line="560" w:lineRule="exact"/>
        <w:rPr>
          <w:rFonts w:hint="eastAsia" w:ascii="仿宋_GB2312" w:hAnsi="仿宋" w:eastAsia="仿宋_GB2312"/>
          <w:bCs/>
          <w:sz w:val="28"/>
          <w:szCs w:val="28"/>
        </w:rPr>
      </w:pPr>
      <w:r>
        <w:rPr>
          <w:rFonts w:ascii="黑体" w:hAnsi="黑体" w:eastAsia="黑体"/>
          <w:bCs/>
          <w:sz w:val="28"/>
          <w:szCs w:val="28"/>
        </w:rPr>
        <w:t xml:space="preserve">南京中医药大学绿化养护</w:t>
      </w:r>
      <w:r>
        <w:rPr>
          <w:rFonts w:hint="eastAsia" w:ascii="黑体" w:hAnsi="黑体" w:eastAsia="黑体"/>
          <w:bCs/>
          <w:sz w:val="28"/>
          <w:szCs w:val="28"/>
        </w:rPr>
        <w:t xml:space="preserve">监管</w:t>
      </w:r>
      <w:r>
        <w:rPr>
          <w:rFonts w:ascii="黑体" w:hAnsi="黑体" w:eastAsia="黑体"/>
          <w:bCs/>
          <w:sz w:val="28"/>
          <w:szCs w:val="28"/>
        </w:rPr>
        <w:t xml:space="preserve">及考核办法（修订版）</w:t>
      </w:r>
      <w:r/>
    </w:p>
    <w:p>
      <w:pPr>
        <w:ind w:firstLine="480"/>
        <w:spacing w:line="360" w:lineRule="auto"/>
        <w:rPr>
          <w:bCs/>
          <w:szCs w:val="21"/>
        </w:rPr>
      </w:pPr>
      <w:r>
        <w:rPr>
          <w:bCs/>
          <w:szCs w:val="21"/>
        </w:rPr>
        <w:t xml:space="preserve">为提升校园绿化养护水平，加强对绿化服务托管单位的管理考核，结合学校绿化养护的实际情况，特制定本办法。</w:t>
      </w:r>
      <w:r/>
    </w:p>
    <w:p>
      <w:pPr>
        <w:jc w:val="left"/>
        <w:spacing w:line="360" w:lineRule="auto"/>
        <w:shd w:val="clear" w:color="auto" w:fill="ffffff"/>
        <w:widowControl/>
        <w:rPr>
          <w:bCs/>
          <w:szCs w:val="21"/>
        </w:rPr>
      </w:pPr>
      <w:r>
        <w:rPr>
          <w:bCs/>
          <w:szCs w:val="21"/>
        </w:rPr>
        <w:t xml:space="preserve">一、监管及考核对象</w:t>
      </w:r>
      <w:r/>
    </w:p>
    <w:p>
      <w:pPr>
        <w:ind w:firstLine="480"/>
        <w:spacing w:line="360" w:lineRule="auto"/>
        <w:rPr>
          <w:bCs/>
          <w:szCs w:val="21"/>
        </w:rPr>
      </w:pPr>
      <w:r>
        <w:rPr>
          <w:bCs/>
          <w:szCs w:val="21"/>
        </w:rPr>
        <w:t xml:space="preserve">通过招投标程序确定承担我校绿化养护管理的各中标公司。</w:t>
      </w:r>
      <w:r/>
    </w:p>
    <w:p>
      <w:pPr>
        <w:jc w:val="left"/>
        <w:spacing w:line="360" w:lineRule="auto"/>
        <w:shd w:val="clear" w:color="auto" w:fill="ffffff"/>
        <w:widowControl/>
        <w:rPr>
          <w:bCs/>
          <w:szCs w:val="21"/>
        </w:rPr>
      </w:pPr>
      <w:r>
        <w:rPr>
          <w:bCs/>
          <w:szCs w:val="21"/>
        </w:rPr>
        <w:t xml:space="preserve">二、监管职责与流程</w:t>
      </w:r>
      <w:r/>
    </w:p>
    <w:p>
      <w:pPr>
        <w:numPr>
          <w:ilvl w:val="0"/>
          <w:numId w:val="1"/>
        </w:numPr>
        <w:spacing w:line="360" w:lineRule="auto"/>
        <w:rPr>
          <w:bCs/>
          <w:szCs w:val="21"/>
        </w:rPr>
      </w:pPr>
      <w:r>
        <w:rPr>
          <w:bCs/>
          <w:szCs w:val="21"/>
        </w:rPr>
        <w:t xml:space="preserve">计划管理：养护单位应于每月25日前，向学校后勤基建处提交次月详细的绿化养护工作计划（包括重点工作、区域、时间安排等）。校方应在3个工作日内完成审核与反馈。</w:t>
      </w:r>
      <w:r/>
    </w:p>
    <w:p>
      <w:pPr>
        <w:numPr>
          <w:ilvl w:val="0"/>
          <w:numId w:val="1"/>
        </w:numPr>
        <w:spacing w:line="360" w:lineRule="auto"/>
        <w:rPr>
          <w:bCs/>
          <w:szCs w:val="21"/>
        </w:rPr>
      </w:pPr>
      <w:r>
        <w:rPr>
          <w:bCs/>
          <w:szCs w:val="21"/>
        </w:rPr>
        <w:t xml:space="preserve">日常巡查：学校后勤基建处绿化管理人员采取明察与暗访相结合的方式，对养护作业进行不定期巡查。巡查内容包括但不限于人员到岗、安全文明施工、养护质量及计划执行情况。</w:t>
      </w:r>
      <w:r/>
    </w:p>
    <w:p>
      <w:pPr>
        <w:numPr>
          <w:ilvl w:val="0"/>
          <w:numId w:val="1"/>
        </w:numPr>
        <w:spacing w:line="360" w:lineRule="auto"/>
        <w:rPr>
          <w:bCs/>
          <w:szCs w:val="21"/>
        </w:rPr>
      </w:pPr>
      <w:r>
        <w:rPr>
          <w:bCs/>
          <w:szCs w:val="21"/>
        </w:rPr>
        <w:t xml:space="preserve">问题处置：巡查中发现的问题，管理人员应现场记录，并可向养护单位下达《绿化养护整改通知单》，明确整改内容与期限。养护单位须按时整改并书面回复。</w:t>
      </w:r>
      <w:r/>
    </w:p>
    <w:p>
      <w:pPr>
        <w:numPr>
          <w:ilvl w:val="0"/>
          <w:numId w:val="1"/>
        </w:numPr>
        <w:spacing w:line="360" w:lineRule="auto"/>
        <w:rPr>
          <w:bCs/>
          <w:szCs w:val="21"/>
        </w:rPr>
      </w:pPr>
      <w:r>
        <w:rPr>
          <w:bCs/>
          <w:szCs w:val="21"/>
        </w:rPr>
        <w:t xml:space="preserve">沟通协调：建立定期例会或专项沟通机制，协调解决养护过程中出现的重大或普遍性问题，部署阶段性重点工作。</w:t>
      </w:r>
      <w:r/>
    </w:p>
    <w:p>
      <w:pPr>
        <w:numPr>
          <w:ilvl w:val="0"/>
          <w:numId w:val="1"/>
        </w:numPr>
        <w:spacing w:line="360" w:lineRule="auto"/>
        <w:rPr>
          <w:bCs/>
          <w:szCs w:val="21"/>
        </w:rPr>
      </w:pPr>
      <w:r>
        <w:rPr>
          <w:bCs/>
          <w:szCs w:val="21"/>
        </w:rPr>
        <w:t xml:space="preserve">质量考核：通过日常考核、季度总评、年度考核的全流程考核，对养护单位的绿化养护质量进行全面评定，考核结果作为经费支付、合同续签的核心依据。</w:t>
      </w:r>
      <w:r/>
    </w:p>
    <w:p>
      <w:pPr>
        <w:jc w:val="left"/>
        <w:spacing w:line="360" w:lineRule="auto"/>
        <w:shd w:val="clear" w:color="auto" w:fill="ffffff"/>
        <w:widowControl/>
        <w:rPr>
          <w:bCs/>
          <w:szCs w:val="21"/>
        </w:rPr>
      </w:pPr>
      <w:r>
        <w:rPr>
          <w:bCs/>
          <w:szCs w:val="21"/>
        </w:rPr>
        <w:t xml:space="preserve">三、考核及评分办法</w:t>
      </w:r>
      <w:r/>
    </w:p>
    <w:p>
      <w:pPr>
        <w:ind w:firstLine="420"/>
        <w:spacing w:line="360" w:lineRule="auto"/>
        <w:rPr>
          <w:bCs/>
          <w:szCs w:val="21"/>
        </w:rPr>
      </w:pPr>
      <w:r>
        <w:rPr>
          <w:bCs/>
          <w:szCs w:val="21"/>
        </w:rPr>
        <w:t xml:space="preserve">考核采用日常考核、季度总评与年度考核相结合的方式进行。</w:t>
      </w:r>
      <w:r/>
    </w:p>
    <w:p>
      <w:pPr>
        <w:ind w:firstLine="480"/>
        <w:spacing w:line="360" w:lineRule="auto"/>
        <w:rPr>
          <w:bCs/>
          <w:szCs w:val="21"/>
        </w:rPr>
      </w:pPr>
      <w:r>
        <w:rPr>
          <w:bCs/>
          <w:szCs w:val="21"/>
        </w:rPr>
        <w:t xml:space="preserve">（一）日常考核</w:t>
      </w:r>
      <w:r/>
    </w:p>
    <w:p>
      <w:pPr>
        <w:numPr>
          <w:ilvl w:val="0"/>
          <w:numId w:val="2"/>
        </w:numPr>
        <w:spacing w:line="360" w:lineRule="auto"/>
        <w:rPr>
          <w:bCs/>
          <w:szCs w:val="21"/>
        </w:rPr>
      </w:pPr>
      <w:r>
        <w:rPr>
          <w:bCs/>
          <w:szCs w:val="21"/>
        </w:rPr>
        <w:t xml:space="preserve">频次：每季度开展不少于3次，采用明察与暗访相结合的形式进行，确保考核的全面性和客观性。</w:t>
      </w:r>
      <w:r/>
    </w:p>
    <w:p>
      <w:pPr>
        <w:numPr>
          <w:ilvl w:val="0"/>
          <w:numId w:val="2"/>
        </w:numPr>
        <w:spacing w:line="360" w:lineRule="auto"/>
        <w:rPr>
          <w:bCs/>
          <w:szCs w:val="21"/>
        </w:rPr>
      </w:pPr>
      <w:r>
        <w:rPr>
          <w:bCs/>
          <w:szCs w:val="21"/>
        </w:rPr>
        <w:t xml:space="preserve">内容：考核小组对绿化养护情况（包括人员到岗到位、安全文明作业、绿化养护质量等）进行明察暗访，发现问题记录存档并按考核项目规定的分值比例直接扣分。</w:t>
      </w:r>
      <w:r/>
    </w:p>
    <w:p>
      <w:pPr>
        <w:numPr>
          <w:ilvl w:val="0"/>
          <w:numId w:val="2"/>
        </w:numPr>
        <w:spacing w:line="360" w:lineRule="auto"/>
        <w:rPr>
          <w:bCs/>
          <w:szCs w:val="21"/>
        </w:rPr>
      </w:pPr>
      <w:r>
        <w:rPr>
          <w:bCs/>
          <w:szCs w:val="21"/>
        </w:rPr>
        <w:t xml:space="preserve">记录与处置：发现问题当场记录，考核小组可对发现的问题下达《整改通知单》，限期整改。</w:t>
      </w:r>
      <w:r/>
    </w:p>
    <w:p>
      <w:pPr>
        <w:numPr>
          <w:ilvl w:val="0"/>
          <w:numId w:val="2"/>
        </w:numPr>
        <w:spacing w:line="360" w:lineRule="auto"/>
        <w:rPr>
          <w:bCs/>
          <w:szCs w:val="21"/>
        </w:rPr>
      </w:pPr>
      <w:r>
        <w:rPr>
          <w:bCs/>
          <w:szCs w:val="21"/>
        </w:rPr>
        <w:t xml:space="preserve">任务与投诉处理：后勤基建处下达的阶段性工作不能按要求完成的，可直接扣除相应的分值。中标公司管理失当，引起师生强烈负面反映的，每次直接扣5分。</w:t>
      </w:r>
      <w:r/>
    </w:p>
    <w:p>
      <w:pPr>
        <w:ind w:firstLine="480"/>
        <w:spacing w:line="360" w:lineRule="auto"/>
        <w:rPr>
          <w:bCs/>
          <w:szCs w:val="21"/>
        </w:rPr>
      </w:pPr>
      <w:r>
        <w:rPr>
          <w:bCs/>
          <w:szCs w:val="21"/>
        </w:rPr>
        <w:t xml:space="preserve">5.罚款条款：中标公司日常工作落实不到位、标准不达标，存在轻微问题的，校方下发整改通知，限定24小时内完成整改，未按时限完成整改的，每次罚款500元。经提醒整改后，整改不到位或整改后反复的，每次罚款 1000元。因工作失职、管理缺失，造成现场管理混乱、服务事故、资产损耗、负面评价、安全隐患等不良影响的，每次罚款2000元。同一问题月度内多次违规的，叠加从重处罚；情节特别恶劣、造成重大损失或恶劣负面影响的，采购人有权额外追责并单方追责解约。罚款从当期养护费用中直接扣除。</w:t>
      </w:r>
      <w:r/>
    </w:p>
    <w:p>
      <w:pPr>
        <w:spacing w:line="360" w:lineRule="auto"/>
        <w:rPr>
          <w:bCs/>
          <w:szCs w:val="21"/>
        </w:rPr>
      </w:pPr>
      <w:r>
        <w:rPr>
          <w:bCs/>
          <w:szCs w:val="21"/>
        </w:rPr>
        <w:t xml:space="preserve">（二）季度总评</w:t>
      </w:r>
      <w:r/>
    </w:p>
    <w:p>
      <w:pPr>
        <w:ind w:firstLine="420"/>
        <w:spacing w:line="360" w:lineRule="auto"/>
        <w:rPr>
          <w:bCs/>
          <w:szCs w:val="21"/>
        </w:rPr>
      </w:pPr>
      <w:r>
        <w:rPr>
          <w:bCs/>
          <w:szCs w:val="21"/>
        </w:rPr>
        <w:t xml:space="preserve">综合当季度日常考核成绩、阶段性任务完成情况、整改任务落实情况等，对中标公司当季绿化养护管理工作进行全面评定，确定季度总评成绩。季度总评成绩直接与当期养护经费支付挂钩（具体兑现方式见第五点），作为经费支付的核心依据。</w:t>
      </w:r>
      <w:r/>
    </w:p>
    <w:p>
      <w:pPr>
        <w:spacing w:line="360" w:lineRule="auto"/>
        <w:rPr>
          <w:bCs/>
          <w:szCs w:val="21"/>
        </w:rPr>
      </w:pPr>
      <w:r>
        <w:rPr>
          <w:bCs/>
          <w:szCs w:val="21"/>
        </w:rPr>
        <w:t xml:space="preserve">（三）年度考核</w:t>
      </w:r>
      <w:r/>
    </w:p>
    <w:p>
      <w:pPr>
        <w:numPr>
          <w:ilvl w:val="0"/>
          <w:numId w:val="3"/>
        </w:numPr>
        <w:spacing w:line="360" w:lineRule="auto"/>
        <w:rPr>
          <w:bCs/>
          <w:szCs w:val="21"/>
        </w:rPr>
      </w:pPr>
      <w:r>
        <w:rPr>
          <w:bCs/>
          <w:szCs w:val="21"/>
        </w:rPr>
        <w:t xml:space="preserve">频次：合同年度结束前进行1次。</w:t>
      </w:r>
      <w:r/>
    </w:p>
    <w:p>
      <w:pPr>
        <w:numPr>
          <w:ilvl w:val="0"/>
          <w:numId w:val="3"/>
        </w:numPr>
        <w:spacing w:line="360" w:lineRule="auto"/>
        <w:rPr>
          <w:bCs/>
          <w:szCs w:val="21"/>
        </w:rPr>
      </w:pPr>
      <w:r>
        <w:rPr>
          <w:bCs/>
          <w:szCs w:val="21"/>
        </w:rPr>
        <w:t xml:space="preserve">方式：综合四个季度的日常考核与季度考核成绩，结合全年整体履约情况、重大任务响应、师生满意度等进行总体评价。</w:t>
      </w:r>
      <w:r/>
    </w:p>
    <w:p>
      <w:pPr>
        <w:numPr>
          <w:ilvl w:val="0"/>
          <w:numId w:val="3"/>
        </w:numPr>
        <w:spacing w:line="360" w:lineRule="auto"/>
        <w:rPr>
          <w:bCs/>
          <w:szCs w:val="21"/>
        </w:rPr>
      </w:pPr>
      <w:r>
        <w:rPr>
          <w:bCs/>
          <w:szCs w:val="21"/>
        </w:rPr>
        <w:t xml:space="preserve">结果应用：年度考核结果将作为是否续签下一年度养护合同的重要依据。</w:t>
      </w:r>
      <w:r/>
    </w:p>
    <w:p>
      <w:pPr>
        <w:spacing w:line="360" w:lineRule="auto"/>
        <w:rPr>
          <w:bCs/>
          <w:szCs w:val="21"/>
        </w:rPr>
      </w:pPr>
      <w:r>
        <w:rPr>
          <w:bCs/>
          <w:szCs w:val="21"/>
        </w:rPr>
        <w:t xml:space="preserve">（四）其它扣分情况</w:t>
      </w:r>
      <w:r/>
    </w:p>
    <w:p>
      <w:pPr>
        <w:ind w:firstLine="480"/>
        <w:spacing w:line="360" w:lineRule="auto"/>
        <w:rPr>
          <w:bCs/>
          <w:szCs w:val="21"/>
        </w:rPr>
      </w:pPr>
      <w:r>
        <w:rPr>
          <w:bCs/>
          <w:szCs w:val="21"/>
        </w:rPr>
        <w:t xml:space="preserve">中标公司应在月底前上报次月养护工作计划，未按时上报工作计划的扣季度总评成绩2分，不上报工作计划的扣季度总评成绩5分。</w:t>
      </w:r>
      <w:r/>
    </w:p>
    <w:p>
      <w:pPr>
        <w:ind w:firstLine="420"/>
        <w:jc w:val="left"/>
        <w:spacing w:line="360" w:lineRule="auto"/>
        <w:shd w:val="clear" w:color="auto" w:fill="ffffff"/>
        <w:widowControl/>
        <w:rPr>
          <w:bCs/>
          <w:szCs w:val="21"/>
        </w:rPr>
      </w:pPr>
      <w:r>
        <w:rPr>
          <w:bCs/>
          <w:szCs w:val="21"/>
        </w:rPr>
        <w:t xml:space="preserve">四、分值设定</w:t>
      </w:r>
      <w:r/>
    </w:p>
    <w:p>
      <w:pPr>
        <w:ind w:firstLine="420"/>
        <w:spacing w:line="360" w:lineRule="auto"/>
        <w:rPr>
          <w:bCs/>
          <w:szCs w:val="21"/>
        </w:rPr>
      </w:pPr>
      <w:r>
        <w:rPr>
          <w:bCs/>
          <w:szCs w:val="21"/>
        </w:rPr>
        <w:t xml:space="preserve">1.卫生保洁（10分）：每月至少1次全面清理绿地落枝、落叶，3-5月、11-12月集中落叶期增加频次；绿色废弃物按南京垃圾分类要求规范处理，不混入生活垃圾箱，重点区域随产随清，其他区域日产日清，重要活动前突击清理。每发现1项不达标，扣2分。</w:t>
      </w:r>
      <w:r/>
    </w:p>
    <w:p>
      <w:pPr>
        <w:ind w:firstLine="420"/>
        <w:spacing w:line="360" w:lineRule="auto"/>
        <w:rPr>
          <w:bCs/>
          <w:szCs w:val="21"/>
        </w:rPr>
      </w:pPr>
      <w:r>
        <w:rPr>
          <w:bCs/>
          <w:szCs w:val="21"/>
        </w:rPr>
        <w:t xml:space="preserve">2.修剪养护（10分）：严格按照技术要求，结合乔灌木、绿篱、草坪生长特性适时修剪。乔木无明显枯枝、断枝、萌蘖枝，遮挡阳光或安全隐患树</w:t>
      </w:r>
      <w:r>
        <w:rPr>
          <w:bCs/>
          <w:szCs w:val="21"/>
        </w:rPr>
        <w:t xml:space="preserve">枝及时修剪；绿篱、球形灌木年修剪不少于4次，绿篱平整、三面光，球冠树形态完整圆滑；草坪年修剪不少于12次，冷季型高度不超过6-7cm、暖季型不超过4-5cm；修剪剩余物及时袋装清理。每次10棵以下树木修剪不到位的扣除2分，每次10棵以上树木修剪不到位的扣除5分；绿篱长10米以下修剪不整齐的每处扣1分，长10米以上修剪不整齐的每处扣除2分；每次有20平方米以下草坪修剪不整齐的每处扣除1分，20平方米以上修剪不整齐的每处扣除2分。修剪不及时，督促后仍没有按时修剪的扣除5分；草屑、枝叶没有清理的，发现一处扣1分。</w:t>
      </w:r>
      <w:r/>
    </w:p>
    <w:p>
      <w:pPr>
        <w:ind w:firstLine="420"/>
        <w:spacing w:line="360" w:lineRule="auto"/>
        <w:rPr>
          <w:bCs/>
          <w:szCs w:val="21"/>
        </w:rPr>
      </w:pPr>
      <w:r>
        <w:rPr>
          <w:bCs/>
          <w:szCs w:val="21"/>
        </w:rPr>
        <w:t xml:space="preserve">3.浇水管理（10分）：根据立地条件、季节气候及时浇透，草坪浇水湿透根系层，严格遵循3-12月浇水频次要求；雨后及时排除植物周围积水；浇灌一律使用中水，严禁使用消防栓及自来水管取水，节约用水、无漏水喷灌现象。没有及时浇水或排水，造成苗木死亡的每发现一处扣3分；浇水不足或排水不彻底，造成树木受损的发现一处扣2分。违规取水或浇灌设施漏水严重，每发现一次扣3分。</w:t>
      </w:r>
      <w:r/>
    </w:p>
    <w:p>
      <w:pPr>
        <w:ind w:firstLine="420"/>
        <w:spacing w:line="360" w:lineRule="auto"/>
        <w:rPr>
          <w:bCs/>
          <w:szCs w:val="21"/>
        </w:rPr>
      </w:pPr>
      <w:r>
        <w:rPr>
          <w:bCs/>
          <w:szCs w:val="21"/>
        </w:rPr>
        <w:t xml:space="preserve">4.除草管理（10分）：乔灌木下杂草及时铲除，草坪杂草连根清除，做到除早、除小、除净，采用人工、机械或生物除草方式。杂草数量较多的，发现一处面积在20平方米以下的扣1分，20平方米以上的扣2分；杂草清除后未及时清理或清运的，每发现一次扣2分。</w:t>
      </w:r>
      <w:r/>
    </w:p>
    <w:p>
      <w:pPr>
        <w:ind w:firstLine="420"/>
        <w:spacing w:line="360" w:lineRule="auto"/>
        <w:rPr>
          <w:bCs/>
          <w:szCs w:val="21"/>
        </w:rPr>
      </w:pPr>
      <w:r>
        <w:rPr>
          <w:bCs/>
          <w:szCs w:val="21"/>
        </w:rPr>
        <w:t xml:space="preserve">5.病虫害防治（10分）：坚持“以防为主、防治结合”，做好预测预报，重点关注樱花、海棠等指定树种；树体伤口及时消毒防护，树洞及时修补，每年开展香樟树白蚁专项防治；用药符合环保标准、配比正确，发现病虫害2天内治理完毕，不影响观赏效果。每发现1项不达标，扣2分；未及时开展白蚁专项防治导致病虫害蔓延，扣3分。</w:t>
      </w:r>
      <w:r/>
    </w:p>
    <w:p>
      <w:pPr>
        <w:ind w:firstLine="420"/>
        <w:spacing w:line="360" w:lineRule="auto"/>
        <w:rPr>
          <w:bCs/>
          <w:szCs w:val="21"/>
        </w:rPr>
      </w:pPr>
      <w:r>
        <w:rPr>
          <w:bCs/>
          <w:szCs w:val="21"/>
        </w:rPr>
        <w:t xml:space="preserve">6.施肥管理（10分）：草坪、花草、乔灌木每年春季、秋冬季各施肥1次，重点观赏树种施复合肥或有机肥；施肥结合树种、树龄等合理进行，绿地以有机肥为主，每亩至少施25公斤有机复合肥，树木施肥挖设与冠幅匹配的环沟；建立施肥台账。每发现1项不达标，扣2分；台账缺失扣2分。</w:t>
      </w:r>
      <w:r/>
    </w:p>
    <w:p>
      <w:pPr>
        <w:ind w:firstLine="420"/>
        <w:spacing w:line="360" w:lineRule="auto"/>
        <w:rPr>
          <w:bCs/>
          <w:szCs w:val="21"/>
        </w:rPr>
      </w:pPr>
      <w:r>
        <w:rPr>
          <w:bCs/>
          <w:szCs w:val="21"/>
        </w:rPr>
        <w:t xml:space="preserve">7.枯枝死枝清理及补植（10分）：及时清理树木及地面枯枝、死枝；绿植因养护不当造成死亡，及时报告并1个月内补植同品种同规格苗木；花灌木、地被、草坪缺损及时补种，相关费用由中标单位承担。每发现1项不达标，扣2分；未及时补植或补植未成活，扣3分。</w:t>
      </w:r>
      <w:r/>
    </w:p>
    <w:p>
      <w:pPr>
        <w:ind w:firstLine="480"/>
        <w:spacing w:line="360" w:lineRule="auto"/>
        <w:rPr>
          <w:bCs/>
          <w:szCs w:val="21"/>
        </w:rPr>
      </w:pPr>
      <w:r>
        <w:rPr>
          <w:bCs/>
          <w:szCs w:val="21"/>
        </w:rPr>
        <w:t xml:space="preserve">8.安全文明作业（10分）</w:t>
      </w:r>
      <w:r/>
    </w:p>
    <w:p>
      <w:pPr>
        <w:ind w:firstLine="480"/>
        <w:spacing w:line="360" w:lineRule="auto"/>
        <w:rPr>
          <w:bCs/>
          <w:szCs w:val="21"/>
        </w:rPr>
      </w:pPr>
      <w:r>
        <w:rPr>
          <w:bCs/>
          <w:szCs w:val="21"/>
        </w:rPr>
        <w:t xml:space="preserve">作业期间应设置安全警示标志，工完场清。汽油、农药、化肥等养护器具材料应设专库存放，摆放整齐，并有专人管理，建立进出库及使用台账。机械、工具不得随意堆放于绿地内。作业过程中存在安全隐患或影响师生通行，每次扣1分；危险物品存放不当，每发现一次扣2分；未建立相关安全管理台账的，扣2分。</w:t>
      </w:r>
      <w:r/>
    </w:p>
    <w:p>
      <w:pPr>
        <w:ind w:firstLine="420"/>
        <w:spacing w:line="360" w:lineRule="auto"/>
        <w:rPr>
          <w:bCs/>
          <w:szCs w:val="21"/>
        </w:rPr>
      </w:pPr>
      <w:r>
        <w:rPr>
          <w:bCs/>
          <w:szCs w:val="21"/>
        </w:rPr>
        <w:t xml:space="preserve">9.设施看护（10分）：养护工具机械有专门安放地点，绿地内严禁停车、堆物搭棚，树干无钉拴刻画；绿地设施（雕塑、草坪灯、座椅、景观平台等）完好，损坏及安全隐患及时报修；严禁侵占绿地行为，及时制止违规施工并监督绿化恢复。每发现1项不达标，扣2分。</w:t>
      </w:r>
      <w:r/>
    </w:p>
    <w:p>
      <w:pPr>
        <w:ind w:firstLine="420"/>
        <w:spacing w:line="360" w:lineRule="auto"/>
        <w:rPr>
          <w:bCs/>
          <w:szCs w:val="21"/>
        </w:rPr>
      </w:pPr>
      <w:r>
        <w:rPr>
          <w:bCs/>
          <w:szCs w:val="21"/>
        </w:rPr>
        <w:t xml:space="preserve">10.应急处置（10分）：做好高大乔木抗风暴预防，采取立支柱、疏枝等措施；冬季及时清除树木积雪，防止压断树枝；台风、暴雨、大雪等极端天气结束后24小时内，完成树木扶正、断枝清理及通行恢复；无条件及时响应学校重大活动临时绿化整治任务。每发现1项不达标，扣2分；应急响应不及时、处置不到位对学校工作产生负面影响的，扣5分。</w:t>
      </w:r>
      <w:r/>
    </w:p>
    <w:p>
      <w:pPr>
        <w:ind w:firstLine="420"/>
        <w:jc w:val="left"/>
        <w:spacing w:line="360" w:lineRule="auto"/>
        <w:shd w:val="clear" w:color="auto" w:fill="ffffff"/>
        <w:widowControl/>
        <w:rPr>
          <w:bCs/>
          <w:szCs w:val="21"/>
        </w:rPr>
      </w:pPr>
      <w:r>
        <w:rPr>
          <w:bCs/>
          <w:szCs w:val="21"/>
        </w:rPr>
        <w:t xml:space="preserve">五、经费兑现方式</w:t>
      </w:r>
      <w:r/>
    </w:p>
    <w:p>
      <w:pPr>
        <w:ind w:firstLine="420"/>
        <w:spacing w:line="360" w:lineRule="auto"/>
        <w:rPr>
          <w:bCs/>
          <w:szCs w:val="21"/>
        </w:rPr>
      </w:pPr>
      <w:r>
        <w:rPr>
          <w:bCs/>
          <w:szCs w:val="21"/>
        </w:rPr>
        <w:t xml:space="preserve">1.将全年的养护经费平均分配到四个季度中，按季度支付兑现。</w:t>
      </w:r>
      <w:r/>
    </w:p>
    <w:p>
      <w:pPr>
        <w:ind w:firstLine="420"/>
        <w:spacing w:line="360" w:lineRule="auto"/>
        <w:rPr>
          <w:bCs/>
          <w:szCs w:val="21"/>
        </w:rPr>
      </w:pPr>
      <w:r>
        <w:rPr>
          <w:bCs/>
          <w:szCs w:val="21"/>
        </w:rPr>
        <w:t xml:space="preserve">2.管理单位根据中标公司对所在标段养护内容的完成情况、完成效果及日常保洁、设施维护等进行综合评定打分。</w:t>
      </w:r>
      <w:r/>
    </w:p>
    <w:p>
      <w:pPr>
        <w:ind w:firstLine="420"/>
        <w:spacing w:line="360" w:lineRule="auto"/>
        <w:rPr>
          <w:bCs/>
          <w:szCs w:val="21"/>
        </w:rPr>
      </w:pPr>
      <w:r>
        <w:rPr>
          <w:bCs/>
          <w:szCs w:val="21"/>
        </w:rPr>
        <w:t xml:space="preserve">3.当季养护费用的60%作为基本养护费用，40%作为考核费用。当季总评成绩在90分以上（含90分）全额支付养护费用；当季总评成绩在85--90分（含85分）之间的，养护费用按（100−实际得分）/100*考核费用扣除后支付；75--85分（含75分）之间的，养护费用按[2*（100−实际得分）]/100 *考核费用扣除后支付；75分以下为不合格，直接扣除当季考核费。</w:t>
      </w:r>
      <w:r/>
    </w:p>
    <w:p>
      <w:pPr>
        <w:ind w:firstLine="420"/>
        <w:jc w:val="left"/>
        <w:spacing w:line="360" w:lineRule="auto"/>
        <w:shd w:val="clear" w:color="auto" w:fill="ffffff"/>
        <w:widowControl/>
        <w:rPr>
          <w:bCs/>
          <w:szCs w:val="21"/>
        </w:rPr>
      </w:pPr>
      <w:r>
        <w:rPr>
          <w:bCs/>
          <w:szCs w:val="21"/>
        </w:rPr>
        <w:t xml:space="preserve">六、其他规定</w:t>
      </w:r>
      <w:r/>
    </w:p>
    <w:p>
      <w:pPr>
        <w:pStyle w:val="1180"/>
        <w:ind w:firstLine="420"/>
        <w:spacing w:before="0" w:beforeAutospacing="0" w:after="0" w:afterAutospacing="0" w:line="360" w:lineRule="auto"/>
        <w:rPr>
          <w:rFonts w:ascii="Times New Roman" w:hAnsi="Times New Roman" w:eastAsia="宋体"/>
          <w:color w:val="auto"/>
          <w:sz w:val="21"/>
          <w:szCs w:val="21"/>
          <w:highlight w:val="yellow"/>
        </w:rPr>
      </w:pPr>
      <w:r>
        <w:rPr>
          <w:rFonts w:ascii="Times New Roman" w:hAnsi="Times New Roman" w:eastAsia="宋体"/>
          <w:bCs/>
          <w:sz w:val="21"/>
          <w:szCs w:val="21"/>
        </w:rPr>
        <w:t xml:space="preserve">发生下列情况之一的将终止合同，并将相应的考评结果报送至学校招投标管理部门，作为单位诚信、勤勉执业档案予以管理：</w:t>
      </w:r>
      <w:r>
        <w:rPr>
          <w:rFonts w:ascii="Times New Roman" w:hAnsi="Times New Roman" w:eastAsia="宋体"/>
          <w:bCs/>
          <w:sz w:val="21"/>
          <w:szCs w:val="21"/>
        </w:rPr>
        <w:br/>
      </w:r>
      <w:r>
        <w:rPr>
          <w:rFonts w:ascii="Times New Roman" w:hAnsi="Times New Roman" w:eastAsia="宋体"/>
          <w:bCs/>
          <w:sz w:val="21"/>
          <w:szCs w:val="21"/>
        </w:rPr>
        <w:t xml:space="preserve">   1.检查考核过程中，发现有转包和分包行为的；</w:t>
      </w:r>
      <w:r>
        <w:rPr>
          <w:rFonts w:ascii="Times New Roman" w:hAnsi="Times New Roman" w:eastAsia="宋体"/>
          <w:bCs/>
          <w:sz w:val="21"/>
          <w:szCs w:val="21"/>
        </w:rPr>
        <w:br/>
      </w:r>
      <w:r>
        <w:rPr>
          <w:rFonts w:ascii="Times New Roman" w:hAnsi="Times New Roman" w:eastAsia="宋体"/>
          <w:bCs/>
          <w:sz w:val="21"/>
          <w:szCs w:val="21"/>
        </w:rPr>
        <w:t xml:space="preserve">   2.合同期内不服从管理单位管理的；</w:t>
      </w:r>
      <w:r>
        <w:rPr>
          <w:rFonts w:ascii="Times New Roman" w:hAnsi="Times New Roman" w:eastAsia="宋体"/>
          <w:bCs/>
          <w:sz w:val="21"/>
          <w:szCs w:val="21"/>
        </w:rPr>
        <w:br/>
      </w:r>
      <w:r>
        <w:rPr>
          <w:rFonts w:ascii="Times New Roman" w:hAnsi="Times New Roman" w:eastAsia="宋体"/>
          <w:bCs/>
          <w:sz w:val="21"/>
          <w:szCs w:val="21"/>
        </w:rPr>
        <w:t xml:space="preserve">   3.全年连续两次考核不合格或累计3次以上不合格</w:t>
      </w:r>
      <w:r/>
    </w:p>
    <w:p>
      <w:pPr>
        <w:spacing w:line="360" w:lineRule="auto"/>
        <w:rPr>
          <w:szCs w:val="21"/>
        </w:rPr>
      </w:pPr>
      <w:r>
        <w:rPr>
          <w:szCs w:val="21"/>
        </w:rPr>
      </w:r>
      <w:r/>
    </w:p>
    <w:p>
      <w:pPr>
        <w:ind w:firstLine="562"/>
        <w:jc w:val="center"/>
        <w:spacing w:line="360" w:lineRule="auto"/>
        <w:rPr>
          <w:b/>
          <w:color w:val="auto"/>
          <w:sz w:val="28"/>
          <w:szCs w:val="28"/>
          <w:highlight w:val="none"/>
        </w:rPr>
        <w:outlineLvl w:val="0"/>
      </w:pPr>
      <w:r/>
      <w:bookmarkStart w:id="229" w:name="_Toc19691"/>
      <w:r>
        <w:rPr>
          <w:b/>
          <w:sz w:val="28"/>
          <w:szCs w:val="28"/>
        </w:rPr>
        <w:br w:type="page" w:clear="all"/>
      </w:r>
      <w:bookmarkStart w:id="230" w:name="_Toc3841"/>
      <w:r>
        <w:rPr>
          <w:b/>
          <w:color w:val="auto"/>
          <w:sz w:val="28"/>
          <w:szCs w:val="28"/>
          <w:highlight w:val="none"/>
        </w:rPr>
        <w:t xml:space="preserve">第五章 拟签订的合同文本</w:t>
      </w:r>
      <w:bookmarkEnd w:id="229"/>
      <w:r/>
      <w:bookmarkEnd w:id="230"/>
      <w:r/>
      <w:r/>
    </w:p>
    <w:p>
      <w:pPr>
        <w:jc w:val="center"/>
        <w:spacing w:line="360" w:lineRule="auto"/>
        <w:rPr>
          <w:b/>
          <w:sz w:val="28"/>
          <w:szCs w:val="28"/>
        </w:rPr>
      </w:pPr>
      <w:r/>
      <w:bookmarkStart w:id="231" w:name="_Toc6085"/>
      <w:r>
        <w:rPr>
          <w:b/>
          <w:sz w:val="28"/>
          <w:szCs w:val="28"/>
        </w:rPr>
        <w:t xml:space="preserve">（参考格式，本合同内容条款在正式签署前可具体补充细化，仅作参考，最终合同以采购人法务审查通过的版本为准）</w:t>
      </w:r>
      <w:bookmarkEnd w:id="231"/>
      <w:r/>
      <w:r/>
    </w:p>
    <w:p>
      <w:pPr>
        <w:jc w:val="center"/>
        <w:spacing w:line="360" w:lineRule="auto"/>
        <w:shd w:val="clear" w:color="auto" w:fill="ffffff"/>
        <w:widowControl/>
        <w:rPr>
          <w:rFonts w:hint="eastAsia" w:ascii="宋体" w:hAnsi="宋体" w:cs="宋体"/>
          <w:sz w:val="36"/>
          <w:szCs w:val="36"/>
        </w:rPr>
      </w:pPr>
      <w:r/>
      <w:bookmarkStart w:id="232" w:name="_Toc26078"/>
      <w:r/>
      <w:bookmarkStart w:id="233" w:name="_Toc19"/>
      <w:r/>
      <w:r/>
    </w:p>
    <w:p>
      <w:pPr>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t xml:space="preserve">南京中医药大学仙林校区及</w:t>
      </w:r>
      <w:r/>
    </w:p>
    <w:p>
      <w:pPr>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t xml:space="preserve">汉中门校区绿化养护托管服务合同</w:t>
      </w:r>
      <w:r/>
    </w:p>
    <w:p>
      <w:pPr>
        <w:jc w:val="center"/>
        <w:spacing w:line="360" w:lineRule="auto"/>
        <w:shd w:val="clear" w:color="auto" w:fill="ffffff"/>
        <w:widowControl/>
        <w:rPr>
          <w:rFonts w:hint="eastAsia" w:ascii="宋体" w:hAnsi="宋体" w:cs="宋体"/>
          <w:sz w:val="44"/>
          <w:szCs w:val="44"/>
        </w:rPr>
      </w:pPr>
      <w:r>
        <w:rPr>
          <w:rFonts w:hint="eastAsia" w:ascii="宋体" w:hAnsi="宋体" w:cs="宋体"/>
          <w:sz w:val="44"/>
          <w:szCs w:val="44"/>
        </w:rPr>
      </w:r>
      <w:r/>
    </w:p>
    <w:p>
      <w:pPr>
        <w:jc w:val="center"/>
        <w:spacing w:line="360" w:lineRule="auto"/>
        <w:shd w:val="clear" w:color="auto" w:fill="ffffff"/>
        <w:widowControl/>
        <w:rPr>
          <w:rFonts w:hint="eastAsia" w:ascii="宋体" w:hAnsi="宋体"/>
          <w:sz w:val="44"/>
          <w:szCs w:val="44"/>
        </w:rPr>
      </w:pPr>
      <w:r>
        <w:rPr>
          <w:rFonts w:hint="eastAsia" w:ascii="宋体" w:hAnsi="宋体"/>
          <w:sz w:val="44"/>
          <w:szCs w:val="44"/>
        </w:rPr>
      </w:r>
      <w:r/>
    </w:p>
    <w:p>
      <w:pPr>
        <w:spacing w:line="360" w:lineRule="auto"/>
        <w:shd w:val="clear" w:color="auto" w:fill="ffffff"/>
        <w:widowControl/>
        <w:rPr>
          <w:rFonts w:hint="eastAsia" w:ascii="宋体" w:hAnsi="宋体"/>
          <w:sz w:val="24"/>
        </w:rPr>
      </w:pPr>
      <w:r>
        <w:rPr>
          <w:rFonts w:hint="eastAsia" w:ascii="宋体" w:hAnsi="宋体"/>
          <w:sz w:val="24"/>
        </w:rPr>
      </w:r>
      <w:r/>
    </w:p>
    <w:p>
      <w:pPr>
        <w:ind w:firstLine="315"/>
        <w:spacing w:line="360" w:lineRule="auto"/>
        <w:shd w:val="clear" w:color="auto" w:fill="ffffff"/>
        <w:widowControl/>
        <w:rPr>
          <w:rFonts w:hint="eastAsia" w:ascii="宋体" w:hAnsi="宋体"/>
          <w:b/>
          <w:bCs/>
          <w:sz w:val="24"/>
        </w:rPr>
      </w:pPr>
      <w:r>
        <w:rPr>
          <w:rFonts w:hint="eastAsia" w:ascii="宋体" w:hAnsi="宋体"/>
          <w:b/>
          <w:bCs/>
          <w:sz w:val="24"/>
        </w:rPr>
        <w:t xml:space="preserve"> </w:t>
      </w:r>
      <w:r/>
    </w:p>
    <w:p>
      <w:pPr>
        <w:spacing w:line="360" w:lineRule="auto"/>
        <w:shd w:val="clear" w:color="auto" w:fill="ffffff"/>
        <w:widowControl/>
        <w:rPr>
          <w:rFonts w:hint="eastAsia" w:ascii="宋体" w:hAnsi="宋体"/>
          <w:sz w:val="24"/>
        </w:rPr>
      </w:pPr>
      <w:r>
        <w:rPr>
          <w:rFonts w:hint="eastAsia" w:ascii="宋体" w:hAnsi="宋体"/>
          <w:sz w:val="24"/>
        </w:rPr>
      </w:r>
      <w:r/>
    </w:p>
    <w:p>
      <w:pPr>
        <w:ind w:left="958"/>
        <w:spacing w:line="360" w:lineRule="auto"/>
        <w:shd w:val="clear" w:color="auto" w:fill="ffffff"/>
        <w:widowControl/>
        <w:rPr>
          <w:rFonts w:hint="eastAsia" w:ascii="宋体" w:hAnsi="宋体" w:cs="宋体"/>
          <w:b/>
          <w:bCs/>
          <w:sz w:val="24"/>
          <w:u w:val="single"/>
        </w:rPr>
      </w:pPr>
      <w:r>
        <w:rPr>
          <w:rFonts w:hint="eastAsia" w:ascii="宋体" w:hAnsi="宋体"/>
          <w:b/>
          <w:bCs/>
          <w:sz w:val="24"/>
        </w:rPr>
        <w:t xml:space="preserve">项目名称：</w:t>
      </w:r>
      <w:r>
        <w:rPr>
          <w:rFonts w:hint="eastAsia" w:ascii="宋体" w:hAnsi="宋体"/>
          <w:b/>
          <w:bCs/>
          <w:sz w:val="24"/>
          <w:u w:val="single"/>
        </w:rPr>
        <w:t xml:space="preserve">南京中医药大学仙林校区及汉中门校区绿化养护托管服务</w:t>
      </w:r>
      <w:r/>
    </w:p>
    <w:p>
      <w:pPr>
        <w:pStyle w:val="1184"/>
        <w:ind w:firstLine="964"/>
      </w:pPr>
      <w:r>
        <w:rPr>
          <w:rFonts w:hint="eastAsia" w:ascii="宋体" w:hAnsi="宋体"/>
          <w:b/>
          <w:bCs/>
          <w:sz w:val="24"/>
        </w:rPr>
        <w:t xml:space="preserve">项目编号：</w:t>
      </w:r>
      <w:r>
        <w:rPr>
          <w:rFonts w:hint="eastAsia" w:ascii="宋体" w:hAnsi="宋体"/>
          <w:b/>
          <w:bCs/>
          <w:sz w:val="24"/>
          <w:u w:val="single"/>
        </w:rPr>
        <w:t xml:space="preserve"> NZYZB2026-034 </w:t>
      </w:r>
      <w:r>
        <w:rPr>
          <w:rFonts w:ascii="宋体" w:hAnsi="宋体"/>
          <w:b/>
          <w:bCs/>
          <w:sz w:val="24"/>
          <w:u w:val="single"/>
        </w:rPr>
        <w:t xml:space="preserve">              </w:t>
      </w:r>
      <w:r>
        <w:rPr>
          <w:rFonts w:hint="eastAsia" w:ascii="宋体" w:hAnsi="宋体"/>
          <w:b/>
          <w:bCs/>
          <w:sz w:val="24"/>
          <w:u w:val="single"/>
        </w:rPr>
        <w:t xml:space="preserve">                     </w:t>
      </w:r>
      <w:r>
        <w:rPr>
          <w:rFonts w:hint="eastAsia" w:ascii="宋体" w:hAnsi="宋体"/>
          <w:b/>
          <w:bCs/>
          <w:sz w:val="24"/>
        </w:rPr>
        <w:t xml:space="preserve">     </w:t>
      </w:r>
      <w:r/>
    </w:p>
    <w:p>
      <w:pPr>
        <w:ind w:firstLine="964"/>
        <w:spacing w:line="360" w:lineRule="auto"/>
        <w:shd w:val="clear" w:color="auto" w:fill="ffffff"/>
        <w:widowControl/>
        <w:rPr>
          <w:rFonts w:hint="eastAsia" w:ascii="宋体" w:hAnsi="宋体"/>
          <w:b/>
          <w:bCs/>
          <w:sz w:val="24"/>
          <w:u w:val="single"/>
        </w:rPr>
      </w:pPr>
      <w:r>
        <w:rPr>
          <w:rFonts w:hint="eastAsia" w:ascii="宋体" w:hAnsi="宋体"/>
          <w:b/>
          <w:bCs/>
          <w:sz w:val="24"/>
        </w:rPr>
        <w:t xml:space="preserve">甲方（采购人） ：</w:t>
      </w:r>
      <w:r>
        <w:rPr>
          <w:rFonts w:hint="eastAsia" w:ascii="宋体" w:hAnsi="宋体"/>
          <w:b/>
          <w:bCs/>
          <w:sz w:val="24"/>
          <w:u w:val="single"/>
        </w:rPr>
        <w:t xml:space="preserve">南京中医药大学</w:t>
      </w:r>
      <w:r/>
    </w:p>
    <w:p>
      <w:pPr>
        <w:ind w:firstLine="964"/>
        <w:spacing w:line="360" w:lineRule="auto"/>
        <w:shd w:val="clear" w:color="auto" w:fill="ffffff"/>
        <w:widowControl/>
        <w:rPr>
          <w:rFonts w:hint="eastAsia" w:ascii="宋体" w:hAnsi="宋体" w:cs="宋体"/>
          <w:b/>
          <w:bCs/>
          <w:sz w:val="24"/>
          <w:u w:val="single"/>
        </w:rPr>
      </w:pPr>
      <w:r>
        <w:rPr>
          <w:rFonts w:hint="eastAsia" w:ascii="宋体" w:hAnsi="宋体"/>
          <w:b/>
          <w:bCs/>
          <w:sz w:val="24"/>
        </w:rPr>
        <w:t xml:space="preserve">通讯地址：</w:t>
      </w:r>
      <w:r>
        <w:rPr>
          <w:rFonts w:hint="eastAsia" w:ascii="宋体" w:hAnsi="宋体" w:cs="宋体"/>
          <w:b/>
          <w:bCs/>
          <w:sz w:val="24"/>
          <w:u w:val="single"/>
        </w:rPr>
        <w:t xml:space="preserve">南京市仙林大道138号</w:t>
      </w:r>
      <w:r/>
    </w:p>
    <w:p>
      <w:pPr>
        <w:ind w:firstLine="964"/>
        <w:spacing w:line="360" w:lineRule="auto"/>
        <w:shd w:val="clear" w:color="auto" w:fill="ffffff"/>
        <w:widowControl/>
        <w:rPr>
          <w:rFonts w:hint="eastAsia" w:ascii="宋体" w:hAnsi="宋体"/>
          <w:b/>
          <w:bCs/>
          <w:sz w:val="24"/>
          <w:u w:val="single"/>
        </w:rPr>
      </w:pPr>
      <w:r>
        <w:rPr>
          <w:rFonts w:hint="eastAsia" w:ascii="宋体" w:hAnsi="宋体"/>
          <w:b/>
          <w:bCs/>
          <w:sz w:val="24"/>
        </w:rPr>
        <w:t xml:space="preserve">乙方（服务供应商） ：</w:t>
      </w:r>
      <w:r>
        <w:rPr>
          <w:rFonts w:hint="eastAsia" w:ascii="宋体" w:hAnsi="宋体"/>
          <w:b/>
          <w:bCs/>
          <w:sz w:val="24"/>
          <w:u w:val="single"/>
        </w:rPr>
        <w:t xml:space="preserve">                     </w:t>
      </w:r>
      <w:r>
        <w:rPr>
          <w:rFonts w:ascii="宋体" w:hAnsi="宋体"/>
          <w:b/>
          <w:bCs/>
          <w:sz w:val="24"/>
          <w:u w:val="single"/>
        </w:rPr>
        <w:t xml:space="preserve">  </w:t>
      </w:r>
      <w:r>
        <w:rPr>
          <w:rFonts w:hint="eastAsia" w:ascii="宋体" w:hAnsi="宋体"/>
          <w:b/>
          <w:bCs/>
          <w:sz w:val="24"/>
          <w:u w:val="single"/>
        </w:rPr>
        <w:t xml:space="preserve">               </w:t>
      </w:r>
      <w:r/>
    </w:p>
    <w:p>
      <w:pPr>
        <w:ind w:firstLine="964"/>
        <w:spacing w:line="360" w:lineRule="auto"/>
        <w:shd w:val="clear" w:color="auto" w:fill="ffffff"/>
        <w:widowControl/>
        <w:rPr>
          <w:rFonts w:hint="eastAsia" w:ascii="宋体" w:hAnsi="宋体"/>
          <w:b/>
          <w:bCs/>
          <w:sz w:val="24"/>
          <w:u w:val="single"/>
        </w:rPr>
      </w:pPr>
      <w:r>
        <w:rPr>
          <w:rFonts w:hint="eastAsia" w:ascii="宋体" w:hAnsi="宋体"/>
          <w:b/>
          <w:bCs/>
          <w:sz w:val="24"/>
        </w:rPr>
        <w:t xml:space="preserve">通讯地址：</w:t>
      </w:r>
      <w:r>
        <w:rPr>
          <w:rFonts w:hint="eastAsia" w:ascii="宋体" w:hAnsi="宋体"/>
          <w:b/>
          <w:bCs/>
          <w:sz w:val="24"/>
          <w:u w:val="single"/>
        </w:rPr>
        <w:t xml:space="preserve">                                  </w:t>
      </w:r>
      <w:r>
        <w:rPr>
          <w:rFonts w:hint="eastAsia" w:ascii="宋体" w:hAnsi="宋体"/>
          <w:b/>
          <w:bCs/>
          <w:sz w:val="24"/>
        </w:rPr>
        <w:t xml:space="preserve"> </w:t>
      </w:r>
      <w:r/>
    </w:p>
    <w:p>
      <w:pPr>
        <w:ind w:firstLine="964"/>
        <w:spacing w:line="360" w:lineRule="auto"/>
        <w:shd w:val="clear" w:color="auto" w:fill="ffffff"/>
        <w:widowControl/>
        <w:rPr>
          <w:rFonts w:hint="eastAsia" w:ascii="宋体" w:hAnsi="宋体"/>
          <w:b/>
          <w:bCs/>
          <w:sz w:val="24"/>
        </w:rPr>
      </w:pPr>
      <w:r>
        <w:rPr>
          <w:rFonts w:hint="eastAsia" w:ascii="宋体" w:hAnsi="宋体"/>
          <w:b/>
          <w:bCs/>
          <w:sz w:val="24"/>
        </w:rPr>
        <w:t xml:space="preserve">签订地点 ：</w:t>
      </w:r>
      <w:r>
        <w:rPr>
          <w:rFonts w:hint="eastAsia" w:ascii="宋体" w:hAnsi="宋体" w:cs="宋体"/>
          <w:b/>
          <w:bCs/>
          <w:sz w:val="24"/>
          <w:u w:val="single"/>
        </w:rPr>
        <w:t xml:space="preserve">南京市仙林大道138号南京中医药大学仙</w:t>
      </w:r>
      <w:r>
        <w:rPr>
          <w:rFonts w:hint="eastAsia" w:ascii="宋体" w:hAnsi="宋体"/>
          <w:b/>
          <w:bCs/>
          <w:sz w:val="24"/>
          <w:u w:val="single"/>
        </w:rPr>
        <w:t xml:space="preserve">林校区</w:t>
      </w:r>
      <w:r/>
    </w:p>
    <w:p>
      <w:pPr>
        <w:spacing w:line="360" w:lineRule="auto"/>
        <w:shd w:val="clear" w:color="auto" w:fill="ffffff"/>
        <w:widowControl/>
        <w:rPr>
          <w:rFonts w:hint="eastAsia" w:ascii="宋体" w:hAnsi="宋体"/>
          <w:sz w:val="24"/>
        </w:rPr>
      </w:pPr>
      <w:r>
        <w:rPr>
          <w:rFonts w:hint="eastAsia" w:ascii="宋体" w:hAnsi="宋体"/>
          <w:sz w:val="24"/>
        </w:rPr>
        <w:t xml:space="preserve">      </w:t>
      </w:r>
      <w:r>
        <w:rPr>
          <w:rFonts w:hint="eastAsia" w:ascii="宋体" w:hAnsi="宋体"/>
          <w:b/>
          <w:bCs/>
          <w:sz w:val="24"/>
        </w:rPr>
        <w:t xml:space="preserve"> </w:t>
      </w:r>
      <w:r/>
    </w:p>
    <w:p>
      <w:pPr>
        <w:ind w:firstLine="2984"/>
        <w:spacing w:line="360" w:lineRule="auto"/>
        <w:shd w:val="clear" w:color="auto" w:fill="ffffff"/>
        <w:widowControl/>
        <w:rPr>
          <w:rFonts w:hint="eastAsia" w:ascii="宋体" w:hAnsi="宋体"/>
          <w:sz w:val="24"/>
        </w:rPr>
      </w:pPr>
      <w:r>
        <w:rPr>
          <w:rFonts w:hint="eastAsia" w:ascii="宋体" w:hAnsi="宋体"/>
          <w:b/>
          <w:bCs/>
          <w:sz w:val="24"/>
        </w:rPr>
        <w:t xml:space="preserve">  </w:t>
      </w:r>
      <w:r/>
    </w:p>
    <w:p>
      <w:pPr>
        <w:ind w:firstLine="2984"/>
        <w:spacing w:line="360" w:lineRule="auto"/>
        <w:shd w:val="clear" w:color="auto" w:fill="ffffff"/>
        <w:widowControl/>
        <w:rPr>
          <w:rFonts w:hint="eastAsia" w:ascii="宋体" w:hAnsi="宋体"/>
          <w:b/>
          <w:bCs/>
          <w:sz w:val="24"/>
        </w:rPr>
      </w:pPr>
      <w:r>
        <w:rPr>
          <w:rFonts w:hint="eastAsia" w:ascii="宋体" w:hAnsi="宋体"/>
          <w:b/>
          <w:bCs/>
          <w:sz w:val="24"/>
        </w:rPr>
      </w:r>
      <w:r/>
    </w:p>
    <w:p>
      <w:pPr>
        <w:ind w:firstLine="2984"/>
        <w:spacing w:line="360" w:lineRule="auto"/>
        <w:shd w:val="clear" w:color="auto" w:fill="ffffff"/>
        <w:widowControl/>
        <w:rPr>
          <w:rFonts w:hint="eastAsia" w:ascii="宋体" w:hAnsi="宋体"/>
          <w:b/>
          <w:bCs/>
          <w:sz w:val="24"/>
        </w:rPr>
      </w:pPr>
      <w:r>
        <w:rPr>
          <w:rFonts w:hint="eastAsia" w:ascii="宋体" w:hAnsi="宋体"/>
          <w:b/>
          <w:bCs/>
          <w:sz w:val="24"/>
        </w:rPr>
      </w:r>
      <w:r/>
    </w:p>
    <w:p>
      <w:pPr>
        <w:ind w:firstLine="2984"/>
        <w:spacing w:line="360" w:lineRule="auto"/>
        <w:shd w:val="clear" w:color="auto" w:fill="ffffff"/>
        <w:widowControl/>
        <w:rPr>
          <w:rFonts w:hint="eastAsia" w:ascii="宋体" w:hAnsi="宋体"/>
          <w:b/>
          <w:bCs/>
          <w:sz w:val="24"/>
        </w:rPr>
      </w:pPr>
      <w:r>
        <w:rPr>
          <w:rFonts w:hint="eastAsia" w:ascii="宋体" w:hAnsi="宋体"/>
          <w:b/>
          <w:bCs/>
          <w:sz w:val="24"/>
        </w:rPr>
      </w:r>
      <w:r/>
    </w:p>
    <w:p>
      <w:pPr>
        <w:ind w:firstLine="2984"/>
        <w:spacing w:line="360" w:lineRule="auto"/>
        <w:shd w:val="clear" w:color="auto" w:fill="ffffff"/>
        <w:widowControl/>
        <w:rPr>
          <w:rFonts w:hint="eastAsia" w:ascii="宋体" w:hAnsi="宋体"/>
          <w:b/>
          <w:bCs/>
          <w:sz w:val="24"/>
        </w:rPr>
      </w:pPr>
      <w:r>
        <w:rPr>
          <w:rFonts w:hint="eastAsia" w:ascii="宋体" w:hAnsi="宋体"/>
          <w:b/>
          <w:bCs/>
          <w:sz w:val="24"/>
        </w:rPr>
      </w:r>
      <w:r/>
    </w:p>
    <w:p>
      <w:pPr>
        <w:ind w:firstLine="2984"/>
        <w:spacing w:line="360" w:lineRule="auto"/>
        <w:shd w:val="clear" w:color="auto" w:fill="ffffff"/>
        <w:widowControl/>
        <w:rPr>
          <w:rFonts w:hint="eastAsia" w:ascii="宋体" w:hAnsi="宋体"/>
          <w:b/>
          <w:bCs/>
          <w:sz w:val="24"/>
        </w:rPr>
      </w:pPr>
      <w:r>
        <w:rPr>
          <w:rFonts w:hint="eastAsia" w:ascii="宋体" w:hAnsi="宋体"/>
          <w:b/>
          <w:bCs/>
          <w:sz w:val="24"/>
        </w:rPr>
      </w:r>
      <w:r/>
    </w:p>
    <w:p>
      <w:pPr>
        <w:ind w:firstLine="2984"/>
        <w:spacing w:line="360" w:lineRule="auto"/>
        <w:shd w:val="clear" w:color="auto" w:fill="ffffff"/>
        <w:widowControl/>
        <w:rPr>
          <w:rFonts w:hint="eastAsia" w:ascii="宋体" w:hAnsi="宋体"/>
          <w:b/>
          <w:bCs/>
          <w:sz w:val="24"/>
        </w:rPr>
      </w:pPr>
      <w:r>
        <w:rPr>
          <w:rFonts w:hint="eastAsia" w:ascii="宋体" w:hAnsi="宋体"/>
          <w:b/>
          <w:bCs/>
          <w:sz w:val="24"/>
        </w:rPr>
      </w:r>
      <w:r/>
    </w:p>
    <w:p>
      <w:pPr>
        <w:ind w:firstLine="2984"/>
        <w:spacing w:line="360" w:lineRule="auto"/>
        <w:shd w:val="clear" w:color="auto" w:fill="ffffff"/>
        <w:widowControl/>
        <w:rPr>
          <w:rFonts w:hint="eastAsia" w:ascii="宋体" w:hAnsi="宋体"/>
          <w:b/>
          <w:bCs/>
          <w:sz w:val="24"/>
        </w:rPr>
      </w:pPr>
      <w:r>
        <w:rPr>
          <w:rFonts w:hint="eastAsia" w:ascii="宋体" w:hAnsi="宋体"/>
          <w:b/>
          <w:bCs/>
          <w:sz w:val="24"/>
        </w:rPr>
      </w:r>
      <w:r/>
    </w:p>
    <w:p>
      <w:pPr>
        <w:ind w:firstLine="2984"/>
        <w:spacing w:line="360" w:lineRule="auto"/>
        <w:shd w:val="clear" w:color="auto" w:fill="ffffff"/>
        <w:widowControl/>
        <w:rPr>
          <w:rFonts w:hint="eastAsia" w:ascii="宋体" w:hAnsi="宋体"/>
          <w:b/>
          <w:bCs/>
          <w:sz w:val="24"/>
        </w:rPr>
      </w:pPr>
      <w:r>
        <w:rPr>
          <w:rFonts w:hint="eastAsia" w:ascii="宋体" w:hAnsi="宋体"/>
          <w:b/>
          <w:bCs/>
          <w:sz w:val="24"/>
        </w:rPr>
      </w:r>
      <w:r/>
    </w:p>
    <w:p>
      <w:pPr>
        <w:ind w:firstLine="420"/>
        <w:jc w:val="left"/>
        <w:spacing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根据《中华人民共和国政府采购法》、《中华人民共和国民法典》等法律法规的规定，甲乙双方按照招标文件要求，就乙方为甲方的南京中医药大学仙林校区及汉中门校区绿化养护托管服务事宜签订本合同。</w:t>
      </w:r>
      <w:r/>
    </w:p>
    <w:p>
      <w:pPr>
        <w:ind w:firstLine="422"/>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b/>
          <w:bCs/>
          <w:sz w:val="21"/>
          <w:szCs w:val="21"/>
        </w:rPr>
        <w:t xml:space="preserve">第一条 合同标的</w:t>
      </w:r>
      <w:r>
        <w:rPr>
          <w:rFonts w:hint="default" w:ascii="Times New Roman" w:hAnsi="Times New Roman" w:cs="Times New Roman"/>
          <w:sz w:val="21"/>
          <w:szCs w:val="21"/>
        </w:rPr>
        <w:t xml:space="preserve"> </w:t>
      </w:r>
      <w:r/>
    </w:p>
    <w:p>
      <w:pPr>
        <w:ind w:firstLine="420"/>
        <w:spacing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1.乙方根据甲方要求提供下列服务: </w:t>
      </w:r>
      <w:r/>
    </w:p>
    <w:p>
      <w:pPr>
        <w:pStyle w:val="1184"/>
        <w:ind w:firstLine="480"/>
        <w:spacing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1.1服务地点：南京市仙林大道138号南京中医药大学仙林校区和南京市汉中路282号南京中医药大学汉中门校区</w:t>
      </w:r>
      <w:r/>
    </w:p>
    <w:p>
      <w:pPr>
        <w:ind w:firstLine="420"/>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1.2服务内容：除仙林校区药用植物园（素山片区、老药苑片区）及素山未开发区域，两校区内所有绿地的养护管理均为服务范围，</w:t>
      </w:r>
      <w:r>
        <w:rPr>
          <w:rFonts w:hint="default" w:ascii="Times New Roman" w:hAnsi="Times New Roman" w:cs="Times New Roman"/>
          <w:sz w:val="21"/>
          <w:szCs w:val="21"/>
        </w:rPr>
        <w:t xml:space="preserve">含四个校门门前三包区域、素山沥青路两侧人工种植绿地和景观, 两校区总养护面积约26.5万平方米，其中汉中门校区约2万平方米。包括草坪的养护管理；模纹、花坛、花境、色块的养护管理及重大节日的草花摆放；绿篱、垂直绿化、水体绿化的养护管理；行道树及各类乔灌木的养护管理，素山格桑花海区域一年两季的种植及养护等。养护内容包括绿地保洁，除草，浇水，修剪，施肥，病虫害防治，抗旱，抗台，抗涝，防寒，绿地设施看管，苗木补植，草籽补播，绿化垃圾清运至投放点等。乙方确认上述服务范围及面积，不得以面积异议拒绝或拖延履行本合同义务。</w:t>
      </w:r>
      <w:r/>
    </w:p>
    <w:p>
      <w:pPr>
        <w:ind w:firstLine="420"/>
        <w:spacing w:line="360" w:lineRule="auto"/>
        <w:shd w:val="clear" w:color="auto" w:fill="ffffff"/>
        <w:widowControl/>
        <w:rPr>
          <w:rFonts w:hint="default" w:ascii="Times New Roman" w:hAnsi="Times New Roman" w:cs="Times New Roman"/>
          <w:b/>
          <w:bCs/>
          <w:sz w:val="21"/>
          <w:szCs w:val="21"/>
        </w:rPr>
      </w:pPr>
      <w:r>
        <w:rPr>
          <w:rFonts w:hint="default" w:ascii="Times New Roman" w:hAnsi="Times New Roman" w:cs="Times New Roman"/>
          <w:sz w:val="21"/>
          <w:szCs w:val="21"/>
        </w:rPr>
        <w:t xml:space="preserve">1.3服务完成标准：乙方应按《江苏省城市园林绿化养护管理规范及分级标准》、《南京中医药大学绿化养护监管及考核办法（修订版）》（详见本合同附件3）等有关规定来执行，养护过程中无违章操作现象，无安全事故。</w:t>
      </w:r>
      <w:r>
        <w:rPr>
          <w:rFonts w:hint="default" w:ascii="Times New Roman" w:hAnsi="Times New Roman" w:cs="Times New Roman"/>
          <w:b/>
          <w:bCs/>
          <w:sz w:val="21"/>
          <w:szCs w:val="21"/>
        </w:rPr>
        <w:t xml:space="preserve">具体服务要求见本合同附件1：服务要求。</w:t>
      </w:r>
      <w:r>
        <w:rPr>
          <w:rFonts w:hint="default" w:ascii="Times New Roman" w:hAnsi="Times New Roman" w:cs="Times New Roman"/>
          <w:sz w:val="21"/>
          <w:szCs w:val="21"/>
        </w:rPr>
        <w:t xml:space="preserve">乙方服务未达到上述标准的，甲方按本合同第十条追究违约责任。  </w:t>
      </w:r>
      <w:r/>
    </w:p>
    <w:p>
      <w:pPr>
        <w:ind w:firstLine="420"/>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2.服务期限：自2026年8月20日至2027年9月30，共计407天，合同到期后不再续签。本合同到期后，乙方应按本合同约定及时与甲方进行交接和完成相关服务费结算。乙方自本合同期限起始之日起进场工作，具体以甲方要求为准。                                   </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b/>
          <w:bCs/>
          <w:sz w:val="21"/>
          <w:szCs w:val="21"/>
        </w:rPr>
        <w:t xml:space="preserve">第二条 合同总价款和保证金</w:t>
      </w:r>
      <w:r>
        <w:rPr>
          <w:rFonts w:hint="default" w:ascii="Times New Roman" w:hAnsi="Times New Roman" w:cs="Times New Roman"/>
          <w:sz w:val="21"/>
          <w:szCs w:val="21"/>
        </w:rPr>
        <w:t xml:space="preserve"> </w:t>
      </w:r>
      <w:r/>
    </w:p>
    <w:p>
      <w:pPr>
        <w:ind w:firstLine="420"/>
        <w:jc w:val="left"/>
        <w:spacing w:line="360" w:lineRule="auto"/>
        <w:shd w:val="clear" w:color="auto" w:fill="ffffff"/>
        <w:widowControl/>
        <w:rPr>
          <w:rFonts w:hint="default" w:ascii="Times New Roman" w:hAnsi="Times New Roman" w:cs="Times New Roman"/>
          <w:b/>
          <w:bCs/>
          <w:sz w:val="21"/>
          <w:szCs w:val="21"/>
        </w:rPr>
      </w:pPr>
      <w:r>
        <w:rPr>
          <w:rFonts w:hint="default" w:ascii="Times New Roman" w:hAnsi="Times New Roman" w:cs="Times New Roman"/>
          <w:sz w:val="21"/>
          <w:szCs w:val="21"/>
        </w:rPr>
        <w:t xml:space="preserve">1.本合同服务总价款为</w:t>
      </w:r>
      <w:r>
        <w:rPr>
          <w:rFonts w:hint="default" w:ascii="Times New Roman" w:hAnsi="Times New Roman" w:cs="Times New Roman"/>
          <w:sz w:val="21"/>
          <w:szCs w:val="21"/>
          <w:u w:val="single"/>
        </w:rPr>
        <w:t xml:space="preserve">人民币          （小写：        ）。 </w:t>
      </w:r>
      <w:r>
        <w:rPr>
          <w:rFonts w:hint="default" w:ascii="Times New Roman" w:hAnsi="Times New Roman" w:cs="Times New Roman"/>
          <w:sz w:val="21"/>
          <w:szCs w:val="21"/>
        </w:rPr>
        <w:t xml:space="preserve">本合同服务总价款包含乙方按本合同约定提供养护服务所需的全部费用。</w:t>
      </w:r>
      <w:r>
        <w:rPr>
          <w:rFonts w:hint="default" w:ascii="Times New Roman" w:hAnsi="Times New Roman" w:cs="Times New Roman"/>
          <w:b/>
          <w:bCs/>
          <w:sz w:val="21"/>
          <w:szCs w:val="21"/>
        </w:rPr>
        <w:t xml:space="preserve">甲乙双方确认：甲方依据对乙方的考核结果支付养护服务费，乙方知晓、同意并确认每次实际支付金额和实际支付总金额可能与合同价有差异。</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2.履约保证金：乙方应于本合同签订前，</w:t>
      </w:r>
      <w:r>
        <w:rPr>
          <w:rFonts w:hint="default" w:ascii="Times New Roman" w:hAnsi="Times New Roman" w:cs="Times New Roman"/>
          <w:sz w:val="21"/>
          <w:szCs w:val="21"/>
        </w:rPr>
        <w:t xml:space="preserve">向甲方交纳本合同服务总价款金额的3%（即人民币______元）作为本合同的履约保证金。自本合同服务期限届满且甲方书面确认乙方服务合格且乙方无违约情形后，将履约保证金无息退还给乙方。乙方若有违约、发生考核扣款、造成甲方损失或甲方因乙方未依法用工（含未缴五险一金）被行政机关要求补缴/处罚情形的，甲方有权依据合同约定在履约保证金中先行扣除相应金额的违约金、考核扣款、损失赔偿金或垫付费用。履约保证金金额不足扣除的，乙方应在接到甲方通知后及时补足至原金额。逾期未补足的，甲方有权暂停支付任何服务费用或单方解除本合同。 </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甲方账户信息如下：</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户名：南京中医药大学</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开户行：工商银行汉中门支行</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账号：4301010109001027264</w:t>
      </w:r>
      <w:r/>
    </w:p>
    <w:p>
      <w:pPr>
        <w:ind w:firstLine="413"/>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b/>
          <w:bCs/>
          <w:sz w:val="21"/>
          <w:szCs w:val="21"/>
        </w:rPr>
        <w:t xml:space="preserve">第三条 组成本合同的有关文件</w:t>
      </w:r>
      <w:r>
        <w:rPr>
          <w:rFonts w:hint="default" w:ascii="Times New Roman" w:hAnsi="Times New Roman" w:cs="Times New Roman"/>
          <w:sz w:val="21"/>
          <w:szCs w:val="21"/>
        </w:rPr>
        <w:t xml:space="preserve">  </w:t>
      </w:r>
      <w:r/>
    </w:p>
    <w:p>
      <w:pPr>
        <w:ind w:firstLine="411"/>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关于本项目的招标采购文件、乙方投标响应文件、本合同附件是本合同不可分割的组成部分，与本合同具有同等法律效力。</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b/>
          <w:bCs/>
          <w:sz w:val="21"/>
          <w:szCs w:val="21"/>
        </w:rPr>
        <w:t xml:space="preserve">第四条 权利保证</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乙方应保证为甲方提供的全部货物和服务，在服务中使用的植物、材料不受第三方提出侵犯其专利权、版权、商标权或其他权利的权利诉求。一旦出现上述侵权诉求，乙方应承担全部责任。</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b/>
          <w:bCs/>
          <w:sz w:val="21"/>
          <w:szCs w:val="21"/>
        </w:rPr>
        <w:t xml:space="preserve">第五条 质量保证</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乙方提供的服务必须全部达到招标文件、本合同约定的各项要求，国家或行业有规定标准的，还应当符合其相应规定标准。</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b/>
          <w:bCs/>
          <w:sz w:val="21"/>
          <w:szCs w:val="21"/>
        </w:rPr>
        <w:t xml:space="preserve">第六条 验收与考核</w:t>
      </w:r>
      <w:r/>
    </w:p>
    <w:p>
      <w:pPr>
        <w:ind w:firstLine="420"/>
        <w:spacing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1.</w:t>
      </w:r>
      <w:r>
        <w:rPr>
          <w:rFonts w:hint="default" w:ascii="Times New Roman" w:hAnsi="Times New Roman" w:cs="Times New Roman"/>
          <w:sz w:val="21"/>
          <w:szCs w:val="21"/>
        </w:rPr>
        <w:t xml:space="preserve">验收标准：</w:t>
      </w:r>
      <w:r>
        <w:rPr>
          <w:rFonts w:hint="default" w:ascii="Times New Roman" w:hAnsi="Times New Roman" w:cs="Times New Roman"/>
          <w:color w:val="000000"/>
          <w:sz w:val="21"/>
          <w:szCs w:val="21"/>
        </w:rPr>
        <w:t xml:space="preserve">《江苏省城市园林绿化养护管理规范及分级标准》、《南京中医药大学绿化养护监管及考核办法（修订版）》等有关规定，以及本合同约定的各项要求。乙方应当在合同期限内按招标文件、合同约定要求以及乙方投标响应文件列明的服务方案完成工作。</w:t>
      </w:r>
      <w:r/>
    </w:p>
    <w:p>
      <w:pPr>
        <w:ind w:firstLine="420"/>
        <w:jc w:val="left"/>
        <w:spacing w:line="360" w:lineRule="auto"/>
        <w:widowControl/>
        <w:rPr>
          <w:rFonts w:hint="default" w:ascii="Times New Roman" w:hAnsi="Times New Roman" w:cs="Times New Roman"/>
          <w:sz w:val="21"/>
          <w:szCs w:val="21"/>
        </w:rPr>
      </w:pPr>
      <w:r>
        <w:rPr>
          <w:rFonts w:hint="default" w:ascii="Times New Roman" w:hAnsi="Times New Roman" w:cs="Times New Roman"/>
          <w:sz w:val="21"/>
          <w:szCs w:val="21"/>
        </w:rPr>
        <w:t xml:space="preserve">2.考核</w:t>
      </w:r>
      <w:r>
        <w:rPr>
          <w:rFonts w:hint="default" w:ascii="Times New Roman" w:hAnsi="Times New Roman" w:cs="Times New Roman"/>
          <w:sz w:val="21"/>
          <w:szCs w:val="21"/>
        </w:rPr>
        <w:t xml:space="preserve">：甲方对乙方养护服务每年不定期（每季度至少一次）考核。甲方自行组织或视情邀请相关专家参加验收考核，乙方对甲方该单方面安排予以认可。合同期内，考核结果为不合格的或甲方认为乙方在服务期间未能履行服务承诺和合同规定的义务，发函给乙方要求整改后，乙方未在甲方要求时间内整改完成的，构成乙方严重违约，甲方有权扣除履约保证金并提前解除合同，因验收不合格导致合同迟延履行或造成甲方损失的，由乙方承担一切责任与后果。</w:t>
      </w:r>
      <w:r>
        <w:rPr>
          <w:rFonts w:hint="default" w:ascii="Times New Roman" w:hAnsi="Times New Roman" w:cs="Times New Roman"/>
          <w:b/>
          <w:bCs/>
          <w:sz w:val="21"/>
          <w:szCs w:val="21"/>
        </w:rPr>
        <w:t xml:space="preserve">具体考核管理办法以《</w:t>
      </w:r>
      <w:r>
        <w:rPr>
          <w:rFonts w:hint="default" w:ascii="Times New Roman" w:hAnsi="Times New Roman" w:cs="Times New Roman"/>
          <w:b/>
          <w:bCs/>
          <w:color w:val="000000"/>
          <w:sz w:val="21"/>
          <w:szCs w:val="21"/>
        </w:rPr>
        <w:t xml:space="preserve">南京中医药大学绿化养护监管及考核办法（修订版）</w:t>
      </w:r>
      <w:r>
        <w:rPr>
          <w:rFonts w:hint="default" w:ascii="Times New Roman" w:hAnsi="Times New Roman" w:cs="Times New Roman"/>
          <w:b/>
          <w:bCs/>
          <w:sz w:val="21"/>
          <w:szCs w:val="21"/>
        </w:rPr>
        <w:t xml:space="preserve">》（包括其修改或补充的相关内容，见本合同附件3）为准。</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b/>
          <w:bCs/>
          <w:sz w:val="21"/>
          <w:szCs w:val="21"/>
        </w:rPr>
        <w:t xml:space="preserve">第七条 付款方式</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1.甲方将全年的养护服务费用平均分配到四期中，分四次结算支付，各期对应的服务天数基本相同，四次结算周期如下：第一期（2026年8月20日—11月29日，共102天），第二期（2026年11月30日—2027年3月11日，共102天），第三期（2027年3月12日—6月21日，共102天），第四期（2027年6月22日—9月30日，共101天）。</w:t>
      </w:r>
      <w:r/>
    </w:p>
    <w:p>
      <w:pPr>
        <w:ind w:firstLine="420"/>
        <w:spacing w:line="360" w:lineRule="auto"/>
        <w:rPr>
          <w:rFonts w:hint="default" w:ascii="Times New Roman" w:hAnsi="Times New Roman" w:cs="Times New Roman"/>
          <w:sz w:val="21"/>
          <w:szCs w:val="21"/>
          <w:u w:val="single"/>
        </w:rPr>
      </w:pPr>
      <w:r>
        <w:rPr>
          <w:rFonts w:hint="default" w:ascii="Times New Roman" w:hAnsi="Times New Roman" w:cs="Times New Roman"/>
          <w:sz w:val="21"/>
          <w:szCs w:val="21"/>
        </w:rPr>
        <w:t xml:space="preserve">2.甲方根据乙方对所在标段养护内容的完成情况，完成效果及日常保洁、设施维护等进行综合评定打分的考核结果，向乙方支付养护服务费用。</w:t>
      </w:r>
      <w:r>
        <w:rPr>
          <w:rFonts w:hint="default" w:ascii="Times New Roman" w:hAnsi="Times New Roman" w:cs="Times New Roman"/>
          <w:sz w:val="21"/>
          <w:szCs w:val="21"/>
          <w:u w:val="single"/>
        </w:rPr>
        <w:t xml:space="preserve">每期实际支付金额按甲方对乙方的当期考核结果计算，具体结算方式如下：</w:t>
      </w:r>
      <w:r/>
    </w:p>
    <w:p>
      <w:pPr>
        <w:ind w:firstLine="420"/>
        <w:spacing w:line="360" w:lineRule="auto"/>
        <w:rPr>
          <w:rFonts w:hint="default" w:ascii="Times New Roman" w:hAnsi="Times New Roman" w:cs="Times New Roman"/>
          <w:sz w:val="21"/>
          <w:szCs w:val="21"/>
        </w:rPr>
      </w:pPr>
      <w:r>
        <w:rPr>
          <w:rFonts w:hint="default" w:ascii="Times New Roman" w:hAnsi="Times New Roman" w:cs="Times New Roman"/>
          <w:b/>
          <w:bCs/>
          <w:sz w:val="21"/>
          <w:szCs w:val="21"/>
          <w:u w:val="single"/>
        </w:rPr>
        <w:t xml:space="preserve">每期全额养护服务费用金额为合同总服务价款的25%，即为：人民币         （小写：¥       ）</w:t>
      </w:r>
      <w:r>
        <w:rPr>
          <w:rFonts w:hint="default" w:ascii="Times New Roman" w:hAnsi="Times New Roman" w:cs="Times New Roman"/>
          <w:b/>
          <w:bCs/>
          <w:sz w:val="21"/>
          <w:szCs w:val="21"/>
        </w:rPr>
        <w:t xml:space="preserve">，</w:t>
      </w:r>
      <w:r>
        <w:rPr>
          <w:rFonts w:hint="default" w:ascii="Times New Roman" w:hAnsi="Times New Roman" w:cs="Times New Roman"/>
          <w:sz w:val="21"/>
          <w:szCs w:val="21"/>
        </w:rPr>
        <w:t xml:space="preserve">其中，</w:t>
      </w:r>
      <w:r>
        <w:rPr>
          <w:rFonts w:hint="default" w:ascii="Times New Roman" w:hAnsi="Times New Roman" w:cs="Times New Roman"/>
          <w:b/>
          <w:bCs/>
          <w:sz w:val="21"/>
          <w:szCs w:val="21"/>
        </w:rPr>
        <w:t xml:space="preserve">每期全额养护服务费用金额的60%部分（根据本合同服务总价款计算为：</w:t>
      </w:r>
      <w:r>
        <w:rPr>
          <w:rFonts w:hint="default" w:ascii="Times New Roman" w:hAnsi="Times New Roman" w:cs="Times New Roman"/>
          <w:b/>
          <w:bCs/>
          <w:sz w:val="21"/>
          <w:szCs w:val="21"/>
          <w:u w:val="single"/>
        </w:rPr>
        <w:t xml:space="preserve">人民币        ，小写：¥          </w:t>
      </w:r>
      <w:r>
        <w:rPr>
          <w:rFonts w:hint="default" w:ascii="Times New Roman" w:hAnsi="Times New Roman" w:cs="Times New Roman"/>
          <w:b/>
          <w:bCs/>
          <w:sz w:val="21"/>
          <w:szCs w:val="21"/>
        </w:rPr>
        <w:t xml:space="preserve">作为</w:t>
      </w:r>
      <w:r>
        <w:rPr>
          <w:rFonts w:hint="default" w:ascii="Times New Roman" w:hAnsi="Times New Roman" w:cs="Times New Roman"/>
          <w:b/>
          <w:bCs/>
          <w:sz w:val="21"/>
          <w:szCs w:val="21"/>
          <w:u w:val="single"/>
        </w:rPr>
        <w:t xml:space="preserve">每期基本养护服务费用</w:t>
      </w:r>
      <w:r>
        <w:rPr>
          <w:rFonts w:hint="default" w:ascii="Times New Roman" w:hAnsi="Times New Roman" w:cs="Times New Roman"/>
          <w:sz w:val="21"/>
          <w:szCs w:val="21"/>
        </w:rPr>
        <w:t xml:space="preserve">，</w:t>
      </w:r>
      <w:r>
        <w:rPr>
          <w:rFonts w:hint="default" w:ascii="Times New Roman" w:hAnsi="Times New Roman" w:cs="Times New Roman"/>
          <w:b/>
          <w:bCs/>
          <w:sz w:val="21"/>
          <w:szCs w:val="21"/>
        </w:rPr>
        <w:t xml:space="preserve">剩余40%部分（根据本合同服务总价款计算为：</w:t>
      </w:r>
      <w:r>
        <w:rPr>
          <w:rFonts w:hint="default" w:ascii="Times New Roman" w:hAnsi="Times New Roman" w:cs="Times New Roman"/>
          <w:b/>
          <w:bCs/>
          <w:sz w:val="21"/>
          <w:szCs w:val="21"/>
          <w:u w:val="single"/>
        </w:rPr>
        <w:t xml:space="preserve">人民币        ，小写：¥        </w:t>
      </w:r>
      <w:r>
        <w:rPr>
          <w:rFonts w:hint="default" w:ascii="Times New Roman" w:hAnsi="Times New Roman" w:cs="Times New Roman"/>
          <w:b/>
          <w:bCs/>
          <w:sz w:val="21"/>
          <w:szCs w:val="21"/>
        </w:rPr>
        <w:t xml:space="preserve">）作为</w:t>
      </w:r>
      <w:r>
        <w:rPr>
          <w:rFonts w:hint="default" w:ascii="Times New Roman" w:hAnsi="Times New Roman" w:cs="Times New Roman"/>
          <w:b/>
          <w:bCs/>
          <w:sz w:val="21"/>
          <w:szCs w:val="21"/>
          <w:u w:val="single"/>
        </w:rPr>
        <w:t xml:space="preserve">每期全额考核养护服务费用</w:t>
      </w:r>
      <w:r>
        <w:rPr>
          <w:rFonts w:hint="default" w:ascii="Times New Roman" w:hAnsi="Times New Roman" w:cs="Times New Roman"/>
          <w:sz w:val="21"/>
          <w:szCs w:val="21"/>
        </w:rPr>
        <w:t xml:space="preserve">。每期累计支付的养护服务费用金额不超过每期全额养护服务费用金额。</w:t>
      </w:r>
      <w:r/>
    </w:p>
    <w:p>
      <w:pPr>
        <w:ind w:firstLine="420"/>
        <w:spacing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具体每期应支付的养护服务费用金额计算方式如下：</w:t>
      </w:r>
      <w:r/>
    </w:p>
    <w:p>
      <w:pPr>
        <w:ind w:firstLine="420"/>
        <w:spacing w:line="360" w:lineRule="auto"/>
        <w:rPr>
          <w:rFonts w:hint="default" w:ascii="Times New Roman" w:hAnsi="Times New Roman" w:cs="Times New Roman"/>
          <w:sz w:val="21"/>
          <w:szCs w:val="21"/>
          <w:u w:val="single"/>
        </w:rPr>
      </w:pPr>
      <w:r>
        <w:rPr>
          <w:rFonts w:hint="default" w:ascii="Times New Roman" w:hAnsi="Times New Roman" w:cs="Times New Roman"/>
          <w:sz w:val="21"/>
          <w:szCs w:val="21"/>
        </w:rPr>
        <w:t xml:space="preserve">（1）当期考核成绩在90分以上（含90分）支付当期全额养护服务费用金额，</w:t>
      </w:r>
      <w:r>
        <w:rPr>
          <w:rFonts w:hint="default" w:ascii="Times New Roman" w:hAnsi="Times New Roman" w:cs="Times New Roman"/>
          <w:sz w:val="21"/>
          <w:szCs w:val="21"/>
          <w:u w:val="single"/>
        </w:rPr>
        <w:t xml:space="preserve">即：当期应支付的养护服务费用金额=每期全额养护服务费用；</w:t>
      </w:r>
      <w:r/>
    </w:p>
    <w:p>
      <w:pPr>
        <w:ind w:firstLine="420"/>
        <w:spacing w:line="360" w:lineRule="auto"/>
        <w:rPr>
          <w:rFonts w:hint="default" w:ascii="Times New Roman" w:hAnsi="Times New Roman" w:cs="Times New Roman"/>
          <w:sz w:val="21"/>
          <w:szCs w:val="21"/>
          <w:u w:val="single"/>
        </w:rPr>
      </w:pPr>
      <w:r>
        <w:rPr>
          <w:rFonts w:hint="default" w:ascii="Times New Roman" w:hAnsi="Times New Roman" w:cs="Times New Roman"/>
          <w:sz w:val="21"/>
          <w:szCs w:val="21"/>
        </w:rPr>
        <w:t xml:space="preserve">（2）当期考核成绩在85—90分（含85分）之间的，当期考核养护服务费用按[（100-实际得分）/100]*每期全额考核养护服务费用扣除后的金额支付，</w:t>
      </w:r>
      <w:r>
        <w:rPr>
          <w:rFonts w:hint="default" w:ascii="Times New Roman" w:hAnsi="Times New Roman" w:cs="Times New Roman"/>
          <w:sz w:val="21"/>
          <w:szCs w:val="21"/>
          <w:u w:val="single"/>
        </w:rPr>
        <w:t xml:space="preserve">即：当期应支付的养护服务费用金额=每期基本养护服务费用+[1-（100-实际得分）/100]*每期全额考核养护服务费用）；</w:t>
      </w:r>
      <w:r/>
    </w:p>
    <w:p>
      <w:pPr>
        <w:ind w:firstLine="420"/>
        <w:spacing w:line="360" w:lineRule="auto"/>
        <w:rPr>
          <w:rFonts w:hint="default" w:ascii="Times New Roman" w:hAnsi="Times New Roman" w:cs="Times New Roman"/>
          <w:sz w:val="21"/>
          <w:szCs w:val="21"/>
          <w:u w:val="single"/>
        </w:rPr>
      </w:pPr>
      <w:r>
        <w:rPr>
          <w:rFonts w:hint="default" w:ascii="Times New Roman" w:hAnsi="Times New Roman" w:cs="Times New Roman"/>
          <w:sz w:val="21"/>
          <w:szCs w:val="21"/>
        </w:rPr>
        <w:t xml:space="preserve">（3）当期考核成绩在75—85分（含75分）之间的，当期考核养护服务费用按[2*（100-实际得分）/100]*每期全额考核养护服务费用扣除后的金额支付，</w:t>
      </w:r>
      <w:r>
        <w:rPr>
          <w:rFonts w:hint="default" w:ascii="Times New Roman" w:hAnsi="Times New Roman" w:cs="Times New Roman"/>
          <w:sz w:val="21"/>
          <w:szCs w:val="21"/>
          <w:u w:val="single"/>
        </w:rPr>
        <w:t xml:space="preserve">即：当期应支付的养护服务费用金额=每期基本养护服务费用+[1-2*（100-实际得分）/100]*每期全额考核养护服务费用）；</w:t>
      </w:r>
      <w:r/>
    </w:p>
    <w:p>
      <w:pPr>
        <w:ind w:firstLine="420"/>
        <w:spacing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（4）当期考核成绩在75分以下为不合格，直接扣除当期全额考核养护服务费用，</w:t>
      </w:r>
      <w:r>
        <w:rPr>
          <w:rFonts w:hint="default" w:ascii="Times New Roman" w:hAnsi="Times New Roman" w:cs="Times New Roman"/>
          <w:sz w:val="21"/>
          <w:szCs w:val="21"/>
          <w:u w:val="single"/>
        </w:rPr>
        <w:t xml:space="preserve">即：当期应支付的养护服务费用金额=每期基本养护服务费用</w:t>
      </w:r>
      <w:r>
        <w:rPr>
          <w:rFonts w:hint="default" w:ascii="Times New Roman" w:hAnsi="Times New Roman" w:cs="Times New Roman"/>
          <w:sz w:val="21"/>
          <w:szCs w:val="21"/>
        </w:rPr>
        <w:t xml:space="preserve">。</w:t>
      </w:r>
      <w:r/>
    </w:p>
    <w:p>
      <w:pPr>
        <w:ind w:firstLine="420"/>
        <w:spacing w:line="360" w:lineRule="auto"/>
        <w:rPr>
          <w:rFonts w:hint="default" w:ascii="Times New Roman" w:hAnsi="Times New Roman" w:cs="Times New Roman"/>
          <w:b/>
          <w:bCs/>
          <w:sz w:val="21"/>
          <w:szCs w:val="21"/>
        </w:rPr>
      </w:pPr>
      <w:r>
        <w:rPr>
          <w:rFonts w:hint="default" w:ascii="Times New Roman" w:hAnsi="Times New Roman" w:cs="Times New Roman"/>
          <w:b/>
          <w:bCs/>
          <w:sz w:val="21"/>
          <w:szCs w:val="21"/>
        </w:rPr>
        <w:t xml:space="preserve">最后一期费用支付前提还包括：乙方已完成工作交接、将绿地及设施完好移交甲方、无未了结违约索赔或损害赔偿，如因乙方原因导致交接工作延迟完成，甲方支付尾款的时间相应顺延，且不承担任何违约责任。若乙方连续两期考核成绩低于75分（不合格），甲方有权暂停支付后续款项，并可按本合同第十条规定解除本合同。</w:t>
      </w:r>
      <w:r/>
    </w:p>
    <w:p>
      <w:pPr>
        <w:ind w:firstLine="420"/>
        <w:jc w:val="left"/>
        <w:spacing w:line="360" w:lineRule="auto"/>
        <w:shd w:val="clear" w:color="auto" w:fill="ffffff"/>
        <w:widowControl/>
        <w:rPr>
          <w:rFonts w:hint="default" w:ascii="Times New Roman" w:hAnsi="Times New Roman" w:cs="Times New Roman"/>
          <w:b/>
          <w:bCs/>
          <w:sz w:val="21"/>
          <w:szCs w:val="21"/>
        </w:rPr>
      </w:pPr>
      <w:r>
        <w:rPr>
          <w:rFonts w:hint="default" w:ascii="Times New Roman" w:hAnsi="Times New Roman" w:cs="Times New Roman"/>
          <w:sz w:val="21"/>
          <w:szCs w:val="21"/>
        </w:rPr>
        <w:t xml:space="preserve">3.本合同项下所有款项均以人民币支付。</w:t>
      </w:r>
      <w:r>
        <w:rPr>
          <w:rFonts w:hint="default" w:ascii="Times New Roman" w:hAnsi="Times New Roman" w:cs="Times New Roman"/>
          <w:b/>
          <w:bCs/>
          <w:sz w:val="21"/>
          <w:szCs w:val="21"/>
        </w:rPr>
        <w:t xml:space="preserve">乙方指定的收取本合同项下所有应收款项的银行账户信息如下：</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开户名：【          】　　　　</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账号：【          】　　　　</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开户银行：【          】　　　　</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甲方向上述乙方账号付款后即视为已付款。由于乙方账号变更未及时书面通知甲方，或由于银行的原因以及其他任何非甲方原因而导致乙方无法收到款项，均由乙方自行承担相应后果。</w:t>
      </w:r>
      <w:r/>
    </w:p>
    <w:p>
      <w:pPr>
        <w:ind w:firstLine="420"/>
        <w:spacing w:line="360" w:lineRule="auto"/>
        <w:rPr>
          <w:rFonts w:hint="default" w:ascii="Times New Roman" w:hAnsi="Times New Roman" w:cs="Times New Roman"/>
          <w:b/>
          <w:bCs/>
          <w:sz w:val="21"/>
          <w:szCs w:val="21"/>
        </w:rPr>
      </w:pPr>
      <w:r>
        <w:rPr>
          <w:rFonts w:hint="default" w:ascii="Times New Roman" w:hAnsi="Times New Roman" w:cs="Times New Roman"/>
          <w:b/>
          <w:bCs/>
          <w:sz w:val="21"/>
          <w:szCs w:val="21"/>
        </w:rPr>
        <w:t xml:space="preserve">4.本项目为跨年度项目，如遇付款时间为学校寒暑假期或其他财务封帐期等特殊情况，暂时无法支付养护费用，付款时间由甲、乙双方另行商定。对此乙方表示：遇此情况下甲方可以推迟付款且不构成违约。</w:t>
      </w:r>
      <w:r/>
    </w:p>
    <w:p>
      <w:pPr>
        <w:ind w:firstLine="420"/>
        <w:spacing w:line="360" w:lineRule="auto"/>
        <w:rPr>
          <w:rFonts w:hint="default" w:ascii="Times New Roman" w:hAnsi="Times New Roman" w:cs="Times New Roman"/>
          <w:sz w:val="21"/>
          <w:szCs w:val="21"/>
        </w:rPr>
      </w:pPr>
      <w:r>
        <w:rPr>
          <w:rFonts w:hint="default" w:ascii="Times New Roman" w:hAnsi="Times New Roman" w:cs="Times New Roman"/>
          <w:sz w:val="21"/>
          <w:szCs w:val="21"/>
        </w:rPr>
        <w:t xml:space="preserve">5.甲方每次付款前，乙方须向甲方提供符合甲方财务要求的发票，否则甲方有权拒绝付款。</w:t>
      </w:r>
      <w:r/>
    </w:p>
    <w:p>
      <w:pPr>
        <w:ind w:firstLine="420"/>
        <w:spacing w:line="360" w:lineRule="auto"/>
        <w:rPr>
          <w:rFonts w:hint="default" w:ascii="Times New Roman" w:hAnsi="Times New Roman" w:cs="Times New Roman"/>
          <w:b/>
          <w:bCs/>
          <w:sz w:val="21"/>
          <w:szCs w:val="21"/>
        </w:rPr>
      </w:pPr>
      <w:r>
        <w:rPr>
          <w:rFonts w:hint="default" w:ascii="Times New Roman" w:hAnsi="Times New Roman" w:cs="Times New Roman"/>
          <w:b/>
          <w:bCs/>
          <w:sz w:val="21"/>
          <w:szCs w:val="21"/>
        </w:rPr>
        <w:t xml:space="preserve">第八条 甲方权利与义务 </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1.甲方有权根据招标文件、本合同及附件要求，对乙方所提供的养护服务进行监督、检查、考核验收，并按照考核结果支付养护服务费或进行扣款处理。</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2.甲方有权审核乙方提交的养护服务、设施维护计划，并根据养护服务情况、设施维护实际需要对乙方计划进行核准、调整或要求修改。</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3.甲方有权随时对乙方的作业现场、人员配备、安全措施、设备状况等进行明察或暗访，乙方应予以配合。</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4.甲方有权根据校园功能区划调整或管理需要，对检查考核规范进行修改和补充，修改后的规范自书面通知乙方之日起生效。</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5.甲方有权要求乙方更换不符合要求的人员（包括但不限于技能不达标、不服从管理、有违法违纪记录等），乙方应在收到通知后7个工作日内完成更换。</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6.甲方有权要求乙方增加临时用工或延长作业时间以应对学校重大活动、极端天气或突发事件，乙方应无条件服从，相关费用已包含在合同总价款中，甲方不再另行支付。</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7.甲方有权暂停支付乙方的养护服务费用，直至乙方完全纠正违约行为或完成整改。</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8.甲方有权从应付服务费或履约保证金中直接扣除乙方应付的违约金、赔偿金、考核扣款等。</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9.甲方有权要求乙方提供其用工的社保缴纳记录、工资发放凭证等，以核查乙方是否依法用工。乙方应在收到通知后5个工作日内提供。</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10.甲方有权在乙方严重违约时，单方解除本合同、没收全部履约保证金，并追究乙方的违约责任。</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11.甲方有权要求乙方对其养护范围内的安全隐患进行排查和整改，督促、指导乙方按照设施维护规范、规程的要求实施设施维护、巡查等工作，乙方应在甲方要求的期限内完成。</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12.甲方应按照本合同约定，在乙方全面履行合同义务且无违约情形的前提下，向乙方支付养护服务费用。</w:t>
      </w:r>
      <w:r/>
    </w:p>
    <w:p>
      <w:pPr>
        <w:ind w:firstLine="420"/>
        <w:jc w:val="left"/>
        <w:spacing w:line="360" w:lineRule="auto"/>
        <w:shd w:val="clear" w:color="auto" w:fill="ffffff"/>
        <w:widowControl/>
        <w:rPr>
          <w:rFonts w:hint="default" w:ascii="Times New Roman" w:hAnsi="Times New Roman" w:cs="Times New Roman"/>
          <w:b/>
          <w:bCs/>
          <w:sz w:val="21"/>
          <w:szCs w:val="21"/>
        </w:rPr>
      </w:pPr>
      <w:r>
        <w:rPr>
          <w:rFonts w:hint="default" w:ascii="Times New Roman" w:hAnsi="Times New Roman" w:cs="Times New Roman"/>
          <w:b/>
          <w:bCs/>
          <w:sz w:val="21"/>
          <w:szCs w:val="21"/>
        </w:rPr>
        <w:t xml:space="preserve">第九条  乙方权利和义务</w:t>
      </w:r>
      <w:r/>
    </w:p>
    <w:p>
      <w:pPr>
        <w:ind w:firstLine="315"/>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1.乙方应按照设施维护规范、规程的要求实施并完成各项设施维护任务，达到甲方有关设施维护标准，保持所维护设施状况的完好，乙方有权依据本合同约定，在全面履行义务且无违约情形下获得养护服务费用。</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2.乙方应为提供本合同项下服务委派专业的绿化管理养护队伍，按照《中华人民共和国劳动法》等法律法规规范用工，</w:t>
      </w:r>
      <w:r>
        <w:rPr>
          <w:rFonts w:hint="default" w:ascii="Times New Roman" w:hAnsi="Times New Roman" w:cs="Times New Roman"/>
          <w:b/>
          <w:sz w:val="21"/>
          <w:szCs w:val="21"/>
        </w:rPr>
        <w:t xml:space="preserve">具体人员要求见本合同附件2：人员要求。乙方未依法用工导致甲方被行政处罚或被追究连带责任的，乙方应赔偿甲方全部损失。</w:t>
      </w:r>
      <w:r>
        <w:rPr>
          <w:rFonts w:hint="default" w:ascii="Times New Roman" w:hAnsi="Times New Roman" w:cs="Times New Roman"/>
          <w:bCs/>
          <w:sz w:val="21"/>
          <w:szCs w:val="21"/>
        </w:rPr>
        <w:t xml:space="preserve">乙方拟投入项目的人员未经甲方同意，不得更换，且需积极响应甲方现场检查、考核、会议等要求。乙方投入项目的人员因离职、生病等确需调整的，应提前</w:t>
      </w:r>
      <w:r>
        <w:rPr>
          <w:rFonts w:hint="default" w:ascii="Times New Roman" w:hAnsi="Times New Roman" w:cs="Times New Roman"/>
          <w:b/>
          <w:sz w:val="21"/>
          <w:szCs w:val="21"/>
        </w:rPr>
        <w:t xml:space="preserve">5个工作日</w:t>
      </w:r>
      <w:r>
        <w:rPr>
          <w:rFonts w:hint="default" w:ascii="Times New Roman" w:hAnsi="Times New Roman" w:cs="Times New Roman"/>
          <w:bCs/>
          <w:sz w:val="21"/>
          <w:szCs w:val="21"/>
        </w:rPr>
        <w:t xml:space="preserve">书面通知甲方，经甲方书面同意后方可更换，并提交新人员的劳动合同原件、身份证原件、资格证书原件供甲方核验，复印件交甲方备案。甲方有权对更换人员进行面试或技能测试，不合格者乙方应继续更换。</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3.乙方按照有关要求实施维护作业施工时，应统一着装，安全施工，文明作业，规范设置施工警示语或警示标志。乙方的工作人员及设备的安全由乙方负责。因养护责任而造成所养护范围内的设施对自身或甲方、第三方形成伤害时，一切责任与后果均由乙方承担，甲方不作任何补偿。</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4.乙方应遵守《南京中医药大学绿化养护监管及考核办法（修订版）》（包括其修改或补充的相关内容），主动自觉接受并配合甲方及行业管理部门的监督、检查和考核，无条件接受甲方验收考核结果。乙方对考核结果有异议的，可在收到结果后3个工作日内书面提出并附证据，逾期视为认可。</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bCs/>
          <w:sz w:val="21"/>
          <w:szCs w:val="21"/>
        </w:rPr>
        <w:t xml:space="preserve">5.乙方在节假日须安排人员留守值班，并应无条件、即时响应学校重大活动（包括但不限于重大庆典、宣传活动、重要会议、开学季、毕业季、评估检查等）时甲方提出的绿化整治、草花摆放、突击修整等要求，确保出效果，树形象。相关费用已包含在合同总价款中。</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6.乙方应建立健全设施维护各类台帐资料，按规定及时准确地向甲方报送养护计划和养护报表。乙方报送的养护计划需有明确的量化指标，并于每月月底前报送当月计划完成报表和次月养护计划报表，首次养护计划报表应于本合同签订之日（含当日）前报送，甲方将根据乙方完成情况进行审核。</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7.乙方应依据甲方的要求、技术规范，制定防汛、防台、防雪等应急预案，建立应急组织网络，组建抢险队伍，准备并且备足常用的抢险材料，服从甲方调度和管理。</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8.乙方应对其养护范围内的绿地、设施进行巡查，发现绿化植物、养护设施被人为损坏或偷盗事件时，应立即制止并向甲方报告。因乙方巡查不到位、未及时报告导致损失扩大的，乙方应承担相应赔偿责任。</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9.乙方应对养护范围内的安全隐患进行全面排查（包括但不限于枯枝死枝、树木倾斜、设施松动等），发现隐患应立即设置警示标志并在24小时内完成整改或向甲方报告。因乙方未及时排查或整改导致人员伤亡或财产损失的，由乙方承担全部责任。</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10.重大应急处理：在不可抗力造成乙方承包养护的植物、设施损坏时，在事发的第一时间内乙方应派人员赶到事发现场，根据植物及设施的损坏情况，拿出处理方案（方案得到甲方批准后），立即组织人员进行处理，力争在最短的时间消除隐患。</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11.乙方应负责自行提供养护所采用的设施（如：养护维护材料、养护机具等）及其搬运、安装调试，且养护维护材料、养护机具必须符合国家、省、市相关标准和规定，且为合格产品。</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12.乙方不得将所养护维护的设施进行出租、抵押、担保或利用其从事其他经营性行为，不得私自改动设施或允许他人改动设施。乙方不得将本合同项下服务全部或部分转包、分包给第三方。</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13.因乙方养护不善或养护作业不规范导致养护区域内绿化植物、养护维护材料、养护维护设施等部分或全部损毁、损坏的，乙方应按甲方的要求及时予以补种或者照价赔偿，且甲方有权追究乙方的违约责任。乙方未按约定时限完成补植/补种的，每逾期一日按应补植费用20%支付违约金，最低每株乔木500元、每平方米灌木/草坪50元，甲方有权从应付服务费或履约保证金中直接扣除。在合同履行过程中，因乙方人员责任造成人身伤害和财产损失的，由乙方承担全部赔偿责任。</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14.乙方应设立投诉报修电话，实行24小时值班制度，保证24小时通讯畅通。本合同现场负责人：</w:t>
      </w:r>
      <w:r>
        <w:rPr>
          <w:rFonts w:hint="default" w:ascii="Times New Roman" w:hAnsi="Times New Roman" w:cs="Times New Roman"/>
          <w:bCs/>
          <w:sz w:val="21"/>
          <w:szCs w:val="21"/>
          <w:u w:val="single"/>
        </w:rPr>
        <w:t xml:space="preserve">      </w:t>
      </w:r>
      <w:r>
        <w:rPr>
          <w:rFonts w:hint="default" w:ascii="Times New Roman" w:hAnsi="Times New Roman" w:cs="Times New Roman"/>
          <w:bCs/>
          <w:sz w:val="21"/>
          <w:szCs w:val="21"/>
        </w:rPr>
        <w:t xml:space="preserve">，电话：</w:t>
      </w:r>
      <w:r>
        <w:rPr>
          <w:rFonts w:hint="default" w:ascii="Times New Roman" w:hAnsi="Times New Roman" w:cs="Times New Roman"/>
          <w:bCs/>
          <w:sz w:val="21"/>
          <w:szCs w:val="21"/>
          <w:u w:val="single"/>
        </w:rPr>
        <w:t xml:space="preserve">        </w:t>
      </w:r>
      <w:r>
        <w:rPr>
          <w:rFonts w:hint="default" w:ascii="Times New Roman" w:hAnsi="Times New Roman" w:cs="Times New Roman"/>
          <w:bCs/>
          <w:sz w:val="21"/>
          <w:szCs w:val="21"/>
        </w:rPr>
        <w:t xml:space="preserve">。对于甲方或是乙方巡查出的问题，均应在三天内按甲方的要求整改到位。</w:t>
      </w:r>
      <w:r/>
    </w:p>
    <w:p>
      <w:pPr>
        <w:ind w:firstLine="420"/>
        <w:jc w:val="left"/>
        <w:spacing w:line="360" w:lineRule="auto"/>
        <w:shd w:val="clear" w:color="auto" w:fill="ffffff"/>
        <w:widowControl/>
        <w:rPr>
          <w:rFonts w:hint="default" w:ascii="Times New Roman" w:hAnsi="Times New Roman" w:cs="Times New Roman"/>
          <w:bCs/>
          <w:sz w:val="21"/>
          <w:szCs w:val="21"/>
        </w:rPr>
      </w:pPr>
      <w:r>
        <w:rPr>
          <w:rFonts w:hint="default" w:ascii="Times New Roman" w:hAnsi="Times New Roman" w:cs="Times New Roman"/>
          <w:bCs/>
          <w:sz w:val="21"/>
          <w:szCs w:val="21"/>
        </w:rPr>
        <w:t xml:space="preserve">15.乙方须开展行风文明建设，遵守承诺制、首问负责制，在各项保供、迎检工作中，服从甲方安排，达到各项要求。</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b/>
          <w:bCs/>
          <w:sz w:val="21"/>
          <w:szCs w:val="21"/>
        </w:rPr>
        <w:t xml:space="preserve">第十条  违约责任  </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1.乙方有下列情形之一，属于严重违约，应向甲方支付合同总价10%的违约金，甲方有权单方解除合同、没收全部履约保证金，并要求乙方赔偿全部损失（含第三方索赔、律师费、诉讼费、行政罚款等）：</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（1）服务或人员配置不满足招标文件、附件1、附件2或本合同约定，经两次书面整改仍不合格；</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（2）未按本合同约定完成服务任务，且在甲方要求的合理期限内仍未完成；</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（3）将本合同项下服务全部或部分转包、分包（经甲方书面同意的专项协作除外，协作不免除乙方责任）；</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（4）年度内连续两次考核不合格或累计三次以上不合格或甲方发出书面《整改通知单》后乙方未按期完成整改累计达三次；</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（5）因乙方养护不善、操作不当导致树木倒伏、折断、喷药中毒等造成人员伤亡或财产损失，经认定乙方负有责任。</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2.不可抗力</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2.1 不可抗力的定义：本合同所称不可抗力，是指不能预见、不能避免并不能克服的客观情况，仅限于以下情形：</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（1）地震、洪水、台风、暴雪等重大自然灾害（以国家或省级气象部门发布的灾害预警等级为准）；</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（2）战争、武装冲突、恐怖袭击；</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（3）国家或省级政府颁布的法律、行政法规、行政规章或政策导致合同无法继续履行。</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下列情形不属于不可抗力：</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（1）一般的降雨、大风、高温、低温等季节性天气；</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（2）乙方或其员工的罢工、劳资纠纷、人员流失、资金周转困难等内部原因；</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（3）乙方供应商、分包商的违约或延迟；</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（4）政府部门的常规检查、审批流程延长；</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（5）可预见的节假日交通管制、物流延迟等。</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2.2 通知与证明义务：任何一方因不可抗力导致无法履行合同的，应在不可抗力事件发生后24小时内书面通知对方，并在7个工作日内提供有权机构出具的证明文件。未及时通知或未提供证明的，不得援引不可抗力条款免责。</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2.3 减损义务：遭遇不可抗力的一方应采取一切合理措施减少损失和影响，并在不可抗力消除后立即恢复履行。因未采取减损措施导致损失扩大的，应对扩大部分的损失承担责任。</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2.4 后果处理：</w:t>
      </w:r>
      <w:r/>
    </w:p>
    <w:p>
      <w:pPr>
        <w:ind w:firstLine="420"/>
        <w:jc w:val="left"/>
        <w:spacing w:line="360" w:lineRule="auto"/>
        <w:shd w:val="clear" w:color="auto" w:fill="ffffff"/>
        <w:widowControl/>
        <w:rPr>
          <w:rFonts w:hint="default" w:ascii="Times New Roman" w:hAnsi="Times New Roman" w:cs="Times New Roman"/>
          <w:color w:val="auto"/>
          <w:sz w:val="21"/>
          <w:szCs w:val="21"/>
        </w:rPr>
      </w:pPr>
      <w:r>
        <w:rPr>
          <w:rFonts w:hint="default" w:ascii="Times New Roman" w:hAnsi="Times New Roman" w:cs="Times New Roman"/>
          <w:sz w:val="21"/>
          <w:szCs w:val="21"/>
        </w:rPr>
        <w:t xml:space="preserve">（1）不</w:t>
      </w:r>
      <w:r>
        <w:rPr>
          <w:rFonts w:hint="default" w:ascii="Times New Roman" w:hAnsi="Times New Roman" w:cs="Times New Roman"/>
          <w:color w:val="auto"/>
          <w:sz w:val="21"/>
          <w:szCs w:val="21"/>
        </w:rPr>
        <w:t xml:space="preserve">可抗力事件持续不超过15日的，双方可协商顺延合同履行期限；</w:t>
      </w:r>
      <w:r/>
    </w:p>
    <w:p>
      <w:pPr>
        <w:ind w:firstLine="420"/>
        <w:jc w:val="left"/>
        <w:spacing w:line="360" w:lineRule="auto"/>
        <w:shd w:val="clear" w:color="auto" w:fill="ffffff"/>
        <w:widowControl/>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（2）不可抗力事件持续超过15日的，任何一方有权书面通知对方解除合同，双方按实际已履行部分结算费用，互不承担违约责任；</w:t>
      </w:r>
      <w:r/>
    </w:p>
    <w:p>
      <w:pPr>
        <w:numPr>
          <w:ilvl w:val="0"/>
          <w:numId w:val="4"/>
        </w:numPr>
        <w:ind w:firstLine="420"/>
        <w:jc w:val="left"/>
        <w:spacing w:line="360" w:lineRule="auto"/>
        <w:shd w:val="clear" w:color="auto" w:fill="ffffff"/>
        <w:widowControl/>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因不可抗力导致乙方养护范围内的植物、设施损坏的，乙方应在不可抗力结束后24小时内拿出恢复方案报甲方审批，并按甲方批准的方案实施修复，修复费用由乙方承担（已包含在合同总价款中）。</w:t>
      </w:r>
      <w:r/>
    </w:p>
    <w:p>
      <w:pPr>
        <w:ind w:firstLine="420"/>
        <w:jc w:val="left"/>
        <w:spacing w:line="360" w:lineRule="auto"/>
        <w:shd w:val="clear" w:color="auto" w:fill="ffffff"/>
        <w:widowControl/>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3.乙方因人员、机械等跟不上管理需要影响工作，未达到质量标准或养护计划，经甲方检查确认第一次不合格的，甲方要求乙方限期整改；第二次检查仍不合格的，甲方有权单方解除本合同并按本条第1项追究乙方的违约责任。</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4.任何一方构成违约导致对方解除合同的，当违约金不能补偿对方损失时，守约方还有权向对方追索实际损失的赔偿金。</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5.乙方违反甲方管理规定的行为均属违约行为，甲方根据其条款规定，视乙方违反规定的情节轻重，做出批评教育、警告、扣罚处理；乙方违反甲方管理规定达【3】次以上的，属于违约情形严重，甲方有权单方解除本合同并按本条第1项追究乙方的违约责任，乙方自行承担一切经济损失和法律责任。</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b/>
          <w:bCs/>
          <w:sz w:val="21"/>
          <w:szCs w:val="21"/>
        </w:rPr>
        <w:t xml:space="preserve">第十一条 合同的变更和终止</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1.本合同一经签订，甲乙双方不得擅自变更、中止或终止合同，本合同另有约定除外。</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2.除发生法律规定的不能预见、不能避免并不能克服的客观情况外，甲乙双方不得放弃或拒绝履行合同。乙方放弃或拒绝履行合同，履约保证金不予退还，且自放弃或拒绝履行合同之日起三年内不得参加南京中医药大学组织的政府采购活动。</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b/>
          <w:bCs/>
          <w:sz w:val="21"/>
          <w:szCs w:val="21"/>
        </w:rPr>
        <w:t xml:space="preserve">第十二条 合同的转让</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乙方不得擅自部分或全部转让其应履行的合同义务。</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b/>
          <w:bCs/>
          <w:sz w:val="21"/>
          <w:szCs w:val="21"/>
        </w:rPr>
        <w:t xml:space="preserve">第十三条 争议的解决</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因履行本合同引起的或与本合同有关的争议，甲、乙双方应首先通过友好协商解决，如果协商不能解决争议，则双方商定向甲方所在地有管辖权的人民法院提起诉讼。</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b/>
          <w:bCs/>
          <w:sz w:val="21"/>
          <w:szCs w:val="21"/>
        </w:rPr>
        <w:t xml:space="preserve">第十四条 诚实信用</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乙方应诚实信用，严格按照采购文件要求和承诺履行合同，不向甲方或甲方工作人员进行商业贿赂或者提供不正当利益。</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b/>
          <w:bCs/>
          <w:sz w:val="21"/>
          <w:szCs w:val="21"/>
        </w:rPr>
        <w:t xml:space="preserve">第十五条 合同生效及其他</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1.本合同的相关附件是本合同不可分割的组成部分，包括但不限于招标文件、乙方投标文件、谈判纪要、《南京中医药大学绿化养护监管及考核办法（修订版）》（包括其修改或补充的相关内容）、《江苏省城市园林绿化养护管理规范及分级标准》、甲方其他规章制度等。</w:t>
      </w:r>
      <w:r/>
    </w:p>
    <w:p>
      <w:pPr>
        <w:ind w:firstLine="420"/>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2.本合同未尽事宜，经合同双方共同协商所作出的补充协议与本合同具有同等法律效力。</w:t>
      </w:r>
      <w:r/>
    </w:p>
    <w:p>
      <w:pPr>
        <w:ind w:firstLine="420"/>
        <w:jc w:val="left"/>
        <w:spacing w:line="360" w:lineRule="auto"/>
        <w:shd w:val="clear" w:color="auto" w:fill="ffffff"/>
        <w:widowControl/>
        <w:rPr>
          <w:rFonts w:hint="default" w:ascii="Times New Roman" w:hAnsi="Times New Roman" w:cs="Times New Roman"/>
          <w:b/>
          <w:sz w:val="21"/>
          <w:szCs w:val="21"/>
        </w:rPr>
      </w:pPr>
      <w:r>
        <w:rPr>
          <w:rFonts w:hint="default" w:ascii="Times New Roman" w:hAnsi="Times New Roman" w:cs="Times New Roman"/>
          <w:sz w:val="21"/>
          <w:szCs w:val="21"/>
        </w:rPr>
        <w:t xml:space="preserve">3.本合同一式陆份，自甲、乙双方法定代表人或授权代表签名并加盖单位印章（注：甲方加盖单位印章为甲方单位经济合同专用章，）之日起生效，甲方持有肆份，乙方持有贰份，具有同等法律效力。</w:t>
      </w:r>
      <w:r/>
    </w:p>
    <w:p>
      <w:pPr>
        <w:ind w:firstLine="420"/>
        <w:jc w:val="left"/>
        <w:spacing w:line="360" w:lineRule="auto"/>
        <w:shd w:val="clear" w:color="auto" w:fill="ffffff"/>
        <w:widowControl/>
        <w:rPr>
          <w:rFonts w:hint="default" w:ascii="Times New Roman" w:hAnsi="Times New Roman" w:cs="Times New Roman"/>
          <w:b/>
          <w:bCs/>
          <w:sz w:val="21"/>
          <w:szCs w:val="21"/>
        </w:rPr>
      </w:pPr>
      <w:r>
        <w:rPr>
          <w:rFonts w:hint="default" w:ascii="Times New Roman" w:hAnsi="Times New Roman" w:cs="Times New Roman"/>
          <w:b/>
          <w:bCs/>
          <w:sz w:val="21"/>
          <w:szCs w:val="21"/>
        </w:rPr>
        <w:t xml:space="preserve">附件1：服务要求</w:t>
      </w:r>
      <w:r/>
    </w:p>
    <w:p>
      <w:pPr>
        <w:ind w:firstLine="420"/>
        <w:jc w:val="left"/>
        <w:spacing w:line="360" w:lineRule="auto"/>
        <w:shd w:val="clear" w:color="auto" w:fill="ffffff"/>
        <w:widowControl/>
        <w:rPr>
          <w:rFonts w:hint="default" w:ascii="Times New Roman" w:hAnsi="Times New Roman" w:cs="Times New Roman"/>
          <w:b/>
          <w:bCs/>
          <w:sz w:val="21"/>
          <w:szCs w:val="21"/>
        </w:rPr>
      </w:pPr>
      <w:r>
        <w:rPr>
          <w:rFonts w:hint="default" w:ascii="Times New Roman" w:hAnsi="Times New Roman" w:cs="Times New Roman"/>
          <w:b/>
          <w:bCs/>
          <w:sz w:val="21"/>
          <w:szCs w:val="21"/>
        </w:rPr>
        <w:t xml:space="preserve">附件2：人员要求</w:t>
      </w:r>
      <w:r/>
    </w:p>
    <w:p>
      <w:pPr>
        <w:ind w:firstLine="420"/>
        <w:jc w:val="left"/>
        <w:spacing w:line="360" w:lineRule="auto"/>
        <w:shd w:val="clear" w:color="auto" w:fill="ffffff"/>
        <w:widowControl/>
        <w:rPr>
          <w:rFonts w:hint="default" w:ascii="Times New Roman" w:hAnsi="Times New Roman" w:cs="Times New Roman"/>
          <w:b/>
          <w:bCs/>
          <w:sz w:val="21"/>
          <w:szCs w:val="21"/>
        </w:rPr>
      </w:pPr>
      <w:r>
        <w:rPr>
          <w:rFonts w:hint="default" w:ascii="Times New Roman" w:hAnsi="Times New Roman" w:cs="Times New Roman"/>
          <w:b/>
          <w:bCs/>
          <w:sz w:val="21"/>
          <w:szCs w:val="21"/>
        </w:rPr>
        <w:t xml:space="preserve">附件3：《南京中医药大学绿化养护监管及考核办法（修订版）》</w:t>
      </w:r>
      <w:r/>
    </w:p>
    <w:p>
      <w:pPr>
        <w:jc w:val="left"/>
        <w:spacing w:line="360" w:lineRule="auto"/>
        <w:shd w:val="clear" w:color="auto" w:fill="ffffff"/>
        <w:widowControl/>
        <w:rPr>
          <w:rFonts w:hint="default" w:ascii="Times New Roman" w:hAnsi="Times New Roman" w:cs="Times New Roman"/>
          <w:sz w:val="21"/>
          <w:szCs w:val="21"/>
        </w:rPr>
      </w:pPr>
      <w:r>
        <w:rPr>
          <w:rFonts w:hint="default" w:ascii="Times New Roman" w:hAnsi="Times New Roman" w:cs="Times New Roman"/>
          <w:sz w:val="21"/>
          <w:szCs w:val="21"/>
        </w:rPr>
        <w:t xml:space="preserve">（以下无正文）</w:t>
      </w:r>
      <w:r/>
    </w:p>
    <w:tbl>
      <w:tblPr>
        <w:tblStyle w:val="1149"/>
        <w:tblW w:w="9056" w:type="dxa"/>
        <w:jc w:val="center"/>
        <w:tblLayout w:type="fixed"/>
        <w:tblCellMar>
          <w:left w:w="0" w:type="dxa"/>
          <w:top w:w="0" w:type="dxa"/>
          <w:right w:w="0" w:type="dxa"/>
          <w:bottom w:w="0" w:type="dxa"/>
        </w:tblCellMar>
        <w:tblLook w:val="04A0" w:firstRow="1" w:lastRow="0" w:firstColumn="1" w:lastColumn="0" w:noHBand="0" w:noVBand="1"/>
      </w:tblPr>
      <w:tblGrid>
        <w:gridCol w:w="4656"/>
        <w:gridCol w:w="4400"/>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56" w:type="dxa"/>
            <w:textDirection w:val="lrTb"/>
            <w:noWrap w:val="false"/>
          </w:tcPr>
          <w:p>
            <w:pPr>
              <w:jc w:val="left"/>
              <w:spacing w:line="360" w:lineRule="auto"/>
              <w:widowControl/>
              <w:rPr>
                <w:rFonts w:hint="default" w:ascii="Times New Roman" w:hAnsi="Times New Roman" w:cs="Times New Roman"/>
                <w:sz w:val="21"/>
                <w:szCs w:val="21"/>
              </w:rPr>
            </w:pPr>
            <w:r>
              <w:rPr>
                <w:rFonts w:hint="default" w:ascii="Times New Roman" w:hAnsi="Times New Roman" w:cs="Times New Roman"/>
                <w:sz w:val="21"/>
                <w:szCs w:val="21"/>
              </w:rPr>
              <w:t xml:space="preserve">甲方（采购人）（盖章）：</w:t>
            </w:r>
            <w:r/>
          </w:p>
          <w:p>
            <w:pPr>
              <w:pStyle w:val="1184"/>
              <w:spacing w:line="360" w:lineRule="auto"/>
              <w:rPr>
                <w:rFonts w:hint="default" w:ascii="Times New Roman" w:hAnsi="Times New Roman" w:cs="Times New Roman"/>
                <w:sz w:val="21"/>
                <w:szCs w:val="21"/>
              </w:rPr>
            </w:pPr>
            <w:r>
              <w:rPr>
                <w:rFonts w:hint="default" w:ascii="Times New Roman" w:hAnsi="Times New Roman" w:cs="Times New Roman"/>
                <w:sz w:val="21"/>
                <w:szCs w:val="2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00" w:type="dxa"/>
            <w:textDirection w:val="lrTb"/>
            <w:noWrap w:val="false"/>
          </w:tcPr>
          <w:p>
            <w:pPr>
              <w:jc w:val="left"/>
              <w:spacing w:line="360" w:lineRule="auto"/>
              <w:widowControl/>
              <w:rPr>
                <w:rFonts w:hint="default" w:ascii="Times New Roman" w:hAnsi="Times New Roman" w:cs="Times New Roman"/>
                <w:sz w:val="21"/>
                <w:szCs w:val="21"/>
              </w:rPr>
            </w:pPr>
            <w:r>
              <w:rPr>
                <w:rFonts w:hint="default" w:ascii="Times New Roman" w:hAnsi="Times New Roman" w:cs="Times New Roman"/>
                <w:sz w:val="21"/>
                <w:szCs w:val="21"/>
              </w:rPr>
              <w:t xml:space="preserve">乙方（服务供应商）（盖章）：</w:t>
            </w:r>
            <w:r/>
          </w:p>
          <w:p>
            <w:pPr>
              <w:pStyle w:val="1184"/>
              <w:spacing w:line="360"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360" w:lineRule="auto"/>
              <w:rPr>
                <w:rFonts w:hint="default" w:ascii="Times New Roman" w:hAnsi="Times New Roman" w:cs="Times New Roman"/>
                <w:sz w:val="21"/>
                <w:szCs w:val="21"/>
              </w:rPr>
            </w:pPr>
            <w:r>
              <w:rPr>
                <w:rFonts w:hint="default" w:ascii="Times New Roman" w:hAnsi="Times New Roman" w:cs="Times New Roman"/>
                <w:sz w:val="21"/>
                <w:szCs w:val="21"/>
              </w:rPr>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56" w:type="dxa"/>
            <w:textDirection w:val="lrTb"/>
            <w:noWrap w:val="false"/>
          </w:tcPr>
          <w:p>
            <w:pPr>
              <w:jc w:val="left"/>
              <w:spacing w:line="360" w:lineRule="auto"/>
              <w:widowControl/>
              <w:rPr>
                <w:rFonts w:hint="default" w:ascii="Times New Roman" w:hAnsi="Times New Roman" w:cs="Times New Roman"/>
                <w:sz w:val="21"/>
                <w:szCs w:val="21"/>
              </w:rPr>
            </w:pPr>
            <w:r>
              <w:rPr>
                <w:rFonts w:hint="default" w:ascii="Times New Roman" w:hAnsi="Times New Roman" w:cs="Times New Roman"/>
                <w:sz w:val="21"/>
                <w:szCs w:val="21"/>
              </w:rPr>
              <w:t xml:space="preserve">法定代表人或授权代表（签名）：</w:t>
            </w:r>
            <w:r/>
          </w:p>
          <w:p>
            <w:pPr>
              <w:pStyle w:val="1184"/>
              <w:spacing w:line="360"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360" w:lineRule="auto"/>
              <w:rPr>
                <w:rFonts w:hint="default" w:ascii="Times New Roman" w:hAnsi="Times New Roman" w:cs="Times New Roman"/>
                <w:sz w:val="21"/>
                <w:szCs w:val="21"/>
              </w:rPr>
            </w:pPr>
            <w:r>
              <w:rPr>
                <w:rFonts w:hint="default" w:ascii="Times New Roman" w:hAnsi="Times New Roman" w:cs="Times New Roman"/>
                <w:sz w:val="21"/>
                <w:szCs w:val="21"/>
              </w:rPr>
            </w:r>
            <w:r/>
          </w:p>
          <w:p>
            <w:pPr>
              <w:pStyle w:val="1184"/>
              <w:spacing w:line="360" w:lineRule="auto"/>
              <w:rPr>
                <w:rFonts w:hint="default" w:ascii="Times New Roman" w:hAnsi="Times New Roman" w:cs="Times New Roman"/>
                <w:sz w:val="21"/>
                <w:szCs w:val="21"/>
              </w:rPr>
            </w:pPr>
            <w:r>
              <w:rPr>
                <w:rFonts w:hint="default" w:ascii="Times New Roman" w:hAnsi="Times New Roman" w:cs="Times New Roman"/>
                <w:sz w:val="21"/>
                <w:szCs w:val="2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00" w:type="dxa"/>
            <w:textDirection w:val="lrTb"/>
            <w:noWrap w:val="false"/>
          </w:tcPr>
          <w:p>
            <w:pPr>
              <w:jc w:val="left"/>
              <w:spacing w:line="360" w:lineRule="auto"/>
              <w:widowControl/>
              <w:rPr>
                <w:rFonts w:hint="default" w:ascii="Times New Roman" w:hAnsi="Times New Roman" w:cs="Times New Roman"/>
                <w:sz w:val="21"/>
                <w:szCs w:val="21"/>
              </w:rPr>
            </w:pPr>
            <w:r>
              <w:rPr>
                <w:rFonts w:hint="default" w:ascii="Times New Roman" w:hAnsi="Times New Roman" w:cs="Times New Roman"/>
                <w:sz w:val="21"/>
                <w:szCs w:val="21"/>
              </w:rPr>
              <w:t xml:space="preserve">法定代表人或授权代表（签名）：</w:t>
            </w:r>
            <w:r/>
          </w:p>
          <w:p>
            <w:pPr>
              <w:pStyle w:val="1184"/>
              <w:spacing w:line="360"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360" w:lineRule="auto"/>
              <w:rPr>
                <w:rFonts w:hint="default" w:ascii="Times New Roman" w:hAnsi="Times New Roman" w:cs="Times New Roman"/>
                <w:sz w:val="21"/>
                <w:szCs w:val="21"/>
              </w:rPr>
            </w:pPr>
            <w:r>
              <w:rPr>
                <w:rFonts w:hint="default" w:ascii="Times New Roman" w:hAnsi="Times New Roman" w:cs="Times New Roman"/>
                <w:sz w:val="21"/>
                <w:szCs w:val="21"/>
              </w:rPr>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56" w:type="dxa"/>
            <w:textDirection w:val="lrTb"/>
            <w:noWrap w:val="false"/>
          </w:tcPr>
          <w:p>
            <w:pPr>
              <w:jc w:val="left"/>
              <w:spacing w:line="360" w:lineRule="auto"/>
              <w:widowControl/>
              <w:rPr>
                <w:rFonts w:hint="default" w:ascii="Times New Roman" w:hAnsi="Times New Roman" w:cs="Times New Roman"/>
                <w:sz w:val="21"/>
                <w:szCs w:val="21"/>
              </w:rPr>
            </w:pPr>
            <w:r>
              <w:rPr>
                <w:rFonts w:hint="default" w:ascii="Times New Roman" w:hAnsi="Times New Roman" w:cs="Times New Roman"/>
                <w:sz w:val="21"/>
                <w:szCs w:val="21"/>
              </w:rPr>
              <w:t xml:space="preserve">签订日期：</w:t>
            </w:r>
            <w:r/>
          </w:p>
          <w:p>
            <w:pPr>
              <w:pStyle w:val="1184"/>
              <w:spacing w:line="360" w:lineRule="auto"/>
              <w:rPr>
                <w:rFonts w:hint="default" w:ascii="Times New Roman" w:hAnsi="Times New Roman" w:cs="Times New Roman"/>
                <w:sz w:val="21"/>
                <w:szCs w:val="21"/>
              </w:rPr>
            </w:pPr>
            <w:r>
              <w:rPr>
                <w:rFonts w:hint="default" w:ascii="Times New Roman" w:hAnsi="Times New Roman" w:cs="Times New Roman"/>
                <w:sz w:val="21"/>
                <w:szCs w:val="2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00" w:type="dxa"/>
            <w:textDirection w:val="lrTb"/>
            <w:noWrap w:val="false"/>
          </w:tcPr>
          <w:p>
            <w:pPr>
              <w:jc w:val="left"/>
              <w:spacing w:line="360" w:lineRule="auto"/>
              <w:widowControl/>
              <w:rPr>
                <w:rFonts w:hint="default" w:ascii="Times New Roman" w:hAnsi="Times New Roman" w:cs="Times New Roman"/>
                <w:sz w:val="21"/>
                <w:szCs w:val="21"/>
              </w:rPr>
            </w:pPr>
            <w:r>
              <w:rPr>
                <w:rFonts w:hint="default" w:ascii="Times New Roman" w:hAnsi="Times New Roman" w:cs="Times New Roman"/>
                <w:sz w:val="21"/>
                <w:szCs w:val="21"/>
              </w:rPr>
              <w:t xml:space="preserve">签订日期：</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56" w:type="dxa"/>
            <w:textDirection w:val="lrTb"/>
            <w:noWrap w:val="false"/>
          </w:tcPr>
          <w:p>
            <w:pPr>
              <w:jc w:val="left"/>
              <w:spacing w:line="360" w:lineRule="auto"/>
              <w:widowControl/>
              <w:rPr>
                <w:rFonts w:hint="default" w:ascii="Times New Roman" w:hAnsi="Times New Roman" w:cs="Times New Roman"/>
                <w:sz w:val="21"/>
                <w:szCs w:val="21"/>
              </w:rPr>
            </w:pPr>
            <w:r>
              <w:rPr>
                <w:rFonts w:hint="default" w:ascii="Times New Roman" w:hAnsi="Times New Roman" w:cs="Times New Roman"/>
                <w:sz w:val="21"/>
                <w:szCs w:val="21"/>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00" w:type="dxa"/>
            <w:textDirection w:val="lrTb"/>
            <w:noWrap w:val="false"/>
          </w:tcPr>
          <w:p>
            <w:pPr>
              <w:jc w:val="left"/>
              <w:spacing w:line="360" w:lineRule="auto"/>
              <w:widowControl/>
              <w:rPr>
                <w:rFonts w:hint="default" w:ascii="Times New Roman" w:hAnsi="Times New Roman" w:cs="Times New Roman"/>
                <w:sz w:val="21"/>
                <w:szCs w:val="21"/>
              </w:rPr>
            </w:pPr>
            <w:r>
              <w:rPr>
                <w:rFonts w:hint="default" w:ascii="Times New Roman" w:hAnsi="Times New Roman" w:cs="Times New Roman"/>
                <w:sz w:val="21"/>
                <w:szCs w:val="21"/>
              </w:rPr>
              <w:t xml:space="preserve">电话：</w:t>
            </w:r>
            <w:r/>
          </w:p>
        </w:tc>
      </w:tr>
    </w:tbl>
    <w:p>
      <w:pPr>
        <w:spacing w:line="360" w:lineRule="auto"/>
        <w:shd w:val="clear" w:color="auto" w:fill="ffffff"/>
        <w:widowControl/>
        <w:rPr>
          <w:rFonts w:hint="eastAsia" w:ascii="宋体" w:hAnsi="宋体"/>
          <w:b/>
          <w:bCs/>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宋体"/>
          <w:b/>
          <w:bCs/>
          <w:sz w:val="24"/>
        </w:rPr>
      </w:r>
      <w:r/>
    </w:p>
    <w:p>
      <w:pPr>
        <w:spacing w:line="360" w:lineRule="auto"/>
        <w:shd w:val="clear" w:color="auto" w:fill="ffffff"/>
        <w:widowControl/>
        <w:rPr>
          <w:rFonts w:hint="eastAsia" w:ascii="宋体" w:hAnsi="宋体"/>
          <w:b/>
          <w:bCs/>
          <w:sz w:val="24"/>
        </w:rPr>
      </w:pPr>
      <w:r>
        <w:rPr>
          <w:rFonts w:hint="eastAsia" w:ascii="宋体" w:hAnsi="宋体"/>
          <w:b/>
          <w:bCs/>
          <w:sz w:val="24"/>
        </w:rPr>
        <w:t xml:space="preserve">附件1：服务要求</w:t>
      </w:r>
      <w:r/>
    </w:p>
    <w:p>
      <w:pPr>
        <w:spacing w:line="360" w:lineRule="auto"/>
        <w:shd w:val="clear" w:color="auto" w:fill="ffffff"/>
        <w:widowControl/>
        <w:rPr>
          <w:rFonts w:hint="eastAsia" w:ascii="宋体" w:hAnsi="宋体"/>
          <w:b/>
          <w:bCs/>
          <w:sz w:val="24"/>
        </w:rPr>
      </w:pPr>
      <w:r>
        <w:rPr>
          <w:rFonts w:hint="eastAsia" w:ascii="宋体" w:hAnsi="宋体"/>
          <w:b/>
          <w:bCs/>
          <w:sz w:val="24"/>
        </w:rPr>
        <w:t xml:space="preserve">（一）养护管理技术要求</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1.</w:t>
      </w:r>
      <w:r>
        <w:rPr>
          <w:rFonts w:ascii="宋体" w:hAnsi="宋体"/>
          <w:szCs w:val="21"/>
        </w:rPr>
        <w:t xml:space="preserve">修剪</w:t>
      </w:r>
      <w:r/>
    </w:p>
    <w:p>
      <w:pPr>
        <w:ind w:firstLine="420"/>
        <w:spacing w:line="360" w:lineRule="auto"/>
        <w:shd w:val="clear" w:color="auto" w:fill="ffffff"/>
        <w:widowControl/>
        <w:rPr>
          <w:rFonts w:hint="eastAsia" w:ascii="宋体" w:hAnsi="宋体"/>
          <w:szCs w:val="21"/>
        </w:rPr>
      </w:pPr>
      <w:r>
        <w:rPr>
          <w:rFonts w:ascii="宋体" w:hAnsi="宋体"/>
          <w:szCs w:val="21"/>
        </w:rPr>
        <w:t xml:space="preserve">根据乔灌木、绿篱、地被及草坪生长特性，结合季节适时修剪。乔木树形优美，无明显枯枝、断枝、萌蘖枝；绿篱、球形灌木年修剪不少于4次，绿篱要平整、三面光，球冠树应保持形态完整、圆滑。草坪全年修剪次数不少于12次，修剪高度控制在：冷季型不超过6-7cm，暖季型不超过4-5cm。所有修剪剩余物要及时清理，需进行袋装化处理，保证现场整洁。</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2.</w:t>
      </w:r>
      <w:r>
        <w:rPr>
          <w:rFonts w:ascii="宋体" w:hAnsi="宋体"/>
          <w:szCs w:val="21"/>
        </w:rPr>
        <w:t xml:space="preserve">浇水</w:t>
      </w:r>
      <w:r/>
    </w:p>
    <w:p>
      <w:pPr>
        <w:ind w:firstLine="420"/>
        <w:spacing w:line="360" w:lineRule="auto"/>
        <w:shd w:val="clear" w:color="auto" w:fill="ffffff"/>
        <w:widowControl/>
        <w:rPr>
          <w:rFonts w:hint="eastAsia" w:ascii="宋体" w:hAnsi="宋体"/>
          <w:szCs w:val="21"/>
        </w:rPr>
      </w:pPr>
      <w:r>
        <w:rPr>
          <w:rFonts w:ascii="宋体" w:hAnsi="宋体"/>
          <w:szCs w:val="21"/>
        </w:rPr>
        <w:t xml:space="preserve">（1）根据不同的立地条件、季节、气候差异和生长状况及时进行浇水，并要浇透。</w:t>
      </w:r>
      <w:r/>
    </w:p>
    <w:p>
      <w:pPr>
        <w:ind w:firstLine="420"/>
        <w:spacing w:line="360" w:lineRule="auto"/>
        <w:shd w:val="clear" w:color="auto" w:fill="ffffff"/>
        <w:widowControl/>
        <w:rPr>
          <w:rFonts w:hint="eastAsia" w:ascii="宋体" w:hAnsi="宋体"/>
          <w:szCs w:val="21"/>
        </w:rPr>
      </w:pPr>
      <w:r>
        <w:rPr>
          <w:rFonts w:ascii="宋体" w:hAnsi="宋体"/>
          <w:szCs w:val="21"/>
        </w:rPr>
        <w:t xml:space="preserve">（2）草坪浇水必须湿透根系层，冷季型草坪在春秋二季充分浇水，暖季型草坪夏季要勤浇水， 3－6月，1次／2周；7－9月，1次／周；10－11月，1次／2周；12月，1次／月。</w:t>
      </w:r>
      <w:r/>
    </w:p>
    <w:p>
      <w:pPr>
        <w:ind w:firstLine="420"/>
        <w:spacing w:line="360" w:lineRule="auto"/>
        <w:shd w:val="clear" w:color="auto" w:fill="ffffff"/>
        <w:widowControl/>
        <w:rPr>
          <w:rFonts w:hint="eastAsia" w:ascii="宋体" w:hAnsi="宋体"/>
          <w:szCs w:val="21"/>
        </w:rPr>
      </w:pPr>
      <w:r>
        <w:rPr>
          <w:rFonts w:ascii="宋体" w:hAnsi="宋体"/>
          <w:szCs w:val="21"/>
        </w:rPr>
        <w:t xml:space="preserve">（3）植物周围雨后积水应及时排除。</w:t>
      </w:r>
      <w:r/>
    </w:p>
    <w:p>
      <w:pPr>
        <w:ind w:firstLine="420"/>
        <w:spacing w:line="360" w:lineRule="auto"/>
        <w:shd w:val="clear" w:color="auto" w:fill="ffffff"/>
        <w:widowControl/>
        <w:rPr>
          <w:rFonts w:hint="eastAsia" w:ascii="宋体" w:hAnsi="宋体"/>
          <w:szCs w:val="21"/>
        </w:rPr>
      </w:pPr>
      <w:r>
        <w:rPr>
          <w:rFonts w:ascii="宋体" w:hAnsi="宋体"/>
          <w:szCs w:val="21"/>
        </w:rPr>
        <w:t xml:space="preserve">（4）绿化浇灌一律采用中水，学校提供中水取水点，严禁使用消防栓及自来水管取水，部分区域采用自动</w:t>
      </w:r>
      <w:r>
        <w:rPr>
          <w:rFonts w:hint="eastAsia" w:ascii="宋体" w:hAnsi="宋体"/>
          <w:szCs w:val="21"/>
        </w:rPr>
        <w:t xml:space="preserve">喷灌</w:t>
      </w:r>
      <w:r>
        <w:rPr>
          <w:rFonts w:ascii="宋体" w:hAnsi="宋体"/>
          <w:szCs w:val="21"/>
        </w:rPr>
        <w:t xml:space="preserve">设施，需注意节约用水，不得出现水管漏水肆意喷灌现象，否则予以相应处罚。</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3.松土、除草</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（1）树木根部周围的土壤要保持疏松，易板结的土壤在蒸腾旺季须每月松土一次，松土深度以不伤根系生长为限。</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（2）乔、灌木下的杂草应及时铲除。草坪杂草应及时连根清除，做到除早、除小、除净，采用人工除草、机械除草或生物除草。</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4.病虫害防治</w:t>
      </w:r>
      <w:r/>
    </w:p>
    <w:p>
      <w:pPr>
        <w:ind w:firstLine="420"/>
        <w:spacing w:line="360" w:lineRule="auto"/>
        <w:shd w:val="clear" w:color="auto" w:fill="ffffff"/>
        <w:widowControl/>
        <w:rPr>
          <w:rFonts w:hint="eastAsia" w:ascii="宋体" w:hAnsi="宋体"/>
          <w:szCs w:val="21"/>
        </w:rPr>
      </w:pPr>
      <w:r>
        <w:rPr>
          <w:rFonts w:ascii="宋体" w:hAnsi="宋体"/>
          <w:szCs w:val="21"/>
        </w:rPr>
        <w:t xml:space="preserve">做好植物病虫害的预测、预报，以防为主，防治结合。及时防治、控制植物病虫害。尤其重点加强对樱花、海棠、香樟、黄杨、桃李树、龙爪槐、月季等植物的病虫害日常观察。对树体上出现的伤口应清理后用药剂消毒，涂保护剂或抹灰膏。出现树洞要及时修补，防止腐朽进一步扩大； 每年需开展香樟树白蚁专项防治，禁止虫情继续扩大蔓延。药物用量及对环境的影响要符合环保要求和标准，用药配比正确，安全操作。发现病虫害应在2天内治理完毕，病虫害应控制在不影响观赏效果的范围之内。</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5.施肥</w:t>
      </w:r>
      <w:r/>
    </w:p>
    <w:p>
      <w:pPr>
        <w:ind w:firstLine="420"/>
        <w:spacing w:line="360" w:lineRule="auto"/>
        <w:shd w:val="clear" w:color="auto" w:fill="ffffff"/>
        <w:widowControl/>
        <w:rPr>
          <w:rFonts w:hint="eastAsia" w:ascii="宋体" w:hAnsi="宋体"/>
          <w:szCs w:val="21"/>
        </w:rPr>
      </w:pPr>
      <w:r>
        <w:rPr>
          <w:rFonts w:ascii="宋体" w:hAnsi="宋体"/>
          <w:szCs w:val="21"/>
        </w:rPr>
        <w:t xml:space="preserve">（1）每年施肥的次数为：草坪、花草、乔木、灌木分为春季、秋冬季两次进行施肥；对樱花、杏花、银杏、海棠、月季、桃花等重点观赏树种施复合肥或有机肥。</w:t>
      </w:r>
      <w:r/>
    </w:p>
    <w:p>
      <w:pPr>
        <w:ind w:firstLine="420"/>
        <w:spacing w:line="360" w:lineRule="auto"/>
        <w:shd w:val="clear" w:color="auto" w:fill="ffffff"/>
        <w:widowControl/>
        <w:rPr>
          <w:rFonts w:hint="eastAsia" w:ascii="宋体" w:hAnsi="宋体"/>
          <w:szCs w:val="21"/>
        </w:rPr>
      </w:pPr>
      <w:r>
        <w:rPr>
          <w:rFonts w:ascii="宋体" w:hAnsi="宋体"/>
          <w:szCs w:val="21"/>
        </w:rPr>
        <w:t xml:space="preserve">（2）施肥应根据不同的树种、树龄、生长势和土壤理化性质而定。树木休眠期施基肥，生长期施追肥，花灌木应在花前、花后进行施肥。</w:t>
      </w:r>
      <w:r/>
    </w:p>
    <w:p>
      <w:pPr>
        <w:ind w:firstLine="420"/>
        <w:spacing w:line="360" w:lineRule="auto"/>
        <w:shd w:val="clear" w:color="auto" w:fill="ffffff"/>
        <w:widowControl/>
        <w:rPr>
          <w:rFonts w:hint="eastAsia" w:ascii="宋体" w:hAnsi="宋体"/>
          <w:szCs w:val="21"/>
        </w:rPr>
      </w:pPr>
      <w:r>
        <w:rPr>
          <w:rFonts w:ascii="宋体" w:hAnsi="宋体"/>
          <w:szCs w:val="21"/>
        </w:rPr>
        <w:t xml:space="preserve">（3）绿地以施有机肥为主，要求施肥量至少每亩25公斤有机复合肥。树木施肥先挖好施肥环沟，其外径与冠幅相适应。</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6.草籽补播</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秋冬季节针对百慕大草坪及各类草坪退化、黄土裸露地块，必须撒播黑麦草籽进行交播复绿，保障冬季草坪整体常绿美观，全年无明显裸露黄土地块，始终保持草坪长势均匀、覆盖完整。</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7.应急处置</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做好台风、暴雨、大雪等极端天气高大乔木抗倒伏的预防工作，根据树木的实际情况，采取立支柱、绑扎、加土、扶正、疏枝等措施。一旦风暴来临，应及时检查，发现问题，妥善处理。用于支撑、固定的材料应坚固耐用美观，并采用软性材料同植物接触。极端天气结束后24小时内响应并于一周内完成交通恢复、树木扶正、断枝清理等工作，所产生的费用由乙方承担，即已包含在本合同总服务价款中，甲方不再另行付费。</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8.枯枝、死枝清理及补植</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及时发现和清除、清理树木上及地面上的枯枝、死枝；出现树木不正常死亡，且无法给出非供应商责任死亡原因的，向采购人报告后及时倒伐和补植，在一个月内补种完毕；补植树木应选用同品种、同规格苗木，并确保成活；对花灌木、地被、草坪及草花缺损的，须及时补种。以上费用由乙方承担，即已包含在本合同总服务价款中，甲方不再另行付费。</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9.水面景观管理</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春夏季对生长过盛的水草进行清理打捞，秋冬季应对枯萎荷花荷叶进行清理。</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10.卫生保洁</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（1）负责校园绿地内落枝、落叶的清理，原则上要求每月1次全面清扫，3-5月和11-12月集中落叶期应增加清扫频次。</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2）按照南京市垃圾分类要求对绿色废弃物（如树枝、树叶、草屑等）进行规范处理，绿化垃圾禁止混入生活垃圾箱。重点区域随产随清，其它区域日产日清，重要活动和节日前必须进行突击清理、清运，保持校园环境整洁。</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11.设施看护</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（1）应安排专门地方用于养护工具、机械的安放，绿地中严禁停放任何车辆。</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（2）绿地中无堆物、堆料、搭棚，树干上无钉拴刻画等现象。</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3）园林建筑、雕塑、花坛、草坪灯、座椅等绿地设施应维护良好，保持完整，损坏及存在安全隐患及时报修，未及时报修产生的的人员伤亡和财产损失，均由乙方负责赔偿。甲方因此被追究责任的，有权向乙方追偿。</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4）严禁各种侵占绿地行为发生，加强巡视检查，制止任何未经学校绿化管理部门许可的装饰装修、基建、通讯、电力、燃气等以及施工需占用、开挖、改造绿地以及移植、砍伐、修剪树木等行为。绿地内严禁任何人种菜和摆放盆栽植物。对经过学校绿化管理部门许可的绿地内施工进行跟踪、监督施工方在施工结束后及时恢复原有绿化。如因未及时发现、制止或上报绿地侵占行为，绿化恢复费用由乙方承担。</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12.</w:t>
      </w:r>
      <w:r>
        <w:rPr>
          <w:rFonts w:ascii="宋体" w:hAnsi="宋体"/>
          <w:szCs w:val="21"/>
        </w:rPr>
        <w:t xml:space="preserve">绿化养护台帐、计划</w:t>
      </w:r>
      <w:r/>
    </w:p>
    <w:p>
      <w:pPr>
        <w:ind w:firstLine="420"/>
        <w:spacing w:line="360" w:lineRule="auto"/>
        <w:shd w:val="clear" w:color="auto" w:fill="ffffff"/>
        <w:widowControl/>
        <w:rPr>
          <w:rFonts w:hint="eastAsia" w:ascii="宋体" w:hAnsi="宋体"/>
          <w:szCs w:val="21"/>
        </w:rPr>
      </w:pPr>
      <w:r>
        <w:rPr>
          <w:rFonts w:ascii="宋体" w:hAnsi="宋体"/>
          <w:szCs w:val="21"/>
        </w:rPr>
        <w:t xml:space="preserve">建立完整的绿化养护台账，并由专人负责。绿化资料记录详细，分类清楚，数据详实。月度养护计划及养护作业应按时记录、及时上报，并符合现状和季节特点，针对性强，不弄虚作假。</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13.人员、安全管理</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（1）绿化管理养护施工人员必须经培训上岗，统一着装，穿戴整齐，遵守采购人的管理制度。</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2）绿化养护项目实施期间，乙方的所有人员人身安全、财产安全均由乙方负责，与甲方无关。如乙方在实施绿化养护工作过程中，对第三方造成人身、财产损害，均由乙方负责，与甲方无关。甲方因此被追究责任的，有权向乙方追偿。</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（3）因树木枯枝、死枝坠落及树木倾倒，所发生的人员伤亡和财产损失，均由乙方负责赔偿。甲方因此被追究责任的，有权向乙方追偿。</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4）乙方必须重视安全生产，作业期间应设置安全警示标志，工完场清。汽油、农药、化肥等养护器具材料应设专库存放，摆放整齐，并有专人管理，建立进出库及使用台账。机械、工具不得随意堆放于绿地内。严格执行安全操作规程，确保全年不出安全责任事故。养护期间，乙方工作人员因各种原因造成的安全责任事故由乙方承担一切责任及损失。</w:t>
      </w:r>
      <w:r/>
    </w:p>
    <w:p>
      <w:pPr>
        <w:spacing w:line="360" w:lineRule="auto"/>
        <w:rPr>
          <w:rFonts w:hint="eastAsia" w:ascii="宋体" w:hAnsi="宋体"/>
          <w:szCs w:val="21"/>
        </w:rPr>
      </w:pPr>
      <w:r>
        <w:rPr>
          <w:rFonts w:hint="eastAsia"/>
          <w:szCs w:val="21"/>
        </w:rPr>
        <w:t xml:space="preserve"> </w:t>
      </w:r>
      <w:r>
        <w:rPr>
          <w:rFonts w:hint="eastAsia" w:ascii="宋体" w:hAnsi="宋体"/>
          <w:szCs w:val="21"/>
        </w:rPr>
        <w:t xml:space="preserve">    14.其他要求</w:t>
      </w:r>
      <w:r/>
    </w:p>
    <w:p>
      <w:pPr>
        <w:ind w:firstLine="420"/>
        <w:spacing w:line="360" w:lineRule="auto"/>
        <w:rPr>
          <w:rFonts w:hint="eastAsia" w:ascii="宋体" w:hAnsi="宋体"/>
          <w:szCs w:val="21"/>
        </w:rPr>
      </w:pPr>
      <w:r>
        <w:rPr>
          <w:rFonts w:hint="eastAsia" w:ascii="宋体" w:hAnsi="宋体"/>
          <w:szCs w:val="21"/>
        </w:rPr>
        <w:t xml:space="preserve">（1）校园核心区及教学楼周边，会产生噪音的园林机械作业，原则上不得安排在教学时间段和大型考试时间段，即周一至周五教学时间的上午8:00-12：00点；下午2:00-5:30；周六-周日大型考试日的考试时间段。学生宿舍区域，每天早上8：00前，中午12:00-2:00，不得进行有噪音的园林机械作业。抢险工作除外。</w:t>
      </w:r>
      <w:r/>
    </w:p>
    <w:p>
      <w:pPr>
        <w:ind w:firstLine="420"/>
        <w:spacing w:line="360" w:lineRule="auto"/>
        <w:rPr>
          <w:rFonts w:hint="eastAsia" w:ascii="宋体" w:hAnsi="宋体"/>
          <w:szCs w:val="21"/>
        </w:rPr>
      </w:pPr>
      <w:r>
        <w:rPr>
          <w:rFonts w:hint="eastAsia" w:ascii="宋体" w:hAnsi="宋体"/>
          <w:szCs w:val="21"/>
        </w:rPr>
        <w:t xml:space="preserve">（2）响应甲方托管范围内枯枝、断枝、遮挡阳光及存在安全隐患枝条的修剪及死树、构树、杂树等清理要求，所产生费用（机械、人工）及施工人员人身安全，均由乙方负责。</w:t>
      </w:r>
      <w:r/>
    </w:p>
    <w:p>
      <w:pPr>
        <w:ind w:firstLine="420"/>
        <w:spacing w:line="360" w:lineRule="auto"/>
        <w:rPr>
          <w:rFonts w:hint="eastAsia" w:ascii="宋体" w:hAnsi="宋体"/>
          <w:szCs w:val="21"/>
        </w:rPr>
      </w:pPr>
      <w:r>
        <w:rPr>
          <w:rFonts w:hint="eastAsia" w:ascii="宋体" w:hAnsi="宋体"/>
          <w:szCs w:val="21"/>
        </w:rPr>
        <w:t xml:space="preserve">（3）甲方对合同范围内的绿化养护工作提出建议或整改要求时，乙方须即时响应并按期完成。</w:t>
      </w:r>
      <w:r/>
    </w:p>
    <w:p>
      <w:pPr>
        <w:ind w:firstLine="420"/>
        <w:spacing w:line="360" w:lineRule="auto"/>
        <w:rPr>
          <w:rFonts w:hint="eastAsia" w:ascii="宋体" w:hAnsi="宋体"/>
          <w:szCs w:val="21"/>
        </w:rPr>
      </w:pPr>
      <w:r>
        <w:rPr>
          <w:rFonts w:hint="eastAsia" w:ascii="宋体" w:hAnsi="宋体"/>
          <w:szCs w:val="21"/>
        </w:rPr>
        <w:t xml:space="preserve">（4）毕业季、开学季等学校重大庆典时期，须按照甲方要求于仙林校区北门及汉中门校区大门前摆放草花，每年不少于2次。草花的采购、养护、清理费用均由乙方负责。</w:t>
      </w:r>
      <w:r/>
    </w:p>
    <w:p>
      <w:pPr>
        <w:ind w:firstLine="420"/>
        <w:spacing w:line="360" w:lineRule="auto"/>
        <w:rPr>
          <w:rFonts w:hint="eastAsia" w:ascii="宋体" w:hAnsi="宋体"/>
          <w:szCs w:val="21"/>
        </w:rPr>
      </w:pPr>
      <w:r>
        <w:rPr>
          <w:rFonts w:hint="eastAsia" w:ascii="宋体" w:hAnsi="宋体"/>
          <w:szCs w:val="21"/>
        </w:rPr>
        <w:t xml:space="preserve">（5）每年应按照甲方要求在校园内开展加拿大一枝黄花专项治理不少于1次。</w:t>
      </w:r>
      <w:r/>
    </w:p>
    <w:p>
      <w:pPr>
        <w:ind w:firstLine="420"/>
        <w:spacing w:line="360" w:lineRule="auto"/>
        <w:rPr>
          <w:rFonts w:hint="eastAsia" w:ascii="宋体" w:hAnsi="宋体"/>
          <w:szCs w:val="21"/>
        </w:rPr>
      </w:pPr>
      <w:r>
        <w:rPr>
          <w:rFonts w:hint="eastAsia" w:ascii="宋体" w:hAnsi="宋体"/>
          <w:szCs w:val="21"/>
        </w:rPr>
        <w:t xml:space="preserve">（6）乙方应在合同生效2个月之内，在校园黄土裸露或者草坪退化区域一次性铺种草坪不少于300平方，具体铺种区域由甲方指定。</w:t>
      </w:r>
      <w:r/>
    </w:p>
    <w:p>
      <w:pPr>
        <w:ind w:firstLine="422"/>
        <w:spacing w:line="360" w:lineRule="auto"/>
        <w:rPr>
          <w:b/>
          <w:bCs/>
          <w:szCs w:val="21"/>
        </w:rPr>
      </w:pPr>
      <w:r>
        <w:rPr>
          <w:rFonts w:hint="eastAsia" w:ascii="宋体" w:hAnsi="宋体"/>
          <w:b/>
          <w:bCs/>
          <w:szCs w:val="21"/>
        </w:rPr>
        <w:t xml:space="preserve">15.</w:t>
      </w:r>
      <w:r>
        <w:rPr>
          <w:rFonts w:hint="eastAsia"/>
          <w:b/>
          <w:bCs/>
          <w:szCs w:val="21"/>
        </w:rPr>
        <w:t xml:space="preserve">素山</w:t>
      </w:r>
      <w:r>
        <w:rPr>
          <w:b/>
          <w:bCs/>
          <w:szCs w:val="21"/>
        </w:rPr>
        <w:t xml:space="preserve">格桑花海</w:t>
      </w:r>
      <w:r>
        <w:rPr>
          <w:rFonts w:hint="eastAsia"/>
          <w:b/>
          <w:bCs/>
          <w:szCs w:val="21"/>
        </w:rPr>
        <w:t xml:space="preserve">种植与养护</w:t>
      </w:r>
      <w:r/>
    </w:p>
    <w:p>
      <w:pPr>
        <w:ind w:firstLine="420"/>
        <w:spacing w:line="360" w:lineRule="auto"/>
        <w:rPr>
          <w:bCs/>
          <w:color w:val="auto"/>
          <w:szCs w:val="21"/>
        </w:rPr>
      </w:pPr>
      <w:r>
        <w:rPr>
          <w:bCs/>
          <w:szCs w:val="21"/>
        </w:rPr>
        <w:t xml:space="preserve">格桑花海采用一年两季播种营造</w:t>
      </w:r>
      <w:r>
        <w:rPr>
          <w:bCs/>
          <w:color w:val="auto"/>
          <w:szCs w:val="21"/>
        </w:rPr>
        <w:t xml:space="preserve">模式，</w:t>
      </w:r>
      <w:r>
        <w:rPr>
          <w:rFonts w:hint="eastAsia"/>
          <w:bCs/>
          <w:color w:val="auto"/>
          <w:szCs w:val="21"/>
        </w:rPr>
        <w:t xml:space="preserve">面积约4000平方米。</w:t>
      </w:r>
      <w:r>
        <w:rPr>
          <w:bCs/>
          <w:color w:val="auto"/>
          <w:szCs w:val="21"/>
        </w:rPr>
        <w:t xml:space="preserve">春季播种时间不晚于3月15日，秋季播种时间</w:t>
      </w:r>
      <w:r>
        <w:rPr>
          <w:rFonts w:hint="eastAsia"/>
          <w:bCs/>
          <w:color w:val="auto"/>
          <w:szCs w:val="21"/>
        </w:rPr>
        <w:t xml:space="preserve">原则</w:t>
      </w:r>
      <w:r>
        <w:rPr>
          <w:bCs/>
          <w:color w:val="auto"/>
          <w:szCs w:val="21"/>
        </w:rPr>
        <w:t xml:space="preserve">不晚于</w:t>
      </w:r>
      <w:r>
        <w:rPr>
          <w:rFonts w:hint="eastAsia"/>
          <w:bCs/>
          <w:color w:val="auto"/>
          <w:szCs w:val="21"/>
        </w:rPr>
        <w:t xml:space="preserve">8</w:t>
      </w:r>
      <w:r>
        <w:rPr>
          <w:bCs/>
          <w:color w:val="auto"/>
          <w:szCs w:val="21"/>
        </w:rPr>
        <w:t xml:space="preserve">月15日，具体播种日期可根据当年气候及天气实际情况另行协商调整；</w:t>
      </w:r>
      <w:r>
        <w:rPr>
          <w:rFonts w:hint="eastAsia"/>
          <w:bCs/>
          <w:color w:val="auto"/>
          <w:szCs w:val="21"/>
        </w:rPr>
        <w:t xml:space="preserve">每季格桑花品种、花色布局应按采购人要求种植。</w:t>
      </w:r>
      <w:r>
        <w:rPr>
          <w:bCs/>
          <w:color w:val="auto"/>
          <w:szCs w:val="21"/>
        </w:rPr>
        <w:t xml:space="preserve">播种前需对场地进行全面清理，彻底捡拾清除地块内石块、杂物、生活垃圾及杂草残根，保持场地干净平整，严格把控格桑花播种密度，应为4-6g/平方米，做到均匀撒播、适时补播，确保出苗整齐；播种前需进行土壤改良，整地时施入腐熟有机肥进行地力改良、疏松土壤、提升土壤肥力，每季花海植株枯萎后须按采购人要求及时进行全面清理清运，同步做好</w:t>
      </w:r>
      <w:r>
        <w:rPr>
          <w:rFonts w:hint="eastAsia"/>
          <w:bCs/>
          <w:color w:val="auto"/>
          <w:szCs w:val="21"/>
        </w:rPr>
        <w:t xml:space="preserve">格桑花海及周边牡丹、芍药、梅树等该区域所有绿植的</w:t>
      </w:r>
      <w:r>
        <w:rPr>
          <w:bCs/>
          <w:color w:val="auto"/>
          <w:szCs w:val="21"/>
        </w:rPr>
        <w:t xml:space="preserve">常态化管护，</w:t>
      </w:r>
      <w:r>
        <w:rPr>
          <w:rFonts w:hint="eastAsia"/>
          <w:bCs/>
          <w:color w:val="auto"/>
          <w:szCs w:val="21"/>
        </w:rPr>
        <w:t xml:space="preserve">包括除草、浇水、施肥、病虫害防治等</w:t>
      </w:r>
      <w:r>
        <w:rPr>
          <w:bCs/>
          <w:color w:val="auto"/>
          <w:szCs w:val="21"/>
        </w:rPr>
        <w:t xml:space="preserve">，确保花海植株生长均匀、开花密度适中，整体地表覆盖率饱满无大面积裸露，达到标准景观花海建设效果。特别说明：本合同正式签订及起始日期为2026年8月20日，但当年秋季格桑花播种节点需按既定时间要求在8月15日前完成，相关前期播种工作按本技术标准提前实施、纳入本合同履约范围。</w:t>
      </w:r>
      <w:r/>
    </w:p>
    <w:p>
      <w:pPr>
        <w:spacing w:line="360" w:lineRule="auto"/>
        <w:rPr>
          <w:rFonts w:ascii="Calibri" w:hAnsi="Calibri"/>
          <w:b/>
          <w:color w:val="auto"/>
          <w:sz w:val="24"/>
          <w:szCs w:val="24"/>
        </w:rPr>
      </w:pPr>
      <w:r>
        <w:rPr>
          <w:rFonts w:hint="eastAsia" w:ascii="Calibri" w:hAnsi="Calibri"/>
          <w:b/>
          <w:color w:val="auto"/>
          <w:sz w:val="24"/>
          <w:szCs w:val="24"/>
        </w:rPr>
        <w:t xml:space="preserve">（二）设备设施要求</w:t>
      </w:r>
      <w:r/>
    </w:p>
    <w:p>
      <w:pPr>
        <w:ind w:firstLine="630"/>
        <w:spacing w:line="360" w:lineRule="auto"/>
        <w:rPr>
          <w:rFonts w:ascii="Calibri" w:hAnsi="Calibri"/>
          <w:bCs/>
          <w:color w:val="auto"/>
          <w:szCs w:val="21"/>
        </w:rPr>
      </w:pPr>
      <w:r>
        <w:rPr>
          <w:rFonts w:hint="eastAsia" w:ascii="Calibri" w:hAnsi="Calibri"/>
          <w:bCs/>
          <w:color w:val="auto"/>
          <w:szCs w:val="21"/>
        </w:rPr>
        <w:t xml:space="preserve">乙方应根据项目的需求，应配备足量的洒水车、高枝锯、油锯、推草机、绿篱修剪机、垃圾清运车等机械设备。</w:t>
      </w:r>
      <w:r>
        <w:rPr>
          <w:rFonts w:hint="eastAsia" w:ascii="Calibri" w:hAnsi="Calibri"/>
          <w:b/>
          <w:color w:val="auto"/>
          <w:szCs w:val="21"/>
        </w:rPr>
        <w:t xml:space="preserve">服务期内乙方车辆进入校园产生停车费，由乙方承担。</w:t>
      </w:r>
      <w:r/>
    </w:p>
    <w:p>
      <w:pPr>
        <w:numPr>
          <w:ilvl w:val="0"/>
          <w:numId w:val="5"/>
        </w:numPr>
        <w:spacing w:line="360" w:lineRule="auto"/>
        <w:rPr>
          <w:rFonts w:ascii="Calibri" w:hAnsi="Calibri"/>
          <w:b/>
          <w:color w:val="auto"/>
          <w:sz w:val="24"/>
          <w:szCs w:val="24"/>
        </w:rPr>
      </w:pPr>
      <w:r>
        <w:rPr>
          <w:rFonts w:hint="eastAsia" w:ascii="Calibri" w:hAnsi="Calibri"/>
          <w:b/>
          <w:color w:val="auto"/>
          <w:sz w:val="24"/>
          <w:szCs w:val="24"/>
        </w:rPr>
        <w:t xml:space="preserve">文化育人、劳动育人活动组织</w:t>
      </w:r>
      <w:r/>
    </w:p>
    <w:p>
      <w:pPr>
        <w:ind w:firstLine="420"/>
        <w:spacing w:line="360" w:lineRule="auto"/>
        <w:rPr>
          <w:rFonts w:ascii="Calibri" w:hAnsi="Calibri"/>
          <w:b/>
          <w:color w:val="auto"/>
          <w:sz w:val="24"/>
          <w:szCs w:val="24"/>
        </w:rPr>
      </w:pPr>
      <w:r>
        <w:rPr>
          <w:rFonts w:hint="eastAsia" w:ascii="Calibri" w:hAnsi="Calibri"/>
          <w:bCs/>
          <w:color w:val="auto"/>
          <w:szCs w:val="21"/>
        </w:rPr>
        <w:t xml:space="preserve"> 能结合绿化工作有计划性的策划、组织、开展文化育人、劳动实践等育人活动，每年不低于2次，并提供必要的劳动工具，费用由乙方承担。</w:t>
      </w:r>
      <w:r/>
    </w:p>
    <w:p>
      <w:pPr>
        <w:numPr>
          <w:ilvl w:val="0"/>
          <w:numId w:val="5"/>
        </w:numPr>
        <w:spacing w:line="360" w:lineRule="auto"/>
        <w:rPr>
          <w:rFonts w:ascii="Calibri" w:hAnsi="Calibri"/>
          <w:b/>
          <w:color w:val="auto"/>
          <w:sz w:val="24"/>
          <w:szCs w:val="24"/>
        </w:rPr>
      </w:pPr>
      <w:r>
        <w:rPr>
          <w:rFonts w:hint="eastAsia" w:ascii="Calibri" w:hAnsi="Calibri"/>
          <w:b/>
          <w:color w:val="auto"/>
          <w:sz w:val="24"/>
          <w:szCs w:val="24"/>
        </w:rPr>
        <w:t xml:space="preserve">管理用房</w:t>
      </w:r>
      <w:r/>
    </w:p>
    <w:p>
      <w:pPr>
        <w:ind w:firstLine="420"/>
        <w:spacing w:line="360" w:lineRule="auto"/>
        <w:rPr>
          <w:rFonts w:ascii="Calibri" w:hAnsi="Calibri"/>
          <w:b/>
          <w:color w:val="auto"/>
          <w:sz w:val="24"/>
          <w:szCs w:val="24"/>
        </w:rPr>
      </w:pPr>
      <w:r>
        <w:rPr>
          <w:rFonts w:hint="eastAsia" w:ascii="Calibri" w:hAnsi="Calibri"/>
          <w:bCs/>
          <w:color w:val="auto"/>
          <w:szCs w:val="21"/>
        </w:rPr>
        <w:t xml:space="preserve">甲方提供管理用房，包括员工值班室1间，物资仓库1处。提供给乙方使用的房屋由乙方全权负责安全管理责任，并承担水费、电费、日常维修等费用。</w:t>
      </w:r>
      <w:r/>
    </w:p>
    <w:p>
      <w:pPr>
        <w:numPr>
          <w:ilvl w:val="0"/>
          <w:numId w:val="5"/>
        </w:numPr>
        <w:spacing w:line="360" w:lineRule="auto"/>
        <w:rPr>
          <w:rFonts w:ascii="Calibri" w:hAnsi="Calibri"/>
          <w:b/>
          <w:color w:val="auto"/>
          <w:sz w:val="24"/>
          <w:szCs w:val="24"/>
        </w:rPr>
      </w:pPr>
      <w:r>
        <w:rPr>
          <w:rFonts w:hint="eastAsia" w:ascii="Calibri" w:hAnsi="Calibri"/>
          <w:b/>
          <w:color w:val="auto"/>
          <w:sz w:val="24"/>
          <w:szCs w:val="24"/>
        </w:rPr>
        <w:t xml:space="preserve">其他服务要求</w:t>
      </w:r>
      <w:r/>
    </w:p>
    <w:p>
      <w:pPr>
        <w:ind w:firstLine="420"/>
        <w:spacing w:line="360" w:lineRule="auto"/>
        <w:rPr>
          <w:rFonts w:ascii="Calibri" w:hAnsi="Calibri"/>
          <w:bCs/>
          <w:color w:val="auto"/>
          <w:szCs w:val="21"/>
        </w:rPr>
      </w:pPr>
      <w:r>
        <w:rPr>
          <w:rFonts w:hint="eastAsia" w:ascii="Calibri" w:hAnsi="Calibri"/>
          <w:bCs/>
          <w:color w:val="auto"/>
          <w:szCs w:val="21"/>
        </w:rPr>
        <w:t xml:space="preserve">1.乙方应以良好的服务态度，便利快捷的方式在24小时内响应并完成采购方提出的合理要求以及安排的其他绿化美化任务。</w:t>
      </w:r>
      <w:r/>
    </w:p>
    <w:p>
      <w:pPr>
        <w:ind w:firstLine="420"/>
        <w:spacing w:line="360" w:lineRule="auto"/>
        <w:rPr>
          <w:rFonts w:ascii="Calibri" w:hAnsi="Calibri"/>
          <w:bCs/>
          <w:color w:val="auto"/>
          <w:szCs w:val="21"/>
        </w:rPr>
      </w:pPr>
      <w:r>
        <w:rPr>
          <w:rFonts w:hint="eastAsia" w:ascii="Calibri" w:hAnsi="Calibri"/>
          <w:bCs/>
          <w:color w:val="auto"/>
          <w:szCs w:val="21"/>
        </w:rPr>
        <w:t xml:space="preserve">2.在校园绿化养护过程中必须服从甲方的管理、要求和监督。</w:t>
      </w:r>
      <w:r/>
    </w:p>
    <w:p>
      <w:pPr>
        <w:ind w:firstLine="420"/>
        <w:spacing w:line="360" w:lineRule="auto"/>
        <w:rPr>
          <w:rFonts w:ascii="Calibri" w:hAnsi="Calibri"/>
          <w:bCs/>
          <w:color w:val="auto"/>
          <w:szCs w:val="21"/>
        </w:rPr>
      </w:pPr>
      <w:r>
        <w:rPr>
          <w:rFonts w:hint="eastAsia" w:ascii="Calibri" w:hAnsi="Calibri"/>
          <w:bCs/>
          <w:color w:val="auto"/>
          <w:szCs w:val="21"/>
        </w:rPr>
        <w:t xml:space="preserve">3.乙方不得将校内的绿化业务转让给第三方，一经发现并证实，甲方有权随时终止合同。乙方不得擅自改变校园内绿化公用设施使用功能，不得将校园内的绿化设施、花卉、树木等进行出售。</w:t>
      </w:r>
      <w:r/>
    </w:p>
    <w:p>
      <w:pPr>
        <w:ind w:firstLine="420"/>
        <w:spacing w:line="360" w:lineRule="auto"/>
        <w:rPr>
          <w:rFonts w:ascii="Calibri" w:hAnsi="Calibri"/>
          <w:bCs/>
          <w:color w:val="auto"/>
          <w:szCs w:val="21"/>
        </w:rPr>
      </w:pPr>
      <w:r>
        <w:rPr>
          <w:rFonts w:hint="eastAsia" w:ascii="Calibri" w:hAnsi="Calibri"/>
          <w:bCs/>
          <w:color w:val="auto"/>
          <w:szCs w:val="21"/>
        </w:rPr>
        <w:t xml:space="preserve">4.因管理不善、使用不当造成学校设施损坏，由乙方自行负责修复或进行赔偿，费用自理。</w:t>
      </w:r>
      <w:r/>
    </w:p>
    <w:p>
      <w:pPr>
        <w:rPr>
          <w:rFonts w:hint="eastAsia"/>
          <w:b/>
          <w:color w:val="auto"/>
          <w:sz w:val="24"/>
          <w:szCs w:val="24"/>
        </w:rPr>
      </w:pPr>
      <w:r>
        <w:rPr>
          <w:rFonts w:hint="eastAsia"/>
          <w:b/>
          <w:color w:val="auto"/>
          <w:sz w:val="24"/>
          <w:szCs w:val="24"/>
        </w:rPr>
        <w:br w:type="page" w:clear="all"/>
      </w:r>
      <w:r/>
    </w:p>
    <w:p>
      <w:pPr>
        <w:spacing w:line="360" w:lineRule="auto"/>
        <w:rPr>
          <w:b/>
          <w:color w:val="auto"/>
          <w:sz w:val="24"/>
          <w:szCs w:val="24"/>
        </w:rPr>
      </w:pPr>
      <w:r>
        <w:rPr>
          <w:rFonts w:hint="eastAsia"/>
          <w:b/>
          <w:color w:val="auto"/>
          <w:sz w:val="24"/>
          <w:szCs w:val="24"/>
        </w:rPr>
        <w:t xml:space="preserve">附件2：人员要求</w:t>
      </w:r>
      <w:r/>
    </w:p>
    <w:p>
      <w:pPr>
        <w:ind w:firstLine="420"/>
        <w:spacing w:line="360" w:lineRule="auto"/>
        <w:rPr>
          <w:bCs/>
          <w:color w:val="auto"/>
          <w:szCs w:val="21"/>
        </w:rPr>
      </w:pPr>
      <w:r>
        <w:rPr>
          <w:bCs/>
          <w:color w:val="auto"/>
          <w:szCs w:val="21"/>
        </w:rPr>
        <w:t xml:space="preserve">1.总体要求</w:t>
      </w:r>
      <w:r/>
    </w:p>
    <w:p>
      <w:pPr>
        <w:ind w:firstLine="420"/>
        <w:spacing w:line="360" w:lineRule="auto"/>
        <w:rPr>
          <w:bCs/>
          <w:color w:val="auto"/>
          <w:szCs w:val="21"/>
        </w:rPr>
      </w:pPr>
      <w:r>
        <w:rPr>
          <w:bCs/>
          <w:color w:val="auto"/>
          <w:szCs w:val="21"/>
        </w:rPr>
        <w:t xml:space="preserve">各类人员均不得有违法犯罪记录。中标单位必须依法用工，必须执行国家、省、市的劳动法规，为员工缴纳五险一金(养老保险、医疗保险、工伤保险、生育保险、失业保险、住房公积金)，五险一金缴纳基数符合南京市人社部门最新规定；所有人员工资不得低于南京市现行最低工资标准计算。员工全年节假日加班工资及高温津贴发放标准严格符合国家最新规定。未响应以上条款的，视为未实质性响应招标文件。</w:t>
      </w:r>
      <w:r/>
    </w:p>
    <w:p>
      <w:pPr>
        <w:ind w:firstLine="420"/>
        <w:spacing w:line="360" w:lineRule="auto"/>
        <w:rPr>
          <w:bCs/>
          <w:color w:val="auto"/>
          <w:szCs w:val="21"/>
        </w:rPr>
      </w:pPr>
      <w:r>
        <w:rPr>
          <w:bCs/>
          <w:color w:val="auto"/>
          <w:szCs w:val="21"/>
        </w:rPr>
        <w:t xml:space="preserve">2 .人员配置需求</w:t>
      </w:r>
      <w:r/>
    </w:p>
    <w:p>
      <w:pPr>
        <w:ind w:firstLine="420"/>
        <w:spacing w:line="360" w:lineRule="auto"/>
        <w:rPr>
          <w:bCs/>
          <w:color w:val="auto"/>
          <w:szCs w:val="21"/>
        </w:rPr>
      </w:pPr>
      <w:r>
        <w:rPr>
          <w:bCs/>
          <w:color w:val="auto"/>
          <w:szCs w:val="21"/>
        </w:rPr>
        <w:t xml:space="preserve">（1）总用工人数不得少于</w:t>
      </w:r>
      <w:r>
        <w:rPr>
          <w:rFonts w:hint="eastAsia"/>
          <w:bCs/>
          <w:color w:val="auto"/>
          <w:szCs w:val="21"/>
        </w:rPr>
        <w:t xml:space="preserve">17</w:t>
      </w:r>
      <w:r>
        <w:rPr>
          <w:bCs/>
          <w:color w:val="auto"/>
          <w:szCs w:val="21"/>
        </w:rPr>
        <w:t xml:space="preserve">人；项目经理不得与其他岗位兼任；绿化工作任务量重时投标供应商应根据需求增设岗位和人员。</w:t>
      </w:r>
      <w:r/>
    </w:p>
    <w:p>
      <w:pPr>
        <w:ind w:firstLine="420"/>
        <w:spacing w:line="360" w:lineRule="auto"/>
        <w:rPr>
          <w:bCs/>
          <w:color w:val="auto"/>
          <w:szCs w:val="21"/>
        </w:rPr>
      </w:pPr>
      <w:r>
        <w:rPr>
          <w:bCs/>
          <w:color w:val="auto"/>
          <w:szCs w:val="21"/>
        </w:rPr>
        <w:t xml:space="preserve">（2）项目经理（1人）：50周岁（含）以下，本科及以上学历，</w:t>
      </w:r>
      <w:r>
        <w:rPr>
          <w:rFonts w:hint="eastAsia"/>
          <w:bCs/>
          <w:color w:val="auto"/>
          <w:szCs w:val="21"/>
        </w:rPr>
        <w:t xml:space="preserve">具备园林绿化相关专业中级及以上职称，</w:t>
      </w:r>
      <w:r>
        <w:rPr>
          <w:bCs/>
          <w:color w:val="auto"/>
          <w:szCs w:val="21"/>
        </w:rPr>
        <w:t xml:space="preserve">性别不限。政治素质好，业务能力强，工作责任感好，组织管理能力强，管理经验丰富；服务期内必须常驻本项目；负责两校区校园绿化总体协调及员工管理等工作。</w:t>
      </w:r>
      <w:r/>
    </w:p>
    <w:p>
      <w:pPr>
        <w:ind w:firstLine="420"/>
        <w:spacing w:line="360" w:lineRule="auto"/>
        <w:rPr>
          <w:bCs/>
          <w:color w:val="auto"/>
          <w:szCs w:val="21"/>
        </w:rPr>
      </w:pPr>
      <w:r>
        <w:rPr>
          <w:bCs/>
          <w:color w:val="auto"/>
          <w:szCs w:val="21"/>
        </w:rPr>
        <w:t xml:space="preserve">（3）绿化技术人员（1人）：55周岁（含）以下，具有本行业五年及以上从业经验。具备</w:t>
      </w:r>
      <w:r>
        <w:rPr>
          <w:rFonts w:hint="eastAsia"/>
          <w:bCs/>
          <w:color w:val="auto"/>
          <w:szCs w:val="21"/>
        </w:rPr>
        <w:t xml:space="preserve">园林绿化相关专业中级</w:t>
      </w:r>
      <w:r>
        <w:rPr>
          <w:bCs/>
          <w:color w:val="auto"/>
          <w:szCs w:val="21"/>
        </w:rPr>
        <w:t xml:space="preserve">及以上职称。负责养护计划制定，树木、苗木等健康状况检查、记录、工作分配、安排，并常年在养护现场；</w:t>
      </w:r>
      <w:r/>
    </w:p>
    <w:p>
      <w:pPr>
        <w:ind w:firstLine="420"/>
        <w:spacing w:line="360" w:lineRule="auto"/>
        <w:rPr>
          <w:bCs/>
          <w:color w:val="auto"/>
          <w:szCs w:val="21"/>
        </w:rPr>
      </w:pPr>
      <w:r>
        <w:rPr>
          <w:bCs/>
          <w:color w:val="auto"/>
          <w:szCs w:val="21"/>
        </w:rPr>
        <w:t xml:space="preserve">（4）绿化操作工（</w:t>
      </w:r>
      <w:r>
        <w:rPr>
          <w:rFonts w:hint="eastAsia"/>
          <w:bCs/>
          <w:color w:val="auto"/>
          <w:szCs w:val="21"/>
        </w:rPr>
        <w:t xml:space="preserve">总人数不低于1</w:t>
      </w:r>
      <w:r>
        <w:rPr>
          <w:bCs/>
          <w:color w:val="auto"/>
          <w:szCs w:val="21"/>
        </w:rPr>
        <w:t xml:space="preserve">5</w:t>
      </w:r>
      <w:r>
        <w:rPr>
          <w:rFonts w:hint="eastAsia"/>
          <w:bCs/>
          <w:color w:val="auto"/>
          <w:szCs w:val="21"/>
        </w:rPr>
        <w:t xml:space="preserve">人</w:t>
      </w:r>
      <w:r>
        <w:rPr>
          <w:bCs/>
          <w:color w:val="auto"/>
          <w:szCs w:val="21"/>
        </w:rPr>
        <w:t xml:space="preserve">）：男 65 周岁（含）以下、女 60周岁（含）以下，有从事过绿化养护经验。身体健康、无慢性疾病、仪表整洁、有良好素养和职业道德。</w:t>
      </w:r>
      <w:r/>
    </w:p>
    <w:p>
      <w:pPr>
        <w:ind w:firstLine="420"/>
        <w:spacing w:line="360" w:lineRule="auto"/>
        <w:rPr>
          <w:bCs/>
          <w:szCs w:val="21"/>
        </w:rPr>
      </w:pPr>
      <w:r>
        <w:rPr>
          <w:bCs/>
          <w:color w:val="auto"/>
          <w:szCs w:val="21"/>
        </w:rPr>
        <w:t xml:space="preserve">（5）必须保证按照“投标文件”配备人员投入本项目，项目组人员原则上不允许更换，确因特殊原因需要更换的，经</w:t>
      </w:r>
      <w:r>
        <w:rPr>
          <w:rFonts w:hint="eastAsia"/>
          <w:bCs/>
          <w:color w:val="auto"/>
          <w:szCs w:val="21"/>
        </w:rPr>
        <w:t xml:space="preserve">甲方</w:t>
      </w:r>
      <w:r>
        <w:rPr>
          <w:bCs/>
          <w:color w:val="auto"/>
          <w:szCs w:val="21"/>
        </w:rPr>
        <w:t xml:space="preserve">同意后进行更换（项目经理、技术人员更换前需提前告知</w:t>
      </w:r>
      <w:r>
        <w:rPr>
          <w:rFonts w:hint="eastAsia"/>
          <w:bCs/>
          <w:color w:val="auto"/>
          <w:szCs w:val="21"/>
        </w:rPr>
        <w:t xml:space="preserve">甲方</w:t>
      </w:r>
      <w:r>
        <w:rPr>
          <w:bCs/>
          <w:color w:val="auto"/>
          <w:szCs w:val="21"/>
        </w:rPr>
        <w:t xml:space="preserve">，提供相关人员身份证明、技术资质材料由</w:t>
      </w:r>
      <w:r>
        <w:rPr>
          <w:rFonts w:hint="eastAsia"/>
          <w:bCs/>
          <w:color w:val="auto"/>
          <w:szCs w:val="21"/>
        </w:rPr>
        <w:t xml:space="preserve">甲方</w:t>
      </w:r>
      <w:r>
        <w:rPr>
          <w:bCs/>
          <w:color w:val="auto"/>
          <w:szCs w:val="21"/>
        </w:rPr>
        <w:t xml:space="preserve">进行审核），更换后的人员资</w:t>
      </w:r>
      <w:r>
        <w:rPr>
          <w:bCs/>
          <w:szCs w:val="21"/>
        </w:rPr>
        <w:t xml:space="preserve">格，应具备或高于原投标人员的资格。未经</w:t>
      </w:r>
      <w:r>
        <w:rPr>
          <w:rFonts w:hint="eastAsia"/>
          <w:bCs/>
          <w:szCs w:val="21"/>
        </w:rPr>
        <w:t xml:space="preserve">甲方</w:t>
      </w:r>
      <w:r>
        <w:rPr>
          <w:bCs/>
          <w:szCs w:val="21"/>
        </w:rPr>
        <w:t xml:space="preserve">许可更换的，</w:t>
      </w:r>
      <w:r>
        <w:rPr>
          <w:rFonts w:hint="eastAsia"/>
          <w:bCs/>
          <w:szCs w:val="21"/>
        </w:rPr>
        <w:t xml:space="preserve">甲方</w:t>
      </w:r>
      <w:r>
        <w:rPr>
          <w:bCs/>
          <w:szCs w:val="21"/>
        </w:rPr>
        <w:t xml:space="preserve">有权终止合同。</w:t>
      </w:r>
      <w:r/>
    </w:p>
    <w:p>
      <w:pPr>
        <w:ind w:firstLine="420"/>
        <w:spacing w:line="360" w:lineRule="auto"/>
        <w:rPr>
          <w:bCs/>
          <w:szCs w:val="21"/>
        </w:rPr>
      </w:pPr>
      <w:r>
        <w:rPr>
          <w:bCs/>
          <w:szCs w:val="21"/>
        </w:rPr>
        <w:t xml:space="preserve">（6）管理团队（项目经理、绿化技术人员）须是投标单位在职未退休人员。</w:t>
      </w:r>
      <w:r/>
    </w:p>
    <w:p>
      <w:pPr>
        <w:rPr>
          <w:rFonts w:hint="eastAsia" w:ascii="Calibri" w:hAnsi="Calibri"/>
          <w:b/>
          <w:sz w:val="24"/>
          <w:szCs w:val="24"/>
        </w:rPr>
      </w:pPr>
      <w:r>
        <w:rPr>
          <w:rFonts w:hint="eastAsia" w:ascii="Calibri" w:hAnsi="Calibri"/>
          <w:b/>
          <w:sz w:val="24"/>
          <w:szCs w:val="24"/>
        </w:rPr>
        <w:br w:type="page" w:clear="all"/>
      </w:r>
      <w:r/>
    </w:p>
    <w:p>
      <w:pPr>
        <w:spacing w:line="360" w:lineRule="auto"/>
        <w:rPr>
          <w:rFonts w:ascii="Calibri" w:hAnsi="Calibri"/>
          <w:b/>
          <w:sz w:val="24"/>
          <w:szCs w:val="24"/>
        </w:rPr>
      </w:pPr>
      <w:r>
        <w:rPr>
          <w:rFonts w:hint="eastAsia" w:ascii="Calibri" w:hAnsi="Calibri"/>
          <w:b/>
          <w:sz w:val="24"/>
          <w:szCs w:val="24"/>
        </w:rPr>
        <w:t xml:space="preserve">附件3：《南京中医药大学绿化养护监管及考核办法（修订版）》</w:t>
      </w:r>
      <w:r/>
    </w:p>
    <w:p>
      <w:pPr>
        <w:jc w:val="center"/>
        <w:spacing w:line="560" w:lineRule="exact"/>
        <w:rPr>
          <w:rFonts w:hint="eastAsia" w:ascii="仿宋_GB2312" w:hAnsi="仿宋" w:eastAsia="仿宋_GB2312"/>
          <w:bCs/>
          <w:sz w:val="28"/>
          <w:szCs w:val="28"/>
        </w:rPr>
      </w:pPr>
      <w:r>
        <w:rPr>
          <w:rFonts w:ascii="黑体" w:hAnsi="黑体" w:eastAsia="黑体"/>
          <w:bCs/>
          <w:sz w:val="28"/>
          <w:szCs w:val="28"/>
        </w:rPr>
        <w:t xml:space="preserve">南京中医药大学绿化养护</w:t>
      </w:r>
      <w:r>
        <w:rPr>
          <w:rFonts w:hint="eastAsia" w:ascii="黑体" w:hAnsi="黑体" w:eastAsia="黑体"/>
          <w:bCs/>
          <w:sz w:val="28"/>
          <w:szCs w:val="28"/>
        </w:rPr>
        <w:t xml:space="preserve">监管</w:t>
      </w:r>
      <w:r>
        <w:rPr>
          <w:rFonts w:ascii="黑体" w:hAnsi="黑体" w:eastAsia="黑体"/>
          <w:bCs/>
          <w:sz w:val="28"/>
          <w:szCs w:val="28"/>
        </w:rPr>
        <w:t xml:space="preserve">及考核办法（修订版）</w:t>
      </w:r>
      <w:r/>
    </w:p>
    <w:p>
      <w:pPr>
        <w:ind w:firstLine="480"/>
        <w:spacing w:line="360" w:lineRule="auto"/>
        <w:rPr>
          <w:bCs/>
          <w:szCs w:val="21"/>
        </w:rPr>
      </w:pPr>
      <w:r>
        <w:rPr>
          <w:bCs/>
          <w:szCs w:val="21"/>
        </w:rPr>
        <w:t xml:space="preserve">为提升校园绿化养护水平，加强对绿化服务托管单位的管理考核，结合学校绿化养护的实际情况，特制定本办法。</w:t>
      </w:r>
      <w:r/>
    </w:p>
    <w:p>
      <w:pPr>
        <w:jc w:val="left"/>
        <w:spacing w:line="360" w:lineRule="auto"/>
        <w:shd w:val="clear" w:color="auto" w:fill="ffffff"/>
        <w:widowControl/>
        <w:rPr>
          <w:bCs/>
          <w:szCs w:val="21"/>
        </w:rPr>
      </w:pPr>
      <w:r>
        <w:rPr>
          <w:bCs/>
          <w:szCs w:val="21"/>
        </w:rPr>
        <w:t xml:space="preserve">一、监管及考核对象</w:t>
      </w:r>
      <w:r/>
    </w:p>
    <w:p>
      <w:pPr>
        <w:ind w:firstLine="480"/>
        <w:spacing w:line="360" w:lineRule="auto"/>
        <w:rPr>
          <w:bCs/>
          <w:szCs w:val="21"/>
        </w:rPr>
      </w:pPr>
      <w:r>
        <w:rPr>
          <w:bCs/>
          <w:szCs w:val="21"/>
        </w:rPr>
        <w:t xml:space="preserve">通过招投标程序确定承担我校绿化养护管理的各中标公司。</w:t>
      </w:r>
      <w:r/>
    </w:p>
    <w:p>
      <w:pPr>
        <w:jc w:val="left"/>
        <w:spacing w:line="360" w:lineRule="auto"/>
        <w:shd w:val="clear" w:color="auto" w:fill="ffffff"/>
        <w:widowControl/>
        <w:rPr>
          <w:bCs/>
          <w:szCs w:val="21"/>
        </w:rPr>
      </w:pPr>
      <w:r>
        <w:rPr>
          <w:bCs/>
          <w:szCs w:val="21"/>
        </w:rPr>
        <w:t xml:space="preserve">二、监管职责与流程</w:t>
      </w:r>
      <w:r/>
    </w:p>
    <w:p>
      <w:pPr>
        <w:numPr>
          <w:ilvl w:val="0"/>
          <w:numId w:val="0"/>
        </w:numPr>
        <w:ind w:left="360" w:firstLine="0"/>
        <w:spacing w:line="360" w:lineRule="auto"/>
        <w:tabs>
          <w:tab w:val="left" w:pos="720" w:leader="none"/>
        </w:tabs>
        <w:rPr>
          <w:bCs/>
          <w:szCs w:val="21"/>
        </w:rPr>
      </w:pPr>
      <w:r>
        <w:rPr>
          <w:rFonts w:hint="eastAsia"/>
          <w:bCs/>
          <w:szCs w:val="21"/>
        </w:rPr>
        <w:t xml:space="preserve">1</w:t>
      </w:r>
      <w:r>
        <w:rPr>
          <w:bCs/>
          <w:szCs w:val="21"/>
        </w:rPr>
        <w:t xml:space="preserve">计划管理：养护单位应于每月25日前，向学校后勤基建处提交次月详细的绿化养护工作计划（包括重点工作、区域、时间安排等）。校方应在3个工作日内完成审核与反馈。</w:t>
      </w:r>
      <w:r/>
    </w:p>
    <w:p>
      <w:pPr>
        <w:numPr>
          <w:ilvl w:val="0"/>
          <w:numId w:val="0"/>
        </w:numPr>
        <w:ind w:left="360" w:firstLine="0"/>
        <w:spacing w:line="360" w:lineRule="auto"/>
        <w:tabs>
          <w:tab w:val="left" w:pos="720" w:leader="none"/>
        </w:tabs>
        <w:rPr>
          <w:bCs/>
          <w:szCs w:val="21"/>
        </w:rPr>
      </w:pPr>
      <w:r>
        <w:rPr>
          <w:rFonts w:hint="eastAsia"/>
          <w:bCs/>
          <w:szCs w:val="21"/>
        </w:rPr>
        <w:t xml:space="preserve">2</w:t>
      </w:r>
      <w:r>
        <w:rPr>
          <w:bCs/>
          <w:szCs w:val="21"/>
        </w:rPr>
        <w:t xml:space="preserve">日常巡查：学校后勤基建处绿化管理人员采取明察与暗访相结合的方式，对养护作业进行不定期巡查。巡查内容包括但不限于人员到岗、安全文明施工、养护质量及计划执行情况。</w:t>
      </w:r>
      <w:r/>
    </w:p>
    <w:p>
      <w:pPr>
        <w:numPr>
          <w:ilvl w:val="0"/>
          <w:numId w:val="0"/>
        </w:numPr>
        <w:ind w:left="360" w:firstLine="0"/>
        <w:spacing w:line="360" w:lineRule="auto"/>
        <w:tabs>
          <w:tab w:val="left" w:pos="720" w:leader="none"/>
        </w:tabs>
        <w:rPr>
          <w:bCs/>
          <w:szCs w:val="21"/>
        </w:rPr>
      </w:pPr>
      <w:r>
        <w:rPr>
          <w:rFonts w:hint="eastAsia"/>
          <w:bCs/>
          <w:szCs w:val="21"/>
        </w:rPr>
        <w:t xml:space="preserve">3</w:t>
      </w:r>
      <w:r>
        <w:rPr>
          <w:bCs/>
          <w:szCs w:val="21"/>
        </w:rPr>
        <w:t xml:space="preserve">问题处置：巡查中发现的问题，管理人员应现场记录，并可向养护单位下达《绿化养护整改通知单》，明确整改内容与期限。养护单位须按时整改并书面回复。</w:t>
      </w:r>
      <w:r/>
    </w:p>
    <w:p>
      <w:pPr>
        <w:numPr>
          <w:ilvl w:val="0"/>
          <w:numId w:val="0"/>
        </w:numPr>
        <w:ind w:left="360" w:firstLine="0"/>
        <w:spacing w:line="360" w:lineRule="auto"/>
        <w:tabs>
          <w:tab w:val="left" w:pos="720" w:leader="none"/>
        </w:tabs>
        <w:rPr>
          <w:bCs/>
          <w:szCs w:val="21"/>
        </w:rPr>
      </w:pPr>
      <w:r>
        <w:rPr>
          <w:rFonts w:hint="eastAsia"/>
          <w:bCs/>
          <w:szCs w:val="21"/>
        </w:rPr>
        <w:t xml:space="preserve">4</w:t>
      </w:r>
      <w:r>
        <w:rPr>
          <w:bCs/>
          <w:szCs w:val="21"/>
        </w:rPr>
        <w:t xml:space="preserve">沟通协调：建立定期例会或专项沟通机制，协调解决养护过程中出现的重大或普遍性问题，部署阶段性重点工作。</w:t>
      </w:r>
      <w:r/>
    </w:p>
    <w:p>
      <w:pPr>
        <w:numPr>
          <w:ilvl w:val="0"/>
          <w:numId w:val="0"/>
        </w:numPr>
        <w:ind w:left="360" w:firstLine="0"/>
        <w:spacing w:line="360" w:lineRule="auto"/>
        <w:tabs>
          <w:tab w:val="left" w:pos="720" w:leader="none"/>
        </w:tabs>
        <w:rPr>
          <w:bCs/>
          <w:szCs w:val="21"/>
        </w:rPr>
      </w:pPr>
      <w:r>
        <w:rPr>
          <w:rFonts w:hint="eastAsia"/>
          <w:bCs/>
          <w:szCs w:val="21"/>
        </w:rPr>
        <w:t xml:space="preserve">5</w:t>
      </w:r>
      <w:r>
        <w:rPr>
          <w:bCs/>
          <w:szCs w:val="21"/>
        </w:rPr>
        <w:t xml:space="preserve">质量考核：通过日常考核、季度总评、年度考核的全流程考核，对养护单位的绿化养护质量进行全面评定，考核结果作为经费支付、合同续签的核心依据。</w:t>
      </w:r>
      <w:r/>
    </w:p>
    <w:p>
      <w:pPr>
        <w:jc w:val="left"/>
        <w:spacing w:line="360" w:lineRule="auto"/>
        <w:shd w:val="clear" w:color="auto" w:fill="ffffff"/>
        <w:widowControl/>
        <w:rPr>
          <w:bCs/>
          <w:szCs w:val="21"/>
        </w:rPr>
      </w:pPr>
      <w:r>
        <w:rPr>
          <w:bCs/>
          <w:szCs w:val="21"/>
        </w:rPr>
        <w:t xml:space="preserve">三、考核及评分办法</w:t>
      </w:r>
      <w:r/>
    </w:p>
    <w:p>
      <w:pPr>
        <w:ind w:firstLine="420"/>
        <w:spacing w:line="360" w:lineRule="auto"/>
        <w:rPr>
          <w:bCs/>
          <w:szCs w:val="21"/>
        </w:rPr>
      </w:pPr>
      <w:r>
        <w:rPr>
          <w:bCs/>
          <w:szCs w:val="21"/>
        </w:rPr>
        <w:t xml:space="preserve">考核采用日常考核、季度总评与年度考核相结合的方式进行。</w:t>
      </w:r>
      <w:r/>
    </w:p>
    <w:p>
      <w:pPr>
        <w:ind w:firstLine="480"/>
        <w:spacing w:line="360" w:lineRule="auto"/>
        <w:rPr>
          <w:bCs/>
          <w:szCs w:val="21"/>
        </w:rPr>
      </w:pPr>
      <w:r>
        <w:rPr>
          <w:bCs/>
          <w:szCs w:val="21"/>
        </w:rPr>
        <w:t xml:space="preserve">（一）日常考核</w:t>
      </w:r>
      <w:r/>
    </w:p>
    <w:p>
      <w:pPr>
        <w:numPr>
          <w:ilvl w:val="0"/>
          <w:numId w:val="0"/>
        </w:numPr>
        <w:ind w:left="360" w:firstLine="0"/>
        <w:spacing w:line="360" w:lineRule="auto"/>
        <w:tabs>
          <w:tab w:val="left" w:pos="720" w:leader="none"/>
        </w:tabs>
        <w:rPr>
          <w:bCs/>
          <w:szCs w:val="21"/>
        </w:rPr>
      </w:pPr>
      <w:r>
        <w:rPr>
          <w:rFonts w:hint="eastAsia"/>
          <w:bCs/>
          <w:szCs w:val="21"/>
        </w:rPr>
        <w:t xml:space="preserve">1.</w:t>
      </w:r>
      <w:r>
        <w:rPr>
          <w:bCs/>
          <w:szCs w:val="21"/>
        </w:rPr>
        <w:t xml:space="preserve">频次：每季度开展不少于3次，采用明察与暗访相结合的形式进行，确保考核的全面性和客观性。</w:t>
      </w:r>
      <w:r/>
    </w:p>
    <w:p>
      <w:pPr>
        <w:numPr>
          <w:ilvl w:val="0"/>
          <w:numId w:val="0"/>
        </w:numPr>
        <w:ind w:left="360" w:firstLine="0"/>
        <w:spacing w:line="360" w:lineRule="auto"/>
        <w:tabs>
          <w:tab w:val="left" w:pos="720" w:leader="none"/>
        </w:tabs>
        <w:rPr>
          <w:bCs/>
          <w:szCs w:val="21"/>
        </w:rPr>
      </w:pPr>
      <w:r>
        <w:rPr>
          <w:rFonts w:hint="eastAsia"/>
          <w:bCs/>
          <w:szCs w:val="21"/>
        </w:rPr>
        <w:t xml:space="preserve">2.</w:t>
      </w:r>
      <w:r>
        <w:rPr>
          <w:bCs/>
          <w:szCs w:val="21"/>
        </w:rPr>
        <w:t xml:space="preserve">内容：考核小组对绿化养护情况（包括人员到岗到位、安全文明作业、绿化养护质量等）进行明察暗访，发现问题记录存档并按考核项目规定的分值比例直接扣分。</w:t>
      </w:r>
      <w:r/>
    </w:p>
    <w:p>
      <w:pPr>
        <w:numPr>
          <w:ilvl w:val="0"/>
          <w:numId w:val="0"/>
        </w:numPr>
        <w:ind w:left="360" w:firstLine="0"/>
        <w:spacing w:line="360" w:lineRule="auto"/>
        <w:tabs>
          <w:tab w:val="left" w:pos="720" w:leader="none"/>
        </w:tabs>
        <w:rPr>
          <w:bCs/>
          <w:szCs w:val="21"/>
        </w:rPr>
      </w:pPr>
      <w:r>
        <w:rPr>
          <w:rFonts w:hint="eastAsia"/>
          <w:bCs/>
          <w:szCs w:val="21"/>
        </w:rPr>
        <w:t xml:space="preserve">3.</w:t>
      </w:r>
      <w:r>
        <w:rPr>
          <w:bCs/>
          <w:szCs w:val="21"/>
        </w:rPr>
        <w:t xml:space="preserve">记录与处置：发现问题当场记录，考核小组可对发现的问题下达《整改通知单》，限期整改。</w:t>
      </w:r>
      <w:r/>
    </w:p>
    <w:p>
      <w:pPr>
        <w:numPr>
          <w:ilvl w:val="0"/>
          <w:numId w:val="0"/>
        </w:numPr>
        <w:ind w:left="360" w:firstLine="0"/>
        <w:spacing w:line="360" w:lineRule="auto"/>
        <w:tabs>
          <w:tab w:val="left" w:pos="720" w:leader="none"/>
        </w:tabs>
        <w:rPr>
          <w:bCs/>
          <w:szCs w:val="21"/>
        </w:rPr>
      </w:pPr>
      <w:r>
        <w:rPr>
          <w:rFonts w:hint="eastAsia"/>
          <w:bCs/>
          <w:szCs w:val="21"/>
        </w:rPr>
        <w:t xml:space="preserve">4.</w:t>
      </w:r>
      <w:r>
        <w:rPr>
          <w:bCs/>
          <w:szCs w:val="21"/>
        </w:rPr>
        <w:t xml:space="preserve">任务与投诉处理：后勤基建处下达的阶段性工作不能按要求完成的，可直接扣除相应的分值。中标公司管理失当，引起师生强烈负面反映的，每次直接扣5分。</w:t>
      </w:r>
      <w:r/>
    </w:p>
    <w:p>
      <w:pPr>
        <w:ind w:firstLine="480"/>
        <w:spacing w:line="360" w:lineRule="auto"/>
        <w:rPr>
          <w:bCs/>
          <w:szCs w:val="21"/>
        </w:rPr>
      </w:pPr>
      <w:r>
        <w:rPr>
          <w:bCs/>
          <w:szCs w:val="21"/>
        </w:rPr>
        <w:t xml:space="preserve">5.罚款条款：中标公司日常工作落实不到位、标准不达标，存在轻微问题的，校方下发整改通知，限定24小时内完成整改，未按时限完成整改的，每次罚款500元。经提醒整改后，整改不到位或整改后反复的，每次罚款 1000元。因工作失职、管理缺失，造成现场管理混乱、服务事故、资产损耗、负面评价、安全隐患等不良影响的，每次罚款2000元。同一问题月度内多次违规的，叠加从重处罚；情节特别恶劣、造成重大损失或恶劣负面影响的，采购人有权额外追责并单方追责解约。罚款从当期养护费用中直接扣除。</w:t>
      </w:r>
      <w:r/>
    </w:p>
    <w:p>
      <w:pPr>
        <w:spacing w:line="360" w:lineRule="auto"/>
        <w:rPr>
          <w:bCs/>
          <w:szCs w:val="21"/>
        </w:rPr>
      </w:pPr>
      <w:r>
        <w:rPr>
          <w:bCs/>
          <w:szCs w:val="21"/>
        </w:rPr>
        <w:t xml:space="preserve">（二）季度总评</w:t>
      </w:r>
      <w:r/>
    </w:p>
    <w:p>
      <w:pPr>
        <w:ind w:firstLine="420"/>
        <w:spacing w:line="360" w:lineRule="auto"/>
        <w:rPr>
          <w:bCs/>
          <w:szCs w:val="21"/>
        </w:rPr>
      </w:pPr>
      <w:r>
        <w:rPr>
          <w:bCs/>
          <w:szCs w:val="21"/>
        </w:rPr>
        <w:t xml:space="preserve">综合当季度日常考核成绩、阶段性任务完成情况、整改任务落实情况等，对中标公司当季绿化养护管理工作进行全面评定，确定季度总评成绩。季度总评成绩直接与当期养护经费支付挂钩（具体兑现方式见第五点），作为经费支付的核心依据。</w:t>
      </w:r>
      <w:r/>
    </w:p>
    <w:p>
      <w:pPr>
        <w:spacing w:line="360" w:lineRule="auto"/>
        <w:rPr>
          <w:bCs/>
          <w:szCs w:val="21"/>
        </w:rPr>
      </w:pPr>
      <w:r>
        <w:rPr>
          <w:bCs/>
          <w:szCs w:val="21"/>
        </w:rPr>
        <w:t xml:space="preserve">（三）年度考核</w:t>
      </w:r>
      <w:r/>
    </w:p>
    <w:p>
      <w:pPr>
        <w:numPr>
          <w:ilvl w:val="0"/>
          <w:numId w:val="0"/>
        </w:numPr>
        <w:ind w:left="360" w:firstLine="0"/>
        <w:spacing w:line="360" w:lineRule="auto"/>
        <w:tabs>
          <w:tab w:val="left" w:pos="720" w:leader="none"/>
        </w:tabs>
        <w:rPr>
          <w:bCs/>
          <w:szCs w:val="21"/>
        </w:rPr>
      </w:pPr>
      <w:r>
        <w:rPr>
          <w:rFonts w:hint="eastAsia"/>
          <w:bCs/>
          <w:szCs w:val="21"/>
        </w:rPr>
        <w:t xml:space="preserve">1</w:t>
      </w:r>
      <w:r>
        <w:rPr>
          <w:bCs/>
          <w:szCs w:val="21"/>
        </w:rPr>
        <w:t xml:space="preserve">频次：合同年度结束前进行1次。</w:t>
      </w:r>
      <w:r/>
    </w:p>
    <w:p>
      <w:pPr>
        <w:numPr>
          <w:ilvl w:val="0"/>
          <w:numId w:val="0"/>
        </w:numPr>
        <w:ind w:left="360" w:firstLine="0"/>
        <w:spacing w:line="360" w:lineRule="auto"/>
        <w:tabs>
          <w:tab w:val="left" w:pos="720" w:leader="none"/>
        </w:tabs>
        <w:rPr>
          <w:bCs/>
          <w:szCs w:val="21"/>
        </w:rPr>
      </w:pPr>
      <w:r>
        <w:rPr>
          <w:rFonts w:hint="eastAsia"/>
          <w:bCs/>
          <w:szCs w:val="21"/>
        </w:rPr>
        <w:t xml:space="preserve">2</w:t>
      </w:r>
      <w:r>
        <w:rPr>
          <w:bCs/>
          <w:szCs w:val="21"/>
        </w:rPr>
        <w:t xml:space="preserve">方式：综合四个季度的日常考核与季度考核成绩，结合全年整体履约情况、重大任务响应、师生满意度等进行总体评价。</w:t>
      </w:r>
      <w:r/>
    </w:p>
    <w:p>
      <w:pPr>
        <w:numPr>
          <w:ilvl w:val="0"/>
          <w:numId w:val="0"/>
        </w:numPr>
        <w:ind w:left="360" w:firstLine="0"/>
        <w:spacing w:line="360" w:lineRule="auto"/>
        <w:tabs>
          <w:tab w:val="left" w:pos="720" w:leader="none"/>
        </w:tabs>
        <w:rPr>
          <w:bCs/>
          <w:szCs w:val="21"/>
        </w:rPr>
      </w:pPr>
      <w:r>
        <w:rPr>
          <w:rFonts w:hint="eastAsia"/>
          <w:bCs/>
          <w:szCs w:val="21"/>
        </w:rPr>
        <w:t xml:space="preserve">3</w:t>
      </w:r>
      <w:r>
        <w:rPr>
          <w:bCs/>
          <w:szCs w:val="21"/>
        </w:rPr>
        <w:t xml:space="preserve">结果应用：年度考核结果将作为是否续签下一年度养护合同的重要依据。</w:t>
      </w:r>
      <w:r/>
    </w:p>
    <w:p>
      <w:pPr>
        <w:spacing w:line="360" w:lineRule="auto"/>
        <w:rPr>
          <w:bCs/>
          <w:szCs w:val="21"/>
        </w:rPr>
      </w:pPr>
      <w:r>
        <w:rPr>
          <w:bCs/>
          <w:szCs w:val="21"/>
        </w:rPr>
        <w:t xml:space="preserve">（四）其它扣分情况</w:t>
      </w:r>
      <w:r/>
    </w:p>
    <w:p>
      <w:pPr>
        <w:ind w:firstLine="480"/>
        <w:spacing w:line="360" w:lineRule="auto"/>
        <w:rPr>
          <w:bCs/>
          <w:szCs w:val="21"/>
        </w:rPr>
      </w:pPr>
      <w:r>
        <w:rPr>
          <w:bCs/>
          <w:szCs w:val="21"/>
        </w:rPr>
        <w:t xml:space="preserve">中标公司应在月底前上报次月养护工作计划，未按时上报工作计划的扣季度总评成绩2分，不上报工作计划的扣季度总评成绩5分。</w:t>
      </w:r>
      <w:r/>
    </w:p>
    <w:p>
      <w:pPr>
        <w:ind w:firstLine="420"/>
        <w:jc w:val="left"/>
        <w:spacing w:line="360" w:lineRule="auto"/>
        <w:shd w:val="clear" w:color="auto" w:fill="ffffff"/>
        <w:widowControl/>
        <w:rPr>
          <w:bCs/>
          <w:szCs w:val="21"/>
        </w:rPr>
      </w:pPr>
      <w:r>
        <w:rPr>
          <w:bCs/>
          <w:szCs w:val="21"/>
        </w:rPr>
        <w:t xml:space="preserve">四、分值设定</w:t>
      </w:r>
      <w:r/>
    </w:p>
    <w:p>
      <w:pPr>
        <w:ind w:firstLine="420"/>
        <w:spacing w:line="360" w:lineRule="auto"/>
        <w:rPr>
          <w:bCs/>
          <w:szCs w:val="21"/>
        </w:rPr>
      </w:pPr>
      <w:r>
        <w:rPr>
          <w:bCs/>
          <w:szCs w:val="21"/>
        </w:rPr>
        <w:t xml:space="preserve">1.卫生保洁（10分）：每月至少1次全面清理绿地落枝、落叶，3-5月、11-12月集中落叶期增加频次；绿色废弃物按南京垃圾分类要求规范处理，不混入生活垃圾箱，重点区域随产随清，其他区域日产日清，重要活动前突击清理。每发现1项不达标，扣2分。</w:t>
      </w:r>
      <w:r/>
    </w:p>
    <w:p>
      <w:pPr>
        <w:ind w:firstLine="420"/>
        <w:spacing w:line="360" w:lineRule="auto"/>
        <w:rPr>
          <w:bCs/>
          <w:szCs w:val="21"/>
        </w:rPr>
      </w:pPr>
      <w:r>
        <w:rPr>
          <w:bCs/>
          <w:szCs w:val="21"/>
        </w:rPr>
        <w:t xml:space="preserve">2.修剪养护（10分）：严格按照技术要求，结合乔灌木、绿篱、草坪生长特性适时修剪。乔木无明显枯枝、断枝、萌蘖枝，遮挡阳光或安全隐患树</w:t>
      </w:r>
      <w:r>
        <w:rPr>
          <w:bCs/>
          <w:szCs w:val="21"/>
        </w:rPr>
        <w:t xml:space="preserve">枝及时修剪；绿篱、球形灌木年修剪不少于4次，绿篱平整、三面光，球冠树形态完整圆滑；草坪年修剪不少于12次，冷季型高度不超过6-7cm、暖季型不超过4-5cm；修剪剩余物及时袋装清理。每次10棵以下树木修剪不到位的扣除2分，每次10棵以上树木修剪不到位的扣除5分；绿篱长10米以下修剪不整齐的每处扣1分，长10米以上修剪不整齐的每处扣除2分；每次有20平方米以下草坪修剪不整齐的每处扣除1分，20平方米以上修剪不整齐的每处扣除2分。修剪不及时，督促后仍没有按时修剪的扣除5分；草屑、枝叶没有清理的，发现一处扣1分。</w:t>
      </w:r>
      <w:r/>
    </w:p>
    <w:p>
      <w:pPr>
        <w:ind w:firstLine="420"/>
        <w:spacing w:line="360" w:lineRule="auto"/>
        <w:rPr>
          <w:bCs/>
          <w:szCs w:val="21"/>
        </w:rPr>
      </w:pPr>
      <w:r>
        <w:rPr>
          <w:bCs/>
          <w:szCs w:val="21"/>
        </w:rPr>
        <w:t xml:space="preserve">3.浇水管理（10分）：根据立地条件、季节气候及时浇透，草坪浇水湿透根系层，严格遵循3-12月浇水频次要求；雨后及时排除植物周围积水；浇灌一律使用中水，严禁使用消防栓及自来水管取水，节约用水、无漏水喷灌现象。没有及时浇水或排水，造成苗木死亡的每发现一处扣3分；浇水不足或排水不彻底，造成树木受损的发现一处扣2分。违规取水或浇灌设施漏水严重，每发现一次扣3分。</w:t>
      </w:r>
      <w:r/>
    </w:p>
    <w:p>
      <w:pPr>
        <w:ind w:firstLine="420"/>
        <w:spacing w:line="360" w:lineRule="auto"/>
        <w:rPr>
          <w:bCs/>
          <w:szCs w:val="21"/>
        </w:rPr>
      </w:pPr>
      <w:r>
        <w:rPr>
          <w:bCs/>
          <w:szCs w:val="21"/>
        </w:rPr>
        <w:t xml:space="preserve">4.除草管理（10分）：乔灌木下杂草及时铲除，草坪杂草连根清除，做到除早、除小、除净，采用人工、机械或生物除草方式。杂草数量较多的，发现一处面积在20平方米以下的扣1分，20平方米以上的扣2分；杂草清除后未及时清理或清运的，每发现一次扣2分。</w:t>
      </w:r>
      <w:r/>
    </w:p>
    <w:p>
      <w:pPr>
        <w:ind w:firstLine="420"/>
        <w:spacing w:line="360" w:lineRule="auto"/>
        <w:rPr>
          <w:bCs/>
          <w:szCs w:val="21"/>
        </w:rPr>
      </w:pPr>
      <w:r>
        <w:rPr>
          <w:bCs/>
          <w:szCs w:val="21"/>
        </w:rPr>
        <w:t xml:space="preserve">5.病虫害防治（10分）：坚持“以防为主、防治结合”，做好预测预报，重点关注樱花、海棠等指定树种；树体伤口及时消毒防护，树洞及时修补，每年开展香樟树白蚁专项防治；用药符合环保标准、配比正确，发现病虫害2天内治理完毕，不影响观赏效果。每发现1项不达标，扣2分；未及时开展白蚁专项防治导致病虫害蔓延，扣3分。</w:t>
      </w:r>
      <w:r/>
    </w:p>
    <w:p>
      <w:pPr>
        <w:ind w:firstLine="420"/>
        <w:spacing w:line="360" w:lineRule="auto"/>
        <w:rPr>
          <w:bCs/>
          <w:szCs w:val="21"/>
        </w:rPr>
      </w:pPr>
      <w:r>
        <w:rPr>
          <w:bCs/>
          <w:szCs w:val="21"/>
        </w:rPr>
        <w:t xml:space="preserve">6.施肥管理（10分）：草坪、花草、乔灌木每年春季、秋冬季各施肥1次，重点观赏树种施复合肥或有机肥；施肥结合树种、树龄等合理进行，绿地以有机肥为主，每亩至少施25公斤有机复合肥，树木施肥挖设与冠幅匹配的环沟；建立施肥台账。每发现1项不达标，扣2分；台账缺失扣2分。</w:t>
      </w:r>
      <w:r/>
    </w:p>
    <w:p>
      <w:pPr>
        <w:ind w:firstLine="420"/>
        <w:spacing w:line="360" w:lineRule="auto"/>
        <w:rPr>
          <w:bCs/>
          <w:szCs w:val="21"/>
        </w:rPr>
      </w:pPr>
      <w:r>
        <w:rPr>
          <w:bCs/>
          <w:szCs w:val="21"/>
        </w:rPr>
        <w:t xml:space="preserve">7.枯枝死枝清理及补植（10分）：及时清理树木及地面枯枝、死枝；绿植因养护不当造成死亡，及时报告并1个月内补植同品种同规格苗木；花灌木、地被、草坪缺损及时补种，相关费用由中标单位承担。每发现1项不达标，扣2分；未及时补植或补植未成活，扣3分。</w:t>
      </w:r>
      <w:r/>
    </w:p>
    <w:p>
      <w:pPr>
        <w:ind w:firstLine="480"/>
        <w:spacing w:line="360" w:lineRule="auto"/>
        <w:rPr>
          <w:bCs/>
          <w:szCs w:val="21"/>
        </w:rPr>
      </w:pPr>
      <w:r>
        <w:rPr>
          <w:bCs/>
          <w:szCs w:val="21"/>
        </w:rPr>
        <w:t xml:space="preserve">8.安全文明作业（10分）</w:t>
      </w:r>
      <w:r/>
    </w:p>
    <w:p>
      <w:pPr>
        <w:ind w:firstLine="480"/>
        <w:spacing w:line="360" w:lineRule="auto"/>
        <w:rPr>
          <w:bCs/>
          <w:szCs w:val="21"/>
        </w:rPr>
      </w:pPr>
      <w:r>
        <w:rPr>
          <w:bCs/>
          <w:szCs w:val="21"/>
        </w:rPr>
        <w:t xml:space="preserve">作业期间应设置安全警示标志，工完场清。汽油、农药、化肥等养护器具材料应设专库存放，摆放整齐，并有专人管理，建立进出库及使用台账。机械、工具不得随意堆放于绿地内。作业过程中存在安全隐患或影响师生通行，每次扣1分；危险物品存放不当，每发现一次扣2分；未建立相关安全管理台账的，扣2分。</w:t>
      </w:r>
      <w:r/>
    </w:p>
    <w:p>
      <w:pPr>
        <w:ind w:firstLine="420"/>
        <w:spacing w:line="360" w:lineRule="auto"/>
        <w:rPr>
          <w:bCs/>
          <w:szCs w:val="21"/>
        </w:rPr>
      </w:pPr>
      <w:r>
        <w:rPr>
          <w:bCs/>
          <w:szCs w:val="21"/>
        </w:rPr>
        <w:t xml:space="preserve">9.设施看护（10分）：养护工具机械有专门安放地点，绿地内严禁停车、堆物搭棚，树干无钉拴刻画；绿地设施（雕塑、草坪灯、座椅、景观平台等）完好，损坏及安全隐患及时报修；严禁侵占绿地行为，及时制止违规施工并监督绿化恢复。每发现1项不达标，扣2分。</w:t>
      </w:r>
      <w:r/>
    </w:p>
    <w:p>
      <w:pPr>
        <w:ind w:firstLine="420"/>
        <w:spacing w:line="360" w:lineRule="auto"/>
        <w:rPr>
          <w:bCs/>
          <w:szCs w:val="21"/>
        </w:rPr>
      </w:pPr>
      <w:r>
        <w:rPr>
          <w:bCs/>
          <w:szCs w:val="21"/>
        </w:rPr>
        <w:t xml:space="preserve">10.应急处置（10分）：做好高大乔木抗风暴预防，采取立支柱、疏枝等措施；冬季及时清除树木积雪，防止压断树枝；台风、暴雨、大雪等极端天气结束后24小时内，完成树木扶正、断枝清理及通行恢复；无条件及时响应学校重大活动临时绿化整治任务。每发现1项不达标，扣2分；应急响应不及时、处置不到位对学校工作产生负面影响的，扣5分。</w:t>
      </w:r>
      <w:r/>
    </w:p>
    <w:p>
      <w:pPr>
        <w:ind w:firstLine="420"/>
        <w:jc w:val="left"/>
        <w:spacing w:line="360" w:lineRule="auto"/>
        <w:shd w:val="clear" w:color="auto" w:fill="ffffff"/>
        <w:widowControl/>
        <w:rPr>
          <w:bCs/>
          <w:szCs w:val="21"/>
        </w:rPr>
      </w:pPr>
      <w:r>
        <w:rPr>
          <w:bCs/>
          <w:szCs w:val="21"/>
        </w:rPr>
        <w:t xml:space="preserve">五、经费兑现方式</w:t>
      </w:r>
      <w:r/>
    </w:p>
    <w:p>
      <w:pPr>
        <w:ind w:firstLine="420"/>
        <w:spacing w:line="360" w:lineRule="auto"/>
        <w:rPr>
          <w:bCs/>
          <w:szCs w:val="21"/>
        </w:rPr>
      </w:pPr>
      <w:r>
        <w:rPr>
          <w:bCs/>
          <w:szCs w:val="21"/>
        </w:rPr>
        <w:t xml:space="preserve">1.将全年的养护经费平均分配到四个季度中，按季度支付兑现。</w:t>
      </w:r>
      <w:r/>
    </w:p>
    <w:p>
      <w:pPr>
        <w:ind w:firstLine="420"/>
        <w:spacing w:line="360" w:lineRule="auto"/>
        <w:rPr>
          <w:bCs/>
          <w:szCs w:val="21"/>
        </w:rPr>
      </w:pPr>
      <w:r>
        <w:rPr>
          <w:bCs/>
          <w:szCs w:val="21"/>
        </w:rPr>
        <w:t xml:space="preserve">2.管理单位根据中标公司对所在标段养护内容的完成情况、完成效果及日常保洁、设施维护等进行综合评定打分。</w:t>
      </w:r>
      <w:r/>
    </w:p>
    <w:p>
      <w:pPr>
        <w:ind w:firstLine="420"/>
        <w:spacing w:line="360" w:lineRule="auto"/>
        <w:rPr>
          <w:bCs/>
          <w:szCs w:val="21"/>
        </w:rPr>
      </w:pPr>
      <w:r>
        <w:rPr>
          <w:bCs/>
          <w:szCs w:val="21"/>
        </w:rPr>
        <w:t xml:space="preserve">3.当季养护费用的60%作为基本养护费用，40%作为考核费用。当季总评成绩在90分以上（含90分）全额支付养护费用；当季总评成绩在85--90分（含85分）之间的，养护费用按（100−实际得分）/100*考核费用扣除后支付；75--85分（含75分）之间的，养护费用按[2*（100−实际得分）]/100 *考核费用扣除后支付；75分以下为不合格，直接扣除当季考核费。</w:t>
      </w:r>
      <w:r/>
    </w:p>
    <w:p>
      <w:pPr>
        <w:ind w:firstLine="420"/>
        <w:jc w:val="left"/>
        <w:spacing w:line="360" w:lineRule="auto"/>
        <w:shd w:val="clear" w:color="auto" w:fill="ffffff"/>
        <w:widowControl/>
        <w:rPr>
          <w:bCs/>
          <w:szCs w:val="21"/>
        </w:rPr>
      </w:pPr>
      <w:r>
        <w:rPr>
          <w:bCs/>
          <w:szCs w:val="21"/>
        </w:rPr>
        <w:t xml:space="preserve">六、其他规定</w:t>
      </w:r>
      <w:r/>
    </w:p>
    <w:p>
      <w:pPr>
        <w:pStyle w:val="1180"/>
        <w:ind w:firstLine="420"/>
        <w:spacing w:before="0" w:beforeAutospacing="0" w:after="0" w:afterAutospacing="0" w:line="360" w:lineRule="auto"/>
        <w:rPr>
          <w:rFonts w:ascii="Times New Roman" w:hAnsi="Times New Roman" w:eastAsia="宋体"/>
          <w:color w:val="auto"/>
          <w:sz w:val="21"/>
          <w:szCs w:val="21"/>
          <w:highlight w:val="yellow"/>
        </w:rPr>
      </w:pPr>
      <w:r>
        <w:rPr>
          <w:rFonts w:ascii="Times New Roman" w:hAnsi="Times New Roman" w:eastAsia="宋体"/>
          <w:bCs/>
          <w:sz w:val="21"/>
          <w:szCs w:val="21"/>
        </w:rPr>
        <w:t xml:space="preserve">发生下列情况之一的将终止合同，并将相应的考评结果报送至学校招投标管理部门，作为单位诚信、勤勉执业档案予以管理：</w:t>
      </w:r>
      <w:r>
        <w:rPr>
          <w:rFonts w:ascii="Times New Roman" w:hAnsi="Times New Roman" w:eastAsia="宋体"/>
          <w:bCs/>
          <w:sz w:val="21"/>
          <w:szCs w:val="21"/>
        </w:rPr>
        <w:br/>
      </w:r>
      <w:r>
        <w:rPr>
          <w:rFonts w:ascii="Times New Roman" w:hAnsi="Times New Roman" w:eastAsia="宋体"/>
          <w:bCs/>
          <w:sz w:val="21"/>
          <w:szCs w:val="21"/>
        </w:rPr>
        <w:t xml:space="preserve">   1.检查考核过程中，发现有转包和分包行为的；</w:t>
      </w:r>
      <w:r>
        <w:rPr>
          <w:rFonts w:ascii="Times New Roman" w:hAnsi="Times New Roman" w:eastAsia="宋体"/>
          <w:bCs/>
          <w:sz w:val="21"/>
          <w:szCs w:val="21"/>
        </w:rPr>
        <w:br/>
      </w:r>
      <w:r>
        <w:rPr>
          <w:rFonts w:ascii="Times New Roman" w:hAnsi="Times New Roman" w:eastAsia="宋体"/>
          <w:bCs/>
          <w:sz w:val="21"/>
          <w:szCs w:val="21"/>
        </w:rPr>
        <w:t xml:space="preserve">   2.合同期内不服从管理单位管理的；</w:t>
      </w:r>
      <w:r>
        <w:rPr>
          <w:rFonts w:ascii="Times New Roman" w:hAnsi="Times New Roman" w:eastAsia="宋体"/>
          <w:bCs/>
          <w:sz w:val="21"/>
          <w:szCs w:val="21"/>
        </w:rPr>
        <w:br/>
      </w:r>
      <w:r>
        <w:rPr>
          <w:rFonts w:ascii="Times New Roman" w:hAnsi="Times New Roman" w:eastAsia="宋体"/>
          <w:bCs/>
          <w:sz w:val="21"/>
          <w:szCs w:val="21"/>
        </w:rPr>
        <w:t xml:space="preserve">   3.全年连续两次考核不合格或累计3次以上不合格</w:t>
      </w:r>
      <w:r/>
    </w:p>
    <w:p>
      <w:pPr>
        <w:ind w:firstLine="480"/>
        <w:spacing w:line="360" w:lineRule="auto"/>
        <w:rPr>
          <w:rFonts w:hint="eastAsia" w:ascii="宋体" w:hAnsi="宋体"/>
          <w:sz w:val="24"/>
        </w:rPr>
      </w:pPr>
      <w:r>
        <w:rPr>
          <w:rFonts w:hint="eastAsia" w:ascii="宋体" w:hAnsi="宋体"/>
          <w:sz w:val="24"/>
        </w:rPr>
      </w:r>
      <w:r/>
    </w:p>
    <w:p>
      <w:pPr>
        <w:jc w:val="center"/>
        <w:rPr>
          <w:b/>
          <w:sz w:val="30"/>
          <w:szCs w:val="30"/>
        </w:rPr>
      </w:pPr>
      <w:r>
        <w:rPr>
          <w:b/>
          <w:sz w:val="30"/>
          <w:szCs w:val="30"/>
        </w:rPr>
      </w:r>
      <w:r/>
    </w:p>
    <w:p>
      <w:pPr>
        <w:jc w:val="center"/>
        <w:rPr>
          <w:b/>
          <w:sz w:val="32"/>
          <w:szCs w:val="32"/>
        </w:rPr>
      </w:pPr>
      <w:r>
        <w:rPr>
          <w:b/>
          <w:sz w:val="32"/>
          <w:szCs w:val="32"/>
        </w:rPr>
      </w:r>
      <w:r/>
    </w:p>
    <w:p>
      <w:pPr>
        <w:rPr>
          <w:b/>
        </w:rPr>
      </w:pPr>
      <w:r>
        <w:rPr>
          <w:b/>
        </w:rPr>
      </w:r>
      <w:r/>
    </w:p>
    <w:p>
      <w:pPr>
        <w:pStyle w:val="1184"/>
        <w:ind w:left="840"/>
      </w:pPr>
      <w:r/>
      <w:r/>
    </w:p>
    <w:p>
      <w:pPr>
        <w:jc w:val="center"/>
        <w:rPr>
          <w:b/>
          <w:sz w:val="28"/>
          <w:szCs w:val="28"/>
        </w:rPr>
        <w:sectPr>
          <w:footnotePr/>
          <w:endnotePr/>
          <w:type w:val="nextPage"/>
          <w:pgSz w:w="11906" w:h="16838" w:orient="portrait"/>
          <w:pgMar w:top="1134" w:right="1134" w:bottom="1134" w:left="1134" w:header="851" w:footer="992" w:gutter="0"/>
          <w:cols w:num="1" w:sep="0" w:space="720" w:equalWidth="1"/>
          <w:docGrid w:linePitch="360"/>
          <w:titlePg/>
        </w:sectPr>
        <w:outlineLvl w:val="0"/>
      </w:pPr>
      <w:r>
        <w:rPr>
          <w:b/>
          <w:sz w:val="28"/>
          <w:szCs w:val="28"/>
        </w:rPr>
      </w:r>
      <w:r/>
    </w:p>
    <w:p>
      <w:pPr>
        <w:jc w:val="center"/>
        <w:spacing w:line="360" w:lineRule="auto"/>
        <w:tabs>
          <w:tab w:val="center" w:pos="4890" w:leader="none"/>
          <w:tab w:val="left" w:pos="8395" w:leader="none"/>
        </w:tabs>
        <w:rPr>
          <w:b/>
          <w:sz w:val="28"/>
          <w:szCs w:val="28"/>
        </w:rPr>
        <w:outlineLvl w:val="0"/>
      </w:pPr>
      <w:r/>
      <w:bookmarkStart w:id="234" w:name="_Toc25321"/>
      <w:r>
        <w:rPr>
          <w:b/>
          <w:sz w:val="28"/>
          <w:szCs w:val="28"/>
        </w:rPr>
        <w:t xml:space="preserve">第六章 投标文件格式及附件</w:t>
      </w:r>
      <w:bookmarkEnd w:id="232"/>
      <w:r/>
      <w:bookmarkEnd w:id="233"/>
      <w:r/>
      <w:bookmarkEnd w:id="234"/>
      <w:r/>
      <w:r/>
    </w:p>
    <w:p>
      <w:pPr>
        <w:spacing w:line="360" w:lineRule="auto"/>
        <w:rPr>
          <w:b/>
          <w:bCs/>
          <w:szCs w:val="21"/>
        </w:rPr>
      </w:pPr>
      <w:r>
        <w:rPr>
          <w:b/>
          <w:bCs/>
          <w:szCs w:val="21"/>
        </w:rPr>
        <w:t xml:space="preserve">注：</w:t>
      </w:r>
      <w:r/>
    </w:p>
    <w:p>
      <w:pPr>
        <w:jc w:val="left"/>
        <w:spacing w:line="360" w:lineRule="auto"/>
        <w:rPr>
          <w:szCs w:val="21"/>
        </w:rPr>
      </w:pPr>
      <w:r>
        <w:rPr>
          <w:szCs w:val="21"/>
        </w:rPr>
        <w:t xml:space="preserve">1.本部分内容仅提供格式参考。 </w:t>
      </w:r>
      <w:r/>
    </w:p>
    <w:p>
      <w:pPr>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p>
    <w:p>
      <w:pPr>
        <w:jc w:val="left"/>
        <w:spacing w:line="360" w:lineRule="auto"/>
        <w:rPr>
          <w:szCs w:val="21"/>
        </w:rPr>
      </w:pPr>
      <w:r>
        <w:rPr>
          <w:szCs w:val="21"/>
        </w:rPr>
        <w:t xml:space="preserve">3.所附表格中要求回答的全部问题和信息都必须正面回答。 </w:t>
      </w:r>
      <w:r/>
    </w:p>
    <w:p>
      <w:pPr>
        <w:jc w:val="left"/>
        <w:spacing w:line="360" w:lineRule="auto"/>
        <w:rPr>
          <w:szCs w:val="21"/>
        </w:rPr>
      </w:pPr>
      <w:r>
        <w:rPr>
          <w:szCs w:val="21"/>
        </w:rPr>
        <w:t xml:space="preserve">4.供应商提交的材料不予退还。 </w:t>
      </w:r>
      <w:r/>
    </w:p>
    <w:p>
      <w:pPr>
        <w:jc w:val="left"/>
        <w:spacing w:line="360" w:lineRule="auto"/>
        <w:rPr>
          <w:szCs w:val="21"/>
        </w:rPr>
      </w:pPr>
      <w:r>
        <w:rPr>
          <w:szCs w:val="21"/>
        </w:rPr>
        <w:t xml:space="preserve">5.全部文件应按投标人须知以及前附表中规定的语言和份数提交。 </w:t>
      </w:r>
      <w:r/>
    </w:p>
    <w:p>
      <w:pPr>
        <w:jc w:val="left"/>
        <w:spacing w:line="360" w:lineRule="auto"/>
        <w:rPr>
          <w:sz w:val="24"/>
        </w:rPr>
      </w:pPr>
      <w:r>
        <w:rPr>
          <w:szCs w:val="21"/>
        </w:rPr>
        <w:t xml:space="preserve">6.投标文件应按照投标文件格式逐项填写，无相应内容可填的项应填写“无”“未测试”“没有相应指标”等明确的回答文字。</w:t>
      </w:r>
      <w:r/>
    </w:p>
    <w:p>
      <w:pPr>
        <w:jc w:val="center"/>
        <w:spacing w:line="360" w:lineRule="auto"/>
        <w:rPr>
          <w:szCs w:val="24"/>
        </w:rPr>
      </w:pPr>
      <w:r/>
      <w:bookmarkStart w:id="235" w:name="_Toc496780634"/>
      <w:r/>
      <w:bookmarkStart w:id="236" w:name="_Toc29373"/>
      <w:r/>
      <w:bookmarkStart w:id="237" w:name="_Toc12151"/>
      <w:r/>
      <w:r/>
    </w:p>
    <w:p>
      <w:pPr>
        <w:spacing w:line="360" w:lineRule="auto"/>
        <w:rPr>
          <w:szCs w:val="24"/>
        </w:rPr>
        <w:sectPr>
          <w:footerReference w:type="default" r:id="rId17"/>
          <w:footerReference w:type="first" r:id="rId18"/>
          <w:footnotePr/>
          <w:endnotePr/>
          <w:type w:val="nextPage"/>
          <w:pgSz w:w="11906" w:h="16838" w:orient="portrait"/>
          <w:pgMar w:top="1134" w:right="1134" w:bottom="1134" w:left="1134" w:header="851" w:footer="992" w:gutter="0"/>
          <w:cols w:num="1" w:sep="0" w:space="720" w:equalWidth="1"/>
          <w:docGrid w:linePitch="360"/>
          <w:titlePg/>
        </w:sectPr>
      </w:pPr>
      <w:r>
        <w:rPr>
          <w:szCs w:val="24"/>
        </w:rPr>
      </w:r>
      <w:r/>
    </w:p>
    <w:p>
      <w:pPr>
        <w:jc w:val="left"/>
        <w:spacing w:line="360" w:lineRule="auto"/>
        <w:widowControl/>
        <w:rPr>
          <w:sz w:val="30"/>
          <w:szCs w:val="30"/>
        </w:rPr>
      </w:pPr>
      <w:r>
        <w:rPr>
          <w:b/>
          <w:bCs/>
          <w:color w:val="000000"/>
          <w:sz w:val="30"/>
          <w:szCs w:val="30"/>
          <w:lang w:bidi="ar"/>
        </w:rPr>
        <w:t xml:space="preserve">投标文件封面格式 </w:t>
      </w:r>
      <w:r/>
    </w:p>
    <w:p>
      <w:pPr>
        <w:jc w:val="right"/>
        <w:spacing w:line="360" w:lineRule="auto"/>
        <w:rPr>
          <w:b/>
          <w:color w:val="000000"/>
          <w:spacing w:val="80"/>
          <w:sz w:val="44"/>
          <w:szCs w:val="44"/>
        </w:rPr>
      </w:pPr>
      <w:r>
        <w:rPr>
          <w:rFonts w:ascii="Wingdings 2" w:hAnsi="Wingdings 2" w:eastAsia="Wingdings 2" w:cs="Wingdings 2"/>
          <w:b/>
          <w:iCs/>
          <w:color w:val="000000"/>
          <w:sz w:val="44"/>
          <w:szCs w:val="44"/>
        </w:rPr>
        <w:t xml:space="preserve">£</w:t>
      </w:r>
      <w:r>
        <w:rPr>
          <w:b/>
          <w:iCs/>
          <w:color w:val="000000"/>
          <w:sz w:val="44"/>
          <w:szCs w:val="44"/>
        </w:rPr>
        <w:t xml:space="preserve">正本/</w:t>
      </w:r>
      <w:r>
        <w:rPr>
          <w:rFonts w:ascii="Wingdings 2" w:hAnsi="Wingdings 2" w:eastAsia="Wingdings 2" w:cs="Wingdings 2"/>
          <w:b/>
          <w:iCs/>
          <w:color w:val="000000"/>
          <w:sz w:val="44"/>
          <w:szCs w:val="44"/>
        </w:rPr>
        <w:t xml:space="preserve">£</w:t>
      </w:r>
      <w:r>
        <w:rPr>
          <w:b/>
          <w:iCs/>
          <w:color w:val="000000"/>
          <w:sz w:val="44"/>
          <w:szCs w:val="44"/>
        </w:rPr>
        <w:t xml:space="preserve">副本</w:t>
      </w:r>
      <w:r/>
    </w:p>
    <w:p>
      <w:pPr>
        <w:jc w:val="center"/>
        <w:spacing w:line="360" w:lineRule="auto"/>
        <w:rPr>
          <w:b/>
          <w:sz w:val="44"/>
          <w:szCs w:val="44"/>
          <w:highlight w:val="yellow"/>
        </w:rPr>
      </w:pPr>
      <w:r>
        <w:rPr>
          <w:b/>
          <w:sz w:val="44"/>
          <w:szCs w:val="44"/>
          <w:highlight w:val="yellow"/>
        </w:rPr>
      </w:r>
      <w:r/>
    </w:p>
    <w:p>
      <w:pPr>
        <w:ind w:right="32"/>
        <w:jc w:val="center"/>
        <w:spacing w:before="100" w:beforeAutospacing="1" w:after="100" w:afterAutospacing="1" w:line="360" w:lineRule="auto"/>
        <w:rPr>
          <w:b/>
          <w:sz w:val="48"/>
          <w:szCs w:val="48"/>
        </w:rPr>
      </w:pPr>
      <w:r>
        <w:rPr>
          <w:b/>
          <w:sz w:val="48"/>
          <w:szCs w:val="48"/>
        </w:rPr>
      </w:r>
      <w:r/>
    </w:p>
    <w:p>
      <w:pPr>
        <w:jc w:val="center"/>
        <w:spacing w:line="360" w:lineRule="auto"/>
        <w:rPr>
          <w:b/>
          <w:sz w:val="52"/>
          <w:szCs w:val="52"/>
        </w:rPr>
      </w:pPr>
      <w:r>
        <w:rPr>
          <w:b/>
          <w:sz w:val="52"/>
          <w:szCs w:val="52"/>
        </w:rPr>
        <w:t xml:space="preserve">南京中医药大学</w:t>
      </w:r>
      <w:r/>
    </w:p>
    <w:p>
      <w:pPr>
        <w:pStyle w:val="1183"/>
        <w:ind w:firstLine="0"/>
        <w:jc w:val="center"/>
        <w:rPr>
          <w:b/>
          <w:sz w:val="52"/>
          <w:szCs w:val="52"/>
        </w:rPr>
      </w:pPr>
      <w:r>
        <w:rPr>
          <w:rFonts w:hint="eastAsia"/>
          <w:b/>
          <w:sz w:val="52"/>
          <w:szCs w:val="52"/>
        </w:rPr>
        <w:t xml:space="preserve">仙林校区及汉中门校区绿化养护托管服务</w:t>
      </w:r>
      <w:r/>
    </w:p>
    <w:p>
      <w:pPr>
        <w:ind w:right="32"/>
        <w:jc w:val="center"/>
        <w:spacing w:before="100" w:beforeAutospacing="1" w:after="100" w:afterAutospacing="1" w:line="360" w:lineRule="auto"/>
        <w:rPr>
          <w:b/>
          <w:sz w:val="48"/>
          <w:szCs w:val="48"/>
        </w:rPr>
      </w:pPr>
      <w:r>
        <w:rPr>
          <w:b/>
          <w:sz w:val="48"/>
          <w:szCs w:val="48"/>
        </w:rPr>
      </w:r>
      <w:r/>
    </w:p>
    <w:p>
      <w:pPr>
        <w:pStyle w:val="1183"/>
        <w:ind w:firstLine="280"/>
      </w:pPr>
      <w:r/>
      <w:r/>
    </w:p>
    <w:p>
      <w:pPr>
        <w:jc w:val="center"/>
        <w:spacing w:before="100" w:beforeAutospacing="1" w:after="100" w:afterAutospacing="1" w:line="360" w:lineRule="auto"/>
        <w:rPr>
          <w:b/>
          <w:sz w:val="72"/>
          <w:szCs w:val="72"/>
        </w:rPr>
      </w:pPr>
      <w:r>
        <w:rPr>
          <w:b/>
          <w:sz w:val="72"/>
          <w:szCs w:val="72"/>
        </w:rPr>
        <w:t xml:space="preserve">投标文件</w:t>
      </w:r>
      <w:r/>
    </w:p>
    <w:p>
      <w:pPr>
        <w:spacing w:line="360" w:lineRule="auto"/>
        <w:rPr>
          <w:b/>
          <w:color w:val="000000"/>
          <w:sz w:val="32"/>
        </w:rPr>
      </w:pPr>
      <w:r>
        <w:rPr>
          <w:b/>
          <w:color w:val="000000"/>
          <w:sz w:val="32"/>
        </w:rPr>
      </w:r>
      <w:r/>
    </w:p>
    <w:p>
      <w:pPr>
        <w:ind w:firstLine="1285"/>
        <w:spacing w:line="360" w:lineRule="auto"/>
        <w:rPr>
          <w:b/>
          <w:sz w:val="32"/>
          <w:szCs w:val="32"/>
        </w:rPr>
      </w:pPr>
      <w:r>
        <w:rPr>
          <w:b/>
          <w:sz w:val="32"/>
          <w:szCs w:val="32"/>
        </w:rPr>
      </w:r>
      <w:r/>
    </w:p>
    <w:p>
      <w:pPr>
        <w:pStyle w:val="1159"/>
        <w:jc w:val="center"/>
        <w:rPr>
          <w:rFonts w:ascii="Times New Roman"/>
          <w:color w:val="000000"/>
          <w:sz w:val="36"/>
        </w:rPr>
      </w:pPr>
      <w:r>
        <w:rPr>
          <w:rFonts w:ascii="Times New Roman"/>
          <w:color w:val="000000"/>
          <w:sz w:val="36"/>
        </w:rPr>
      </w:r>
      <w:r/>
    </w:p>
    <w:p>
      <w:pPr>
        <w:pStyle w:val="1193"/>
        <w:ind w:firstLine="0"/>
        <w:spacing w:line="360" w:lineRule="auto"/>
      </w:pPr>
      <w:r/>
      <w:r/>
    </w:p>
    <w:p>
      <w:pPr>
        <w:spacing w:line="600" w:lineRule="auto"/>
        <w:rPr>
          <w:b/>
          <w:sz w:val="36"/>
          <w:szCs w:val="36"/>
        </w:rPr>
      </w:pPr>
      <w:r>
        <w:rPr>
          <w:b/>
          <w:sz w:val="36"/>
          <w:szCs w:val="36"/>
        </w:rPr>
        <w:t xml:space="preserve">项目编号：</w:t>
      </w:r>
      <w:r>
        <w:rPr>
          <w:rFonts w:hint="eastAsia"/>
          <w:b/>
          <w:sz w:val="36"/>
          <w:szCs w:val="36"/>
        </w:rPr>
        <w:t xml:space="preserve">NZYZB2026-034</w:t>
      </w:r>
      <w:r>
        <w:rPr>
          <w:b/>
          <w:sz w:val="36"/>
          <w:szCs w:val="36"/>
        </w:rPr>
        <w:t xml:space="preserve">（2640SUMEC/GXZM</w:t>
      </w:r>
      <w:r>
        <w:rPr>
          <w:rFonts w:hint="eastAsia"/>
          <w:b/>
          <w:sz w:val="36"/>
          <w:szCs w:val="36"/>
        </w:rPr>
        <w:t xml:space="preserve">1108</w:t>
      </w:r>
      <w:r>
        <w:rPr>
          <w:b/>
          <w:sz w:val="36"/>
          <w:szCs w:val="36"/>
        </w:rPr>
        <w:t xml:space="preserve">）</w:t>
      </w:r>
      <w:r/>
    </w:p>
    <w:p>
      <w:pPr>
        <w:spacing w:line="600" w:lineRule="auto"/>
        <w:rPr>
          <w:b/>
          <w:sz w:val="36"/>
          <w:szCs w:val="36"/>
        </w:rPr>
      </w:pPr>
      <w:r>
        <w:rPr>
          <w:b/>
          <w:sz w:val="36"/>
          <w:szCs w:val="36"/>
        </w:rPr>
        <w:t xml:space="preserve">投标单位名称：</w:t>
      </w:r>
      <w:r/>
    </w:p>
    <w:p>
      <w:pPr>
        <w:jc w:val="center"/>
        <w:spacing w:line="360" w:lineRule="auto"/>
        <w:rPr>
          <w:b/>
          <w:bCs/>
          <w:sz w:val="36"/>
          <w:szCs w:val="36"/>
          <w:u w:val="single"/>
        </w:rPr>
      </w:pPr>
      <w:r>
        <w:rPr>
          <w:b/>
          <w:bCs/>
          <w:sz w:val="36"/>
          <w:szCs w:val="36"/>
          <w:u w:val="single"/>
        </w:rPr>
      </w:r>
      <w:r/>
    </w:p>
    <w:p>
      <w:pPr>
        <w:jc w:val="center"/>
        <w:spacing w:line="360" w:lineRule="auto"/>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p>
    <w:p>
      <w:pPr>
        <w:jc w:val="center"/>
        <w:spacing w:line="360" w:lineRule="auto"/>
        <w:rPr>
          <w:b/>
          <w:sz w:val="36"/>
          <w:szCs w:val="36"/>
        </w:rPr>
      </w:pPr>
      <w:r>
        <w:rPr>
          <w:b/>
          <w:sz w:val="36"/>
          <w:szCs w:val="36"/>
        </w:rPr>
      </w:r>
      <w:r/>
    </w:p>
    <w:p>
      <w:pPr>
        <w:pStyle w:val="1183"/>
        <w:ind w:firstLine="280"/>
        <w:sectPr>
          <w:footnotePr/>
          <w:endnotePr/>
          <w:type w:val="nextPage"/>
          <w:pgSz w:w="11906" w:h="16838" w:orient="portrait"/>
          <w:pgMar w:top="1134" w:right="1134" w:bottom="1134" w:left="1134" w:header="851" w:footer="992" w:gutter="0"/>
          <w:cols w:num="1" w:sep="0" w:space="720" w:equalWidth="1"/>
          <w:docGrid w:linePitch="360"/>
          <w:titlePg/>
        </w:sectPr>
      </w:pPr>
      <w:r/>
      <w:r/>
    </w:p>
    <w:p>
      <w:pPr>
        <w:pStyle w:val="1141"/>
        <w:jc w:val="center"/>
        <w:spacing w:before="120" w:after="120" w:line="360" w:lineRule="auto"/>
        <w:rPr>
          <w:rFonts w:ascii="Times New Roman" w:hAnsi="Times New Roman" w:eastAsia="宋体"/>
          <w:sz w:val="28"/>
          <w:szCs w:val="28"/>
        </w:rPr>
      </w:pPr>
      <w:r/>
      <w:bookmarkStart w:id="238" w:name="_Toc16846"/>
      <w:r>
        <w:rPr>
          <w:rFonts w:ascii="Times New Roman" w:hAnsi="Times New Roman" w:eastAsia="宋体"/>
          <w:sz w:val="28"/>
          <w:szCs w:val="28"/>
        </w:rPr>
        <w:t xml:space="preserve">资格审查索引表</w:t>
      </w:r>
      <w:bookmarkEnd w:id="238"/>
      <w:r/>
      <w:r/>
    </w:p>
    <w:p>
      <w:pPr>
        <w:jc w:val="center"/>
        <w:spacing w:before="120" w:after="120" w:line="360" w:lineRule="auto"/>
        <w:rPr>
          <w:sz w:val="28"/>
          <w:szCs w:val="28"/>
        </w:rPr>
      </w:pPr>
      <w:r/>
      <w:bookmarkStart w:id="239" w:name="_Toc29761"/>
      <w:r/>
      <w:bookmarkStart w:id="240" w:name="_Toc6796"/>
      <w:r>
        <w:rPr>
          <w:sz w:val="24"/>
          <w:szCs w:val="24"/>
        </w:rPr>
        <w:t xml:space="preserve">（具体详见招标文件第一章申请人的资格要求）</w:t>
      </w:r>
      <w:bookmarkEnd w:id="239"/>
      <w:r/>
      <w:bookmarkEnd w:id="240"/>
      <w:r/>
      <w:r/>
    </w:p>
    <w:tbl>
      <w:tblPr>
        <w:tblStyle w:val="11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jc w:val="center"/>
        </w:trPr>
        <w:tc>
          <w:tcPr>
            <w:tcW w:w="2573" w:type="dxa"/>
            <w:vAlign w:val="center"/>
            <w:textDirection w:val="lrTb"/>
            <w:noWrap w:val="false"/>
          </w:tcPr>
          <w:p>
            <w:pPr>
              <w:jc w:val="center"/>
              <w:spacing w:line="360" w:lineRule="auto"/>
              <w:widowControl/>
              <w:rPr>
                <w:b/>
                <w:sz w:val="24"/>
                <w:szCs w:val="24"/>
              </w:rPr>
            </w:pPr>
            <w:r>
              <w:rPr>
                <w:b/>
                <w:sz w:val="24"/>
                <w:szCs w:val="24"/>
              </w:rPr>
              <w:t xml:space="preserve">资审项目</w:t>
            </w:r>
            <w:r/>
          </w:p>
        </w:tc>
        <w:tc>
          <w:tcPr>
            <w:tcW w:w="5332" w:type="dxa"/>
            <w:textDirection w:val="lrTb"/>
            <w:noWrap w:val="false"/>
          </w:tcPr>
          <w:p>
            <w:pPr>
              <w:jc w:val="center"/>
              <w:spacing w:line="360" w:lineRule="auto"/>
              <w:rPr>
                <w:b/>
                <w:sz w:val="24"/>
                <w:szCs w:val="24"/>
              </w:rPr>
            </w:pPr>
            <w:r>
              <w:rPr>
                <w:b/>
                <w:sz w:val="24"/>
                <w:szCs w:val="24"/>
              </w:rPr>
              <w:t xml:space="preserve">资格要求</w:t>
            </w:r>
            <w:r/>
          </w:p>
        </w:tc>
        <w:tc>
          <w:tcPr>
            <w:tcW w:w="1949" w:type="dxa"/>
            <w:textDirection w:val="lrTb"/>
            <w:noWrap w:val="false"/>
          </w:tcPr>
          <w:p>
            <w:pPr>
              <w:jc w:val="center"/>
              <w:spacing w:line="360" w:lineRule="auto"/>
              <w:rPr>
                <w:b/>
                <w:sz w:val="24"/>
                <w:szCs w:val="24"/>
              </w:rPr>
            </w:pPr>
            <w:r>
              <w:rPr>
                <w:b/>
                <w:sz w:val="24"/>
                <w:szCs w:val="24"/>
              </w:rPr>
              <w:t xml:space="preserve">所在页码</w:t>
            </w:r>
            <w:r/>
          </w:p>
        </w:tc>
      </w:tr>
      <w:tr>
        <w:trPr>
          <w:jc w:val="center"/>
        </w:trPr>
        <w:tc>
          <w:tcPr>
            <w:tcW w:w="2573" w:type="dxa"/>
            <w:vAlign w:val="center"/>
            <w:textDirection w:val="lrTb"/>
            <w:noWrap w:val="false"/>
          </w:tcPr>
          <w:p>
            <w:pPr>
              <w:spacing w:line="360" w:lineRule="auto"/>
              <w:widowControl/>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ind w:left="613"/>
              <w:spacing w:line="360" w:lineRule="auto"/>
              <w:widowControl/>
              <w:tabs>
                <w:tab w:val="left" w:pos="403" w:leader="none"/>
              </w:tabs>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bl>
    <w:p>
      <w:pPr>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rPr>
          <w:sz w:val="24"/>
        </w:rPr>
      </w:r>
      <w:r/>
    </w:p>
    <w:p>
      <w:pPr>
        <w:pStyle w:val="1141"/>
        <w:jc w:val="center"/>
        <w:spacing w:before="120" w:after="120" w:line="360" w:lineRule="auto"/>
        <w:rPr>
          <w:rFonts w:ascii="Times New Roman" w:hAnsi="Times New Roman" w:eastAsia="宋体"/>
          <w:sz w:val="28"/>
          <w:szCs w:val="28"/>
        </w:rPr>
      </w:pPr>
      <w:r/>
      <w:bookmarkStart w:id="241" w:name="_Toc4725"/>
      <w:r>
        <w:rPr>
          <w:rFonts w:ascii="Times New Roman" w:hAnsi="Times New Roman" w:eastAsia="宋体"/>
          <w:sz w:val="28"/>
          <w:szCs w:val="28"/>
        </w:rPr>
        <w:t xml:space="preserve">评审索引</w:t>
      </w:r>
      <w:bookmarkEnd w:id="235"/>
      <w:r/>
      <w:bookmarkEnd w:id="236"/>
      <w:r>
        <w:rPr>
          <w:rFonts w:ascii="Times New Roman" w:hAnsi="Times New Roman" w:eastAsia="宋体"/>
          <w:sz w:val="28"/>
          <w:szCs w:val="28"/>
        </w:rPr>
        <w:t xml:space="preserve">表</w:t>
      </w:r>
      <w:bookmarkEnd w:id="237"/>
      <w:r/>
      <w:bookmarkEnd w:id="241"/>
      <w:r/>
      <w:r/>
    </w:p>
    <w:p>
      <w:pPr>
        <w:jc w:val="center"/>
        <w:spacing w:before="120" w:after="120" w:line="360" w:lineRule="auto"/>
        <w:rPr>
          <w:sz w:val="28"/>
          <w:szCs w:val="28"/>
        </w:rPr>
      </w:pPr>
      <w:r/>
      <w:bookmarkStart w:id="242" w:name="_Toc5536"/>
      <w:r/>
      <w:bookmarkStart w:id="243" w:name="_Toc16640"/>
      <w:r>
        <w:rPr>
          <w:sz w:val="24"/>
          <w:szCs w:val="24"/>
        </w:rPr>
        <w:t xml:space="preserve">（具体详见招标文件第三章评标标准）</w:t>
      </w:r>
      <w:bookmarkEnd w:id="242"/>
      <w:r/>
      <w:bookmarkEnd w:id="243"/>
      <w:r/>
      <w:r/>
    </w:p>
    <w:tbl>
      <w:tblPr>
        <w:tblStyle w:val="1149"/>
        <w:tblW w:w="10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jc w:val="center"/>
          <w:trHeight w:val="284"/>
          <w:tblHeader/>
        </w:trPr>
        <w:tc>
          <w:tcPr>
            <w:tcW w:w="1234" w:type="dxa"/>
            <w:vAlign w:val="center"/>
            <w:textDirection w:val="lrTb"/>
            <w:noWrap w:val="false"/>
          </w:tcPr>
          <w:p>
            <w:pPr>
              <w:jc w:val="center"/>
              <w:spacing w:line="360" w:lineRule="auto"/>
              <w:widowControl/>
              <w:rPr>
                <w:b/>
                <w:szCs w:val="21"/>
              </w:rPr>
            </w:pPr>
            <w:r>
              <w:rPr>
                <w:b/>
                <w:szCs w:val="21"/>
              </w:rPr>
              <w:t xml:space="preserve">序号</w:t>
            </w:r>
            <w:r/>
          </w:p>
        </w:tc>
        <w:tc>
          <w:tcPr>
            <w:tcW w:w="2355" w:type="dxa"/>
            <w:vAlign w:val="center"/>
            <w:textDirection w:val="lrTb"/>
            <w:noWrap w:val="false"/>
          </w:tcPr>
          <w:p>
            <w:pPr>
              <w:jc w:val="center"/>
              <w:spacing w:line="360" w:lineRule="auto"/>
              <w:widowControl/>
              <w:rPr>
                <w:b/>
                <w:szCs w:val="21"/>
              </w:rPr>
            </w:pPr>
            <w:r>
              <w:rPr>
                <w:b/>
                <w:szCs w:val="21"/>
              </w:rPr>
              <w:t xml:space="preserve">评审因素</w:t>
            </w:r>
            <w:r/>
          </w:p>
        </w:tc>
        <w:tc>
          <w:tcPr>
            <w:tcW w:w="4868" w:type="dxa"/>
            <w:vAlign w:val="center"/>
            <w:textDirection w:val="lrTb"/>
            <w:noWrap w:val="false"/>
          </w:tcPr>
          <w:p>
            <w:pPr>
              <w:jc w:val="center"/>
              <w:spacing w:line="360" w:lineRule="auto"/>
              <w:widowControl/>
              <w:rPr>
                <w:b/>
                <w:szCs w:val="21"/>
              </w:rPr>
            </w:pPr>
            <w:r>
              <w:rPr>
                <w:b/>
                <w:szCs w:val="21"/>
              </w:rPr>
              <w:t xml:space="preserve">评审标准</w:t>
            </w:r>
            <w:r/>
          </w:p>
        </w:tc>
        <w:tc>
          <w:tcPr>
            <w:tcW w:w="1884" w:type="dxa"/>
            <w:vAlign w:val="center"/>
            <w:textDirection w:val="lrTb"/>
            <w:noWrap w:val="false"/>
          </w:tcPr>
          <w:p>
            <w:pPr>
              <w:jc w:val="center"/>
              <w:spacing w:line="360" w:lineRule="auto"/>
              <w:widowControl/>
              <w:rPr>
                <w:b/>
                <w:szCs w:val="21"/>
              </w:rPr>
            </w:pPr>
            <w:r>
              <w:rPr>
                <w:b/>
                <w:szCs w:val="21"/>
              </w:rPr>
              <w:t xml:space="preserve">所在页码</w:t>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183"/>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183"/>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183"/>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183"/>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183"/>
              <w:ind w:firstLine="0"/>
            </w:pPr>
            <w:r/>
            <w:r/>
          </w:p>
        </w:tc>
        <w:tc>
          <w:tcPr>
            <w:tcW w:w="1884" w:type="dxa"/>
            <w:vAlign w:val="center"/>
            <w:textDirection w:val="lrTb"/>
            <w:noWrap w:val="false"/>
          </w:tcPr>
          <w:p>
            <w:pPr>
              <w:jc w:val="center"/>
              <w:spacing w:line="360" w:lineRule="auto"/>
              <w:rPr>
                <w:szCs w:val="21"/>
              </w:rPr>
            </w:pPr>
            <w:r>
              <w:rPr>
                <w:szCs w:val="21"/>
              </w:rPr>
            </w:r>
            <w:r/>
          </w:p>
        </w:tc>
      </w:tr>
    </w:tbl>
    <w:p>
      <w:pPr>
        <w:spacing w:line="360" w:lineRule="auto"/>
        <w:rPr>
          <w:szCs w:val="24"/>
        </w:rPr>
      </w:pPr>
      <w:r/>
      <w:bookmarkStart w:id="244" w:name="_Toc13756"/>
      <w:r/>
      <w:r/>
    </w:p>
    <w:p>
      <w:pPr>
        <w:pStyle w:val="1183"/>
        <w:ind w:firstLine="280"/>
        <w:sectPr>
          <w:footnotePr/>
          <w:endnotePr/>
          <w:type w:val="nextPage"/>
          <w:pgSz w:w="11906" w:h="16838" w:orient="portrait"/>
          <w:pgMar w:top="1134" w:right="1134" w:bottom="1134" w:left="1134" w:header="851" w:footer="992" w:gutter="0"/>
          <w:cols w:num="1" w:sep="0" w:space="720" w:equalWidth="1"/>
          <w:docGrid w:linePitch="360"/>
          <w:titlePg/>
        </w:sectPr>
      </w:pPr>
      <w:r/>
      <w:r/>
    </w:p>
    <w:p>
      <w:pPr>
        <w:spacing w:line="360" w:lineRule="auto"/>
        <w:rPr>
          <w:b/>
          <w:bCs/>
          <w:sz w:val="24"/>
        </w:rPr>
        <w:outlineLvl w:val="1"/>
      </w:pPr>
      <w:r/>
      <w:bookmarkStart w:id="245" w:name="_Toc8425"/>
      <w:r>
        <w:rPr>
          <w:b/>
          <w:bCs/>
          <w:sz w:val="24"/>
        </w:rPr>
        <w:t xml:space="preserve">附件一 投标函格式</w:t>
      </w:r>
      <w:bookmarkEnd w:id="244"/>
      <w:r/>
      <w:bookmarkEnd w:id="245"/>
      <w:r/>
      <w:r/>
    </w:p>
    <w:p>
      <w:pPr>
        <w:jc w:val="center"/>
        <w:spacing w:line="360" w:lineRule="auto"/>
        <w:rPr>
          <w:b/>
          <w:sz w:val="28"/>
          <w:szCs w:val="22"/>
        </w:rPr>
      </w:pPr>
      <w:r>
        <w:rPr>
          <w:b/>
          <w:sz w:val="28"/>
          <w:szCs w:val="22"/>
        </w:rPr>
        <w:t xml:space="preserve">投标函</w:t>
      </w:r>
      <w:r/>
    </w:p>
    <w:p>
      <w:pPr>
        <w:spacing w:line="360" w:lineRule="auto"/>
        <w:rPr>
          <w:szCs w:val="21"/>
        </w:rPr>
      </w:pPr>
      <w:r>
        <w:rPr>
          <w:szCs w:val="21"/>
        </w:rPr>
        <w:t xml:space="preserve">致：江苏苏美达仪器设备有限公司</w:t>
      </w:r>
      <w:r/>
    </w:p>
    <w:p>
      <w:pPr>
        <w:ind w:firstLine="420"/>
        <w:spacing w:line="360" w:lineRule="auto"/>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（项目编号）投标邀请，正式授权下述签字人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u w:val="single"/>
        </w:rPr>
        <w:t xml:space="preserve">   </w:t>
      </w:r>
      <w:r>
        <w:rPr>
          <w:szCs w:val="21"/>
          <w:u w:val="single"/>
          <w:lang w:val="zh-CN"/>
        </w:rPr>
        <w:t xml:space="preserve">    </w:t>
      </w:r>
      <w:r>
        <w:rPr>
          <w:szCs w:val="21"/>
          <w:lang w:val="zh-CN"/>
        </w:rPr>
        <w:t xml:space="preserve">（</w:t>
      </w:r>
      <w:r>
        <w:rPr>
          <w:szCs w:val="21"/>
        </w:rPr>
        <w:t xml:space="preserve">投标人</w:t>
      </w:r>
      <w:r>
        <w:rPr>
          <w:szCs w:val="21"/>
          <w:lang w:val="zh-CN"/>
        </w:rPr>
        <w:t xml:space="preserve">名称），提交投标文件。</w:t>
      </w:r>
      <w:r/>
    </w:p>
    <w:p>
      <w:pPr>
        <w:ind w:firstLine="420"/>
        <w:spacing w:line="360" w:lineRule="auto"/>
        <w:rPr>
          <w:szCs w:val="21"/>
        </w:rPr>
      </w:pPr>
      <w:r>
        <w:rPr>
          <w:szCs w:val="21"/>
        </w:rPr>
        <w:t xml:space="preserve">据此函，签字人兹宣布同意如下：</w:t>
      </w:r>
      <w:r/>
    </w:p>
    <w:p>
      <w:pPr>
        <w:spacing w:line="360" w:lineRule="auto"/>
        <w:rPr>
          <w:szCs w:val="21"/>
        </w:rPr>
      </w:pPr>
      <w:r>
        <w:rPr>
          <w:szCs w:val="21"/>
        </w:rPr>
        <w:t xml:space="preserve">1．我们的资格条件完全符合《中华人民共和国政府采购法》和本次招标要求，我们同意并向贵方提供了与本次招标活动有关的所有证据和资料。    </w:t>
      </w:r>
      <w:r/>
    </w:p>
    <w:p>
      <w:pPr>
        <w:spacing w:line="360" w:lineRule="auto"/>
        <w:rPr>
          <w:szCs w:val="21"/>
        </w:rPr>
      </w:pPr>
      <w:r>
        <w:rPr>
          <w:szCs w:val="21"/>
        </w:rPr>
        <w:t xml:space="preserve">2．我们已详细审核全部招标文件及其有效补充文件，我们放弃对招标文件任何误解的权利，提交投标文件后，</w:t>
      </w:r>
      <w:r>
        <w:rPr>
          <w:b/>
          <w:bCs/>
          <w:szCs w:val="21"/>
        </w:rPr>
        <w:t xml:space="preserve">不对招标文件本身提出质疑</w:t>
      </w:r>
      <w:r>
        <w:rPr>
          <w:szCs w:val="21"/>
        </w:rPr>
        <w:t xml:space="preserve">。否则，属于不诚信和故意扰乱政府采购活动行为，我们将无条件接受处罚。</w:t>
      </w:r>
      <w:r/>
    </w:p>
    <w:p>
      <w:pPr>
        <w:spacing w:line="360" w:lineRule="auto"/>
        <w:rPr>
          <w:szCs w:val="21"/>
        </w:rPr>
      </w:pPr>
      <w:r>
        <w:rPr>
          <w:szCs w:val="21"/>
        </w:rPr>
        <w:t xml:space="preserve">3．我们同意在本项目招标文件中规定的开标之日起90天内遵守本投标文件中的承诺且在此期限期满之前均具有约束力。</w:t>
      </w:r>
      <w:r/>
    </w:p>
    <w:p>
      <w:pPr>
        <w:spacing w:line="360" w:lineRule="auto"/>
        <w:rPr>
          <w:szCs w:val="21"/>
        </w:rPr>
      </w:pPr>
      <w:r>
        <w:rPr>
          <w:szCs w:val="21"/>
        </w:rPr>
        <w:t xml:space="preserve">4．我们愿意向采购代理机构提供任何与本次招标有关的其他资料，并保证已提供和将要提供的文件是真实的、准确的。</w:t>
      </w:r>
      <w:r/>
    </w:p>
    <w:p>
      <w:pPr>
        <w:spacing w:line="360" w:lineRule="auto"/>
        <w:rPr>
          <w:szCs w:val="21"/>
        </w:rPr>
      </w:pPr>
      <w:r>
        <w:rPr>
          <w:szCs w:val="21"/>
        </w:rPr>
        <w:t xml:space="preserve">5．我们理解，你们无义务必须接受投标价最低的投标，并有权拒绝所有的投标。</w:t>
      </w:r>
      <w:r/>
    </w:p>
    <w:p>
      <w:pPr>
        <w:spacing w:line="360" w:lineRule="auto"/>
        <w:rPr>
          <w:szCs w:val="21"/>
        </w:rPr>
      </w:pPr>
      <w:r>
        <w:rPr>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szCs w:val="21"/>
        </w:rPr>
      </w:pPr>
      <w:r>
        <w:rPr>
          <w:szCs w:val="21"/>
        </w:rPr>
        <w:t xml:space="preserve">7．其它说明：</w:t>
      </w:r>
      <w:r/>
    </w:p>
    <w:p>
      <w:pPr>
        <w:spacing w:line="360" w:lineRule="auto"/>
        <w:rPr>
          <w:szCs w:val="21"/>
        </w:rPr>
      </w:pPr>
      <w:r>
        <w:rPr>
          <w:szCs w:val="21"/>
        </w:rPr>
      </w:r>
      <w:r/>
    </w:p>
    <w:p>
      <w:pPr>
        <w:spacing w:line="360" w:lineRule="auto"/>
        <w:rPr>
          <w:szCs w:val="21"/>
        </w:rPr>
      </w:pPr>
      <w:r>
        <w:rPr>
          <w:szCs w:val="21"/>
        </w:rPr>
        <w:t xml:space="preserve">投标人名称：</w:t>
      </w:r>
      <w:r>
        <w:rPr>
          <w:szCs w:val="21"/>
          <w:u w:val="single"/>
        </w:rPr>
        <w:t xml:space="preserve">                   （公章）</w:t>
      </w:r>
      <w:r/>
    </w:p>
    <w:p>
      <w:pPr>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p>
    <w:p>
      <w:pPr>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p>
    <w:p>
      <w:pPr>
        <w:spacing w:line="360" w:lineRule="auto"/>
        <w:rPr>
          <w:szCs w:val="21"/>
        </w:rPr>
      </w:pPr>
      <w:r>
        <w:rPr>
          <w:szCs w:val="21"/>
        </w:rPr>
        <w:t xml:space="preserve">授权代表签字：</w:t>
      </w:r>
      <w:r>
        <w:rPr>
          <w:szCs w:val="21"/>
          <w:u w:val="single"/>
        </w:rPr>
        <w:t xml:space="preserve">                   </w:t>
      </w:r>
      <w:r>
        <w:rPr>
          <w:szCs w:val="21"/>
        </w:rPr>
        <w:t xml:space="preserve"> </w:t>
      </w:r>
      <w:r/>
    </w:p>
    <w:p>
      <w:pPr>
        <w:spacing w:line="360" w:lineRule="auto"/>
        <w:rPr>
          <w:sz w:val="24"/>
        </w:rPr>
      </w:pPr>
      <w:r>
        <w:rPr>
          <w:szCs w:val="21"/>
        </w:rPr>
        <w:t xml:space="preserve">日期：</w:t>
      </w:r>
      <w:r>
        <w:rPr>
          <w:szCs w:val="21"/>
          <w:u w:val="single"/>
        </w:rPr>
        <w:t xml:space="preserve">               </w:t>
      </w:r>
      <w:r/>
    </w:p>
    <w:p>
      <w:pPr>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rPr>
      </w:r>
      <w:r/>
    </w:p>
    <w:p>
      <w:pPr>
        <w:spacing w:line="360" w:lineRule="auto"/>
        <w:rPr>
          <w:b/>
          <w:bCs/>
          <w:sz w:val="24"/>
          <w:szCs w:val="22"/>
        </w:rPr>
        <w:outlineLvl w:val="1"/>
      </w:pPr>
      <w:r/>
      <w:bookmarkStart w:id="246" w:name="_Toc23296"/>
      <w:r/>
      <w:bookmarkStart w:id="247" w:name="_Toc14605"/>
      <w:r>
        <w:rPr>
          <w:b/>
          <w:bCs/>
          <w:sz w:val="24"/>
          <w:szCs w:val="22"/>
        </w:rPr>
        <w:t xml:space="preserve">附件二 开标一览表</w:t>
      </w:r>
      <w:bookmarkEnd w:id="246"/>
      <w:r/>
      <w:bookmarkEnd w:id="247"/>
      <w:r/>
      <w:r/>
    </w:p>
    <w:p>
      <w:pPr>
        <w:jc w:val="center"/>
        <w:spacing w:line="360" w:lineRule="auto"/>
        <w:rPr>
          <w:b/>
          <w:sz w:val="28"/>
          <w:szCs w:val="22"/>
        </w:rPr>
      </w:pPr>
      <w:r>
        <w:rPr>
          <w:b/>
          <w:sz w:val="28"/>
          <w:szCs w:val="22"/>
        </w:rPr>
        <w:t xml:space="preserve">开标一览表</w:t>
      </w:r>
      <w:r/>
    </w:p>
    <w:p>
      <w:pPr>
        <w:jc w:val="left"/>
        <w:spacing w:line="360" w:lineRule="auto"/>
        <w:rPr>
          <w:b/>
          <w:sz w:val="28"/>
          <w:szCs w:val="22"/>
        </w:rPr>
      </w:pPr>
      <w:r>
        <w:rPr>
          <w:szCs w:val="21"/>
        </w:rPr>
        <w:t xml:space="preserve">项目编号：                                                     </w:t>
      </w:r>
      <w:r/>
    </w:p>
    <w:tbl>
      <w:tblPr>
        <w:tblStyle w:val="11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891"/>
        </w:trPr>
        <w:tc>
          <w:tcPr>
            <w:tcW w:w="2485" w:type="dxa"/>
            <w:vAlign w:val="center"/>
            <w:textDirection w:val="lrTb"/>
            <w:noWrap w:val="false"/>
          </w:tcPr>
          <w:p>
            <w:pPr>
              <w:jc w:val="center"/>
              <w:spacing w:line="360" w:lineRule="auto"/>
              <w:rPr>
                <w:szCs w:val="21"/>
              </w:rPr>
            </w:pPr>
            <w:r>
              <w:rPr>
                <w:szCs w:val="21"/>
              </w:rPr>
              <w:t xml:space="preserve">项目名称</w:t>
            </w:r>
            <w:r/>
          </w:p>
        </w:tc>
        <w:tc>
          <w:tcPr>
            <w:tcW w:w="6898" w:type="dxa"/>
            <w:vAlign w:val="center"/>
            <w:textDirection w:val="lrTb"/>
            <w:noWrap w:val="false"/>
          </w:tcPr>
          <w:p>
            <w:pPr>
              <w:ind w:firstLine="105"/>
              <w:spacing w:line="360" w:lineRule="auto"/>
              <w:rPr>
                <w:szCs w:val="21"/>
              </w:rPr>
            </w:pPr>
            <w:r>
              <w:rPr>
                <w:szCs w:val="21"/>
              </w:rPr>
            </w:r>
            <w:r/>
          </w:p>
        </w:tc>
      </w:tr>
      <w:tr>
        <w:trPr>
          <w:cantSplit/>
          <w:trHeight w:val="1871"/>
        </w:trPr>
        <w:tc>
          <w:tcPr>
            <w:tcW w:w="2485" w:type="dxa"/>
            <w:vAlign w:val="center"/>
            <w:textDirection w:val="lrTb"/>
            <w:noWrap w:val="false"/>
          </w:tcPr>
          <w:p>
            <w:pPr>
              <w:jc w:val="center"/>
              <w:spacing w:line="480" w:lineRule="exact"/>
            </w:pPr>
            <w:r>
              <w:rPr>
                <w:color w:val="000000"/>
                <w:szCs w:val="21"/>
              </w:rPr>
              <w:t xml:space="preserve">报价（总价）</w:t>
            </w:r>
            <w:r/>
          </w:p>
        </w:tc>
        <w:tc>
          <w:tcPr>
            <w:tcW w:w="6898" w:type="dxa"/>
            <w:vAlign w:val="center"/>
            <w:textDirection w:val="lrTb"/>
            <w:noWrap w:val="false"/>
          </w:tcPr>
          <w:p>
            <w:pPr>
              <w:spacing w:line="480" w:lineRule="exact"/>
              <w:rPr>
                <w:color w:val="000000"/>
                <w:szCs w:val="21"/>
                <w:u w:val="single"/>
              </w:rPr>
            </w:pPr>
            <w:r>
              <w:rPr>
                <w:color w:val="000000"/>
                <w:szCs w:val="21"/>
              </w:rPr>
              <w:t xml:space="preserve">人民币：</w:t>
            </w:r>
            <w:r>
              <w:rPr>
                <w:color w:val="000000"/>
                <w:szCs w:val="21"/>
                <w:u w:val="single"/>
              </w:rPr>
              <w:t xml:space="preserve">           </w:t>
            </w:r>
            <w:r/>
          </w:p>
          <w:p>
            <w:pPr>
              <w:spacing w:line="480" w:lineRule="exact"/>
              <w:rPr>
                <w:szCs w:val="21"/>
              </w:rPr>
            </w:pPr>
            <w:r>
              <w:rPr>
                <w:color w:val="000000"/>
                <w:szCs w:val="21"/>
              </w:rPr>
              <w:t xml:space="preserve">（大写）：</w:t>
            </w:r>
            <w:r>
              <w:rPr>
                <w:color w:val="000000"/>
                <w:szCs w:val="21"/>
                <w:u w:val="single"/>
              </w:rPr>
              <w:t xml:space="preserve">         </w:t>
            </w:r>
            <w:r/>
          </w:p>
        </w:tc>
      </w:tr>
      <w:tr>
        <w:trPr>
          <w:cantSplit/>
          <w:trHeight w:val="852"/>
        </w:trPr>
        <w:tc>
          <w:tcPr>
            <w:tcW w:w="2485" w:type="dxa"/>
            <w:vAlign w:val="center"/>
            <w:textDirection w:val="lrTb"/>
            <w:noWrap w:val="false"/>
          </w:tcPr>
          <w:p>
            <w:pPr>
              <w:jc w:val="center"/>
              <w:spacing w:line="360" w:lineRule="auto"/>
              <w:rPr>
                <w:szCs w:val="21"/>
              </w:rPr>
            </w:pPr>
            <w:r>
              <w:rPr>
                <w:szCs w:val="21"/>
              </w:rPr>
              <w:t xml:space="preserve">合同履行期限</w:t>
            </w:r>
            <w:r/>
          </w:p>
        </w:tc>
        <w:tc>
          <w:tcPr>
            <w:tcW w:w="6898" w:type="dxa"/>
            <w:vAlign w:val="center"/>
            <w:textDirection w:val="lrTb"/>
            <w:noWrap w:val="false"/>
          </w:tcPr>
          <w:p>
            <w:pPr>
              <w:ind w:firstLine="105"/>
              <w:spacing w:line="360" w:lineRule="auto"/>
              <w:rPr>
                <w:szCs w:val="21"/>
              </w:rPr>
            </w:pPr>
            <w:r>
              <w:rPr>
                <w:szCs w:val="21"/>
              </w:rPr>
            </w:r>
            <w:r/>
          </w:p>
        </w:tc>
      </w:tr>
      <w:tr>
        <w:trPr>
          <w:cantSplit/>
          <w:trHeight w:val="859"/>
        </w:trPr>
        <w:tc>
          <w:tcPr>
            <w:tcW w:w="2485" w:type="dxa"/>
            <w:vAlign w:val="center"/>
            <w:textDirection w:val="lrTb"/>
            <w:noWrap w:val="false"/>
          </w:tcPr>
          <w:p>
            <w:pPr>
              <w:jc w:val="center"/>
              <w:spacing w:line="360" w:lineRule="auto"/>
            </w:pPr>
            <w:r>
              <w:t xml:space="preserve">是否属于小微型企业</w:t>
            </w:r>
            <w:r/>
          </w:p>
        </w:tc>
        <w:tc>
          <w:tcPr>
            <w:tcW w:w="6898" w:type="dxa"/>
            <w:vAlign w:val="center"/>
            <w:textDirection w:val="lrTb"/>
            <w:noWrap w:val="false"/>
          </w:tcPr>
          <w:p>
            <w:pPr>
              <w:pStyle w:val="1152"/>
              <w:ind w:firstLine="210"/>
              <w:spacing w:line="360" w:lineRule="auto"/>
              <w:rPr>
                <w:szCs w:val="21"/>
              </w:rPr>
            </w:pPr>
            <w:r>
              <w:rPr>
                <w:rFonts w:ascii="Wingdings 2" w:hAnsi="Wingdings 2" w:eastAsia="Wingdings 2" w:cs="Wingdings 2"/>
                <w:b w:val="0"/>
                <w:sz w:val="21"/>
                <w:szCs w:val="21"/>
              </w:rPr>
              <w:t xml:space="preserve">£</w:t>
            </w:r>
            <w:r>
              <w:rPr>
                <w:b w:val="0"/>
                <w:sz w:val="21"/>
                <w:szCs w:val="21"/>
              </w:rPr>
              <w:t xml:space="preserve">是                       </w:t>
            </w:r>
            <w:r>
              <w:rPr>
                <w:rFonts w:ascii="Wingdings 2" w:hAnsi="Wingdings 2" w:eastAsia="Wingdings 2" w:cs="Wingdings 2"/>
                <w:b w:val="0"/>
                <w:sz w:val="21"/>
                <w:szCs w:val="21"/>
              </w:rPr>
              <w:t xml:space="preserve">£</w:t>
            </w:r>
            <w:r>
              <w:rPr>
                <w:b w:val="0"/>
                <w:sz w:val="21"/>
                <w:szCs w:val="21"/>
              </w:rPr>
              <w:t xml:space="preserve">否</w:t>
            </w:r>
            <w:r/>
          </w:p>
        </w:tc>
      </w:tr>
      <w:tr>
        <w:trPr>
          <w:cantSplit/>
          <w:trHeight w:val="1004"/>
        </w:trPr>
        <w:tc>
          <w:tcPr>
            <w:gridSpan w:val="2"/>
            <w:tcW w:w="9383" w:type="dxa"/>
            <w:vAlign w:val="center"/>
            <w:textDirection w:val="lrTb"/>
            <w:noWrap w:val="false"/>
          </w:tcPr>
          <w:p>
            <w:pPr>
              <w:ind w:firstLine="105"/>
              <w:spacing w:line="360" w:lineRule="auto"/>
              <w:rPr>
                <w:szCs w:val="21"/>
              </w:rPr>
            </w:pPr>
            <w:r>
              <w:rPr>
                <w:b/>
                <w:szCs w:val="21"/>
              </w:rPr>
              <w:t xml:space="preserve">“是否属于小微型企业</w:t>
            </w:r>
            <w:r>
              <w:rPr>
                <w:b/>
                <w:szCs w:val="21"/>
                <w:lang w:val="zh-CN"/>
              </w:rPr>
              <w:t xml:space="preserve">”栏内</w:t>
            </w:r>
            <w:r>
              <w:rPr>
                <w:b/>
                <w:szCs w:val="21"/>
              </w:rPr>
              <w:t xml:space="preserve">请勾选</w:t>
            </w:r>
            <w:r>
              <w:rPr>
                <w:b/>
                <w:szCs w:val="21"/>
                <w:lang w:val="zh-CN"/>
              </w:rPr>
              <w:t xml:space="preserve">“是”或“否”。如</w:t>
            </w:r>
            <w:r>
              <w:rPr>
                <w:b/>
                <w:szCs w:val="21"/>
              </w:rPr>
              <w:t xml:space="preserve">勾选</w:t>
            </w:r>
            <w:r>
              <w:rPr>
                <w:b/>
                <w:szCs w:val="21"/>
                <w:lang w:val="zh-CN"/>
              </w:rPr>
              <w:t xml:space="preserve">“是”，</w:t>
            </w:r>
            <w:r>
              <w:rPr>
                <w:b/>
                <w:szCs w:val="21"/>
              </w:rPr>
              <w:t xml:space="preserve">投标人需同时提供附件六所要求的对应文件。</w:t>
            </w:r>
            <w:r/>
          </w:p>
        </w:tc>
      </w:tr>
    </w:tbl>
    <w:p>
      <w:pPr>
        <w:spacing w:line="360" w:lineRule="auto"/>
        <w:rPr>
          <w:szCs w:val="21"/>
        </w:rPr>
      </w:pPr>
      <w:r>
        <w:rPr>
          <w:szCs w:val="21"/>
        </w:rPr>
      </w:r>
      <w:r/>
    </w:p>
    <w:p>
      <w:pPr>
        <w:pStyle w:val="1183"/>
        <w:ind w:firstLine="280"/>
      </w:p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spacing w:line="360" w:lineRule="auto"/>
        <w:rPr>
          <w:szCs w:val="21"/>
        </w:rPr>
      </w:pPr>
      <w:r>
        <w:rPr>
          <w:szCs w:val="21"/>
        </w:rPr>
      </w:r>
      <w:r/>
    </w:p>
    <w:p>
      <w:pPr>
        <w:spacing w:line="360" w:lineRule="auto"/>
        <w:rPr>
          <w:b/>
        </w:rPr>
      </w:pPr>
      <w:r>
        <w:rPr>
          <w:szCs w:val="21"/>
        </w:rPr>
        <w:t xml:space="preserve">注：此表中，投标报价合计应和分项报价表中的总价一致。</w:t>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spacing w:line="360" w:lineRule="auto"/>
        <w:rPr>
          <w:b/>
          <w:bCs/>
          <w:sz w:val="24"/>
          <w:szCs w:val="22"/>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bookmarkStart w:id="248" w:name="_Toc14445"/>
      <w:r/>
      <w:r/>
    </w:p>
    <w:p>
      <w:pPr>
        <w:spacing w:line="360" w:lineRule="auto"/>
        <w:rPr>
          <w:b/>
          <w:bCs/>
          <w:sz w:val="24"/>
          <w:szCs w:val="22"/>
        </w:rPr>
        <w:outlineLvl w:val="1"/>
      </w:pPr>
      <w:r/>
      <w:bookmarkStart w:id="249" w:name="_Toc2133"/>
      <w:r>
        <w:rPr>
          <w:b/>
          <w:bCs/>
          <w:sz w:val="24"/>
          <w:szCs w:val="22"/>
        </w:rPr>
        <w:t xml:space="preserve">附件三 分项报价表</w:t>
      </w:r>
      <w:bookmarkEnd w:id="248"/>
      <w:r/>
      <w:bookmarkEnd w:id="249"/>
      <w:r/>
      <w:r/>
    </w:p>
    <w:p>
      <w:pPr>
        <w:jc w:val="center"/>
        <w:spacing w:line="440" w:lineRule="exact"/>
        <w:rPr>
          <w:b/>
          <w:sz w:val="28"/>
          <w:szCs w:val="22"/>
        </w:rPr>
      </w:pPr>
      <w:r/>
      <w:bookmarkStart w:id="250" w:name="_Toc31558"/>
      <w:r>
        <w:rPr>
          <w:b/>
          <w:sz w:val="28"/>
          <w:szCs w:val="22"/>
        </w:rPr>
        <w:t xml:space="preserve">分项报价表</w:t>
      </w:r>
      <w:r/>
    </w:p>
    <w:p>
      <w:pPr>
        <w:jc w:val="right"/>
        <w:spacing w:line="440" w:lineRule="exact"/>
        <w:rPr>
          <w:bCs/>
          <w:szCs w:val="21"/>
        </w:rPr>
      </w:pPr>
      <w:r>
        <w:rPr>
          <w:bCs/>
          <w:szCs w:val="21"/>
        </w:rPr>
        <w:t xml:space="preserve">报价单位：人民币（小数点后保留2位）</w:t>
      </w:r>
      <w:r/>
    </w:p>
    <w:tbl>
      <w:tblPr>
        <w:tblStyle w:val="1149"/>
        <w:tblW w:w="508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519"/>
        <w:gridCol w:w="2496"/>
        <w:gridCol w:w="1409"/>
        <w:gridCol w:w="1116"/>
        <w:gridCol w:w="1232"/>
        <w:gridCol w:w="1301"/>
        <w:gridCol w:w="1751"/>
      </w:tblGrid>
      <w:tr>
        <w:trPr>
          <w:jc w:val="center"/>
          <w:trHeight w:val="181"/>
        </w:trPr>
        <w:tc>
          <w:tcPr>
            <w:tcW w:w="264" w:type="pct"/>
            <w:vAlign w:val="center"/>
            <w:textDirection w:val="lrTb"/>
            <w:noWrap w:val="false"/>
          </w:tcPr>
          <w:p>
            <w:pPr>
              <w:jc w:val="center"/>
              <w:spacing w:line="420" w:lineRule="auto"/>
              <w:rPr>
                <w:szCs w:val="21"/>
              </w:rPr>
            </w:pPr>
            <w:r>
              <w:rPr>
                <w:szCs w:val="21"/>
              </w:rPr>
              <w:t xml:space="preserve">序号</w:t>
            </w:r>
            <w:r/>
          </w:p>
        </w:tc>
        <w:tc>
          <w:tcPr>
            <w:tcW w:w="1270" w:type="pct"/>
            <w:vAlign w:val="center"/>
            <w:textDirection w:val="lrTb"/>
            <w:noWrap w:val="false"/>
          </w:tcPr>
          <w:p>
            <w:pPr>
              <w:jc w:val="center"/>
              <w:spacing w:line="420" w:lineRule="auto"/>
              <w:rPr>
                <w:szCs w:val="21"/>
              </w:rPr>
            </w:pPr>
            <w:r>
              <w:rPr>
                <w:szCs w:val="21"/>
              </w:rPr>
              <w:t xml:space="preserve">名称</w:t>
            </w:r>
            <w:r/>
          </w:p>
        </w:tc>
        <w:tc>
          <w:tcPr>
            <w:tcW w:w="717" w:type="pct"/>
            <w:vAlign w:val="center"/>
            <w:textDirection w:val="lrTb"/>
            <w:noWrap w:val="false"/>
          </w:tcPr>
          <w:p>
            <w:pPr>
              <w:jc w:val="center"/>
              <w:spacing w:line="420" w:lineRule="auto"/>
              <w:rPr>
                <w:szCs w:val="21"/>
              </w:rPr>
            </w:pPr>
            <w:r>
              <w:rPr>
                <w:rFonts w:hint="eastAsia"/>
                <w:szCs w:val="21"/>
              </w:rPr>
              <w:t xml:space="preserve">分项单价（元）</w:t>
            </w:r>
            <w:r/>
          </w:p>
        </w:tc>
        <w:tc>
          <w:tcPr>
            <w:tcW w:w="568" w:type="pct"/>
            <w:vAlign w:val="center"/>
            <w:textDirection w:val="lrTb"/>
            <w:noWrap w:val="false"/>
          </w:tcPr>
          <w:p>
            <w:pPr>
              <w:jc w:val="center"/>
              <w:spacing w:line="420" w:lineRule="auto"/>
              <w:rPr>
                <w:szCs w:val="21"/>
              </w:rPr>
            </w:pPr>
            <w:r>
              <w:rPr>
                <w:rFonts w:hint="eastAsia"/>
                <w:szCs w:val="21"/>
              </w:rPr>
              <w:t xml:space="preserve">单位</w:t>
            </w:r>
            <w:r/>
          </w:p>
        </w:tc>
        <w:tc>
          <w:tcPr>
            <w:tcW w:w="627" w:type="pct"/>
            <w:vAlign w:val="center"/>
            <w:textDirection w:val="lrTb"/>
            <w:noWrap w:val="false"/>
          </w:tcPr>
          <w:p>
            <w:pPr>
              <w:jc w:val="center"/>
              <w:spacing w:line="420" w:lineRule="auto"/>
              <w:rPr>
                <w:szCs w:val="21"/>
              </w:rPr>
            </w:pPr>
            <w:r>
              <w:rPr>
                <w:rFonts w:hint="eastAsia"/>
                <w:szCs w:val="21"/>
              </w:rPr>
              <w:t xml:space="preserve">数量（人）</w:t>
            </w:r>
            <w:r/>
          </w:p>
        </w:tc>
        <w:tc>
          <w:tcPr>
            <w:tcW w:w="662" w:type="pct"/>
            <w:vAlign w:val="center"/>
            <w:textDirection w:val="lrTb"/>
            <w:noWrap w:val="false"/>
          </w:tcPr>
          <w:p>
            <w:pPr>
              <w:jc w:val="center"/>
              <w:spacing w:line="420" w:lineRule="auto"/>
              <w:rPr>
                <w:szCs w:val="21"/>
              </w:rPr>
            </w:pPr>
            <w:r>
              <w:rPr>
                <w:rFonts w:hint="eastAsia"/>
                <w:szCs w:val="21"/>
              </w:rPr>
              <w:t xml:space="preserve">服务期限</w:t>
            </w:r>
            <w:r/>
          </w:p>
        </w:tc>
        <w:tc>
          <w:tcPr>
            <w:tcW w:w="889" w:type="pct"/>
            <w:vAlign w:val="center"/>
            <w:textDirection w:val="lrTb"/>
            <w:noWrap w:val="false"/>
          </w:tcPr>
          <w:p>
            <w:pPr>
              <w:jc w:val="center"/>
              <w:spacing w:line="420" w:lineRule="auto"/>
              <w:rPr>
                <w:szCs w:val="21"/>
              </w:rPr>
            </w:pPr>
            <w:r>
              <w:rPr>
                <w:rFonts w:hint="eastAsia"/>
                <w:szCs w:val="21"/>
              </w:rPr>
              <w:t xml:space="preserve">分项小计（元）</w:t>
            </w:r>
            <w:r/>
          </w:p>
        </w:tc>
      </w:tr>
      <w:tr>
        <w:trPr>
          <w:jc w:val="center"/>
          <w:trHeight w:val="459"/>
        </w:trPr>
        <w:tc>
          <w:tcPr>
            <w:tcW w:w="264" w:type="pct"/>
            <w:vAlign w:val="center"/>
            <w:textDirection w:val="lrTb"/>
            <w:noWrap w:val="false"/>
          </w:tcPr>
          <w:p>
            <w:pPr>
              <w:jc w:val="center"/>
              <w:spacing w:line="420" w:lineRule="auto"/>
              <w:rPr>
                <w:spacing w:val="-2"/>
                <w:szCs w:val="21"/>
              </w:rPr>
            </w:pPr>
            <w:r>
              <w:rPr>
                <w:rFonts w:hint="eastAsia"/>
                <w:spacing w:val="-2"/>
                <w:szCs w:val="21"/>
              </w:rPr>
              <w:t xml:space="preserve">1</w:t>
            </w:r>
            <w:r/>
          </w:p>
        </w:tc>
        <w:tc>
          <w:tcPr>
            <w:tcW w:w="1270" w:type="pct"/>
            <w:vAlign w:val="center"/>
            <w:textDirection w:val="lrTb"/>
            <w:noWrap w:val="false"/>
          </w:tcPr>
          <w:p>
            <w:pPr>
              <w:jc w:val="center"/>
              <w:rPr>
                <w:spacing w:val="-2"/>
                <w:szCs w:val="21"/>
              </w:rPr>
            </w:pPr>
            <w:r>
              <w:rPr>
                <w:rFonts w:hint="eastAsia"/>
                <w:spacing w:val="-2"/>
                <w:szCs w:val="21"/>
              </w:rPr>
              <w:t xml:space="preserve">管理和服务人员工资等费用</w:t>
            </w:r>
            <w:r/>
          </w:p>
        </w:tc>
        <w:tc>
          <w:tcPr>
            <w:tcW w:w="717" w:type="pct"/>
            <w:vAlign w:val="center"/>
            <w:textDirection w:val="lrTb"/>
            <w:noWrap w:val="false"/>
          </w:tcPr>
          <w:p>
            <w:pPr>
              <w:jc w:val="center"/>
              <w:spacing w:line="420" w:lineRule="auto"/>
              <w:rPr>
                <w:szCs w:val="21"/>
              </w:rPr>
            </w:pPr>
            <w:r>
              <w:rPr>
                <w:szCs w:val="21"/>
              </w:rPr>
            </w:r>
            <w:r/>
          </w:p>
        </w:tc>
        <w:tc>
          <w:tcPr>
            <w:tcW w:w="568" w:type="pct"/>
            <w:vAlign w:val="center"/>
            <w:textDirection w:val="lrTb"/>
            <w:noWrap w:val="false"/>
          </w:tcPr>
          <w:p>
            <w:pPr>
              <w:jc w:val="center"/>
              <w:spacing w:line="420" w:lineRule="auto"/>
              <w:rPr>
                <w:szCs w:val="21"/>
              </w:rPr>
            </w:pPr>
            <w:r>
              <w:rPr>
                <w:rFonts w:hint="eastAsia"/>
                <w:szCs w:val="21"/>
              </w:rPr>
              <w:t xml:space="preserve">元/人/月</w:t>
            </w:r>
            <w:r/>
          </w:p>
        </w:tc>
        <w:tc>
          <w:tcPr>
            <w:tcW w:w="627" w:type="pct"/>
            <w:vAlign w:val="center"/>
            <w:textDirection w:val="lrTb"/>
            <w:noWrap w:val="false"/>
          </w:tcPr>
          <w:p>
            <w:pPr>
              <w:jc w:val="center"/>
              <w:spacing w:line="420" w:lineRule="auto"/>
              <w:rPr>
                <w:szCs w:val="21"/>
              </w:rPr>
            </w:pPr>
            <w:r>
              <w:rPr>
                <w:szCs w:val="21"/>
              </w:rPr>
            </w:r>
            <w:r/>
          </w:p>
        </w:tc>
        <w:tc>
          <w:tcPr>
            <w:tcW w:w="662" w:type="pct"/>
            <w:vAlign w:val="center"/>
            <w:vMerge w:val="restart"/>
            <w:textDirection w:val="lrTb"/>
            <w:noWrap w:val="false"/>
          </w:tcPr>
          <w:p>
            <w:pPr>
              <w:jc w:val="center"/>
              <w:spacing w:line="420" w:lineRule="auto"/>
              <w:rPr>
                <w:szCs w:val="21"/>
              </w:rPr>
            </w:pPr>
            <w:r>
              <w:rPr>
                <w:rFonts w:hint="eastAsia"/>
                <w:szCs w:val="21"/>
              </w:rPr>
              <w:t xml:space="preserve">13.5个月</w:t>
            </w:r>
            <w:r/>
          </w:p>
        </w:tc>
        <w:tc>
          <w:tcPr>
            <w:tcW w:w="889" w:type="pct"/>
            <w:vAlign w:val="center"/>
            <w:textDirection w:val="lrTb"/>
            <w:noWrap w:val="false"/>
          </w:tcPr>
          <w:p>
            <w:pPr>
              <w:jc w:val="center"/>
              <w:spacing w:line="420" w:lineRule="auto"/>
              <w:rPr>
                <w:szCs w:val="21"/>
              </w:rPr>
            </w:pPr>
            <w:r>
              <w:rPr>
                <w:szCs w:val="21"/>
              </w:rPr>
            </w:r>
            <w:r/>
          </w:p>
        </w:tc>
      </w:tr>
      <w:tr>
        <w:trPr>
          <w:jc w:val="center"/>
          <w:trHeight w:val="424"/>
        </w:trPr>
        <w:tc>
          <w:tcPr>
            <w:tcW w:w="264" w:type="pct"/>
            <w:vAlign w:val="center"/>
            <w:textDirection w:val="lrTb"/>
            <w:noWrap w:val="false"/>
          </w:tcPr>
          <w:p>
            <w:pPr>
              <w:jc w:val="center"/>
              <w:spacing w:line="420" w:lineRule="auto"/>
              <w:rPr>
                <w:spacing w:val="-2"/>
                <w:szCs w:val="21"/>
              </w:rPr>
            </w:pPr>
            <w:r>
              <w:rPr>
                <w:rFonts w:hint="eastAsia"/>
                <w:spacing w:val="-2"/>
                <w:szCs w:val="21"/>
              </w:rPr>
              <w:t xml:space="preserve">2</w:t>
            </w:r>
            <w:r/>
          </w:p>
        </w:tc>
        <w:tc>
          <w:tcPr>
            <w:tcW w:w="1270" w:type="pct"/>
            <w:vAlign w:val="center"/>
            <w:textDirection w:val="lrTb"/>
            <w:noWrap w:val="false"/>
          </w:tcPr>
          <w:p>
            <w:pPr>
              <w:jc w:val="center"/>
              <w:rPr>
                <w:szCs w:val="21"/>
              </w:rPr>
            </w:pPr>
            <w:r>
              <w:rPr>
                <w:rFonts w:hint="eastAsia"/>
                <w:szCs w:val="21"/>
              </w:rPr>
              <w:t xml:space="preserve">管理和服务人员社保单位计提</w:t>
            </w:r>
            <w:r/>
          </w:p>
        </w:tc>
        <w:tc>
          <w:tcPr>
            <w:tcW w:w="717" w:type="pct"/>
            <w:vAlign w:val="center"/>
            <w:textDirection w:val="lrTb"/>
            <w:noWrap w:val="false"/>
          </w:tcPr>
          <w:p>
            <w:pPr>
              <w:jc w:val="center"/>
              <w:spacing w:line="420" w:lineRule="auto"/>
              <w:rPr>
                <w:szCs w:val="21"/>
              </w:rPr>
            </w:pPr>
            <w:r>
              <w:rPr>
                <w:szCs w:val="21"/>
              </w:rPr>
            </w:r>
            <w:r/>
          </w:p>
        </w:tc>
        <w:tc>
          <w:tcPr>
            <w:tcW w:w="568" w:type="pct"/>
            <w:vAlign w:val="center"/>
            <w:textDirection w:val="lrTb"/>
            <w:noWrap w:val="false"/>
          </w:tcPr>
          <w:p>
            <w:pPr>
              <w:jc w:val="center"/>
              <w:spacing w:line="420" w:lineRule="auto"/>
              <w:rPr>
                <w:szCs w:val="21"/>
              </w:rPr>
            </w:pPr>
            <w:r>
              <w:rPr>
                <w:rFonts w:hint="eastAsia"/>
                <w:szCs w:val="21"/>
              </w:rPr>
              <w:t xml:space="preserve">元/人/月</w:t>
            </w:r>
            <w:r/>
          </w:p>
        </w:tc>
        <w:tc>
          <w:tcPr>
            <w:tcW w:w="627" w:type="pct"/>
            <w:vAlign w:val="center"/>
            <w:textDirection w:val="lrTb"/>
            <w:noWrap w:val="false"/>
          </w:tcPr>
          <w:p>
            <w:pPr>
              <w:jc w:val="center"/>
              <w:spacing w:line="420" w:lineRule="auto"/>
              <w:rPr>
                <w:szCs w:val="21"/>
              </w:rPr>
            </w:pPr>
            <w:r>
              <w:rPr>
                <w:szCs w:val="21"/>
              </w:rPr>
            </w:r>
            <w:r/>
          </w:p>
        </w:tc>
        <w:tc>
          <w:tcPr>
            <w:tcW w:w="662" w:type="pct"/>
            <w:vAlign w:val="center"/>
            <w:vMerge w:val="continue"/>
            <w:textDirection w:val="lrTb"/>
            <w:noWrap w:val="false"/>
          </w:tcPr>
          <w:p>
            <w:pPr>
              <w:jc w:val="center"/>
              <w:spacing w:line="420" w:lineRule="auto"/>
              <w:rPr>
                <w:szCs w:val="21"/>
              </w:rPr>
            </w:pPr>
            <w:r>
              <w:rPr>
                <w:szCs w:val="21"/>
              </w:rPr>
            </w:r>
            <w:r/>
          </w:p>
        </w:tc>
        <w:tc>
          <w:tcPr>
            <w:tcW w:w="889" w:type="pct"/>
            <w:vAlign w:val="center"/>
            <w:textDirection w:val="lrTb"/>
            <w:noWrap w:val="false"/>
          </w:tcPr>
          <w:p>
            <w:pPr>
              <w:jc w:val="center"/>
              <w:spacing w:line="420" w:lineRule="auto"/>
              <w:rPr>
                <w:szCs w:val="21"/>
              </w:rPr>
            </w:pPr>
            <w:r>
              <w:rPr>
                <w:szCs w:val="21"/>
              </w:rPr>
            </w:r>
            <w:r/>
          </w:p>
        </w:tc>
      </w:tr>
      <w:tr>
        <w:trPr>
          <w:jc w:val="center"/>
          <w:trHeight w:val="315"/>
        </w:trPr>
        <w:tc>
          <w:tcPr>
            <w:tcW w:w="264" w:type="pct"/>
            <w:vAlign w:val="center"/>
            <w:textDirection w:val="lrTb"/>
            <w:noWrap w:val="false"/>
          </w:tcPr>
          <w:p>
            <w:pPr>
              <w:jc w:val="center"/>
              <w:spacing w:line="420" w:lineRule="auto"/>
              <w:rPr>
                <w:spacing w:val="-2"/>
                <w:szCs w:val="21"/>
              </w:rPr>
            </w:pPr>
            <w:r>
              <w:rPr>
                <w:rFonts w:hint="eastAsia"/>
                <w:spacing w:val="-2"/>
                <w:szCs w:val="21"/>
              </w:rPr>
              <w:t xml:space="preserve">3</w:t>
            </w:r>
            <w:r/>
          </w:p>
        </w:tc>
        <w:tc>
          <w:tcPr>
            <w:tcW w:w="1270" w:type="pct"/>
            <w:vAlign w:val="center"/>
            <w:textDirection w:val="lrTb"/>
            <w:noWrap w:val="false"/>
          </w:tcPr>
          <w:p>
            <w:pPr>
              <w:jc w:val="center"/>
              <w:rPr>
                <w:szCs w:val="21"/>
              </w:rPr>
            </w:pPr>
            <w:r>
              <w:rPr>
                <w:rFonts w:hint="eastAsia"/>
                <w:szCs w:val="21"/>
              </w:rPr>
              <w:t xml:space="preserve">管理和服务人员公积金单位计提</w:t>
            </w:r>
            <w:r/>
          </w:p>
        </w:tc>
        <w:tc>
          <w:tcPr>
            <w:tcW w:w="717" w:type="pct"/>
            <w:vAlign w:val="center"/>
            <w:textDirection w:val="lrTb"/>
            <w:noWrap w:val="false"/>
          </w:tcPr>
          <w:p>
            <w:pPr>
              <w:jc w:val="center"/>
              <w:spacing w:line="420" w:lineRule="auto"/>
              <w:rPr>
                <w:szCs w:val="21"/>
              </w:rPr>
            </w:pPr>
            <w:r>
              <w:rPr>
                <w:szCs w:val="21"/>
              </w:rPr>
            </w:r>
            <w:r/>
          </w:p>
        </w:tc>
        <w:tc>
          <w:tcPr>
            <w:tcW w:w="568" w:type="pct"/>
            <w:vAlign w:val="center"/>
            <w:textDirection w:val="lrTb"/>
            <w:noWrap w:val="false"/>
          </w:tcPr>
          <w:p>
            <w:pPr>
              <w:jc w:val="center"/>
              <w:spacing w:line="420" w:lineRule="auto"/>
              <w:rPr>
                <w:szCs w:val="21"/>
              </w:rPr>
            </w:pPr>
            <w:r>
              <w:rPr>
                <w:rFonts w:hint="eastAsia"/>
                <w:szCs w:val="21"/>
              </w:rPr>
              <w:t xml:space="preserve">元/人/月</w:t>
            </w:r>
            <w:r/>
          </w:p>
        </w:tc>
        <w:tc>
          <w:tcPr>
            <w:tcW w:w="627" w:type="pct"/>
            <w:vAlign w:val="center"/>
            <w:textDirection w:val="lrTb"/>
            <w:noWrap w:val="false"/>
          </w:tcPr>
          <w:p>
            <w:pPr>
              <w:jc w:val="center"/>
              <w:spacing w:line="420" w:lineRule="auto"/>
              <w:rPr>
                <w:szCs w:val="21"/>
              </w:rPr>
            </w:pPr>
            <w:r>
              <w:rPr>
                <w:szCs w:val="21"/>
              </w:rPr>
            </w:r>
            <w:r/>
          </w:p>
        </w:tc>
        <w:tc>
          <w:tcPr>
            <w:tcW w:w="662" w:type="pct"/>
            <w:vAlign w:val="center"/>
            <w:vMerge w:val="continue"/>
            <w:textDirection w:val="lrTb"/>
            <w:noWrap w:val="false"/>
          </w:tcPr>
          <w:p>
            <w:pPr>
              <w:jc w:val="center"/>
              <w:spacing w:line="420" w:lineRule="auto"/>
              <w:rPr>
                <w:szCs w:val="21"/>
              </w:rPr>
            </w:pPr>
            <w:r>
              <w:rPr>
                <w:szCs w:val="21"/>
              </w:rPr>
            </w:r>
            <w:r/>
          </w:p>
        </w:tc>
        <w:tc>
          <w:tcPr>
            <w:tcW w:w="889" w:type="pct"/>
            <w:vAlign w:val="center"/>
            <w:textDirection w:val="lrTb"/>
            <w:noWrap w:val="false"/>
          </w:tcPr>
          <w:p>
            <w:pPr>
              <w:jc w:val="center"/>
              <w:spacing w:line="420" w:lineRule="auto"/>
              <w:rPr>
                <w:szCs w:val="21"/>
              </w:rPr>
            </w:pPr>
            <w:r>
              <w:rPr>
                <w:szCs w:val="21"/>
              </w:rPr>
            </w:r>
            <w:r/>
          </w:p>
        </w:tc>
      </w:tr>
      <w:tr>
        <w:trPr>
          <w:jc w:val="center"/>
          <w:trHeight w:val="533"/>
        </w:trPr>
        <w:tc>
          <w:tcPr>
            <w:tcW w:w="264" w:type="pct"/>
            <w:vAlign w:val="center"/>
            <w:textDirection w:val="lrTb"/>
            <w:noWrap w:val="false"/>
          </w:tcPr>
          <w:p>
            <w:pPr>
              <w:jc w:val="center"/>
              <w:spacing w:line="420" w:lineRule="auto"/>
              <w:rPr>
                <w:spacing w:val="-2"/>
                <w:szCs w:val="21"/>
              </w:rPr>
            </w:pPr>
            <w:r>
              <w:rPr>
                <w:rFonts w:hint="eastAsia"/>
                <w:spacing w:val="-2"/>
                <w:szCs w:val="21"/>
              </w:rPr>
              <w:t xml:space="preserve">4</w:t>
            </w:r>
            <w:r/>
          </w:p>
        </w:tc>
        <w:tc>
          <w:tcPr>
            <w:tcW w:w="1270" w:type="pct"/>
            <w:vAlign w:val="center"/>
            <w:textDirection w:val="lrTb"/>
            <w:noWrap w:val="false"/>
          </w:tcPr>
          <w:p>
            <w:pPr>
              <w:jc w:val="center"/>
              <w:widowControl/>
              <w:rPr>
                <w:szCs w:val="21"/>
              </w:rPr>
            </w:pPr>
            <w:r>
              <w:rPr>
                <w:rFonts w:hint="eastAsia"/>
                <w:szCs w:val="21"/>
              </w:rPr>
              <w:t xml:space="preserve">绿化养护材料</w:t>
            </w:r>
            <w:r/>
          </w:p>
        </w:tc>
        <w:tc>
          <w:tcPr>
            <w:tcW w:w="717" w:type="pct"/>
            <w:vAlign w:val="center"/>
            <w:textDirection w:val="lrTb"/>
            <w:noWrap w:val="false"/>
          </w:tcPr>
          <w:p>
            <w:pPr>
              <w:jc w:val="center"/>
              <w:widowControl/>
              <w:rPr>
                <w:szCs w:val="21"/>
              </w:rPr>
            </w:pPr>
            <w:r>
              <w:rPr>
                <w:szCs w:val="21"/>
              </w:rPr>
            </w:r>
            <w:r/>
          </w:p>
        </w:tc>
        <w:tc>
          <w:tcPr>
            <w:tcW w:w="568" w:type="pct"/>
            <w:vAlign w:val="center"/>
            <w:textDirection w:val="lrTb"/>
            <w:noWrap w:val="false"/>
          </w:tcPr>
          <w:p>
            <w:pPr>
              <w:jc w:val="center"/>
              <w:widowControl/>
              <w:rPr>
                <w:szCs w:val="21"/>
              </w:rPr>
            </w:pPr>
            <w:r>
              <w:rPr>
                <w:rFonts w:hint="eastAsia"/>
                <w:szCs w:val="21"/>
              </w:rPr>
              <w:t xml:space="preserve">元/月</w:t>
            </w:r>
            <w:r/>
          </w:p>
        </w:tc>
        <w:tc>
          <w:tcPr>
            <w:tcW w:w="627" w:type="pct"/>
            <w:vAlign w:val="center"/>
            <w:textDirection w:val="lrTb"/>
            <w:noWrap w:val="false"/>
          </w:tcPr>
          <w:p>
            <w:pPr>
              <w:jc w:val="center"/>
              <w:rPr>
                <w:szCs w:val="21"/>
              </w:rPr>
            </w:pPr>
            <w:r>
              <w:rPr>
                <w:szCs w:val="21"/>
              </w:rPr>
            </w:r>
            <w:r/>
          </w:p>
        </w:tc>
        <w:tc>
          <w:tcPr>
            <w:tcW w:w="662" w:type="pct"/>
            <w:vAlign w:val="center"/>
            <w:vMerge w:val="continue"/>
            <w:textDirection w:val="lrTb"/>
            <w:noWrap w:val="false"/>
          </w:tcPr>
          <w:p>
            <w:pPr>
              <w:jc w:val="center"/>
              <w:rPr>
                <w:szCs w:val="21"/>
              </w:rPr>
            </w:pPr>
            <w:r>
              <w:rPr>
                <w:szCs w:val="21"/>
              </w:rPr>
            </w:r>
            <w:r/>
          </w:p>
        </w:tc>
        <w:tc>
          <w:tcPr>
            <w:tcW w:w="889" w:type="pct"/>
            <w:vAlign w:val="center"/>
            <w:textDirection w:val="lrTb"/>
            <w:noWrap w:val="false"/>
          </w:tcPr>
          <w:p>
            <w:pPr>
              <w:jc w:val="center"/>
              <w:rPr>
                <w:szCs w:val="21"/>
              </w:rPr>
            </w:pPr>
            <w:r>
              <w:rPr>
                <w:szCs w:val="21"/>
              </w:rPr>
            </w:r>
            <w:r/>
          </w:p>
        </w:tc>
      </w:tr>
      <w:tr>
        <w:trPr>
          <w:jc w:val="center"/>
          <w:trHeight w:val="246"/>
        </w:trPr>
        <w:tc>
          <w:tcPr>
            <w:tcW w:w="264" w:type="pct"/>
            <w:vAlign w:val="center"/>
            <w:textDirection w:val="lrTb"/>
            <w:noWrap w:val="false"/>
          </w:tcPr>
          <w:p>
            <w:pPr>
              <w:jc w:val="center"/>
              <w:spacing w:line="420" w:lineRule="auto"/>
              <w:rPr>
                <w:spacing w:val="-2"/>
                <w:szCs w:val="21"/>
              </w:rPr>
            </w:pPr>
            <w:r>
              <w:rPr>
                <w:rFonts w:hint="eastAsia"/>
                <w:spacing w:val="-2"/>
                <w:szCs w:val="21"/>
              </w:rPr>
              <w:t xml:space="preserve">5</w:t>
            </w:r>
            <w:r/>
          </w:p>
        </w:tc>
        <w:tc>
          <w:tcPr>
            <w:tcW w:w="1270" w:type="pct"/>
            <w:vAlign w:val="center"/>
            <w:textDirection w:val="lrTb"/>
            <w:noWrap w:val="false"/>
          </w:tcPr>
          <w:p>
            <w:pPr>
              <w:jc w:val="center"/>
              <w:spacing w:line="420" w:lineRule="auto"/>
              <w:rPr>
                <w:szCs w:val="21"/>
              </w:rPr>
            </w:pPr>
            <w:r>
              <w:rPr>
                <w:rFonts w:hint="eastAsia"/>
                <w:szCs w:val="21"/>
              </w:rPr>
              <w:t xml:space="preserve">设施设备的维保、年检费</w:t>
            </w:r>
            <w:r/>
          </w:p>
        </w:tc>
        <w:tc>
          <w:tcPr>
            <w:tcW w:w="717" w:type="pct"/>
            <w:vAlign w:val="center"/>
            <w:textDirection w:val="lrTb"/>
            <w:noWrap w:val="false"/>
          </w:tcPr>
          <w:p>
            <w:pPr>
              <w:jc w:val="center"/>
              <w:spacing w:line="420" w:lineRule="auto"/>
              <w:rPr>
                <w:szCs w:val="21"/>
              </w:rPr>
            </w:pPr>
            <w:r>
              <w:rPr>
                <w:szCs w:val="21"/>
              </w:rPr>
            </w:r>
            <w:r/>
          </w:p>
        </w:tc>
        <w:tc>
          <w:tcPr>
            <w:tcW w:w="568" w:type="pct"/>
            <w:vAlign w:val="center"/>
            <w:textDirection w:val="lrTb"/>
            <w:noWrap w:val="false"/>
          </w:tcPr>
          <w:p>
            <w:pPr>
              <w:jc w:val="center"/>
              <w:spacing w:line="420" w:lineRule="auto"/>
              <w:rPr>
                <w:szCs w:val="21"/>
              </w:rPr>
            </w:pPr>
            <w:r>
              <w:rPr>
                <w:rFonts w:hint="eastAsia"/>
                <w:szCs w:val="21"/>
              </w:rPr>
              <w:t xml:space="preserve">元/月</w:t>
            </w:r>
            <w:r/>
          </w:p>
        </w:tc>
        <w:tc>
          <w:tcPr>
            <w:tcW w:w="627" w:type="pct"/>
            <w:vAlign w:val="center"/>
            <w:textDirection w:val="lrTb"/>
            <w:noWrap w:val="false"/>
          </w:tcPr>
          <w:p>
            <w:pPr>
              <w:jc w:val="center"/>
              <w:spacing w:line="420" w:lineRule="auto"/>
              <w:rPr>
                <w:szCs w:val="21"/>
              </w:rPr>
            </w:pPr>
            <w:r>
              <w:rPr>
                <w:szCs w:val="21"/>
              </w:rPr>
            </w:r>
            <w:r/>
          </w:p>
        </w:tc>
        <w:tc>
          <w:tcPr>
            <w:tcW w:w="662" w:type="pct"/>
            <w:vAlign w:val="center"/>
            <w:vMerge w:val="continue"/>
            <w:textDirection w:val="lrTb"/>
            <w:noWrap w:val="false"/>
          </w:tcPr>
          <w:p>
            <w:pPr>
              <w:jc w:val="center"/>
              <w:spacing w:line="420" w:lineRule="auto"/>
              <w:rPr>
                <w:szCs w:val="21"/>
              </w:rPr>
            </w:pPr>
            <w:r>
              <w:rPr>
                <w:szCs w:val="21"/>
              </w:rPr>
            </w:r>
            <w:r/>
          </w:p>
        </w:tc>
        <w:tc>
          <w:tcPr>
            <w:tcW w:w="889" w:type="pct"/>
            <w:vAlign w:val="center"/>
            <w:textDirection w:val="lrTb"/>
            <w:noWrap w:val="false"/>
          </w:tcPr>
          <w:p>
            <w:pPr>
              <w:jc w:val="center"/>
              <w:spacing w:line="420" w:lineRule="auto"/>
              <w:rPr>
                <w:szCs w:val="21"/>
              </w:rPr>
            </w:pPr>
            <w:r>
              <w:rPr>
                <w:szCs w:val="21"/>
              </w:rPr>
            </w:r>
            <w:r/>
          </w:p>
        </w:tc>
      </w:tr>
      <w:tr>
        <w:trPr>
          <w:jc w:val="center"/>
          <w:trHeight w:val="246"/>
        </w:trPr>
        <w:tc>
          <w:tcPr>
            <w:tcW w:w="264" w:type="pct"/>
            <w:vAlign w:val="center"/>
            <w:textDirection w:val="lrTb"/>
            <w:noWrap w:val="false"/>
          </w:tcPr>
          <w:p>
            <w:pPr>
              <w:jc w:val="center"/>
              <w:spacing w:line="420" w:lineRule="auto"/>
              <w:rPr>
                <w:spacing w:val="-2"/>
                <w:szCs w:val="21"/>
              </w:rPr>
            </w:pPr>
            <w:r>
              <w:rPr>
                <w:rFonts w:hint="eastAsia"/>
                <w:spacing w:val="-2"/>
                <w:szCs w:val="21"/>
              </w:rPr>
              <w:t xml:space="preserve">6</w:t>
            </w:r>
            <w:r/>
          </w:p>
        </w:tc>
        <w:tc>
          <w:tcPr>
            <w:tcW w:w="1270" w:type="pct"/>
            <w:vAlign w:val="center"/>
            <w:textDirection w:val="lrTb"/>
            <w:noWrap w:val="false"/>
          </w:tcPr>
          <w:p>
            <w:pPr>
              <w:jc w:val="center"/>
              <w:spacing w:line="420" w:lineRule="auto"/>
              <w:rPr>
                <w:szCs w:val="21"/>
              </w:rPr>
            </w:pPr>
            <w:r>
              <w:rPr>
                <w:rFonts w:hint="eastAsia"/>
                <w:szCs w:val="21"/>
              </w:rPr>
              <w:t xml:space="preserve">办公费、固定资产折旧费</w:t>
            </w:r>
            <w:r/>
          </w:p>
        </w:tc>
        <w:tc>
          <w:tcPr>
            <w:tcW w:w="717" w:type="pct"/>
            <w:vAlign w:val="center"/>
            <w:textDirection w:val="lrTb"/>
            <w:noWrap w:val="false"/>
          </w:tcPr>
          <w:p>
            <w:pPr>
              <w:jc w:val="center"/>
              <w:spacing w:line="420" w:lineRule="auto"/>
              <w:rPr>
                <w:szCs w:val="21"/>
              </w:rPr>
            </w:pPr>
            <w:r>
              <w:rPr>
                <w:szCs w:val="21"/>
              </w:rPr>
            </w:r>
            <w:r/>
          </w:p>
        </w:tc>
        <w:tc>
          <w:tcPr>
            <w:tcW w:w="568" w:type="pct"/>
            <w:vAlign w:val="center"/>
            <w:textDirection w:val="lrTb"/>
            <w:noWrap w:val="false"/>
          </w:tcPr>
          <w:p>
            <w:pPr>
              <w:jc w:val="center"/>
              <w:spacing w:line="420" w:lineRule="auto"/>
              <w:rPr>
                <w:szCs w:val="21"/>
              </w:rPr>
            </w:pPr>
            <w:r>
              <w:rPr>
                <w:rFonts w:hint="eastAsia"/>
                <w:szCs w:val="21"/>
              </w:rPr>
              <w:t xml:space="preserve">元/月</w:t>
            </w:r>
            <w:r/>
          </w:p>
        </w:tc>
        <w:tc>
          <w:tcPr>
            <w:tcW w:w="627" w:type="pct"/>
            <w:vAlign w:val="center"/>
            <w:textDirection w:val="lrTb"/>
            <w:noWrap w:val="false"/>
          </w:tcPr>
          <w:p>
            <w:pPr>
              <w:jc w:val="center"/>
              <w:spacing w:line="420" w:lineRule="auto"/>
              <w:rPr>
                <w:szCs w:val="21"/>
              </w:rPr>
            </w:pPr>
            <w:r>
              <w:rPr>
                <w:szCs w:val="21"/>
              </w:rPr>
            </w:r>
            <w:r/>
          </w:p>
        </w:tc>
        <w:tc>
          <w:tcPr>
            <w:tcW w:w="662" w:type="pct"/>
            <w:vAlign w:val="center"/>
            <w:vMerge w:val="continue"/>
            <w:textDirection w:val="lrTb"/>
            <w:noWrap w:val="false"/>
          </w:tcPr>
          <w:p>
            <w:pPr>
              <w:jc w:val="center"/>
              <w:spacing w:line="420" w:lineRule="auto"/>
              <w:rPr>
                <w:szCs w:val="21"/>
              </w:rPr>
            </w:pPr>
            <w:r>
              <w:rPr>
                <w:szCs w:val="21"/>
              </w:rPr>
            </w:r>
            <w:r/>
          </w:p>
        </w:tc>
        <w:tc>
          <w:tcPr>
            <w:tcW w:w="889" w:type="pct"/>
            <w:vAlign w:val="center"/>
            <w:textDirection w:val="lrTb"/>
            <w:noWrap w:val="false"/>
          </w:tcPr>
          <w:p>
            <w:pPr>
              <w:jc w:val="center"/>
              <w:spacing w:line="420" w:lineRule="auto"/>
              <w:rPr>
                <w:szCs w:val="21"/>
              </w:rPr>
            </w:pPr>
            <w:r>
              <w:rPr>
                <w:szCs w:val="21"/>
              </w:rPr>
            </w:r>
            <w:r/>
          </w:p>
        </w:tc>
      </w:tr>
      <w:tr>
        <w:trPr>
          <w:jc w:val="center"/>
          <w:trHeight w:val="246"/>
        </w:trPr>
        <w:tc>
          <w:tcPr>
            <w:tcW w:w="264" w:type="pct"/>
            <w:vAlign w:val="center"/>
            <w:textDirection w:val="lrTb"/>
            <w:noWrap w:val="false"/>
          </w:tcPr>
          <w:p>
            <w:pPr>
              <w:jc w:val="center"/>
              <w:spacing w:line="420" w:lineRule="auto"/>
              <w:rPr>
                <w:spacing w:val="-2"/>
                <w:szCs w:val="21"/>
              </w:rPr>
            </w:pPr>
            <w:r>
              <w:rPr>
                <w:rFonts w:hint="eastAsia"/>
                <w:spacing w:val="-2"/>
                <w:szCs w:val="21"/>
              </w:rPr>
              <w:t xml:space="preserve">7</w:t>
            </w:r>
            <w:r/>
          </w:p>
        </w:tc>
        <w:tc>
          <w:tcPr>
            <w:tcW w:w="1270" w:type="pct"/>
            <w:vAlign w:val="center"/>
            <w:textDirection w:val="lrTb"/>
            <w:noWrap w:val="false"/>
          </w:tcPr>
          <w:p>
            <w:pPr>
              <w:jc w:val="center"/>
              <w:spacing w:line="420" w:lineRule="auto"/>
              <w:rPr>
                <w:szCs w:val="21"/>
              </w:rPr>
            </w:pPr>
            <w:r>
              <w:rPr>
                <w:rFonts w:hint="eastAsia"/>
                <w:szCs w:val="21"/>
              </w:rPr>
              <w:t xml:space="preserve">餐费</w:t>
            </w:r>
            <w:r/>
          </w:p>
        </w:tc>
        <w:tc>
          <w:tcPr>
            <w:tcW w:w="717" w:type="pct"/>
            <w:vAlign w:val="center"/>
            <w:textDirection w:val="lrTb"/>
            <w:noWrap w:val="false"/>
          </w:tcPr>
          <w:p>
            <w:pPr>
              <w:jc w:val="center"/>
              <w:spacing w:line="420" w:lineRule="auto"/>
              <w:rPr>
                <w:szCs w:val="21"/>
              </w:rPr>
            </w:pPr>
            <w:r>
              <w:rPr>
                <w:szCs w:val="21"/>
              </w:rPr>
            </w:r>
            <w:r/>
          </w:p>
        </w:tc>
        <w:tc>
          <w:tcPr>
            <w:tcW w:w="568" w:type="pct"/>
            <w:vAlign w:val="center"/>
            <w:textDirection w:val="lrTb"/>
            <w:noWrap w:val="false"/>
          </w:tcPr>
          <w:p>
            <w:pPr>
              <w:jc w:val="center"/>
              <w:spacing w:line="420" w:lineRule="auto"/>
              <w:rPr>
                <w:szCs w:val="21"/>
              </w:rPr>
            </w:pPr>
            <w:r>
              <w:rPr>
                <w:rFonts w:hint="eastAsia"/>
                <w:szCs w:val="21"/>
              </w:rPr>
              <w:t xml:space="preserve">元/月</w:t>
            </w:r>
            <w:r/>
          </w:p>
        </w:tc>
        <w:tc>
          <w:tcPr>
            <w:tcW w:w="627" w:type="pct"/>
            <w:vAlign w:val="center"/>
            <w:textDirection w:val="lrTb"/>
            <w:noWrap w:val="false"/>
          </w:tcPr>
          <w:p>
            <w:pPr>
              <w:jc w:val="center"/>
              <w:spacing w:line="420" w:lineRule="auto"/>
              <w:rPr>
                <w:szCs w:val="21"/>
              </w:rPr>
            </w:pPr>
            <w:r>
              <w:rPr>
                <w:szCs w:val="21"/>
              </w:rPr>
            </w:r>
            <w:r/>
          </w:p>
        </w:tc>
        <w:tc>
          <w:tcPr>
            <w:tcW w:w="662" w:type="pct"/>
            <w:vAlign w:val="center"/>
            <w:vMerge w:val="continue"/>
            <w:textDirection w:val="lrTb"/>
            <w:noWrap w:val="false"/>
          </w:tcPr>
          <w:p>
            <w:pPr>
              <w:jc w:val="center"/>
              <w:spacing w:line="420" w:lineRule="auto"/>
              <w:rPr>
                <w:szCs w:val="21"/>
              </w:rPr>
            </w:pPr>
            <w:r>
              <w:rPr>
                <w:szCs w:val="21"/>
              </w:rPr>
            </w:r>
            <w:r/>
          </w:p>
        </w:tc>
        <w:tc>
          <w:tcPr>
            <w:tcW w:w="889" w:type="pct"/>
            <w:vAlign w:val="center"/>
            <w:textDirection w:val="lrTb"/>
            <w:noWrap w:val="false"/>
          </w:tcPr>
          <w:p>
            <w:pPr>
              <w:jc w:val="center"/>
              <w:spacing w:line="420" w:lineRule="auto"/>
              <w:rPr>
                <w:szCs w:val="21"/>
              </w:rPr>
            </w:pPr>
            <w:r>
              <w:rPr>
                <w:szCs w:val="21"/>
              </w:rPr>
            </w:r>
            <w:r/>
          </w:p>
        </w:tc>
      </w:tr>
      <w:tr>
        <w:trPr>
          <w:jc w:val="center"/>
          <w:trHeight w:val="246"/>
        </w:trPr>
        <w:tc>
          <w:tcPr>
            <w:tcW w:w="264" w:type="pct"/>
            <w:vAlign w:val="center"/>
            <w:textDirection w:val="lrTb"/>
            <w:noWrap w:val="false"/>
          </w:tcPr>
          <w:p>
            <w:pPr>
              <w:jc w:val="center"/>
              <w:spacing w:line="420" w:lineRule="auto"/>
              <w:rPr>
                <w:spacing w:val="-2"/>
                <w:szCs w:val="21"/>
              </w:rPr>
            </w:pPr>
            <w:r>
              <w:rPr>
                <w:rFonts w:hint="eastAsia"/>
                <w:spacing w:val="-2"/>
                <w:szCs w:val="21"/>
              </w:rPr>
              <w:t xml:space="preserve">8</w:t>
            </w:r>
            <w:r/>
          </w:p>
        </w:tc>
        <w:tc>
          <w:tcPr>
            <w:tcW w:w="1270" w:type="pct"/>
            <w:vAlign w:val="center"/>
            <w:textDirection w:val="lrTb"/>
            <w:noWrap w:val="false"/>
          </w:tcPr>
          <w:p>
            <w:pPr>
              <w:jc w:val="center"/>
              <w:spacing w:line="420" w:lineRule="auto"/>
              <w:rPr>
                <w:szCs w:val="21"/>
              </w:rPr>
            </w:pPr>
            <w:r>
              <w:rPr>
                <w:rFonts w:hint="eastAsia"/>
                <w:szCs w:val="21"/>
              </w:rPr>
              <w:t xml:space="preserve">管理佣金</w:t>
            </w:r>
            <w:r/>
          </w:p>
        </w:tc>
        <w:tc>
          <w:tcPr>
            <w:tcW w:w="717" w:type="pct"/>
            <w:vAlign w:val="center"/>
            <w:textDirection w:val="lrTb"/>
            <w:noWrap w:val="false"/>
          </w:tcPr>
          <w:p>
            <w:pPr>
              <w:jc w:val="center"/>
              <w:spacing w:line="420" w:lineRule="auto"/>
              <w:rPr>
                <w:szCs w:val="21"/>
              </w:rPr>
            </w:pPr>
            <w:r>
              <w:rPr>
                <w:szCs w:val="21"/>
              </w:rPr>
            </w:r>
            <w:r/>
          </w:p>
        </w:tc>
        <w:tc>
          <w:tcPr>
            <w:tcW w:w="568" w:type="pct"/>
            <w:vAlign w:val="center"/>
            <w:textDirection w:val="lrTb"/>
            <w:noWrap w:val="false"/>
          </w:tcPr>
          <w:p>
            <w:pPr>
              <w:jc w:val="center"/>
              <w:spacing w:line="420" w:lineRule="auto"/>
              <w:rPr>
                <w:szCs w:val="21"/>
              </w:rPr>
            </w:pPr>
            <w:r>
              <w:rPr>
                <w:rFonts w:hint="eastAsia"/>
                <w:szCs w:val="21"/>
              </w:rPr>
              <w:t xml:space="preserve">元/月</w:t>
            </w:r>
            <w:r/>
          </w:p>
        </w:tc>
        <w:tc>
          <w:tcPr>
            <w:tcW w:w="627" w:type="pct"/>
            <w:vAlign w:val="center"/>
            <w:textDirection w:val="lrTb"/>
            <w:noWrap w:val="false"/>
          </w:tcPr>
          <w:p>
            <w:pPr>
              <w:jc w:val="center"/>
              <w:spacing w:line="420" w:lineRule="auto"/>
              <w:rPr>
                <w:szCs w:val="21"/>
              </w:rPr>
            </w:pPr>
            <w:r>
              <w:rPr>
                <w:szCs w:val="21"/>
              </w:rPr>
            </w:r>
            <w:r/>
          </w:p>
        </w:tc>
        <w:tc>
          <w:tcPr>
            <w:tcW w:w="662" w:type="pct"/>
            <w:vAlign w:val="center"/>
            <w:vMerge w:val="continue"/>
            <w:textDirection w:val="lrTb"/>
            <w:noWrap w:val="false"/>
          </w:tcPr>
          <w:p>
            <w:pPr>
              <w:jc w:val="center"/>
              <w:spacing w:line="420" w:lineRule="auto"/>
              <w:rPr>
                <w:szCs w:val="21"/>
              </w:rPr>
            </w:pPr>
            <w:r>
              <w:rPr>
                <w:szCs w:val="21"/>
              </w:rPr>
            </w:r>
            <w:r/>
          </w:p>
        </w:tc>
        <w:tc>
          <w:tcPr>
            <w:tcW w:w="889" w:type="pct"/>
            <w:vAlign w:val="center"/>
            <w:textDirection w:val="lrTb"/>
            <w:noWrap w:val="false"/>
          </w:tcPr>
          <w:p>
            <w:pPr>
              <w:jc w:val="center"/>
              <w:spacing w:line="420" w:lineRule="auto"/>
              <w:rPr>
                <w:szCs w:val="21"/>
              </w:rPr>
            </w:pPr>
            <w:r>
              <w:rPr>
                <w:szCs w:val="21"/>
              </w:rPr>
            </w:r>
            <w:r/>
          </w:p>
        </w:tc>
      </w:tr>
      <w:tr>
        <w:trPr>
          <w:jc w:val="center"/>
          <w:trHeight w:val="246"/>
        </w:trPr>
        <w:tc>
          <w:tcPr>
            <w:tcW w:w="264" w:type="pct"/>
            <w:vAlign w:val="center"/>
            <w:textDirection w:val="lrTb"/>
            <w:noWrap w:val="false"/>
          </w:tcPr>
          <w:p>
            <w:pPr>
              <w:jc w:val="center"/>
              <w:spacing w:line="420" w:lineRule="auto"/>
              <w:rPr>
                <w:spacing w:val="-2"/>
                <w:szCs w:val="21"/>
              </w:rPr>
            </w:pPr>
            <w:r>
              <w:rPr>
                <w:rFonts w:hint="eastAsia"/>
                <w:spacing w:val="-2"/>
                <w:szCs w:val="21"/>
              </w:rPr>
              <w:t xml:space="preserve">9</w:t>
            </w:r>
            <w:r/>
          </w:p>
        </w:tc>
        <w:tc>
          <w:tcPr>
            <w:tcW w:w="1270" w:type="pct"/>
            <w:vAlign w:val="center"/>
            <w:textDirection w:val="lrTb"/>
            <w:noWrap w:val="false"/>
          </w:tcPr>
          <w:p>
            <w:pPr>
              <w:jc w:val="center"/>
              <w:spacing w:line="420" w:lineRule="auto"/>
              <w:rPr>
                <w:szCs w:val="21"/>
              </w:rPr>
            </w:pPr>
            <w:r>
              <w:rPr>
                <w:rFonts w:hint="eastAsia"/>
                <w:szCs w:val="21"/>
              </w:rPr>
              <w:t xml:space="preserve">法定节假日加班</w:t>
            </w:r>
            <w:r/>
          </w:p>
        </w:tc>
        <w:tc>
          <w:tcPr>
            <w:tcW w:w="717" w:type="pct"/>
            <w:vAlign w:val="center"/>
            <w:textDirection w:val="lrTb"/>
            <w:noWrap w:val="false"/>
          </w:tcPr>
          <w:p>
            <w:pPr>
              <w:jc w:val="center"/>
              <w:spacing w:line="420" w:lineRule="auto"/>
              <w:rPr>
                <w:szCs w:val="21"/>
              </w:rPr>
            </w:pPr>
            <w:r>
              <w:rPr>
                <w:szCs w:val="21"/>
              </w:rPr>
            </w:r>
            <w:r/>
          </w:p>
        </w:tc>
        <w:tc>
          <w:tcPr>
            <w:tcW w:w="568" w:type="pct"/>
            <w:vAlign w:val="center"/>
            <w:textDirection w:val="lrTb"/>
            <w:noWrap w:val="false"/>
          </w:tcPr>
          <w:p>
            <w:pPr>
              <w:jc w:val="center"/>
              <w:spacing w:line="420" w:lineRule="auto"/>
              <w:rPr>
                <w:szCs w:val="21"/>
              </w:rPr>
            </w:pPr>
            <w:r>
              <w:rPr>
                <w:rFonts w:hint="eastAsia"/>
                <w:szCs w:val="21"/>
              </w:rPr>
              <w:t xml:space="preserve">元/月</w:t>
            </w:r>
            <w:r/>
          </w:p>
        </w:tc>
        <w:tc>
          <w:tcPr>
            <w:tcW w:w="627" w:type="pct"/>
            <w:vAlign w:val="center"/>
            <w:textDirection w:val="lrTb"/>
            <w:noWrap w:val="false"/>
          </w:tcPr>
          <w:p>
            <w:pPr>
              <w:jc w:val="center"/>
              <w:spacing w:line="420" w:lineRule="auto"/>
              <w:rPr>
                <w:szCs w:val="21"/>
              </w:rPr>
            </w:pPr>
            <w:r>
              <w:rPr>
                <w:szCs w:val="21"/>
              </w:rPr>
            </w:r>
            <w:r/>
          </w:p>
        </w:tc>
        <w:tc>
          <w:tcPr>
            <w:tcW w:w="662" w:type="pct"/>
            <w:vAlign w:val="center"/>
            <w:vMerge w:val="continue"/>
            <w:textDirection w:val="lrTb"/>
            <w:noWrap w:val="false"/>
          </w:tcPr>
          <w:p>
            <w:pPr>
              <w:jc w:val="center"/>
              <w:spacing w:line="420" w:lineRule="auto"/>
              <w:rPr>
                <w:szCs w:val="21"/>
              </w:rPr>
            </w:pPr>
            <w:r>
              <w:rPr>
                <w:szCs w:val="21"/>
              </w:rPr>
            </w:r>
            <w:r/>
          </w:p>
        </w:tc>
        <w:tc>
          <w:tcPr>
            <w:tcW w:w="889" w:type="pct"/>
            <w:vAlign w:val="center"/>
            <w:textDirection w:val="lrTb"/>
            <w:noWrap w:val="false"/>
          </w:tcPr>
          <w:p>
            <w:pPr>
              <w:jc w:val="center"/>
              <w:spacing w:line="420" w:lineRule="auto"/>
              <w:rPr>
                <w:szCs w:val="21"/>
              </w:rPr>
            </w:pPr>
            <w:r>
              <w:rPr>
                <w:szCs w:val="21"/>
              </w:rPr>
            </w:r>
            <w:r/>
          </w:p>
        </w:tc>
      </w:tr>
      <w:tr>
        <w:trPr>
          <w:jc w:val="center"/>
          <w:trHeight w:val="246"/>
        </w:trPr>
        <w:tc>
          <w:tcPr>
            <w:tcW w:w="264" w:type="pct"/>
            <w:vAlign w:val="center"/>
            <w:textDirection w:val="lrTb"/>
            <w:noWrap w:val="false"/>
          </w:tcPr>
          <w:p>
            <w:pPr>
              <w:jc w:val="center"/>
              <w:spacing w:line="420" w:lineRule="auto"/>
              <w:rPr>
                <w:spacing w:val="-2"/>
                <w:szCs w:val="21"/>
              </w:rPr>
            </w:pPr>
            <w:r>
              <w:rPr>
                <w:rFonts w:hint="eastAsia"/>
                <w:spacing w:val="-2"/>
                <w:szCs w:val="21"/>
              </w:rPr>
              <w:t xml:space="preserve">10</w:t>
            </w:r>
            <w:r/>
          </w:p>
        </w:tc>
        <w:tc>
          <w:tcPr>
            <w:tcW w:w="1270" w:type="pct"/>
            <w:vAlign w:val="center"/>
            <w:textDirection w:val="lrTb"/>
            <w:noWrap w:val="false"/>
          </w:tcPr>
          <w:p>
            <w:pPr>
              <w:jc w:val="center"/>
              <w:spacing w:line="420" w:lineRule="auto"/>
              <w:rPr>
                <w:szCs w:val="21"/>
              </w:rPr>
            </w:pPr>
            <w:r>
              <w:rPr>
                <w:rFonts w:hint="eastAsia"/>
                <w:szCs w:val="21"/>
              </w:rPr>
              <w:t xml:space="preserve">税费</w:t>
            </w:r>
            <w:r/>
          </w:p>
        </w:tc>
        <w:tc>
          <w:tcPr>
            <w:tcW w:w="717" w:type="pct"/>
            <w:vAlign w:val="center"/>
            <w:textDirection w:val="lrTb"/>
            <w:noWrap w:val="false"/>
          </w:tcPr>
          <w:p>
            <w:pPr>
              <w:jc w:val="center"/>
              <w:spacing w:line="420" w:lineRule="auto"/>
              <w:rPr>
                <w:szCs w:val="21"/>
              </w:rPr>
            </w:pPr>
            <w:r>
              <w:rPr>
                <w:szCs w:val="21"/>
              </w:rPr>
            </w:r>
            <w:r/>
          </w:p>
        </w:tc>
        <w:tc>
          <w:tcPr>
            <w:tcW w:w="568" w:type="pct"/>
            <w:vAlign w:val="center"/>
            <w:textDirection w:val="lrTb"/>
            <w:noWrap w:val="false"/>
          </w:tcPr>
          <w:p>
            <w:pPr>
              <w:jc w:val="center"/>
              <w:spacing w:line="420" w:lineRule="auto"/>
              <w:rPr>
                <w:szCs w:val="21"/>
              </w:rPr>
            </w:pPr>
            <w:r>
              <w:rPr>
                <w:rFonts w:hint="eastAsia"/>
                <w:szCs w:val="21"/>
              </w:rPr>
              <w:t xml:space="preserve">元/月</w:t>
            </w:r>
            <w:r/>
          </w:p>
        </w:tc>
        <w:tc>
          <w:tcPr>
            <w:tcW w:w="627" w:type="pct"/>
            <w:vAlign w:val="center"/>
            <w:textDirection w:val="lrTb"/>
            <w:noWrap w:val="false"/>
          </w:tcPr>
          <w:p>
            <w:pPr>
              <w:jc w:val="center"/>
              <w:spacing w:line="420" w:lineRule="auto"/>
              <w:rPr>
                <w:szCs w:val="21"/>
              </w:rPr>
            </w:pPr>
            <w:r>
              <w:rPr>
                <w:szCs w:val="21"/>
              </w:rPr>
            </w:r>
            <w:r/>
          </w:p>
        </w:tc>
        <w:tc>
          <w:tcPr>
            <w:tcW w:w="662" w:type="pct"/>
            <w:vAlign w:val="center"/>
            <w:vMerge w:val="continue"/>
            <w:textDirection w:val="lrTb"/>
            <w:noWrap w:val="false"/>
          </w:tcPr>
          <w:p>
            <w:pPr>
              <w:jc w:val="center"/>
              <w:spacing w:line="420" w:lineRule="auto"/>
              <w:rPr>
                <w:szCs w:val="21"/>
              </w:rPr>
            </w:pPr>
            <w:r>
              <w:rPr>
                <w:szCs w:val="21"/>
              </w:rPr>
            </w:r>
            <w:r/>
          </w:p>
        </w:tc>
        <w:tc>
          <w:tcPr>
            <w:tcW w:w="889" w:type="pct"/>
            <w:vAlign w:val="center"/>
            <w:textDirection w:val="lrTb"/>
            <w:noWrap w:val="false"/>
          </w:tcPr>
          <w:p>
            <w:pPr>
              <w:jc w:val="center"/>
              <w:spacing w:line="420" w:lineRule="auto"/>
              <w:rPr>
                <w:szCs w:val="21"/>
              </w:rPr>
            </w:pPr>
            <w:r>
              <w:rPr>
                <w:szCs w:val="21"/>
              </w:rPr>
            </w:r>
            <w:r/>
          </w:p>
        </w:tc>
      </w:tr>
      <w:tr>
        <w:trPr>
          <w:jc w:val="center"/>
          <w:trHeight w:val="246"/>
        </w:trPr>
        <w:tc>
          <w:tcPr>
            <w:tcW w:w="264" w:type="pct"/>
            <w:vAlign w:val="center"/>
            <w:textDirection w:val="lrTb"/>
            <w:noWrap w:val="false"/>
          </w:tcPr>
          <w:p>
            <w:pPr>
              <w:jc w:val="center"/>
              <w:spacing w:line="420" w:lineRule="auto"/>
              <w:rPr>
                <w:spacing w:val="-2"/>
                <w:szCs w:val="21"/>
              </w:rPr>
            </w:pPr>
            <w:r>
              <w:rPr>
                <w:rFonts w:hint="eastAsia"/>
                <w:spacing w:val="-2"/>
                <w:szCs w:val="21"/>
              </w:rPr>
              <w:t xml:space="preserve">11</w:t>
            </w:r>
            <w:r/>
          </w:p>
        </w:tc>
        <w:tc>
          <w:tcPr>
            <w:tcW w:w="1270" w:type="pct"/>
            <w:vAlign w:val="center"/>
            <w:textDirection w:val="lrTb"/>
            <w:noWrap w:val="false"/>
          </w:tcPr>
          <w:p>
            <w:pPr>
              <w:jc w:val="center"/>
              <w:spacing w:line="420" w:lineRule="auto"/>
              <w:rPr>
                <w:szCs w:val="21"/>
              </w:rPr>
            </w:pPr>
            <w:r>
              <w:rPr>
                <w:rFonts w:hint="eastAsia"/>
                <w:szCs w:val="21"/>
              </w:rPr>
              <w:t xml:space="preserve">高温费</w:t>
            </w:r>
            <w:r/>
          </w:p>
        </w:tc>
        <w:tc>
          <w:tcPr>
            <w:tcW w:w="717" w:type="pct"/>
            <w:vAlign w:val="center"/>
            <w:textDirection w:val="lrTb"/>
            <w:noWrap w:val="false"/>
          </w:tcPr>
          <w:p>
            <w:pPr>
              <w:jc w:val="center"/>
              <w:spacing w:line="420" w:lineRule="auto"/>
              <w:rPr>
                <w:szCs w:val="21"/>
              </w:rPr>
            </w:pPr>
            <w:r>
              <w:rPr>
                <w:szCs w:val="21"/>
              </w:rPr>
            </w:r>
            <w:r/>
          </w:p>
        </w:tc>
        <w:tc>
          <w:tcPr>
            <w:tcW w:w="568" w:type="pct"/>
            <w:vAlign w:val="center"/>
            <w:textDirection w:val="lrTb"/>
            <w:noWrap w:val="false"/>
          </w:tcPr>
          <w:p>
            <w:pPr>
              <w:jc w:val="center"/>
              <w:spacing w:line="420" w:lineRule="auto"/>
              <w:rPr>
                <w:szCs w:val="21"/>
              </w:rPr>
            </w:pPr>
            <w:r>
              <w:rPr>
                <w:rFonts w:hint="eastAsia"/>
                <w:szCs w:val="21"/>
              </w:rPr>
              <w:t xml:space="preserve">元/月</w:t>
            </w:r>
            <w:r/>
          </w:p>
        </w:tc>
        <w:tc>
          <w:tcPr>
            <w:tcW w:w="627" w:type="pct"/>
            <w:vAlign w:val="center"/>
            <w:textDirection w:val="lrTb"/>
            <w:noWrap w:val="false"/>
          </w:tcPr>
          <w:p>
            <w:pPr>
              <w:jc w:val="center"/>
              <w:spacing w:line="420" w:lineRule="auto"/>
              <w:rPr>
                <w:szCs w:val="21"/>
              </w:rPr>
            </w:pPr>
            <w:r>
              <w:rPr>
                <w:szCs w:val="21"/>
              </w:rPr>
            </w:r>
            <w:r/>
          </w:p>
        </w:tc>
        <w:tc>
          <w:tcPr>
            <w:tcW w:w="662" w:type="pct"/>
            <w:vAlign w:val="center"/>
            <w:vMerge w:val="continue"/>
            <w:textDirection w:val="lrTb"/>
            <w:noWrap w:val="false"/>
          </w:tcPr>
          <w:p>
            <w:pPr>
              <w:jc w:val="center"/>
              <w:spacing w:line="420" w:lineRule="auto"/>
              <w:rPr>
                <w:szCs w:val="21"/>
              </w:rPr>
            </w:pPr>
            <w:r>
              <w:rPr>
                <w:szCs w:val="21"/>
              </w:rPr>
            </w:r>
            <w:r/>
          </w:p>
        </w:tc>
        <w:tc>
          <w:tcPr>
            <w:tcW w:w="889" w:type="pct"/>
            <w:vAlign w:val="center"/>
            <w:textDirection w:val="lrTb"/>
            <w:noWrap w:val="false"/>
          </w:tcPr>
          <w:p>
            <w:pPr>
              <w:jc w:val="center"/>
              <w:spacing w:line="420" w:lineRule="auto"/>
              <w:rPr>
                <w:szCs w:val="21"/>
              </w:rPr>
            </w:pPr>
            <w:r>
              <w:rPr>
                <w:szCs w:val="21"/>
              </w:rPr>
            </w:r>
            <w:r/>
          </w:p>
        </w:tc>
      </w:tr>
      <w:tr>
        <w:trPr>
          <w:jc w:val="center"/>
          <w:trHeight w:val="90"/>
        </w:trPr>
        <w:tc>
          <w:tcPr>
            <w:tcW w:w="264" w:type="pct"/>
            <w:vAlign w:val="center"/>
            <w:textDirection w:val="lrTb"/>
            <w:noWrap w:val="false"/>
          </w:tcPr>
          <w:p>
            <w:pPr>
              <w:jc w:val="center"/>
              <w:spacing w:line="420" w:lineRule="auto"/>
              <w:rPr>
                <w:spacing w:val="-2"/>
                <w:szCs w:val="21"/>
              </w:rPr>
            </w:pPr>
            <w:r>
              <w:rPr>
                <w:rFonts w:hint="eastAsia"/>
                <w:spacing w:val="-2"/>
                <w:szCs w:val="21"/>
              </w:rPr>
              <w:t xml:space="preserve">12</w:t>
            </w:r>
            <w:r/>
          </w:p>
        </w:tc>
        <w:tc>
          <w:tcPr>
            <w:tcW w:w="1270" w:type="pct"/>
            <w:vAlign w:val="center"/>
            <w:textDirection w:val="lrTb"/>
            <w:noWrap w:val="false"/>
          </w:tcPr>
          <w:p>
            <w:pPr>
              <w:jc w:val="center"/>
              <w:spacing w:line="420" w:lineRule="auto"/>
              <w:rPr>
                <w:szCs w:val="21"/>
              </w:rPr>
            </w:pPr>
            <w:r>
              <w:rPr>
                <w:rFonts w:hint="eastAsia"/>
                <w:szCs w:val="21"/>
              </w:rPr>
              <w:t xml:space="preserve">其他</w:t>
            </w:r>
            <w:r/>
          </w:p>
        </w:tc>
        <w:tc>
          <w:tcPr>
            <w:tcW w:w="717" w:type="pct"/>
            <w:vAlign w:val="center"/>
            <w:textDirection w:val="lrTb"/>
            <w:noWrap w:val="false"/>
          </w:tcPr>
          <w:p>
            <w:pPr>
              <w:jc w:val="center"/>
              <w:spacing w:line="420" w:lineRule="auto"/>
              <w:rPr>
                <w:szCs w:val="21"/>
              </w:rPr>
            </w:pPr>
            <w:r>
              <w:rPr>
                <w:szCs w:val="21"/>
              </w:rPr>
            </w:r>
            <w:r/>
          </w:p>
        </w:tc>
        <w:tc>
          <w:tcPr>
            <w:tcW w:w="568" w:type="pct"/>
            <w:vAlign w:val="center"/>
            <w:textDirection w:val="lrTb"/>
            <w:noWrap w:val="false"/>
          </w:tcPr>
          <w:p>
            <w:pPr>
              <w:jc w:val="center"/>
              <w:spacing w:line="420" w:lineRule="auto"/>
              <w:rPr>
                <w:szCs w:val="21"/>
              </w:rPr>
            </w:pPr>
            <w:r>
              <w:rPr>
                <w:szCs w:val="21"/>
              </w:rPr>
            </w:r>
            <w:r/>
          </w:p>
        </w:tc>
        <w:tc>
          <w:tcPr>
            <w:tcW w:w="627" w:type="pct"/>
            <w:vAlign w:val="center"/>
            <w:textDirection w:val="lrTb"/>
            <w:noWrap w:val="false"/>
          </w:tcPr>
          <w:p>
            <w:pPr>
              <w:jc w:val="center"/>
              <w:spacing w:line="420" w:lineRule="auto"/>
              <w:rPr>
                <w:szCs w:val="21"/>
              </w:rPr>
            </w:pPr>
            <w:r>
              <w:rPr>
                <w:szCs w:val="21"/>
              </w:rPr>
            </w:r>
            <w:r/>
          </w:p>
        </w:tc>
        <w:tc>
          <w:tcPr>
            <w:tcW w:w="662" w:type="pct"/>
            <w:vAlign w:val="center"/>
            <w:vMerge w:val="continue"/>
            <w:textDirection w:val="lrTb"/>
            <w:noWrap w:val="false"/>
          </w:tcPr>
          <w:p>
            <w:pPr>
              <w:jc w:val="center"/>
              <w:spacing w:line="420" w:lineRule="auto"/>
              <w:rPr>
                <w:szCs w:val="21"/>
              </w:rPr>
            </w:pPr>
            <w:r>
              <w:rPr>
                <w:szCs w:val="21"/>
              </w:rPr>
            </w:r>
            <w:r/>
          </w:p>
        </w:tc>
        <w:tc>
          <w:tcPr>
            <w:tcW w:w="889" w:type="pct"/>
            <w:vAlign w:val="center"/>
            <w:textDirection w:val="lrTb"/>
            <w:noWrap w:val="false"/>
          </w:tcPr>
          <w:p>
            <w:pPr>
              <w:jc w:val="center"/>
              <w:spacing w:line="420" w:lineRule="auto"/>
              <w:rPr>
                <w:szCs w:val="21"/>
              </w:rPr>
            </w:pPr>
            <w:r>
              <w:rPr>
                <w:szCs w:val="21"/>
              </w:rPr>
            </w:r>
            <w:r/>
          </w:p>
        </w:tc>
      </w:tr>
      <w:tr>
        <w:trPr>
          <w:jc w:val="center"/>
          <w:trHeight w:val="836"/>
        </w:trPr>
        <w:tc>
          <w:tcPr>
            <w:gridSpan w:val="2"/>
            <w:tcW w:w="1534" w:type="pct"/>
            <w:vAlign w:val="center"/>
            <w:textDirection w:val="lrTb"/>
            <w:noWrap w:val="false"/>
          </w:tcPr>
          <w:p>
            <w:pPr>
              <w:jc w:val="center"/>
              <w:spacing w:line="420" w:lineRule="auto"/>
              <w:rPr>
                <w:szCs w:val="21"/>
              </w:rPr>
            </w:pPr>
            <w:r>
              <w:rPr>
                <w:rFonts w:hint="eastAsia"/>
                <w:szCs w:val="21"/>
              </w:rPr>
              <w:t xml:space="preserve">投标报价汇总</w:t>
            </w:r>
            <w:r/>
          </w:p>
        </w:tc>
        <w:tc>
          <w:tcPr>
            <w:gridSpan w:val="5"/>
            <w:tcW w:w="3465" w:type="pct"/>
            <w:vAlign w:val="center"/>
            <w:textDirection w:val="lrTb"/>
            <w:noWrap w:val="false"/>
          </w:tcPr>
          <w:p>
            <w:pPr>
              <w:ind w:firstLine="1260"/>
              <w:jc w:val="center"/>
              <w:spacing w:line="420" w:lineRule="auto"/>
              <w:rPr>
                <w:szCs w:val="21"/>
              </w:rPr>
            </w:pPr>
            <w:r>
              <w:rPr>
                <w:szCs w:val="21"/>
              </w:rPr>
            </w:r>
            <w:r/>
          </w:p>
          <w:p>
            <w:pPr>
              <w:ind w:firstLine="1260"/>
              <w:spacing w:line="420" w:lineRule="auto"/>
              <w:rPr>
                <w:szCs w:val="21"/>
              </w:rPr>
            </w:pPr>
            <w:r>
              <w:rPr>
                <w:rFonts w:hint="eastAsia"/>
                <w:szCs w:val="21"/>
              </w:rPr>
              <w:t xml:space="preserve">￥：</w:t>
            </w:r>
            <w:r/>
          </w:p>
          <w:p>
            <w:pPr>
              <w:ind w:firstLine="1260"/>
              <w:spacing w:line="420" w:lineRule="auto"/>
              <w:rPr>
                <w:szCs w:val="21"/>
              </w:rPr>
            </w:pPr>
            <w:r>
              <w:rPr>
                <w:rFonts w:hint="eastAsia"/>
                <w:szCs w:val="21"/>
              </w:rPr>
              <w:t xml:space="preserve">大写（人民币）：</w:t>
            </w:r>
            <w:r/>
          </w:p>
        </w:tc>
      </w:tr>
      <w:tr>
        <w:trPr>
          <w:jc w:val="center"/>
          <w:trHeight w:val="246"/>
        </w:trPr>
        <w:tc>
          <w:tcPr>
            <w:gridSpan w:val="2"/>
            <w:tcW w:w="1534" w:type="pct"/>
            <w:vAlign w:val="center"/>
            <w:textDirection w:val="lrTb"/>
            <w:noWrap w:val="false"/>
          </w:tcPr>
          <w:p>
            <w:pPr>
              <w:jc w:val="center"/>
              <w:spacing w:line="420" w:lineRule="auto"/>
              <w:rPr>
                <w:szCs w:val="21"/>
              </w:rPr>
            </w:pPr>
            <w:r>
              <w:rPr>
                <w:rFonts w:hint="eastAsia"/>
                <w:szCs w:val="21"/>
              </w:rPr>
              <w:t xml:space="preserve">说明：</w:t>
            </w:r>
            <w:r/>
          </w:p>
        </w:tc>
        <w:tc>
          <w:tcPr>
            <w:gridSpan w:val="5"/>
            <w:tcW w:w="3465" w:type="pct"/>
            <w:vAlign w:val="center"/>
            <w:textDirection w:val="lrTb"/>
            <w:noWrap w:val="false"/>
          </w:tcPr>
          <w:p>
            <w:pPr>
              <w:jc w:val="center"/>
              <w:spacing w:line="420" w:lineRule="auto"/>
              <w:rPr>
                <w:szCs w:val="21"/>
              </w:rPr>
            </w:pPr>
            <w:r>
              <w:rPr>
                <w:szCs w:val="21"/>
              </w:rPr>
            </w:r>
            <w:r/>
          </w:p>
        </w:tc>
      </w:tr>
    </w:tbl>
    <w:p>
      <w:pPr>
        <w:spacing w:line="440" w:lineRule="exact"/>
      </w:pPr>
      <w:r>
        <w:t xml:space="preserve">注：1.投标人应根据其项目情况提供详细分项报价。投标人应对上述每项内容列明组成的详细分项价格。</w:t>
      </w:r>
      <w:r/>
    </w:p>
    <w:p>
      <w:pPr>
        <w:spacing w:line="440" w:lineRule="exact"/>
      </w:pPr>
      <w:r>
        <w:rPr>
          <w:rFonts w:hint="eastAsia"/>
        </w:rPr>
        <w:t xml:space="preserve">    2.最低工资标准、社保和公积金应当符合行政主管部门相关规定。</w:t>
      </w:r>
      <w:r/>
    </w:p>
    <w:p>
      <w:pPr>
        <w:ind w:firstLine="420"/>
        <w:spacing w:line="440" w:lineRule="exact"/>
      </w:pPr>
      <w:r>
        <w:rPr>
          <w:rFonts w:hint="eastAsia"/>
        </w:rPr>
        <w:t xml:space="preserve">3</w:t>
      </w:r>
      <w:r>
        <w:t xml:space="preserve">.如果不提供详细分项报价将视为没有实质性响应招标文件。</w:t>
      </w:r>
      <w:r/>
    </w:p>
    <w:p>
      <w:pPr>
        <w:ind w:firstLine="420"/>
        <w:spacing w:line="440" w:lineRule="exact"/>
      </w:pPr>
      <w:r>
        <w:rPr>
          <w:rFonts w:hint="eastAsia"/>
        </w:rPr>
        <w:t xml:space="preserve">4</w:t>
      </w:r>
      <w:r>
        <w:t xml:space="preserve">.表中表格行数可自行添加。</w:t>
      </w:r>
      <w:r/>
    </w:p>
    <w:p>
      <w:pPr>
        <w:ind w:firstLine="420"/>
        <w:spacing w:line="440" w:lineRule="exact"/>
        <w:rPr>
          <w:color w:val="000000"/>
          <w:szCs w:val="21"/>
        </w:rPr>
      </w:pPr>
      <w:r>
        <w:rPr>
          <w:color w:val="ee0000"/>
        </w:rPr>
        <w:br/>
      </w: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Cs w:val="21"/>
        </w:rPr>
      </w:pPr>
      <w:r>
        <w:rPr>
          <w:color w:val="000000"/>
          <w:szCs w:val="21"/>
        </w:rPr>
        <w:t xml:space="preserve">日期：</w:t>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after="156" w:line="360" w:lineRule="auto"/>
        <w:rPr>
          <w:b/>
          <w:bCs/>
          <w:sz w:val="24"/>
          <w:szCs w:val="22"/>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rPr>
          <w:b/>
          <w:bCs/>
          <w:sz w:val="24"/>
          <w:szCs w:val="22"/>
        </w:rPr>
      </w:r>
      <w:r/>
    </w:p>
    <w:p>
      <w:pPr>
        <w:spacing w:after="156" w:line="360" w:lineRule="auto"/>
        <w:rPr>
          <w:b/>
          <w:bCs/>
          <w:sz w:val="24"/>
          <w:szCs w:val="22"/>
        </w:rPr>
        <w:outlineLvl w:val="1"/>
      </w:pPr>
      <w:r/>
      <w:bookmarkStart w:id="251" w:name="_Toc2489"/>
      <w:r>
        <w:rPr>
          <w:b/>
          <w:bCs/>
          <w:sz w:val="24"/>
          <w:szCs w:val="22"/>
        </w:rPr>
        <w:t xml:space="preserve">附件四 商务条款偏离表</w:t>
      </w:r>
      <w:bookmarkEnd w:id="250"/>
      <w:r/>
      <w:bookmarkEnd w:id="251"/>
      <w:r/>
      <w:r/>
    </w:p>
    <w:tbl>
      <w:tblPr>
        <w:tblStyle w:val="1149"/>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jc w:val="center"/>
              <w:spacing w:before="156"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jc w:val="center"/>
              <w:spacing w:before="156" w:line="360" w:lineRule="auto"/>
              <w:rPr>
                <w:szCs w:val="21"/>
              </w:rPr>
            </w:pPr>
            <w:r>
              <w:rPr>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jc w:val="center"/>
              <w:spacing w:before="156" w:line="360" w:lineRule="auto"/>
              <w:rPr>
                <w:szCs w:val="21"/>
              </w:rPr>
            </w:pPr>
            <w:r>
              <w:rPr>
                <w:szCs w:val="21"/>
              </w:rPr>
              <w:t xml:space="preserve">投标文件响应</w:t>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jc w:val="center"/>
              <w:spacing w:before="156" w:line="360" w:lineRule="auto"/>
              <w:rPr>
                <w:szCs w:val="21"/>
              </w:rPr>
            </w:pPr>
            <w:r>
              <w:rPr>
                <w:szCs w:val="21"/>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360" w:lineRule="auto"/>
              <w:rPr>
                <w:szCs w:val="21"/>
              </w:rPr>
            </w:pPr>
            <w:r>
              <w:rPr>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360" w:lineRule="auto"/>
              <w:rPr>
                <w:szCs w:val="21"/>
              </w:rPr>
            </w:pPr>
            <w:r>
              <w:rPr>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360" w:lineRule="auto"/>
              <w:rPr>
                <w:szCs w:val="21"/>
              </w:rPr>
            </w:pPr>
            <w:r>
              <w:rPr>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bl>
    <w:p>
      <w:pPr>
        <w:spacing w:line="360" w:lineRule="auto"/>
        <w:rPr>
          <w:sz w:val="24"/>
        </w:rPr>
      </w:pPr>
      <w:r>
        <w:rPr>
          <w:sz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注：1、供应商如对</w:t>
      </w:r>
      <w:r>
        <w:rPr>
          <w:szCs w:val="21"/>
        </w:rPr>
        <w:t xml:space="preserve">包括</w:t>
      </w:r>
      <w:r>
        <w:rPr>
          <w:b/>
          <w:bCs/>
          <w:szCs w:val="21"/>
        </w:rPr>
        <w:t xml:space="preserve">合同履行期限（</w:t>
      </w:r>
      <w:r>
        <w:rPr>
          <w:b/>
          <w:bCs/>
          <w:color w:val="000000"/>
          <w:szCs w:val="21"/>
        </w:rPr>
        <w:t xml:space="preserve">服务期</w:t>
      </w:r>
      <w:r>
        <w:rPr>
          <w:b/>
          <w:bCs/>
          <w:szCs w:val="21"/>
        </w:rPr>
        <w:t xml:space="preserve">）、售后服务要求、付款方式、合同条款等</w:t>
      </w:r>
      <w:r>
        <w:rPr>
          <w:color w:val="000000"/>
          <w:szCs w:val="21"/>
        </w:rPr>
        <w:t xml:space="preserve">商务条款的响应有任何偏离，请在本表中详细填写。如不列出，则视为供应商完全同意招标文件的商务条款。</w:t>
      </w:r>
      <w:r/>
    </w:p>
    <w:p>
      <w:pPr>
        <w:numPr>
          <w:ilvl w:val="0"/>
          <w:numId w:val="6"/>
        </w:numPr>
        <w:ind w:firstLine="420"/>
        <w:spacing w:line="360" w:lineRule="auto"/>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p>
    <w:p>
      <w:pPr>
        <w:ind w:firstLine="420"/>
        <w:spacing w:line="360" w:lineRule="auto"/>
        <w:rPr>
          <w:color w:val="000000"/>
          <w:szCs w:val="21"/>
        </w:rPr>
      </w:pPr>
      <w:r>
        <w:rPr>
          <w:color w:val="000000"/>
          <w:szCs w:val="21"/>
        </w:rPr>
        <w:t xml:space="preserve">3、如果行数不够，请自行增加。</w:t>
      </w:r>
      <w:r/>
    </w:p>
    <w:p>
      <w:pPr>
        <w:ind w:firstLine="5494"/>
        <w:spacing w:line="360" w:lineRule="auto"/>
        <w:rPr>
          <w:sz w:val="24"/>
        </w:rPr>
      </w:pPr>
      <w:r>
        <w:rPr>
          <w:sz w:val="24"/>
        </w:rPr>
      </w:r>
      <w:r/>
    </w:p>
    <w:p>
      <w:pPr>
        <w:spacing w:line="360" w:lineRule="auto"/>
        <w:rPr>
          <w:sz w:val="24"/>
        </w:rPr>
      </w:pPr>
      <w:r>
        <w:rPr>
          <w:sz w:val="24"/>
        </w:rPr>
      </w:r>
      <w:r/>
    </w:p>
    <w:p>
      <w:pPr>
        <w:ind w:right="-334"/>
        <w:spacing w:line="360" w:lineRule="auto"/>
        <w:rPr>
          <w:sz w:val="24"/>
        </w:rPr>
      </w:pPr>
      <w:r>
        <w:rPr>
          <w:sz w:val="24"/>
        </w:rPr>
      </w:r>
      <w:r/>
    </w:p>
    <w:p>
      <w:pPr>
        <w:ind w:right="-334"/>
        <w:spacing w:line="360" w:lineRule="auto"/>
        <w:rPr>
          <w:sz w:val="24"/>
        </w:rPr>
      </w:pPr>
      <w:r>
        <w:rPr>
          <w:sz w:val="24"/>
        </w:rPr>
      </w:r>
      <w:r/>
    </w:p>
    <w:p>
      <w:pPr>
        <w:ind w:right="-334"/>
        <w:spacing w:line="360" w:lineRule="auto"/>
        <w:rPr>
          <w:sz w:val="24"/>
        </w:rPr>
      </w:pPr>
      <w:r>
        <w:rPr>
          <w:sz w:val="24"/>
        </w:rPr>
      </w:r>
      <w:r/>
    </w:p>
    <w:p>
      <w:pPr>
        <w:ind w:right="-334"/>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rPr>
      </w:r>
      <w:r/>
    </w:p>
    <w:p>
      <w:pPr>
        <w:spacing w:after="156" w:line="440" w:lineRule="exact"/>
        <w:rPr>
          <w:b/>
          <w:bCs/>
          <w:color w:val="000000"/>
          <w:sz w:val="24"/>
          <w:szCs w:val="22"/>
        </w:rPr>
        <w:outlineLvl w:val="1"/>
      </w:pPr>
      <w:r/>
      <w:bookmarkStart w:id="252" w:name="_Toc6138"/>
      <w:r/>
      <w:bookmarkStart w:id="253" w:name="_Toc6600"/>
      <w:r/>
      <w:bookmarkStart w:id="254" w:name="_Toc7213"/>
      <w:r/>
      <w:bookmarkStart w:id="255" w:name="_Toc21713"/>
      <w:r>
        <w:rPr>
          <w:b/>
          <w:bCs/>
          <w:color w:val="000000"/>
          <w:sz w:val="24"/>
          <w:szCs w:val="22"/>
        </w:rPr>
        <w:t xml:space="preserve">附件五 技术条款偏离表</w:t>
      </w:r>
      <w:bookmarkEnd w:id="252"/>
      <w:r/>
      <w:bookmarkEnd w:id="253"/>
      <w:r/>
      <w:bookmarkEnd w:id="254"/>
      <w:r/>
      <w:bookmarkEnd w:id="255"/>
      <w:r/>
      <w:r/>
    </w:p>
    <w:tbl>
      <w:tblPr>
        <w:tblStyle w:val="114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jc w:val="center"/>
        </w:trPr>
        <w:tc>
          <w:tcPr>
            <w:tcBorders>
              <w:top w:val="single" w:color="auto" w:sz="4" w:space="0"/>
              <w:left w:val="single" w:color="auto" w:sz="4" w:space="0"/>
              <w:bottom w:val="single" w:color="auto" w:sz="4" w:space="0"/>
              <w:right w:val="single" w:color="auto" w:sz="4" w:space="0"/>
            </w:tcBorders>
            <w:tcW w:w="675" w:type="dxa"/>
            <w:vMerge w:val="restart"/>
            <w:textDirection w:val="lrTb"/>
            <w:noWrap w:val="false"/>
          </w:tcPr>
          <w:p>
            <w:pPr>
              <w:jc w:val="center"/>
              <w:spacing w:line="440" w:lineRule="exact"/>
              <w:rPr>
                <w:color w:val="000000"/>
                <w:szCs w:val="21"/>
              </w:rPr>
            </w:pPr>
            <w:r>
              <w:rPr>
                <w:color w:val="000000"/>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40" w:lineRule="exact"/>
              <w:rPr>
                <w:color w:val="000000"/>
                <w:szCs w:val="21"/>
              </w:rPr>
            </w:pPr>
            <w:r>
              <w:rPr>
                <w:color w:val="000000"/>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40" w:lineRule="exact"/>
              <w:rPr>
                <w:color w:val="000000"/>
                <w:szCs w:val="21"/>
              </w:rPr>
            </w:pPr>
            <w:r>
              <w:rPr>
                <w:color w:val="000000"/>
                <w:szCs w:val="21"/>
              </w:rPr>
              <w:t xml:space="preserve">投标文件</w:t>
            </w:r>
            <w:r/>
          </w:p>
        </w:tc>
        <w:tc>
          <w:tcPr>
            <w:tcBorders>
              <w:top w:val="single" w:color="auto" w:sz="4" w:space="0"/>
              <w:left w:val="single" w:color="auto" w:sz="4" w:space="0"/>
              <w:right w:val="single" w:color="auto" w:sz="4" w:space="0"/>
            </w:tcBorders>
            <w:tcW w:w="1843" w:type="dxa"/>
            <w:vMerge w:val="restart"/>
            <w:textDirection w:val="lrTb"/>
            <w:noWrap w:val="false"/>
          </w:tcPr>
          <w:p>
            <w:pPr>
              <w:jc w:val="center"/>
              <w:spacing w:line="440" w:lineRule="exact"/>
              <w:rPr>
                <w:color w:val="000000"/>
                <w:szCs w:val="21"/>
              </w:rPr>
            </w:pPr>
            <w:r>
              <w:rPr>
                <w:color w:val="000000"/>
                <w:szCs w:val="21"/>
              </w:rPr>
            </w:r>
            <w:r/>
          </w:p>
          <w:p>
            <w:pPr>
              <w:jc w:val="center"/>
              <w:spacing w:line="440" w:lineRule="exact"/>
              <w:rPr>
                <w:color w:val="000000"/>
                <w:szCs w:val="21"/>
              </w:rPr>
            </w:pPr>
            <w:r>
              <w:rPr>
                <w:color w:val="000000"/>
                <w:szCs w:val="21"/>
              </w:rPr>
              <w:t xml:space="preserve">说明</w:t>
            </w:r>
            <w:r/>
          </w:p>
        </w:tc>
        <w:tc>
          <w:tcPr>
            <w:tcBorders>
              <w:top w:val="single" w:color="auto" w:sz="4" w:space="0"/>
              <w:left w:val="single" w:color="auto" w:sz="4" w:space="0"/>
              <w:right w:val="single" w:color="auto" w:sz="4" w:space="0"/>
            </w:tcBorders>
            <w:tcW w:w="2076" w:type="dxa"/>
            <w:vMerge w:val="restart"/>
            <w:textDirection w:val="lrTb"/>
            <w:noWrap w:val="false"/>
          </w:tcPr>
          <w:p>
            <w:pPr>
              <w:jc w:val="center"/>
              <w:spacing w:line="440" w:lineRule="exact"/>
              <w:rPr>
                <w:color w:val="000000"/>
                <w:szCs w:val="21"/>
              </w:rPr>
            </w:pPr>
            <w:r>
              <w:rPr>
                <w:color w:val="000000"/>
                <w:szCs w:val="21"/>
              </w:rPr>
              <w:t xml:space="preserve">“★”和“▲”技术规格响应证明文件的具体位置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40" w:lineRule="exact"/>
              <w:rPr>
                <w:color w:val="000000"/>
                <w:szCs w:val="21"/>
              </w:rPr>
            </w:pPr>
            <w:r>
              <w:rPr>
                <w:color w:val="000000"/>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40" w:lineRule="exact"/>
              <w:rPr>
                <w:color w:val="000000"/>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40" w:lineRule="exact"/>
              <w:rPr>
                <w:color w:val="000000"/>
                <w:szCs w:val="21"/>
              </w:rPr>
            </w:pPr>
            <w:r>
              <w:rPr>
                <w:color w:val="000000"/>
                <w:szCs w:val="21"/>
              </w:rPr>
              <w:t xml:space="preserve">响应具体情况</w:t>
            </w:r>
            <w:r/>
          </w:p>
        </w:tc>
        <w:tc>
          <w:tcPr>
            <w:tcBorders>
              <w:left w:val="single" w:color="auto" w:sz="4" w:space="0"/>
              <w:bottom w:val="single" w:color="auto" w:sz="4" w:space="0"/>
              <w:right w:val="single" w:color="auto" w:sz="4" w:space="0"/>
            </w:tcBorders>
            <w:tcW w:w="1843" w:type="dxa"/>
            <w:vMerge w:val="continue"/>
            <w:textDirection w:val="lrTb"/>
            <w:noWrap w:val="false"/>
          </w:tcPr>
          <w:p>
            <w:pPr>
              <w:rPr>
                <w:color w:val="000000"/>
              </w:rPr>
            </w:pPr>
            <w:r>
              <w:rPr>
                <w:color w:val="000000"/>
              </w:rPr>
            </w:r>
            <w:r/>
          </w:p>
        </w:tc>
        <w:tc>
          <w:tcPr>
            <w:tcBorders>
              <w:left w:val="single" w:color="auto" w:sz="4" w:space="0"/>
              <w:bottom w:val="single" w:color="auto" w:sz="4" w:space="0"/>
              <w:right w:val="single" w:color="auto" w:sz="4" w:space="0"/>
            </w:tcBorders>
            <w:tcW w:w="2076" w:type="dxa"/>
            <w:vMerge w:val="continue"/>
            <w:textDirection w:val="lrTb"/>
            <w:noWrap w:val="false"/>
          </w:tcPr>
          <w:p>
            <w:pPr>
              <w:rPr>
                <w:color w:val="000000"/>
              </w:rPr>
            </w:pPr>
            <w:r>
              <w:rPr>
                <w:color w:val="000000"/>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bl>
    <w:p>
      <w:pPr>
        <w:spacing w:line="440" w:lineRule="exact"/>
        <w:rPr>
          <w:color w:val="000000"/>
          <w:sz w:val="24"/>
        </w:rPr>
      </w:pPr>
      <w:r>
        <w:rPr>
          <w:color w:val="000000"/>
          <w:sz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Cs w:val="21"/>
        </w:rPr>
      </w:pPr>
      <w:r>
        <w:rPr>
          <w:color w:val="000000"/>
          <w:szCs w:val="21"/>
        </w:rPr>
        <w:t xml:space="preserve">日期：</w:t>
      </w:r>
      <w:r/>
    </w:p>
    <w:p>
      <w:pPr>
        <w:pStyle w:val="1157"/>
        <w:spacing w:line="360" w:lineRule="auto"/>
        <w:rPr>
          <w:color w:val="000000"/>
          <w:szCs w:val="21"/>
        </w:rPr>
      </w:pPr>
      <w:r>
        <w:rPr>
          <w:color w:val="000000"/>
          <w:szCs w:val="21"/>
        </w:rPr>
        <w:t xml:space="preserve">注：1、投标人应对招标文件第四章招标技术规格及要求的内容给予</w:t>
      </w:r>
      <w:r>
        <w:rPr>
          <w:b/>
          <w:bCs/>
          <w:color w:val="000000"/>
          <w:szCs w:val="21"/>
        </w:rPr>
        <w:t xml:space="preserve">逐条响应</w:t>
      </w:r>
      <w:r>
        <w:rPr>
          <w:color w:val="000000"/>
          <w:szCs w:val="21"/>
        </w:rPr>
        <w:t xml:space="preserve">，</w:t>
      </w:r>
      <w:r>
        <w:rPr>
          <w:b/>
          <w:bCs/>
          <w:color w:val="00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不应通过简单拷贝招标文件技术要求作为响应内容，如完全复制招标文件内容，评委有权按不响应处理，情况恶劣时将</w:t>
      </w:r>
      <w:r>
        <w:rPr>
          <w:rFonts w:hint="eastAsia"/>
          <w:b/>
          <w:bCs/>
          <w:color w:val="000000"/>
          <w:szCs w:val="21"/>
        </w:rPr>
        <w:t xml:space="preserve">作</w:t>
      </w:r>
      <w:r>
        <w:rPr>
          <w:b/>
          <w:bCs/>
          <w:color w:val="000000"/>
          <w:szCs w:val="21"/>
        </w:rPr>
        <w:t xml:space="preserve">无效投标处理。 </w:t>
      </w:r>
      <w:r/>
    </w:p>
    <w:p>
      <w:pPr>
        <w:ind w:firstLine="420"/>
        <w:spacing w:line="440" w:lineRule="exact"/>
        <w:rPr>
          <w:color w:val="000000"/>
          <w:szCs w:val="21"/>
        </w:rPr>
      </w:pPr>
      <w:r>
        <w:rPr>
          <w:color w:val="000000"/>
          <w:szCs w:val="21"/>
        </w:rPr>
        <w:t xml:space="preserve">2、投标文件“响应具体情况",指所投产品的技术应答情况。“说明”栏请注明“响应/正偏离/负偏离”，并且标注针对实质性要求或重要技术参数响应的证明文件在投标文件中的页码及具体位置。</w:t>
      </w:r>
      <w:r/>
    </w:p>
    <w:p>
      <w:pPr>
        <w:ind w:firstLine="420"/>
        <w:spacing w:line="440" w:lineRule="exact"/>
        <w:rPr>
          <w:color w:val="000000"/>
          <w:szCs w:val="21"/>
        </w:rPr>
      </w:pPr>
      <w:r>
        <w:rPr>
          <w:color w:val="000000"/>
          <w:szCs w:val="21"/>
        </w:rPr>
        <w:t xml:space="preserve">3、</w:t>
      </w:r>
      <w:r>
        <w:rPr>
          <w:b/>
          <w:bCs/>
          <w:color w:val="000000"/>
          <w:szCs w:val="21"/>
        </w:rPr>
        <w:t xml:space="preserve">投标人投标规格和招标规格不一致，而投标人却在此表应答为响应或正偏离时，必须提供充分理由说明（不提供或理由不充分将视为负偏离）；因此种情况在设备验收时产生争议，采购人有权按照招标文件的原始标准进行验收。</w:t>
      </w:r>
      <w:r/>
    </w:p>
    <w:p>
      <w:pPr>
        <w:ind w:firstLine="420"/>
        <w:spacing w:line="440" w:lineRule="exact"/>
        <w:rPr>
          <w:color w:val="000000"/>
          <w:szCs w:val="21"/>
        </w:rPr>
      </w:pPr>
      <w:r>
        <w:rPr>
          <w:color w:val="000000"/>
          <w:szCs w:val="21"/>
        </w:rPr>
        <w:t xml:space="preserve">4、如果行数不够，请自行增加。</w:t>
      </w:r>
      <w:r/>
    </w:p>
    <w:p>
      <w:pPr>
        <w:spacing w:line="360" w:lineRule="auto"/>
        <w:rPr>
          <w:b/>
          <w:bCs/>
          <w:color w:val="000000"/>
          <w:sz w:val="24"/>
          <w:szCs w:val="22"/>
        </w:rPr>
        <w:outlineLvl w:val="1"/>
      </w:pPr>
      <w:r/>
      <w:bookmarkStart w:id="256" w:name="_Toc877"/>
      <w:r/>
      <w:bookmarkStart w:id="257" w:name="_Toc1937"/>
      <w:r/>
      <w:bookmarkStart w:id="258" w:name="_Toc27256"/>
      <w:r/>
      <w:bookmarkStart w:id="259" w:name="_Toc14428"/>
      <w:r>
        <w:rPr>
          <w:b/>
          <w:bCs/>
          <w:color w:val="000000"/>
          <w:sz w:val="24"/>
          <w:szCs w:val="22"/>
        </w:rPr>
        <w:t xml:space="preserve">附件六 政府采购政策</w:t>
      </w:r>
      <w:bookmarkEnd w:id="256"/>
      <w:r/>
      <w:bookmarkEnd w:id="257"/>
      <w:r/>
      <w:r/>
    </w:p>
    <w:p>
      <w:pPr>
        <w:jc w:val="center"/>
        <w:spacing w:line="360" w:lineRule="auto"/>
        <w:rPr>
          <w:b/>
          <w:color w:val="000000"/>
          <w:sz w:val="30"/>
          <w:szCs w:val="30"/>
          <w:lang w:bidi="ar"/>
        </w:rPr>
        <w:outlineLvl w:val="2"/>
      </w:pPr>
      <w:r/>
      <w:bookmarkStart w:id="260" w:name="_Toc26121"/>
      <w:r/>
      <w:bookmarkStart w:id="261" w:name="_Toc5532"/>
      <w:r/>
      <w:bookmarkStart w:id="262" w:name="_Toc3803"/>
      <w:r/>
      <w:bookmarkStart w:id="263" w:name="_Toc5224"/>
      <w:r>
        <w:rPr>
          <w:b/>
          <w:bCs/>
          <w:color w:val="000000"/>
          <w:szCs w:val="21"/>
        </w:rPr>
        <w:t xml:space="preserve">（一）《中小企业声明函》</w:t>
      </w:r>
      <w:bookmarkEnd w:id="260"/>
      <w:r/>
      <w:bookmarkEnd w:id="261"/>
      <w:r/>
      <w:bookmarkEnd w:id="262"/>
      <w:r/>
      <w:bookmarkEnd w:id="263"/>
      <w:r/>
      <w:r/>
    </w:p>
    <w:p>
      <w:pPr>
        <w:jc w:val="center"/>
        <w:widowControl/>
        <w:rPr>
          <w:b/>
          <w:bCs/>
          <w:color w:val="000000"/>
          <w:sz w:val="24"/>
          <w:szCs w:val="24"/>
        </w:rPr>
      </w:pPr>
      <w:r>
        <w:rPr>
          <w:b/>
          <w:bCs/>
          <w:color w:val="000000"/>
          <w:sz w:val="24"/>
          <w:szCs w:val="24"/>
        </w:rPr>
        <w:t xml:space="preserve">中小企业声明函（工程 、服务）</w:t>
      </w:r>
      <w:r/>
    </w:p>
    <w:p>
      <w:pPr>
        <w:ind w:left="36" w:right="158" w:firstLine="640"/>
        <w:spacing w:before="193" w:line="360" w:lineRule="auto"/>
        <w:rPr>
          <w:szCs w:val="21"/>
        </w:rPr>
      </w:pPr>
      <w:r>
        <w:rPr>
          <w:spacing w:val="-4"/>
          <w:szCs w:val="21"/>
        </w:rPr>
        <w:t xml:space="preserve">本公司（联合体）郑重声明</w:t>
      </w:r>
      <w:r>
        <w:rPr>
          <w:spacing w:val="-99"/>
          <w:szCs w:val="21"/>
        </w:rPr>
        <w:t xml:space="preserve"> </w:t>
      </w:r>
      <w:r>
        <w:rPr>
          <w:spacing w:val="-4"/>
          <w:szCs w:val="21"/>
        </w:rPr>
        <w:t xml:space="preserve">，根据《政府采购促进中小</w:t>
      </w:r>
      <w:r>
        <w:rPr>
          <w:spacing w:val="-140"/>
          <w:szCs w:val="21"/>
        </w:rPr>
        <w:t xml:space="preserve"> </w:t>
      </w:r>
      <w:r>
        <w:rPr>
          <w:spacing w:val="-17"/>
          <w:szCs w:val="21"/>
        </w:rPr>
        <w:t xml:space="preserve">企业发展管理办法》（财库</w:t>
      </w:r>
      <w:r>
        <w:rPr>
          <w:spacing w:val="-32"/>
          <w:szCs w:val="21"/>
        </w:rPr>
        <w:t xml:space="preserve"> </w:t>
      </w:r>
      <w:r>
        <w:rPr>
          <w:spacing w:val="-17"/>
          <w:szCs w:val="21"/>
        </w:rPr>
        <w:t xml:space="preserve">﹝2020 ﹞46</w:t>
      </w:r>
      <w:r>
        <w:rPr>
          <w:spacing w:val="-48"/>
          <w:szCs w:val="21"/>
        </w:rPr>
        <w:t xml:space="preserve"> </w:t>
      </w:r>
      <w:r>
        <w:rPr>
          <w:spacing w:val="-17"/>
          <w:szCs w:val="21"/>
        </w:rPr>
        <w:t xml:space="preserve">号）的规定</w:t>
      </w:r>
      <w:r>
        <w:rPr>
          <w:spacing w:val="-114"/>
          <w:szCs w:val="21"/>
        </w:rPr>
        <w:t xml:space="preserve"> </w:t>
      </w:r>
      <w:r>
        <w:rPr>
          <w:spacing w:val="-17"/>
          <w:szCs w:val="21"/>
        </w:rPr>
        <w:t xml:space="preserve">，</w:t>
      </w:r>
      <w:r>
        <w:rPr>
          <w:spacing w:val="-133"/>
          <w:szCs w:val="21"/>
        </w:rPr>
        <w:t xml:space="preserve"> </w:t>
      </w:r>
      <w:r>
        <w:rPr>
          <w:spacing w:val="-17"/>
          <w:szCs w:val="21"/>
        </w:rPr>
        <w:t xml:space="preserve">本公司</w:t>
      </w:r>
      <w:r>
        <w:rPr>
          <w:spacing w:val="-137"/>
          <w:szCs w:val="21"/>
        </w:rPr>
        <w:t xml:space="preserve"> </w:t>
      </w:r>
      <w:r>
        <w:rPr>
          <w:spacing w:val="-15"/>
          <w:szCs w:val="21"/>
        </w:rPr>
        <w:t xml:space="preserve">（联合体）参加</w:t>
      </w:r>
      <w:r>
        <w:rPr>
          <w:spacing w:val="-74"/>
          <w:szCs w:val="21"/>
          <w:u w:val="single"/>
        </w:rPr>
        <w:t xml:space="preserve"> </w:t>
      </w:r>
      <w:r>
        <w:rPr>
          <w:iCs/>
          <w:spacing w:val="-15"/>
          <w:szCs w:val="21"/>
          <w:u w:val="single"/>
        </w:rPr>
        <w:t xml:space="preserve">（单位名称）</w:t>
      </w:r>
      <w:r>
        <w:rPr>
          <w:spacing w:val="-15"/>
          <w:szCs w:val="21"/>
        </w:rPr>
        <w:t xml:space="preserve">的</w:t>
      </w:r>
      <w:r>
        <w:rPr>
          <w:spacing w:val="-83"/>
          <w:szCs w:val="21"/>
          <w:u w:val="single"/>
        </w:rPr>
        <w:t xml:space="preserve"> </w:t>
      </w:r>
      <w:r>
        <w:rPr>
          <w:iCs/>
          <w:spacing w:val="-15"/>
          <w:szCs w:val="21"/>
          <w:u w:val="single"/>
        </w:rPr>
        <w:t xml:space="preserve">（项目名称）</w:t>
      </w:r>
      <w:r>
        <w:rPr>
          <w:spacing w:val="-15"/>
          <w:szCs w:val="21"/>
        </w:rPr>
        <w:t xml:space="preserve">采购活动</w:t>
      </w:r>
      <w:r>
        <w:rPr>
          <w:spacing w:val="-114"/>
          <w:szCs w:val="21"/>
        </w:rPr>
        <w:t xml:space="preserve"> </w:t>
      </w:r>
      <w:r>
        <w:rPr>
          <w:spacing w:val="-15"/>
          <w:szCs w:val="21"/>
        </w:rPr>
        <w:t xml:space="preserve">，</w:t>
      </w:r>
      <w:r>
        <w:rPr>
          <w:spacing w:val="-133"/>
          <w:szCs w:val="21"/>
        </w:rPr>
        <w:t xml:space="preserve"> </w:t>
      </w:r>
      <w:r>
        <w:rPr>
          <w:spacing w:val="-15"/>
          <w:szCs w:val="21"/>
        </w:rPr>
        <w:t xml:space="preserve">工</w:t>
      </w:r>
      <w:r>
        <w:rPr>
          <w:spacing w:val="-140"/>
          <w:szCs w:val="21"/>
        </w:rPr>
        <w:t xml:space="preserve"> </w:t>
      </w:r>
      <w:r>
        <w:rPr>
          <w:spacing w:val="-4"/>
          <w:szCs w:val="21"/>
        </w:rPr>
        <w:t xml:space="preserve">程的施工单位</w:t>
      </w:r>
      <w:r>
        <w:rPr>
          <w:b/>
          <w:bCs/>
          <w:color w:val="ff0000"/>
          <w:spacing w:val="-4"/>
          <w:szCs w:val="21"/>
        </w:rPr>
        <w:t xml:space="preserve">全部</w:t>
      </w:r>
      <w:r>
        <w:rPr>
          <w:spacing w:val="-4"/>
          <w:szCs w:val="21"/>
        </w:rPr>
        <w:t xml:space="preserve">为符合政策要求的中小企业（或者</w:t>
      </w:r>
      <w:r>
        <w:rPr>
          <w:spacing w:val="-95"/>
          <w:szCs w:val="21"/>
        </w:rPr>
        <w:t xml:space="preserve"> </w:t>
      </w:r>
      <w:r>
        <w:rPr>
          <w:spacing w:val="-4"/>
          <w:szCs w:val="21"/>
        </w:rPr>
        <w:t xml:space="preserve">：服务</w:t>
      </w:r>
      <w:r>
        <w:rPr>
          <w:b/>
          <w:bCs/>
          <w:color w:val="ff0000"/>
          <w:spacing w:val="-135"/>
          <w:szCs w:val="21"/>
        </w:rPr>
        <w:t xml:space="preserve"> </w:t>
      </w:r>
      <w:r>
        <w:rPr>
          <w:b/>
          <w:bCs/>
          <w:color w:val="ff0000"/>
          <w:spacing w:val="-2"/>
          <w:szCs w:val="21"/>
        </w:rPr>
        <w:t xml:space="preserve">全部</w:t>
      </w:r>
      <w:r>
        <w:rPr>
          <w:spacing w:val="-2"/>
          <w:szCs w:val="21"/>
        </w:rPr>
        <w:t xml:space="preserve">由符合政策要求的中小企业承接）。相关企业</w:t>
      </w:r>
      <w:r>
        <w:rPr>
          <w:spacing w:val="-147"/>
          <w:szCs w:val="21"/>
        </w:rPr>
        <w:t xml:space="preserve"> </w:t>
      </w:r>
      <w:r>
        <w:rPr>
          <w:spacing w:val="-2"/>
          <w:szCs w:val="21"/>
        </w:rPr>
        <w:t xml:space="preserve">（含联合</w:t>
      </w:r>
      <w:r>
        <w:rPr>
          <w:spacing w:val="-135"/>
          <w:szCs w:val="21"/>
        </w:rPr>
        <w:t xml:space="preserve"> </w:t>
      </w:r>
      <w:r>
        <w:rPr>
          <w:spacing w:val="-5"/>
          <w:szCs w:val="21"/>
        </w:rPr>
        <w:t xml:space="preserve">体中的中小企业</w:t>
      </w:r>
      <w:r>
        <w:rPr>
          <w:spacing w:val="-91"/>
          <w:szCs w:val="21"/>
        </w:rPr>
        <w:t xml:space="preserve"> </w:t>
      </w:r>
      <w:r>
        <w:rPr>
          <w:spacing w:val="-5"/>
          <w:szCs w:val="21"/>
        </w:rPr>
        <w:t xml:space="preserve">、</w:t>
      </w:r>
      <w:r>
        <w:rPr>
          <w:spacing w:val="-136"/>
          <w:szCs w:val="21"/>
        </w:rPr>
        <w:t xml:space="preserve"> </w:t>
      </w:r>
      <w:r>
        <w:rPr>
          <w:spacing w:val="-5"/>
          <w:szCs w:val="21"/>
        </w:rPr>
        <w:t xml:space="preserve">签订分包意向协议的中小企业）的具体情</w:t>
      </w:r>
      <w:r>
        <w:rPr>
          <w:spacing w:val="-137"/>
          <w:szCs w:val="21"/>
        </w:rPr>
        <w:t xml:space="preserve"> </w:t>
      </w:r>
      <w:r>
        <w:rPr>
          <w:spacing w:val="-6"/>
          <w:szCs w:val="21"/>
        </w:rPr>
        <w:t xml:space="preserve">况如下</w:t>
      </w:r>
      <w:r>
        <w:rPr>
          <w:spacing w:val="-114"/>
          <w:szCs w:val="21"/>
        </w:rPr>
        <w:t xml:space="preserve"> </w:t>
      </w:r>
      <w:r>
        <w:rPr>
          <w:spacing w:val="-6"/>
          <w:szCs w:val="21"/>
        </w:rPr>
        <w:t xml:space="preserve">：</w:t>
      </w:r>
      <w:r/>
    </w:p>
    <w:p>
      <w:pPr>
        <w:ind w:firstLine="689"/>
        <w:spacing w:before="191" w:line="360" w:lineRule="auto"/>
        <w:rPr>
          <w:rFonts w:hint="eastAsia" w:ascii="宋体" w:hAnsi="宋体" w:cs="宋体"/>
          <w:szCs w:val="21"/>
        </w:rPr>
      </w:pPr>
      <w:r>
        <w:rPr>
          <w:spacing w:val="-4"/>
          <w:szCs w:val="21"/>
        </w:rPr>
        <w:t xml:space="preserve">1、</w:t>
      </w:r>
      <w:r>
        <w:rPr>
          <w:spacing w:val="-4"/>
          <w:szCs w:val="21"/>
          <w:u w:val="single"/>
        </w:rPr>
        <w:t xml:space="preserve">（标的名称）</w:t>
      </w:r>
      <w:r>
        <w:rPr>
          <w:spacing w:val="-4"/>
          <w:szCs w:val="21"/>
        </w:rPr>
        <w:t xml:space="preserve">，属于</w:t>
      </w:r>
      <w:r>
        <w:rPr>
          <w:rFonts w:hint="eastAsia"/>
          <w:spacing w:val="-4"/>
          <w:szCs w:val="21"/>
          <w:u w:val="single"/>
        </w:rPr>
        <w:t xml:space="preserve"> </w:t>
      </w:r>
      <w:r>
        <w:rPr>
          <w:rFonts w:hint="eastAsia"/>
          <w:b/>
          <w:bCs/>
          <w:spacing w:val="-4"/>
          <w:szCs w:val="21"/>
          <w:u w:val="single"/>
        </w:rPr>
        <w:t xml:space="preserve">其他未列明</w:t>
      </w:r>
      <w:r>
        <w:rPr>
          <w:spacing w:val="-4"/>
          <w:szCs w:val="21"/>
          <w:u w:val="single"/>
        </w:rPr>
        <w:t xml:space="preserve">（采购文件中明确的所属行业）</w:t>
      </w:r>
      <w:r>
        <w:rPr>
          <w:rFonts w:hint="eastAsia"/>
          <w:spacing w:val="-4"/>
          <w:szCs w:val="21"/>
          <w:u w:val="single"/>
        </w:rPr>
        <w:t xml:space="preserve"> </w:t>
      </w:r>
      <w:r>
        <w:rPr>
          <w:spacing w:val="-4"/>
          <w:szCs w:val="21"/>
        </w:rPr>
        <w:t xml:space="preserve">行业</w:t>
      </w:r>
      <w:r>
        <w:rPr>
          <w:rFonts w:hint="eastAsia" w:ascii="宋体" w:hAnsi="宋体" w:cs="宋体"/>
          <w:spacing w:val="-19"/>
          <w:szCs w:val="21"/>
        </w:rPr>
        <w:t xml:space="preserve">；</w:t>
      </w:r>
      <w:r>
        <w:rPr>
          <w:rFonts w:hint="eastAsia" w:ascii="宋体" w:hAnsi="宋体" w:cs="宋体"/>
          <w:spacing w:val="-5"/>
          <w:szCs w:val="21"/>
        </w:rPr>
        <w:t xml:space="preserve">承建</w:t>
      </w:r>
      <w:r>
        <w:rPr>
          <w:rFonts w:hint="eastAsia" w:ascii="宋体" w:hAnsi="宋体" w:cs="宋体"/>
          <w:spacing w:val="-155"/>
          <w:szCs w:val="21"/>
        </w:rPr>
        <w:t xml:space="preserve"> </w:t>
      </w:r>
      <w:r>
        <w:rPr>
          <w:rFonts w:hint="eastAsia" w:ascii="宋体" w:hAnsi="宋体" w:cs="宋体"/>
          <w:spacing w:val="-5"/>
          <w:szCs w:val="21"/>
        </w:rPr>
        <w:t xml:space="preserve">（承接）企业为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  </w:t>
      </w:r>
      <w:r>
        <w:rPr>
          <w:spacing w:val="-4"/>
          <w:szCs w:val="21"/>
        </w:rPr>
        <w:t xml:space="preserve">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w:t>
      </w:r>
      <w:r>
        <w:rPr>
          <w:rFonts w:hint="eastAsia" w:ascii="宋体" w:hAnsi="宋体" w:cs="宋体"/>
          <w:spacing w:val="-7"/>
          <w:szCs w:val="21"/>
        </w:rPr>
        <w:t xml:space="preserve">，</w:t>
      </w:r>
      <w:r>
        <w:rPr>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cs="宋体"/>
          <w:spacing w:val="-5"/>
          <w:szCs w:val="21"/>
        </w:rPr>
        <w:t xml:space="preserve">；</w:t>
      </w:r>
      <w:r/>
    </w:p>
    <w:p>
      <w:pPr>
        <w:ind w:left="18" w:firstLine="651"/>
        <w:spacing w:line="360" w:lineRule="auto"/>
        <w:rPr>
          <w:rFonts w:hint="eastAsia" w:ascii="宋体" w:hAnsi="宋体" w:cs="宋体"/>
          <w:szCs w:val="21"/>
        </w:rPr>
      </w:pPr>
      <w:r>
        <w:rPr>
          <w:rFonts w:hint="eastAsia" w:ascii="宋体" w:hAnsi="宋体" w:cs="宋体"/>
          <w:spacing w:val="-15"/>
          <w:szCs w:val="21"/>
        </w:rPr>
        <w:t xml:space="preserve">2</w:t>
      </w:r>
      <w:r>
        <w:rPr>
          <w:rFonts w:hint="eastAsia" w:ascii="宋体" w:hAnsi="宋体" w:cs="宋体"/>
          <w:spacing w:val="-138"/>
          <w:szCs w:val="21"/>
        </w:rPr>
        <w:t xml:space="preserve"> </w:t>
      </w:r>
      <w:r>
        <w:rPr>
          <w:rFonts w:hint="eastAsia" w:ascii="宋体" w:hAnsi="宋体" w:cs="宋体"/>
          <w:spacing w:val="-15"/>
          <w:szCs w:val="21"/>
        </w:rPr>
        <w:t xml:space="preserve">.</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w:t>
      </w:r>
      <w:r>
        <w:rPr>
          <w:rFonts w:hint="eastAsia" w:ascii="宋体" w:hAnsi="宋体" w:cs="宋体"/>
          <w:spacing w:val="-19"/>
          <w:szCs w:val="21"/>
        </w:rPr>
        <w:t xml:space="preserve">；</w:t>
      </w:r>
      <w:r>
        <w:rPr>
          <w:rFonts w:hint="eastAsia" w:ascii="宋体" w:hAnsi="宋体" w:cs="宋体"/>
          <w:spacing w:val="-5"/>
          <w:szCs w:val="21"/>
        </w:rPr>
        <w:t xml:space="preserve">承建</w:t>
      </w:r>
      <w:r>
        <w:rPr>
          <w:rFonts w:hint="eastAsia" w:ascii="宋体" w:hAnsi="宋体" w:cs="宋体"/>
          <w:spacing w:val="-155"/>
          <w:szCs w:val="21"/>
        </w:rPr>
        <w:t xml:space="preserve"> </w:t>
      </w:r>
      <w:r>
        <w:rPr>
          <w:rFonts w:hint="eastAsia" w:ascii="宋体" w:hAnsi="宋体" w:cs="宋体"/>
          <w:spacing w:val="-5"/>
          <w:szCs w:val="21"/>
        </w:rPr>
        <w:t xml:space="preserve">（承接）企业为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  </w:t>
      </w:r>
      <w:r>
        <w:rPr>
          <w:spacing w:val="-4"/>
          <w:szCs w:val="21"/>
        </w:rPr>
        <w:t xml:space="preserve">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w:t>
      </w:r>
      <w:r>
        <w:rPr>
          <w:rFonts w:hint="eastAsia" w:ascii="宋体" w:hAnsi="宋体" w:cs="宋体"/>
          <w:spacing w:val="-7"/>
          <w:szCs w:val="21"/>
        </w:rPr>
        <w:t xml:space="preserve">，</w:t>
      </w:r>
      <w:r>
        <w:rPr>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cs="宋体"/>
          <w:spacing w:val="-5"/>
          <w:szCs w:val="21"/>
        </w:rPr>
        <w:t xml:space="preserve">；</w:t>
      </w:r>
      <w:r/>
    </w:p>
    <w:p>
      <w:pPr>
        <w:ind w:firstLine="688"/>
        <w:spacing w:before="132" w:line="360" w:lineRule="auto"/>
        <w:rPr>
          <w:rFonts w:hint="eastAsia" w:ascii="宋体" w:hAnsi="宋体" w:cs="宋体"/>
          <w:szCs w:val="21"/>
        </w:rPr>
      </w:pPr>
      <w:r>
        <w:rPr>
          <w:rFonts w:hint="eastAsia" w:ascii="宋体" w:hAnsi="宋体" w:cs="宋体"/>
          <w:spacing w:val="-18"/>
          <w:position w:val="-7"/>
          <w:szCs w:val="21"/>
        </w:rPr>
        <w:t xml:space="preserve">……</w:t>
      </w:r>
      <w:r/>
    </w:p>
    <w:p>
      <w:pPr>
        <w:ind w:left="34" w:right="159" w:firstLine="680"/>
        <w:spacing w:line="360" w:lineRule="auto"/>
        <w:rPr>
          <w:spacing w:val="-12"/>
          <w:szCs w:val="21"/>
        </w:rPr>
      </w:pPr>
      <w:r>
        <w:rPr>
          <w:spacing w:val="-7"/>
          <w:szCs w:val="21"/>
        </w:rPr>
        <w:t xml:space="preserve">以上企业</w:t>
      </w:r>
      <w:r>
        <w:rPr>
          <w:spacing w:val="-112"/>
          <w:szCs w:val="21"/>
        </w:rPr>
        <w:t xml:space="preserve"> </w:t>
      </w:r>
      <w:r>
        <w:rPr>
          <w:spacing w:val="-7"/>
          <w:szCs w:val="21"/>
        </w:rPr>
        <w:t xml:space="preserve">，不属于大企业的分支机构</w:t>
      </w:r>
      <w:r>
        <w:rPr>
          <w:spacing w:val="-116"/>
          <w:szCs w:val="21"/>
        </w:rPr>
        <w:t xml:space="preserve"> </w:t>
      </w:r>
      <w:r>
        <w:rPr>
          <w:spacing w:val="-7"/>
          <w:szCs w:val="21"/>
        </w:rPr>
        <w:t xml:space="preserve">，不存在控股股东</w:t>
      </w:r>
      <w:r>
        <w:rPr>
          <w:spacing w:val="-138"/>
          <w:szCs w:val="21"/>
        </w:rPr>
        <w:t xml:space="preserve"> </w:t>
      </w:r>
      <w:r>
        <w:rPr>
          <w:spacing w:val="-4"/>
          <w:szCs w:val="21"/>
        </w:rPr>
        <w:t xml:space="preserve">为大企业的情形</w:t>
      </w:r>
      <w:r>
        <w:rPr>
          <w:spacing w:val="-92"/>
          <w:szCs w:val="21"/>
        </w:rPr>
        <w:t xml:space="preserve"> </w:t>
      </w:r>
      <w:r>
        <w:rPr>
          <w:spacing w:val="-4"/>
          <w:szCs w:val="21"/>
        </w:rPr>
        <w:t xml:space="preserve">，也不存在与大企业的负责人为同一人的情</w:t>
      </w:r>
      <w:r>
        <w:rPr>
          <w:spacing w:val="-140"/>
          <w:szCs w:val="21"/>
        </w:rPr>
        <w:t xml:space="preserve"> </w:t>
      </w:r>
      <w:r>
        <w:rPr>
          <w:spacing w:val="-12"/>
          <w:szCs w:val="21"/>
        </w:rPr>
        <w:t xml:space="preserve">形</w:t>
      </w:r>
      <w:r>
        <w:rPr>
          <w:spacing w:val="-113"/>
          <w:szCs w:val="21"/>
        </w:rPr>
        <w:t xml:space="preserve"> </w:t>
      </w:r>
      <w:r>
        <w:rPr>
          <w:spacing w:val="-12"/>
          <w:szCs w:val="21"/>
        </w:rPr>
        <w:t xml:space="preserve">。</w:t>
      </w:r>
      <w:r/>
    </w:p>
    <w:p>
      <w:pPr>
        <w:ind w:left="34" w:right="159" w:firstLine="680"/>
        <w:spacing w:line="360" w:lineRule="auto"/>
        <w:rPr>
          <w:spacing w:val="6"/>
          <w:szCs w:val="21"/>
        </w:rPr>
      </w:pPr>
      <w:r>
        <w:rPr>
          <w:spacing w:val="-6"/>
          <w:szCs w:val="21"/>
        </w:rPr>
        <w:t xml:space="preserve">本企业对上述声明内容的真实性负责</w:t>
      </w:r>
      <w:r>
        <w:rPr>
          <w:spacing w:val="-102"/>
          <w:szCs w:val="21"/>
        </w:rPr>
        <w:t xml:space="preserve"> </w:t>
      </w:r>
      <w:r>
        <w:rPr>
          <w:spacing w:val="-6"/>
          <w:szCs w:val="21"/>
        </w:rPr>
        <w:t xml:space="preserve">。如有虚假</w:t>
      </w:r>
      <w:r>
        <w:rPr>
          <w:spacing w:val="-114"/>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spacing w:val="6"/>
          <w:szCs w:val="21"/>
        </w:rPr>
        <w:t xml:space="preserve">       </w:t>
      </w:r>
      <w:r/>
    </w:p>
    <w:p>
      <w:pPr>
        <w:ind w:right="1560" w:firstLine="444"/>
        <w:jc w:val="right"/>
        <w:spacing w:line="360" w:lineRule="auto"/>
        <w:tabs>
          <w:tab w:val="left" w:pos="4860" w:leader="none"/>
        </w:tabs>
        <w:rPr>
          <w:spacing w:val="6"/>
          <w:szCs w:val="21"/>
        </w:rPr>
      </w:pPr>
      <w:r>
        <w:rPr>
          <w:spacing w:val="6"/>
          <w:szCs w:val="21"/>
        </w:rPr>
        <w:t xml:space="preserve">企业名称（盖章）：</w:t>
      </w:r>
      <w:r/>
    </w:p>
    <w:p>
      <w:pPr>
        <w:ind w:right="1560" w:firstLine="444"/>
        <w:jc w:val="right"/>
        <w:spacing w:line="360" w:lineRule="auto"/>
        <w:tabs>
          <w:tab w:val="left" w:pos="4860" w:leader="none"/>
        </w:tabs>
        <w:rPr>
          <w:color w:val="000000"/>
          <w:spacing w:val="6"/>
          <w:szCs w:val="21"/>
        </w:rPr>
      </w:pPr>
      <w:r>
        <w:rPr>
          <w:spacing w:val="6"/>
          <w:szCs w:val="21"/>
        </w:rPr>
        <w:t xml:space="preserve">         日  期：</w:t>
      </w:r>
      <w:r/>
    </w:p>
    <w:p>
      <w:pPr>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p>
    <w:p>
      <w:pPr>
        <w:ind w:firstLine="422"/>
        <w:spacing w:line="360" w:lineRule="auto"/>
        <w:rPr>
          <w:b/>
          <w:bCs/>
          <w:color w:val="ff0000"/>
          <w:szCs w:val="21"/>
        </w:rPr>
      </w:pPr>
      <w:r>
        <w:rPr>
          <w:rFonts w:hint="eastAsia"/>
          <w:b/>
          <w:bCs/>
          <w:szCs w:val="21"/>
        </w:rPr>
        <w:t xml:space="preserve">2</w:t>
      </w:r>
      <w:r>
        <w:rPr>
          <w:b/>
          <w:bCs/>
          <w:szCs w:val="21"/>
        </w:rPr>
        <w:t xml:space="preserve">、</w:t>
      </w:r>
      <w:r>
        <w:rPr>
          <w:b/>
          <w:bCs/>
          <w:spacing w:val="-15"/>
          <w:szCs w:val="21"/>
        </w:rPr>
        <w:t xml:space="preserve">工</w:t>
      </w:r>
      <w:r>
        <w:rPr>
          <w:b/>
          <w:bCs/>
          <w:spacing w:val="-140"/>
          <w:szCs w:val="21"/>
        </w:rPr>
        <w:t xml:space="preserve"> </w:t>
      </w:r>
      <w:r>
        <w:rPr>
          <w:b/>
          <w:bCs/>
          <w:spacing w:val="-4"/>
          <w:szCs w:val="21"/>
        </w:rPr>
        <w:t xml:space="preserve">程的施工单位</w:t>
      </w:r>
      <w:r>
        <w:rPr>
          <w:b/>
          <w:bCs/>
          <w:color w:val="ff0000"/>
          <w:spacing w:val="-4"/>
          <w:szCs w:val="21"/>
        </w:rPr>
        <w:t xml:space="preserve">全部</w:t>
      </w:r>
      <w:r>
        <w:rPr>
          <w:b/>
          <w:bCs/>
          <w:spacing w:val="-4"/>
          <w:szCs w:val="21"/>
        </w:rPr>
        <w:t xml:space="preserve">为符合政策要求的中小企业（或者</w:t>
      </w:r>
      <w:r>
        <w:rPr>
          <w:b/>
          <w:bCs/>
          <w:spacing w:val="-95"/>
          <w:szCs w:val="21"/>
        </w:rPr>
        <w:t xml:space="preserve"> </w:t>
      </w:r>
      <w:r>
        <w:rPr>
          <w:b/>
          <w:bCs/>
          <w:spacing w:val="-4"/>
          <w:szCs w:val="21"/>
        </w:rPr>
        <w:t xml:space="preserve">：服务</w:t>
      </w:r>
      <w:r>
        <w:rPr>
          <w:b/>
          <w:bCs/>
          <w:color w:val="ff0000"/>
          <w:spacing w:val="-135"/>
          <w:szCs w:val="21"/>
        </w:rPr>
        <w:t xml:space="preserve"> </w:t>
      </w:r>
      <w:r>
        <w:rPr>
          <w:b/>
          <w:bCs/>
          <w:color w:val="ff0000"/>
          <w:spacing w:val="-2"/>
          <w:szCs w:val="21"/>
        </w:rPr>
        <w:t xml:space="preserve">全部</w:t>
      </w:r>
      <w:r>
        <w:rPr>
          <w:b/>
          <w:bCs/>
          <w:spacing w:val="-2"/>
          <w:szCs w:val="21"/>
        </w:rPr>
        <w:t xml:space="preserve">由符合政策要求的中小企业承接）</w:t>
      </w:r>
      <w:r>
        <w:rPr>
          <w:b/>
          <w:bCs/>
          <w:szCs w:val="21"/>
        </w:rPr>
        <w:t xml:space="preserve">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p>
    <w:p>
      <w:pPr>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p>
    <w:p>
      <w:pPr>
        <w:ind w:firstLine="422"/>
        <w:jc w:val="left"/>
        <w:spacing w:line="360" w:lineRule="auto"/>
        <w:tabs>
          <w:tab w:val="left" w:pos="312" w:leader="none"/>
        </w:tabs>
        <w:rPr>
          <w:b/>
          <w:bCs/>
          <w:color w:val="000000"/>
          <w:szCs w:val="21"/>
        </w:rPr>
      </w:pPr>
      <w:r>
        <w:rPr>
          <w:rFonts w:hint="eastAsia"/>
          <w:b/>
          <w:bCs/>
          <w:szCs w:val="21"/>
        </w:rPr>
        <w:t xml:space="preserve">4</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p>
    <w:p>
      <w:pPr>
        <w:jc w:val="center"/>
        <w:spacing w:line="360" w:lineRule="auto"/>
        <w:rPr>
          <w:b/>
          <w:bCs/>
          <w:color w:val="000000"/>
          <w:szCs w:val="21"/>
        </w:rPr>
      </w:pPr>
      <w:r>
        <w:rPr>
          <w:b/>
          <w:bCs/>
          <w:color w:val="000000"/>
          <w:szCs w:val="21"/>
        </w:rPr>
      </w:r>
      <w:r/>
    </w:p>
    <w:p>
      <w:pPr>
        <w:jc w:val="center"/>
        <w:spacing w:line="360" w:lineRule="auto"/>
        <w:rPr>
          <w:b/>
          <w:bCs/>
          <w:color w:val="000000"/>
          <w:szCs w:val="21"/>
        </w:rPr>
      </w:pPr>
      <w:r>
        <w:rPr>
          <w:b/>
          <w:bCs/>
          <w:color w:val="000000"/>
          <w:szCs w:val="21"/>
        </w:rPr>
      </w:r>
      <w:r/>
    </w:p>
    <w:p>
      <w:pPr>
        <w:jc w:val="center"/>
        <w:spacing w:line="360" w:lineRule="auto"/>
        <w:rPr>
          <w:b/>
          <w:bCs/>
          <w:color w:val="000000"/>
          <w:szCs w:val="21"/>
        </w:rPr>
        <w:outlineLvl w:val="2"/>
      </w:pPr>
      <w:r/>
      <w:bookmarkStart w:id="264" w:name="_Toc4607"/>
      <w:r/>
      <w:bookmarkStart w:id="265" w:name="_Toc22161"/>
      <w:r/>
      <w:bookmarkStart w:id="266" w:name="_Toc12269"/>
      <w:r/>
      <w:bookmarkStart w:id="267" w:name="_Toc27196"/>
      <w:r/>
      <w:bookmarkStart w:id="268" w:name="_Toc23968"/>
      <w:r>
        <w:rPr>
          <w:b/>
          <w:bCs/>
          <w:color w:val="000000"/>
          <w:szCs w:val="21"/>
        </w:rPr>
        <w:t xml:space="preserve">（二）残疾人福利性单位声明函</w:t>
      </w:r>
      <w:bookmarkEnd w:id="264"/>
      <w:r/>
      <w:bookmarkEnd w:id="265"/>
      <w:r/>
      <w:bookmarkEnd w:id="266"/>
      <w:r/>
      <w:bookmarkEnd w:id="267"/>
      <w:r/>
      <w:bookmarkEnd w:id="268"/>
      <w:r/>
      <w:r/>
    </w:p>
    <w:p>
      <w:pPr>
        <w:ind w:firstLine="444"/>
        <w:jc w:val="left"/>
        <w:spacing w:line="360" w:lineRule="auto"/>
        <w:tabs>
          <w:tab w:val="left" w:pos="4860" w:leader="none"/>
        </w:tabs>
        <w:rPr>
          <w:color w:val="000000"/>
          <w:spacing w:val="6"/>
          <w:szCs w:val="21"/>
        </w:rPr>
      </w:pPr>
      <w:r>
        <w:rPr>
          <w:color w:val="000000"/>
          <w:spacing w:val="6"/>
          <w:szCs w:val="21"/>
        </w:rPr>
      </w:r>
      <w:r/>
    </w:p>
    <w:p>
      <w:pPr>
        <w:ind w:firstLine="420"/>
        <w:spacing w:line="360" w:lineRule="auto"/>
        <w:rPr>
          <w:color w:val="000000"/>
          <w:szCs w:val="21"/>
        </w:rPr>
      </w:pPr>
      <w:r>
        <w:rPr>
          <w:color w:val="000000"/>
          <w:szCs w:val="21"/>
        </w:rPr>
        <w:t xml:space="preserve">本单位郑重声明，根据《财政部 民政部 中国残疾人联合会关于促进残疾人就业政府采购政策的通知》（财库〔2017〕141号）的规定，本单位为符合条件的残疾人福利性单位，且本单位参加</w:t>
      </w:r>
      <w:r>
        <w:rPr>
          <w:color w:val="000000"/>
          <w:szCs w:val="21"/>
          <w:u w:val="single"/>
        </w:rPr>
        <w:t xml:space="preserve">     </w:t>
      </w:r>
      <w:r>
        <w:rPr>
          <w:color w:val="000000"/>
          <w:szCs w:val="21"/>
        </w:rPr>
        <w:t xml:space="preserve">单位的</w:t>
      </w:r>
      <w:r>
        <w:rPr>
          <w:color w:val="000000"/>
          <w:szCs w:val="21"/>
          <w:u w:val="single"/>
        </w:rPr>
        <w:t xml:space="preserve">     </w:t>
      </w:r>
      <w:r>
        <w:rPr>
          <w:color w:val="000000"/>
          <w:szCs w:val="21"/>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000000"/>
          <w:szCs w:val="21"/>
        </w:rPr>
      </w:pPr>
      <w:r>
        <w:rPr>
          <w:color w:val="000000"/>
          <w:szCs w:val="21"/>
        </w:rPr>
        <w:t xml:space="preserve">本单位对上述声明的真实性负责。如有虚假，将依法承担相应责任。</w:t>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right"/>
        <w:spacing w:line="360" w:lineRule="auto"/>
        <w:tabs>
          <w:tab w:val="left" w:pos="4860" w:leader="none"/>
        </w:tabs>
        <w:rPr>
          <w:color w:val="000000"/>
          <w:spacing w:val="6"/>
          <w:szCs w:val="21"/>
        </w:rPr>
      </w:pPr>
      <w:r>
        <w:rPr>
          <w:color w:val="000000"/>
          <w:spacing w:val="6"/>
          <w:szCs w:val="21"/>
        </w:rPr>
        <w:t xml:space="preserve">单位名称（盖章）：</w:t>
      </w:r>
      <w:r/>
    </w:p>
    <w:p>
      <w:pPr>
        <w:ind w:firstLine="444"/>
        <w:jc w:val="right"/>
        <w:spacing w:line="360" w:lineRule="auto"/>
        <w:tabs>
          <w:tab w:val="left" w:pos="4860" w:leader="none"/>
        </w:tabs>
        <w:rPr>
          <w:color w:val="000000"/>
          <w:spacing w:val="6"/>
          <w:szCs w:val="21"/>
        </w:rPr>
      </w:pPr>
      <w:r>
        <w:rPr>
          <w:color w:val="000000"/>
          <w:spacing w:val="6"/>
          <w:szCs w:val="21"/>
        </w:rPr>
        <w:t xml:space="preserve">日 期：    </w:t>
      </w:r>
      <w:r/>
    </w:p>
    <w:p>
      <w:pPr>
        <w:ind w:right="1560" w:firstLine="504"/>
        <w:jc w:val="center"/>
        <w:spacing w:line="360" w:lineRule="auto"/>
        <w:tabs>
          <w:tab w:val="left" w:pos="4860" w:leader="none"/>
        </w:tabs>
        <w:rPr>
          <w:color w:val="000000"/>
          <w:spacing w:val="6"/>
          <w:sz w:val="24"/>
          <w:szCs w:val="24"/>
        </w:rPr>
      </w:pPr>
      <w:r>
        <w:rPr>
          <w:color w:val="000000"/>
          <w:spacing w:val="6"/>
          <w:sz w:val="24"/>
          <w:szCs w:val="24"/>
        </w:rPr>
      </w:r>
      <w:r/>
    </w:p>
    <w:p>
      <w:pPr>
        <w:ind w:right="1560" w:firstLine="504"/>
        <w:jc w:val="center"/>
        <w:spacing w:line="360" w:lineRule="auto"/>
        <w:tabs>
          <w:tab w:val="left" w:pos="4860" w:leader="none"/>
        </w:tabs>
        <w:rPr>
          <w:color w:val="000000"/>
          <w:spacing w:val="6"/>
          <w:sz w:val="24"/>
          <w:szCs w:val="24"/>
        </w:rPr>
      </w:pPr>
      <w:r>
        <w:rPr>
          <w:color w:val="000000"/>
          <w:spacing w:val="6"/>
          <w:sz w:val="24"/>
          <w:szCs w:val="24"/>
        </w:rPr>
      </w:r>
      <w:r/>
    </w:p>
    <w:p>
      <w:pPr>
        <w:ind w:right="1560" w:firstLine="504"/>
        <w:jc w:val="center"/>
        <w:spacing w:line="360" w:lineRule="auto"/>
        <w:tabs>
          <w:tab w:val="left" w:pos="4860" w:leader="none"/>
        </w:tabs>
        <w:rPr>
          <w:b/>
          <w:color w:val="000000"/>
          <w:sz w:val="24"/>
          <w:szCs w:val="24"/>
        </w:rPr>
      </w:pPr>
      <w:r>
        <w:rPr>
          <w:color w:val="000000"/>
          <w:spacing w:val="6"/>
          <w:sz w:val="24"/>
          <w:szCs w:val="24"/>
        </w:rPr>
        <w:t xml:space="preserve">  </w:t>
      </w:r>
      <w:r/>
    </w:p>
    <w:p>
      <w:pPr>
        <w:jc w:val="center"/>
        <w:spacing w:line="360" w:lineRule="auto"/>
        <w:rPr>
          <w:b/>
          <w:bCs/>
          <w:color w:val="000000"/>
          <w:szCs w:val="21"/>
        </w:rPr>
        <w:outlineLvl w:val="2"/>
      </w:pPr>
      <w:r>
        <w:rPr>
          <w:b/>
          <w:bCs/>
          <w:color w:val="000000"/>
          <w:szCs w:val="21"/>
        </w:rPr>
        <w:br w:type="page" w:clear="all"/>
      </w:r>
      <w:bookmarkStart w:id="269" w:name="_Toc14058"/>
      <w:r/>
      <w:bookmarkStart w:id="270" w:name="_Toc5819"/>
      <w:r>
        <w:rPr>
          <w:b/>
          <w:bCs/>
          <w:color w:val="000000"/>
          <w:szCs w:val="21"/>
        </w:rPr>
        <w:t xml:space="preserve">（三）采购本国产品的支持政策</w:t>
      </w:r>
      <w:bookmarkEnd w:id="269"/>
      <w:r>
        <w:rPr>
          <w:rFonts w:hint="eastAsia"/>
          <w:b/>
          <w:bCs/>
          <w:color w:val="000000"/>
          <w:szCs w:val="21"/>
        </w:rPr>
        <w:t xml:space="preserve">（如适用）</w:t>
      </w:r>
      <w:bookmarkEnd w:id="270"/>
      <w:r/>
      <w:r/>
    </w:p>
    <w:p>
      <w:pPr>
        <w:jc w:val="center"/>
        <w:keepLines/>
        <w:keepNext/>
        <w:spacing w:line="360" w:lineRule="auto"/>
        <w:rPr>
          <w:b/>
          <w:color w:val="000000"/>
          <w:sz w:val="24"/>
        </w:rPr>
      </w:pPr>
      <w:r>
        <w:rPr>
          <w:b/>
          <w:color w:val="000000"/>
          <w:sz w:val="24"/>
        </w:rPr>
        <w:t xml:space="preserve">关于符合本国产品标准的声明函</w:t>
      </w:r>
      <w:r/>
    </w:p>
    <w:p>
      <w:pPr>
        <w:pStyle w:val="1180"/>
        <w:ind w:firstLine="420"/>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80"/>
        <w:ind w:firstLine="420"/>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-57785</wp:posOffset>
                </wp:positionH>
                <wp:positionV relativeFrom="paragraph">
                  <wp:posOffset>730250</wp:posOffset>
                </wp:positionV>
                <wp:extent cx="771525" cy="97155"/>
                <wp:effectExtent l="635" t="4445" r="8890" b="12700"/>
                <wp:wrapNone/>
                <wp:docPr id="11" name="直接箭头连接符 22"/>
                <wp:cNvGraphicFramePr/>
                <a:graphic xmlns:a="http://schemas.openxmlformats.org/drawingml/2006/main">
                  <a:graphicData uri="http://schemas.microsoft.com/office/word/2010/wordprocessingShape">
                    <wps:wsp>
                      <wps:cNvPr id="0" name=""/>
                      <wps:cNvSpPr/>
                      <wps:spPr bwMode="auto">
                        <a:xfrm flipV="1">
                          <a:off x="0" y="0"/>
                          <a:ext cx="771525" cy="9715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7456;o:allowoverlap:true;o:allowincell:true;mso-position-horizontal-relative:text;margin-left:-4.5pt;mso-position-horizontal:absolute;mso-position-vertical-relative:text;margin-top:57.5pt;mso-position-vertical:absolute;width:60.8pt;height:7.6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5041900</wp:posOffset>
                </wp:positionH>
                <wp:positionV relativeFrom="paragraph">
                  <wp:posOffset>392430</wp:posOffset>
                </wp:positionV>
                <wp:extent cx="603250" cy="101600"/>
                <wp:effectExtent l="635" t="4445" r="5715" b="8255"/>
                <wp:wrapNone/>
                <wp:docPr id="12" name="直接箭头连接符 2"/>
                <wp:cNvGraphicFramePr/>
                <a:graphic xmlns:a="http://schemas.openxmlformats.org/drawingml/2006/main">
                  <a:graphicData uri="http://schemas.microsoft.com/office/word/2010/wordprocessingShape">
                    <wps:wsp>
                      <wps:cNvPr id="0" name=""/>
                      <wps:cNvSpPr/>
                      <wps:spPr bwMode="auto">
                        <a:xfrm flipV="1">
                          <a:off x="0" y="0"/>
                          <a:ext cx="603250" cy="1016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397.0pt;mso-position-horizontal:absolute;mso-position-vertical-relative:text;margin-top:30.9pt;mso-position-vertical:absolute;width:47.5pt;height:8.0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1111885</wp:posOffset>
                </wp:positionH>
                <wp:positionV relativeFrom="paragraph">
                  <wp:posOffset>369570</wp:posOffset>
                </wp:positionV>
                <wp:extent cx="565785" cy="130810"/>
                <wp:effectExtent l="1270" t="4445" r="4445" b="17145"/>
                <wp:wrapNone/>
                <wp:docPr id="13" name="直接箭头连接符 2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87.5pt;mso-position-horizontal:absolute;mso-position-vertical-relative:text;margin-top:29.1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4387850</wp:posOffset>
                </wp:positionH>
                <wp:positionV relativeFrom="paragraph">
                  <wp:posOffset>119380</wp:posOffset>
                </wp:positionV>
                <wp:extent cx="577215" cy="92075"/>
                <wp:effectExtent l="635" t="4445" r="12700" b="17780"/>
                <wp:wrapNone/>
                <wp:docPr id="14"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45.5pt;mso-position-horizontal:absolute;mso-position-vertical-relative:text;margin-top:9.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2967990</wp:posOffset>
                </wp:positionH>
                <wp:positionV relativeFrom="paragraph">
                  <wp:posOffset>371475</wp:posOffset>
                </wp:positionV>
                <wp:extent cx="739140" cy="134620"/>
                <wp:effectExtent l="635" t="4445" r="3175" b="13335"/>
                <wp:wrapNone/>
                <wp:docPr id="15" name="直接箭头连接符 24"/>
                <wp:cNvGraphicFramePr/>
                <a:graphic xmlns:a="http://schemas.openxmlformats.org/drawingml/2006/main">
                  <a:graphicData uri="http://schemas.microsoft.com/office/word/2010/wordprocessingShape">
                    <wps:wsp>
                      <wps:cNvPr id="0" name=""/>
                      <wps:cNvSpPr/>
                      <wps:spPr bwMode="auto">
                        <a:xfrm flipV="1">
                          <a:off x="0" y="0"/>
                          <a:ext cx="739140" cy="1346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2042795</wp:posOffset>
                </wp:positionH>
                <wp:positionV relativeFrom="paragraph">
                  <wp:posOffset>419100</wp:posOffset>
                </wp:positionV>
                <wp:extent cx="364490" cy="97790"/>
                <wp:effectExtent l="1270" t="4445" r="15240" b="12065"/>
                <wp:wrapNone/>
                <wp:docPr id="16" name="直接箭头连接符 2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2576;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shd w:val="clear" w:color="auto" w:fill="ffffff"/>
        </w:rPr>
        <w:t xml:space="preserve">1.</w:t>
      </w:r>
      <w:r>
        <w:rPr>
          <w:rStyle w:val="1188"/>
          <w:rFonts w:ascii="Times New Roman" w:hAnsi="Times New Roman" w:eastAsia="宋体"/>
          <w:i w:val="0"/>
          <w:sz w:val="21"/>
          <w:szCs w:val="21"/>
          <w:u w:val="single"/>
          <w:shd w:val="clear" w:color="auto" w:fill="ffffff"/>
        </w:rPr>
        <w:t xml:space="preserve">（产品名称1）</w:t>
      </w:r>
      <w:r>
        <w:rPr>
          <w:rStyle w:val="1188"/>
          <w:rFonts w:ascii="Times New Roman" w:hAnsi="Times New Roman" w:eastAsia="宋体"/>
          <w:i w:val="0"/>
          <w:sz w:val="21"/>
          <w:szCs w:val="21"/>
          <w:shd w:val="clear" w:color="auto" w:fill="ffffff"/>
          <w:vertAlign w:val="superscript"/>
        </w:rPr>
        <w:t xml:space="preserve">1</w:t>
      </w:r>
      <w:r>
        <w:rPr>
          <w:rFonts w:ascii="Times New Roman" w:hAnsi="Times New Roman" w:eastAsia="宋体"/>
          <w:sz w:val="21"/>
          <w:szCs w:val="21"/>
          <w:shd w:val="clear" w:color="auto" w:fill="ffffff"/>
        </w:rPr>
        <w:t xml:space="preserve">，生产厂为</w:t>
      </w:r>
      <w:r>
        <w:rPr>
          <w:rStyle w:val="1188"/>
          <w:rFonts w:ascii="Times New Roman" w:hAnsi="Times New Roman" w:eastAsia="宋体"/>
          <w:i w:val="0"/>
          <w:sz w:val="21"/>
          <w:szCs w:val="21"/>
          <w:u w:val="single"/>
          <w:shd w:val="clear" w:color="auto" w:fill="ffffff"/>
        </w:rPr>
        <w:t xml:space="preserve">（厂名）</w:t>
      </w:r>
      <w:r>
        <w:rPr>
          <w:rStyle w:val="1188"/>
          <w:rFonts w:ascii="Times New Roman" w:hAnsi="Times New Roman" w:eastAsia="宋体"/>
          <w:i w:val="0"/>
          <w:sz w:val="21"/>
          <w:szCs w:val="21"/>
          <w:shd w:val="clear" w:color="auto" w:fill="ffffff"/>
          <w:vertAlign w:val="superscript"/>
        </w:rPr>
        <w:t xml:space="preserve">2</w:t>
      </w:r>
      <w:r>
        <w:rPr>
          <w:rFonts w:ascii="Times New Roman" w:hAnsi="Times New Roman" w:eastAsia="宋体"/>
          <w:sz w:val="21"/>
          <w:szCs w:val="21"/>
          <w:shd w:val="clear" w:color="auto" w:fill="ffffff"/>
        </w:rPr>
        <w:t xml:space="preserve">，厂址为</w:t>
      </w:r>
      <w:r>
        <w:rPr>
          <w:rStyle w:val="1188"/>
          <w:rFonts w:ascii="Times New Roman" w:hAnsi="Times New Roman" w:eastAsia="宋体"/>
          <w:i w:val="0"/>
          <w:sz w:val="21"/>
          <w:szCs w:val="21"/>
          <w:u w:val="single"/>
          <w:shd w:val="clear" w:color="auto" w:fill="ffffff"/>
        </w:rPr>
        <w:t xml:space="preserve">（生产厂址）</w:t>
      </w:r>
      <w:r>
        <w:rPr>
          <w:rFonts w:ascii="Times New Roman" w:hAnsi="Times New Roman" w:eastAsia="宋体"/>
          <w:sz w:val="21"/>
          <w:szCs w:val="21"/>
          <w:shd w:val="clear" w:color="auto" w:fill="ffffff"/>
        </w:rPr>
        <w:t xml:space="preserve">。</w:t>
      </w:r>
      <w:r>
        <w:rPr>
          <w:rFonts w:ascii="Times New Roman" w:hAnsi="Times New Roman" w:eastAsia="宋体"/>
          <w:sz w:val="21"/>
          <w:szCs w:val="21"/>
          <w:u w:val="single"/>
          <w:shd w:val="clear" w:color="auto" w:fill="ffffff"/>
        </w:rPr>
        <w:t xml:space="preserve"> </w:t>
      </w:r>
      <w:r>
        <w:rPr>
          <w:rStyle w:val="1188"/>
          <w:rFonts w:ascii="Times New Roman" w:hAnsi="Times New Roman" w:eastAsia="宋体"/>
          <w:i w:val="0"/>
          <w:sz w:val="21"/>
          <w:szCs w:val="21"/>
          <w:u w:val="single"/>
          <w:shd w:val="clear" w:color="auto" w:fill="ffffff"/>
        </w:rPr>
        <w:t xml:space="preserve">（产品名称1） </w:t>
      </w:r>
      <w:r>
        <w:rPr>
          <w:rFonts w:ascii="Times New Roman" w:hAnsi="Times New Roman" w:eastAsia="宋体"/>
          <w:sz w:val="21"/>
          <w:szCs w:val="21"/>
          <w:shd w:val="clear" w:color="auto" w:fill="ffffff"/>
        </w:rPr>
        <w:t xml:space="preserve">的中国境内生产的组件成本占比≥</w:t>
      </w:r>
      <w:r>
        <w:rPr>
          <w:rStyle w:val="1188"/>
          <w:rFonts w:ascii="Times New Roman" w:hAnsi="Times New Roman" w:eastAsia="宋体"/>
          <w:i w:val="0"/>
          <w:sz w:val="21"/>
          <w:szCs w:val="21"/>
          <w:u w:val="single"/>
          <w:shd w:val="clear" w:color="auto" w:fill="ffffff"/>
        </w:rPr>
        <w:t xml:space="preserve">（规定比例）</w:t>
      </w:r>
      <w:r>
        <w:rPr>
          <w:rStyle w:val="1188"/>
          <w:rFonts w:ascii="Times New Roman" w:hAnsi="Times New Roman" w:eastAsia="宋体"/>
          <w:i w:val="0"/>
          <w:sz w:val="21"/>
          <w:szCs w:val="21"/>
          <w:shd w:val="clear" w:color="auto" w:fill="ffffff"/>
          <w:vertAlign w:val="superscript"/>
        </w:rPr>
        <w:t xml:space="preserve">3</w:t>
      </w:r>
      <w:r>
        <w:rPr>
          <w:rFonts w:ascii="Times New Roman" w:hAnsi="Times New Roman" w:eastAsia="宋体"/>
          <w:sz w:val="21"/>
          <w:szCs w:val="21"/>
          <w:shd w:val="clear" w:color="auto" w:fill="ffffff"/>
        </w:rPr>
        <w:t xml:space="preserve">。</w:t>
      </w:r>
      <w:r>
        <w:rPr>
          <w:rStyle w:val="1188"/>
          <w:rFonts w:ascii="Times New Roman" w:hAnsi="Times New Roman" w:eastAsia="宋体"/>
          <w:i w:val="0"/>
          <w:sz w:val="21"/>
          <w:szCs w:val="21"/>
          <w:u w:val="single"/>
          <w:shd w:val="clear" w:color="auto" w:fill="ffffff"/>
        </w:rPr>
        <w:t xml:space="preserve">（产品名称1）</w:t>
      </w:r>
      <w:r>
        <w:rPr>
          <w:rFonts w:ascii="Times New Roman" w:hAnsi="Times New Roman" w:eastAsia="宋体"/>
          <w:sz w:val="21"/>
          <w:szCs w:val="21"/>
          <w:shd w:val="clear" w:color="auto" w:fill="ffffff"/>
        </w:rPr>
        <w:t xml:space="preserve">的</w:t>
      </w:r>
      <w:r>
        <w:rPr>
          <w:rStyle w:val="1188"/>
          <w:rFonts w:ascii="Times New Roman" w:hAnsi="Times New Roman" w:eastAsia="宋体"/>
          <w:i w:val="0"/>
          <w:sz w:val="21"/>
          <w:szCs w:val="21"/>
          <w:u w:val="single"/>
          <w:shd w:val="clear" w:color="auto" w:fill="ffffff"/>
        </w:rPr>
        <w:t xml:space="preserve">（关键组件）</w:t>
      </w:r>
      <w:r>
        <w:rPr>
          <w:rStyle w:val="1188"/>
          <w:rFonts w:ascii="Times New Roman" w:hAnsi="Times New Roman" w:eastAsia="宋体"/>
          <w:i w:val="0"/>
          <w:sz w:val="21"/>
          <w:szCs w:val="21"/>
          <w:shd w:val="clear" w:color="auto" w:fill="ffffff"/>
          <w:vertAlign w:val="superscript"/>
        </w:rPr>
        <w:t xml:space="preserve">4</w:t>
      </w:r>
      <w:r>
        <w:rPr>
          <w:rFonts w:ascii="Times New Roman" w:hAnsi="Times New Roman" w:eastAsia="宋体"/>
          <w:sz w:val="21"/>
          <w:szCs w:val="21"/>
          <w:shd w:val="clear" w:color="auto" w:fill="ffffff"/>
        </w:rPr>
        <w:t xml:space="preserve">在中国境内生产。</w:t>
      </w:r>
      <w:r>
        <w:rPr>
          <w:rStyle w:val="1188"/>
          <w:rFonts w:ascii="Times New Roman" w:hAnsi="Times New Roman" w:eastAsia="宋体"/>
          <w:i w:val="0"/>
          <w:sz w:val="21"/>
          <w:szCs w:val="21"/>
          <w:u w:val="single"/>
          <w:shd w:val="clear" w:color="auto" w:fill="ffffff"/>
        </w:rPr>
        <w:t xml:space="preserve">（产品名称1）</w:t>
      </w:r>
      <w:r>
        <w:rPr>
          <w:rFonts w:ascii="Times New Roman" w:hAnsi="Times New Roman" w:eastAsia="宋体"/>
          <w:sz w:val="21"/>
          <w:szCs w:val="21"/>
          <w:shd w:val="clear" w:color="auto" w:fill="ffffff"/>
        </w:rPr>
        <w:t xml:space="preserve">的</w:t>
      </w:r>
      <w:r>
        <w:rPr>
          <w:rStyle w:val="1188"/>
          <w:rFonts w:ascii="Times New Roman" w:hAnsi="Times New Roman" w:eastAsia="宋体"/>
          <w:i w:val="0"/>
          <w:sz w:val="21"/>
          <w:szCs w:val="21"/>
          <w:u w:val="single"/>
          <w:shd w:val="clear" w:color="auto" w:fill="ffffff"/>
        </w:rPr>
        <w:t xml:space="preserve">（关键工序）</w:t>
      </w:r>
      <w:r>
        <w:rPr>
          <w:rStyle w:val="1188"/>
          <w:rFonts w:ascii="Times New Roman" w:hAnsi="Times New Roman" w:eastAsia="宋体"/>
          <w:i w:val="0"/>
          <w:sz w:val="21"/>
          <w:szCs w:val="21"/>
          <w:shd w:val="clear" w:color="auto" w:fill="ffffff"/>
          <w:vertAlign w:val="superscript"/>
        </w:rPr>
        <w:t xml:space="preserve">5</w:t>
      </w:r>
      <w:r>
        <w:rPr>
          <w:rFonts w:ascii="Times New Roman" w:hAnsi="Times New Roman" w:eastAsia="宋体"/>
          <w:sz w:val="21"/>
          <w:szCs w:val="21"/>
          <w:shd w:val="clear" w:color="auto" w:fill="ffffff"/>
        </w:rPr>
        <w:t xml:space="preserve">在中国境内完成。</w:t>
      </w:r>
      <w:r/>
    </w:p>
    <w:p>
      <w:pPr>
        <w:pStyle w:val="1180"/>
        <w:ind w:firstLine="420"/>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4867275</wp:posOffset>
                </wp:positionH>
                <wp:positionV relativeFrom="paragraph">
                  <wp:posOffset>387985</wp:posOffset>
                </wp:positionV>
                <wp:extent cx="506095" cy="85090"/>
                <wp:effectExtent l="635" t="4445" r="7620" b="571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506095" cy="850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8480;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2913380</wp:posOffset>
                </wp:positionH>
                <wp:positionV relativeFrom="paragraph">
                  <wp:posOffset>377190</wp:posOffset>
                </wp:positionV>
                <wp:extent cx="488950" cy="96520"/>
                <wp:effectExtent l="635" t="4445" r="5715" b="13335"/>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488950" cy="965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70528;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1831340</wp:posOffset>
                </wp:positionH>
                <wp:positionV relativeFrom="paragraph">
                  <wp:posOffset>377190</wp:posOffset>
                </wp:positionV>
                <wp:extent cx="678180" cy="105410"/>
                <wp:effectExtent l="635" t="4445" r="6985" b="23495"/>
                <wp:wrapNone/>
                <wp:docPr id="19" name="直接箭头连接符 18"/>
                <wp:cNvGraphicFramePr/>
                <a:graphic xmlns:a="http://schemas.openxmlformats.org/drawingml/2006/main">
                  <a:graphicData uri="http://schemas.microsoft.com/office/word/2010/wordprocessingShape">
                    <wps:wsp>
                      <wps:cNvPr id="0" name=""/>
                      <wps:cNvSpPr/>
                      <wps:spPr bwMode="auto">
                        <a:xfrm flipV="1">
                          <a:off x="0" y="0"/>
                          <a:ext cx="678180" cy="1054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950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981710</wp:posOffset>
                </wp:positionH>
                <wp:positionV relativeFrom="paragraph">
                  <wp:posOffset>381000</wp:posOffset>
                </wp:positionV>
                <wp:extent cx="424815" cy="112395"/>
                <wp:effectExtent l="1270" t="4445" r="12065" b="16510"/>
                <wp:wrapNone/>
                <wp:docPr id="20"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76672;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4105910</wp:posOffset>
                </wp:positionH>
                <wp:positionV relativeFrom="paragraph">
                  <wp:posOffset>92075</wp:posOffset>
                </wp:positionV>
                <wp:extent cx="718185" cy="97790"/>
                <wp:effectExtent l="635" t="4445" r="5080" b="12065"/>
                <wp:wrapNone/>
                <wp:docPr id="21" name="直接箭头连接符 1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75648;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-25400</wp:posOffset>
                </wp:positionH>
                <wp:positionV relativeFrom="paragraph">
                  <wp:posOffset>682625</wp:posOffset>
                </wp:positionV>
                <wp:extent cx="418465" cy="113030"/>
                <wp:effectExtent l="1270" t="4445" r="18415" b="15875"/>
                <wp:wrapNone/>
                <wp:docPr id="22" name="直接箭头连接符 19"/>
                <wp:cNvGraphicFramePr/>
                <a:graphic xmlns:a="http://schemas.openxmlformats.org/drawingml/2006/main">
                  <a:graphicData uri="http://schemas.microsoft.com/office/word/2010/wordprocessingShape">
                    <wps:wsp>
                      <wps:cNvPr id="0" name=""/>
                      <wps:cNvSpPr/>
                      <wps:spPr bwMode="auto">
                        <a:xfrm flipV="1">
                          <a:off x="0" y="0"/>
                          <a:ext cx="418465" cy="1130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540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shd w:val="clear" w:color="auto" w:fill="ffffff"/>
        </w:rPr>
        <w:t xml:space="preserve">2.</w:t>
      </w:r>
      <w:r>
        <w:rPr>
          <w:rStyle w:val="1188"/>
          <w:rFonts w:ascii="Times New Roman" w:hAnsi="Times New Roman" w:eastAsia="宋体"/>
          <w:i w:val="0"/>
          <w:sz w:val="21"/>
          <w:szCs w:val="21"/>
          <w:u w:val="single"/>
          <w:shd w:val="clear" w:color="auto" w:fill="ffffff"/>
        </w:rPr>
        <w:t xml:space="preserve">（产品名称2）</w:t>
      </w:r>
      <w:r>
        <w:rPr>
          <w:rFonts w:ascii="Times New Roman" w:hAnsi="Times New Roman" w:eastAsia="宋体"/>
          <w:sz w:val="21"/>
          <w:szCs w:val="21"/>
          <w:shd w:val="clear" w:color="auto" w:fill="ffffff"/>
        </w:rPr>
        <w:t xml:space="preserve">，生产厂为</w:t>
      </w:r>
      <w:r>
        <w:rPr>
          <w:rStyle w:val="1188"/>
          <w:rFonts w:ascii="Times New Roman" w:hAnsi="Times New Roman" w:eastAsia="宋体"/>
          <w:i w:val="0"/>
          <w:sz w:val="21"/>
          <w:szCs w:val="21"/>
          <w:u w:val="single"/>
          <w:shd w:val="clear" w:color="auto" w:fill="ffffff"/>
        </w:rPr>
        <w:t xml:space="preserve">（厂名）</w:t>
      </w:r>
      <w:r>
        <w:rPr>
          <w:rFonts w:ascii="Times New Roman" w:hAnsi="Times New Roman" w:eastAsia="宋体"/>
          <w:sz w:val="21"/>
          <w:szCs w:val="21"/>
          <w:shd w:val="clear" w:color="auto" w:fill="ffffff"/>
        </w:rPr>
        <w:t xml:space="preserve">，厂址为</w:t>
      </w:r>
      <w:r>
        <w:rPr>
          <w:rStyle w:val="1188"/>
          <w:rFonts w:ascii="Times New Roman" w:hAnsi="Times New Roman" w:eastAsia="宋体"/>
          <w:i w:val="0"/>
          <w:sz w:val="21"/>
          <w:szCs w:val="21"/>
          <w:u w:val="single"/>
          <w:shd w:val="clear" w:color="auto" w:fill="ffffff"/>
        </w:rPr>
        <w:t xml:space="preserve">（生产厂址）</w:t>
      </w:r>
      <w:r>
        <w:rPr>
          <w:rFonts w:ascii="Times New Roman" w:hAnsi="Times New Roman" w:eastAsia="宋体"/>
          <w:sz w:val="21"/>
          <w:szCs w:val="21"/>
          <w:shd w:val="clear" w:color="auto" w:fill="ffffff"/>
        </w:rPr>
        <w:t xml:space="preserve">。</w:t>
      </w:r>
      <w:r>
        <w:rPr>
          <w:rStyle w:val="1188"/>
          <w:rFonts w:ascii="Times New Roman" w:hAnsi="Times New Roman" w:eastAsia="宋体"/>
          <w:i w:val="0"/>
          <w:sz w:val="21"/>
          <w:szCs w:val="21"/>
          <w:u w:val="single"/>
          <w:shd w:val="clear" w:color="auto" w:fill="ffffff"/>
        </w:rPr>
        <w:t xml:space="preserve">（产品名称2）</w:t>
      </w:r>
      <w:r>
        <w:rPr>
          <w:rFonts w:ascii="Times New Roman" w:hAnsi="Times New Roman" w:eastAsia="宋体"/>
          <w:sz w:val="21"/>
          <w:szCs w:val="21"/>
          <w:shd w:val="clear" w:color="auto" w:fill="ffffff"/>
        </w:rPr>
        <w:t xml:space="preserve">的中国境内生产的组件成本占比≥</w:t>
      </w:r>
      <w:r>
        <w:rPr>
          <w:rStyle w:val="1188"/>
          <w:rFonts w:ascii="Times New Roman" w:hAnsi="Times New Roman" w:eastAsia="宋体"/>
          <w:i w:val="0"/>
          <w:sz w:val="21"/>
          <w:szCs w:val="21"/>
          <w:u w:val="single"/>
          <w:shd w:val="clear" w:color="auto" w:fill="ffffff"/>
        </w:rPr>
        <w:t xml:space="preserve">（规定比例）</w:t>
      </w:r>
      <w:r>
        <w:rPr>
          <w:rFonts w:ascii="Times New Roman" w:hAnsi="Times New Roman" w:eastAsia="宋体"/>
          <w:sz w:val="21"/>
          <w:szCs w:val="21"/>
          <w:shd w:val="clear" w:color="auto" w:fill="ffffff"/>
        </w:rPr>
        <w:t xml:space="preserve">。</w:t>
      </w:r>
      <w:r>
        <w:rPr>
          <w:rStyle w:val="1188"/>
          <w:rFonts w:ascii="Times New Roman" w:hAnsi="Times New Roman" w:eastAsia="宋体"/>
          <w:i w:val="0"/>
          <w:sz w:val="21"/>
          <w:szCs w:val="21"/>
          <w:u w:val="single"/>
          <w:shd w:val="clear" w:color="auto" w:fill="ffffff"/>
        </w:rPr>
        <w:t xml:space="preserve">（产品名称2）</w:t>
      </w:r>
      <w:r>
        <w:rPr>
          <w:rFonts w:ascii="Times New Roman" w:hAnsi="Times New Roman" w:eastAsia="宋体"/>
          <w:sz w:val="21"/>
          <w:szCs w:val="21"/>
          <w:shd w:val="clear" w:color="auto" w:fill="ffffff"/>
        </w:rPr>
        <w:t xml:space="preserve">的</w:t>
      </w:r>
      <w:r>
        <w:rPr>
          <w:rStyle w:val="1188"/>
          <w:rFonts w:ascii="Times New Roman" w:hAnsi="Times New Roman" w:eastAsia="宋体"/>
          <w:i w:val="0"/>
          <w:sz w:val="21"/>
          <w:szCs w:val="21"/>
          <w:u w:val="single"/>
          <w:shd w:val="clear" w:color="auto" w:fill="ffffff"/>
        </w:rPr>
        <w:t xml:space="preserve">（关键组件）</w:t>
      </w:r>
      <w:r>
        <w:rPr>
          <w:rFonts w:ascii="Times New Roman" w:hAnsi="Times New Roman" w:eastAsia="宋体"/>
          <w:sz w:val="21"/>
          <w:szCs w:val="21"/>
          <w:shd w:val="clear" w:color="auto" w:fill="ffffff"/>
        </w:rPr>
        <w:t xml:space="preserve">在中国境内生产。</w:t>
      </w:r>
      <w:r>
        <w:rPr>
          <w:rStyle w:val="1188"/>
          <w:rFonts w:ascii="Times New Roman" w:hAnsi="Times New Roman" w:eastAsia="宋体"/>
          <w:i w:val="0"/>
          <w:sz w:val="21"/>
          <w:szCs w:val="21"/>
          <w:u w:val="single"/>
          <w:shd w:val="clear" w:color="auto" w:fill="ffffff"/>
        </w:rPr>
        <w:t xml:space="preserve">（产品名称1）</w:t>
      </w:r>
      <w:r>
        <w:rPr>
          <w:rFonts w:ascii="Times New Roman" w:hAnsi="Times New Roman" w:eastAsia="宋体"/>
          <w:sz w:val="21"/>
          <w:szCs w:val="21"/>
          <w:shd w:val="clear" w:color="auto" w:fill="ffffff"/>
        </w:rPr>
        <w:t xml:space="preserve">的</w:t>
      </w:r>
      <w:r>
        <w:rPr>
          <w:rStyle w:val="1188"/>
          <w:rFonts w:ascii="Times New Roman" w:hAnsi="Times New Roman" w:eastAsia="宋体"/>
          <w:i w:val="0"/>
          <w:sz w:val="21"/>
          <w:szCs w:val="21"/>
          <w:u w:val="single"/>
          <w:shd w:val="clear" w:color="auto" w:fill="ffffff"/>
        </w:rPr>
        <w:t xml:space="preserve">（关键工序）</w:t>
      </w:r>
      <w:r>
        <w:rPr>
          <w:rFonts w:ascii="Times New Roman" w:hAnsi="Times New Roman" w:eastAsia="宋体"/>
          <w:sz w:val="21"/>
          <w:szCs w:val="21"/>
          <w:shd w:val="clear" w:color="auto" w:fill="ffffff"/>
        </w:rPr>
        <w:t xml:space="preserve">在中国境内完成。</w:t>
      </w:r>
      <w:r/>
    </w:p>
    <w:p>
      <w:pPr>
        <w:pStyle w:val="1180"/>
        <w:ind w:firstLine="420"/>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shd w:val="clear" w:color="auto" w:fill="ffffff"/>
        </w:rPr>
        <w:t xml:space="preserve">……</w:t>
      </w:r>
      <w:r/>
    </w:p>
    <w:p>
      <w:pPr>
        <w:pStyle w:val="1180"/>
        <w:ind w:firstLine="420"/>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shd w:val="clear" w:color="auto" w:fill="ffffff"/>
        </w:rPr>
        <w:t xml:space="preserve">本公司（单位）对上述声明内容的真实性负责。如有虚假，愿承担相应法律责任。</w:t>
      </w:r>
      <w:r/>
    </w:p>
    <w:p>
      <w:pPr>
        <w:pStyle w:val="1180"/>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rPr>
      </w:r>
      <w:r/>
    </w:p>
    <w:p>
      <w:pPr>
        <w:pStyle w:val="1180"/>
        <w:ind w:right="480" w:firstLine="4725"/>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shd w:val="clear" w:color="auto" w:fill="ffffff"/>
        </w:rPr>
        <w:t xml:space="preserve">公司（单位）名称（盖章）：　        </w:t>
      </w:r>
      <w:r/>
    </w:p>
    <w:p>
      <w:pPr>
        <w:pStyle w:val="1180"/>
        <w:jc w:val="center"/>
        <w:spacing w:before="30" w:beforeAutospacing="0" w:after="30" w:afterAutospacing="0" w:line="360" w:lineRule="auto"/>
        <w:rPr>
          <w:rFonts w:ascii="Times New Roman" w:hAnsi="Times New Roman" w:eastAsia="宋体"/>
        </w:rPr>
      </w:pPr>
      <w:r>
        <w:rPr>
          <w:rFonts w:ascii="Times New Roman" w:hAnsi="Times New Roman" w:eastAsia="宋体"/>
          <w:sz w:val="21"/>
          <w:szCs w:val="21"/>
          <w:shd w:val="clear" w:color="auto" w:fill="ffffff"/>
        </w:rPr>
        <w:t xml:space="preserve">                                日期：　   年　  月　  日</w:t>
      </w:r>
      <w:r>
        <w:rPr>
          <w:rFonts w:ascii="Times New Roman" w:hAnsi="Times New Roman" w:eastAsia="宋体"/>
          <w:shd w:val="clear" w:color="auto" w:fill="ffffff"/>
        </w:rPr>
        <w:t xml:space="preserve">         </w:t>
      </w:r>
      <w:r/>
    </w:p>
    <w:p>
      <w:pPr>
        <w:pStyle w:val="1180"/>
        <w:spacing w:before="30" w:beforeAutospacing="0" w:after="30" w:afterAutospacing="0" w:line="360" w:lineRule="auto"/>
        <w:rPr>
          <w:rFonts w:ascii="Times New Roman" w:hAnsi="Times New Roman" w:eastAsia="宋体"/>
        </w:rPr>
      </w:pPr>
      <w:r>
        <w:rPr>
          <w:rFonts w:ascii="Times New Roman" w:hAnsi="Times New Roman" w:eastAsia="宋体"/>
          <w:shd w:val="clear" w:color="auto" w:fill="ffffff"/>
        </w:rPr>
        <w:t xml:space="preserve">__________________</w:t>
      </w:r>
      <w:r/>
    </w:p>
    <w:p>
      <w:pPr>
        <w:pStyle w:val="1180"/>
        <w:spacing w:before="0" w:beforeAutospacing="0" w:after="0" w:afterAutospacing="0" w:line="400" w:lineRule="exact"/>
        <w:rPr>
          <w:rFonts w:ascii="Times New Roman" w:hAnsi="Times New Roman" w:eastAsia="宋体"/>
          <w:sz w:val="22"/>
        </w:rPr>
      </w:pPr>
      <w:r>
        <w:rPr>
          <w:rFonts w:ascii="Times New Roman" w:hAnsi="Times New Roman" w:eastAsia="宋体"/>
          <w:sz w:val="22"/>
          <w:shd w:val="clear" w:color="auto" w:fill="ffffff"/>
        </w:rPr>
        <w:t xml:space="preserve">1.产品如有型号，请在“产品名称”栏一并填写。</w:t>
      </w:r>
      <w:r/>
    </w:p>
    <w:p>
      <w:pPr>
        <w:pStyle w:val="1180"/>
        <w:spacing w:before="0" w:beforeAutospacing="0" w:after="0" w:afterAutospacing="0" w:line="400" w:lineRule="exact"/>
        <w:rPr>
          <w:rFonts w:ascii="Times New Roman" w:hAnsi="Times New Roman" w:eastAsia="宋体"/>
          <w:sz w:val="22"/>
        </w:rPr>
      </w:pPr>
      <w:r>
        <w:rPr>
          <w:rFonts w:ascii="Times New Roman" w:hAnsi="Times New Roman" w:eastAsia="宋体"/>
          <w:sz w:val="22"/>
          <w:shd w:val="clear" w:color="auto" w:fill="ffffff"/>
        </w:rPr>
        <w:t xml:space="preserve">2.生产厂名与厂址应与生产厂营业执照载明的相关信息保持一致。</w:t>
      </w:r>
      <w:r/>
    </w:p>
    <w:p>
      <w:pPr>
        <w:pStyle w:val="1180"/>
        <w:spacing w:before="0" w:beforeAutospacing="0" w:after="0" w:afterAutospacing="0" w:line="400" w:lineRule="exact"/>
        <w:rPr>
          <w:rFonts w:ascii="Times New Roman" w:hAnsi="Times New Roman" w:eastAsia="宋体"/>
          <w:sz w:val="22"/>
        </w:rPr>
      </w:pPr>
      <w:r>
        <w:rPr>
          <w:rFonts w:ascii="Times New Roman" w:hAnsi="Times New Roman" w:eastAsia="宋体"/>
          <w:sz w:val="22"/>
          <w:shd w:val="clear" w:color="auto" w:fill="ffffff"/>
        </w:rPr>
        <w:t xml:space="preserve">3.该产品的中国境内生产的组件成本占比相关要求实施前，“规定比例”栏可不填，下同。</w:t>
      </w:r>
      <w:r/>
    </w:p>
    <w:p>
      <w:pPr>
        <w:pStyle w:val="1180"/>
        <w:spacing w:before="0" w:beforeAutospacing="0" w:after="0" w:afterAutospacing="0" w:line="400" w:lineRule="exact"/>
        <w:rPr>
          <w:rFonts w:ascii="Times New Roman" w:hAnsi="Times New Roman" w:eastAsia="宋体"/>
          <w:sz w:val="22"/>
        </w:rPr>
      </w:pPr>
      <w:r>
        <w:rPr>
          <w:rFonts w:ascii="Times New Roman" w:hAnsi="Times New Roman" w:eastAsia="宋体"/>
          <w:sz w:val="22"/>
          <w:shd w:val="clear" w:color="auto" w:fill="ffffff"/>
        </w:rPr>
        <w:t xml:space="preserve">4.该产品的关键组件要求实施前，“关键组件”栏可不填，下同。</w:t>
      </w:r>
      <w:r/>
    </w:p>
    <w:p>
      <w:pPr>
        <w:pStyle w:val="1180"/>
        <w:spacing w:before="0" w:beforeAutospacing="0" w:after="0" w:afterAutospacing="0" w:line="400" w:lineRule="exact"/>
        <w:rPr>
          <w:rFonts w:ascii="Times New Roman" w:hAnsi="Times New Roman" w:eastAsia="宋体"/>
          <w:sz w:val="22"/>
          <w:shd w:val="clear" w:color="auto" w:fill="ffffff"/>
        </w:rPr>
      </w:pPr>
      <w:r>
        <w:rPr>
          <w:rFonts w:ascii="Times New Roman" w:hAnsi="Times New Roman" w:eastAsia="宋体"/>
          <w:sz w:val="22"/>
          <w:shd w:val="clear" w:color="auto" w:fill="ffffff"/>
        </w:rPr>
        <w:t xml:space="preserve">5.该产品的关键工序要求实施前，“关键工序”栏可不填，下同。</w:t>
      </w:r>
      <w:r/>
    </w:p>
    <w:p>
      <w:pPr>
        <w:pStyle w:val="1180"/>
        <w:spacing w:before="0" w:beforeAutospacing="0" w:after="0" w:afterAutospacing="0" w:line="400" w:lineRule="exact"/>
        <w:rPr>
          <w:rFonts w:ascii="Times New Roman" w:hAnsi="Times New Roman" w:eastAsia="宋体"/>
          <w:sz w:val="22"/>
          <w:shd w:val="clear" w:color="auto" w:fill="ffffff"/>
        </w:rPr>
      </w:pPr>
      <w:r>
        <w:rPr>
          <w:rFonts w:ascii="Times New Roman" w:hAnsi="Times New Roman" w:eastAsia="宋体"/>
          <w:sz w:val="22"/>
          <w:shd w:val="clear" w:color="auto" w:fill="ffffff"/>
        </w:rPr>
        <w:t xml:space="preserve">6.用斜线划除的地方无需填写。</w:t>
      </w:r>
      <w:r/>
    </w:p>
    <w:p>
      <w:pPr>
        <w:pStyle w:val="1180"/>
        <w:spacing w:before="0" w:beforeAutospacing="0" w:after="0" w:afterAutospacing="0" w:line="400" w:lineRule="exact"/>
        <w:rPr>
          <w:rFonts w:ascii="Times New Roman" w:hAnsi="Times New Roman" w:eastAsia="宋体"/>
          <w:sz w:val="22"/>
          <w:shd w:val="clear" w:color="auto" w:fill="ffffff"/>
        </w:rPr>
      </w:pPr>
      <w:r>
        <w:rPr>
          <w:rFonts w:ascii="Times New Roman" w:hAnsi="Times New Roman" w:eastAsia="宋体"/>
          <w:sz w:val="22"/>
          <w:shd w:val="clear" w:color="auto" w:fill="ffffff"/>
        </w:rPr>
        <w:t xml:space="preserve">7.供应商提供虚假《声明函》、虚假证明文件谋取中标、成交的，依照《中华人民共和国政府采购法》等法律法规规定追究相应责任。</w:t>
      </w:r>
      <w:r/>
    </w:p>
    <w:p>
      <w:pPr>
        <w:spacing w:line="360" w:lineRule="auto"/>
        <w:rPr>
          <w:b/>
          <w:bCs/>
          <w:color w:val="000000"/>
          <w:sz w:val="24"/>
          <w:szCs w:val="22"/>
        </w:rPr>
      </w:pPr>
      <w:r>
        <w:rPr>
          <w:color w:val="000000"/>
          <w:sz w:val="22"/>
          <w:shd w:val="clear" w:color="auto" w:fill="ffffff"/>
        </w:rPr>
        <w:t xml:space="preserve">8.中标、成交供应商提供的《声明函》或有关证明文件将随中标、成交结果同时公告。</w:t>
      </w:r>
      <w:r/>
    </w:p>
    <w:p>
      <w:pPr>
        <w:spacing w:line="360" w:lineRule="auto"/>
        <w:rPr>
          <w:b/>
          <w:bCs/>
          <w:color w:val="000000"/>
          <w:sz w:val="24"/>
          <w:szCs w:val="22"/>
          <w:lang w:val="zh-CN"/>
        </w:rPr>
      </w:pPr>
      <w:r>
        <w:rPr>
          <w:b/>
          <w:bCs/>
          <w:color w:val="000000"/>
          <w:sz w:val="24"/>
          <w:szCs w:val="22"/>
          <w:lang w:val="zh-CN"/>
        </w:rPr>
      </w:r>
      <w:r/>
    </w:p>
    <w:p>
      <w:pPr>
        <w:spacing w:line="360" w:lineRule="auto"/>
        <w:rPr>
          <w:b/>
          <w:bCs/>
          <w:color w:val="000000"/>
          <w:sz w:val="24"/>
          <w:szCs w:val="22"/>
          <w:lang w:val="zh-CN"/>
        </w:rPr>
      </w:pPr>
      <w:r>
        <w:rPr>
          <w:b/>
          <w:bCs/>
          <w:color w:val="000000"/>
          <w:sz w:val="24"/>
          <w:szCs w:val="22"/>
          <w:lang w:val="zh-CN"/>
        </w:rPr>
      </w:r>
      <w:r/>
    </w:p>
    <w:p>
      <w:pPr>
        <w:spacing w:line="360" w:lineRule="auto"/>
        <w:rPr>
          <w:b/>
          <w:bCs/>
          <w:color w:val="000000"/>
          <w:sz w:val="24"/>
          <w:szCs w:val="22"/>
          <w:lang w:val="zh-CN"/>
        </w:rPr>
      </w:pPr>
      <w:r>
        <w:rPr>
          <w:b/>
          <w:bCs/>
          <w:color w:val="000000"/>
          <w:sz w:val="24"/>
          <w:szCs w:val="22"/>
          <w:lang w:val="zh-CN"/>
        </w:rPr>
      </w:r>
      <w:r/>
    </w:p>
    <w:p>
      <w:pPr>
        <w:spacing w:line="360" w:lineRule="auto"/>
        <w:rPr>
          <w:b/>
          <w:bCs/>
          <w:color w:val="000000"/>
          <w:sz w:val="24"/>
          <w:szCs w:val="22"/>
          <w:lang w:val="zh-CN"/>
        </w:rPr>
      </w:pPr>
      <w:r>
        <w:rPr>
          <w:b/>
          <w:bCs/>
          <w:color w:val="000000"/>
          <w:sz w:val="24"/>
          <w:szCs w:val="22"/>
          <w:lang w:val="zh-CN"/>
        </w:rPr>
      </w:r>
      <w:r/>
    </w:p>
    <w:p>
      <w:pPr>
        <w:spacing w:line="360" w:lineRule="auto"/>
        <w:rPr>
          <w:b/>
          <w:bCs/>
          <w:color w:val="000000"/>
          <w:sz w:val="24"/>
          <w:szCs w:val="22"/>
          <w:lang w:val="zh-CN"/>
        </w:rPr>
      </w:pPr>
      <w:r>
        <w:rPr>
          <w:b/>
          <w:bCs/>
          <w:color w:val="000000"/>
          <w:sz w:val="24"/>
          <w:szCs w:val="22"/>
          <w:lang w:val="zh-CN"/>
        </w:rPr>
      </w:r>
      <w:r/>
    </w:p>
    <w:p>
      <w:pPr>
        <w:spacing w:line="360" w:lineRule="auto"/>
        <w:rPr>
          <w:b/>
          <w:bCs/>
          <w:color w:val="000000"/>
          <w:sz w:val="24"/>
          <w:szCs w:val="22"/>
          <w:lang w:val="zh-CN"/>
        </w:rPr>
      </w:pPr>
      <w:r>
        <w:rPr>
          <w:b/>
          <w:bCs/>
          <w:color w:val="000000"/>
          <w:sz w:val="24"/>
          <w:szCs w:val="22"/>
          <w:lang w:val="zh-CN"/>
        </w:rPr>
      </w:r>
      <w:r/>
    </w:p>
    <w:p>
      <w:pPr>
        <w:spacing w:after="156" w:line="440" w:lineRule="exact"/>
        <w:rPr>
          <w:b/>
          <w:bCs/>
          <w:color w:val="000000"/>
          <w:sz w:val="24"/>
          <w:szCs w:val="22"/>
          <w:lang w:val="zh-CN"/>
        </w:rPr>
        <w:outlineLvl w:val="1"/>
      </w:pPr>
      <w:r/>
      <w:bookmarkStart w:id="271" w:name="_Toc6574"/>
      <w:r/>
      <w:bookmarkStart w:id="272" w:name="_Toc23761"/>
      <w:r/>
      <w:bookmarkStart w:id="273" w:name="_Toc8893"/>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供应商基本情况表</w:t>
      </w:r>
      <w:bookmarkEnd w:id="271"/>
      <w:r/>
      <w:bookmarkEnd w:id="272"/>
      <w:r/>
      <w:bookmarkEnd w:id="273"/>
      <w:r/>
      <w:r/>
    </w:p>
    <w:tbl>
      <w:tblPr>
        <w:tblStyle w:val="1149"/>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jc w:val="center"/>
              <w:spacing w:line="312" w:lineRule="atLeast"/>
              <w:rPr>
                <w:b/>
                <w:bCs/>
                <w:color w:val="000000"/>
                <w:szCs w:val="21"/>
              </w:rPr>
            </w:pPr>
            <w:r>
              <w:rPr>
                <w:b/>
                <w:bCs/>
                <w:color w:val="000000"/>
                <w:szCs w:val="21"/>
              </w:rPr>
              <w:t xml:space="preserve">供应商名称</w:t>
            </w:r>
            <w:r/>
          </w:p>
        </w:tc>
        <w:tc>
          <w:tcPr>
            <w:tcW w:w="7513" w:type="dxa"/>
            <w:vAlign w:val="center"/>
            <w:textDirection w:val="lrTb"/>
            <w:noWrap w:val="false"/>
          </w:tcPr>
          <w:p>
            <w:pPr>
              <w:spacing w:line="312" w:lineRule="atLeast"/>
              <w:rPr>
                <w:b/>
                <w:bCs/>
                <w:color w:val="000000"/>
                <w:szCs w:val="21"/>
              </w:rPr>
            </w:pPr>
            <w:r>
              <w:rPr>
                <w:b/>
                <w:bCs/>
                <w:color w:val="000000"/>
                <w:szCs w:val="21"/>
              </w:rPr>
            </w:r>
            <w:r/>
          </w:p>
        </w:tc>
      </w:tr>
      <w:tr>
        <w:trPr>
          <w:trHeight w:val="986"/>
        </w:trPr>
        <w:tc>
          <w:tcPr>
            <w:tcW w:w="1809" w:type="dxa"/>
            <w:vAlign w:val="center"/>
            <w:textDirection w:val="lrTb"/>
            <w:noWrap w:val="false"/>
          </w:tcPr>
          <w:p>
            <w:pPr>
              <w:jc w:val="center"/>
              <w:spacing w:line="312" w:lineRule="atLeast"/>
              <w:rPr>
                <w:b/>
                <w:bCs/>
                <w:color w:val="000000"/>
                <w:szCs w:val="21"/>
              </w:rPr>
            </w:pPr>
            <w:r>
              <w:rPr>
                <w:b/>
                <w:bCs/>
                <w:color w:val="000000"/>
                <w:szCs w:val="21"/>
              </w:rPr>
              <w:t xml:space="preserve">社会机构统一信用代码</w:t>
            </w:r>
            <w:r/>
          </w:p>
        </w:tc>
        <w:tc>
          <w:tcPr>
            <w:tcW w:w="7513" w:type="dxa"/>
            <w:vAlign w:val="center"/>
            <w:textDirection w:val="lrTb"/>
            <w:noWrap w:val="false"/>
          </w:tcPr>
          <w:p>
            <w:pPr>
              <w:spacing w:line="312" w:lineRule="atLeast"/>
              <w:rPr>
                <w:b/>
                <w:bCs/>
                <w:color w:val="000000"/>
                <w:szCs w:val="21"/>
              </w:rPr>
            </w:pPr>
            <w:r>
              <w:rPr>
                <w:b/>
                <w:bCs/>
                <w:color w:val="000000"/>
                <w:szCs w:val="21"/>
              </w:rPr>
            </w:r>
            <w:r/>
          </w:p>
        </w:tc>
      </w:tr>
      <w:tr>
        <w:trPr>
          <w:trHeight w:val="1114"/>
        </w:trPr>
        <w:tc>
          <w:tcPr>
            <w:tcW w:w="1809" w:type="dxa"/>
            <w:vAlign w:val="center"/>
            <w:textDirection w:val="lrTb"/>
            <w:noWrap w:val="false"/>
          </w:tcPr>
          <w:p>
            <w:pPr>
              <w:jc w:val="center"/>
              <w:spacing w:line="312" w:lineRule="atLeast"/>
              <w:rPr>
                <w:b/>
                <w:bCs/>
                <w:color w:val="000000"/>
                <w:szCs w:val="21"/>
              </w:rPr>
            </w:pPr>
            <w:r>
              <w:rPr>
                <w:b/>
                <w:bCs/>
                <w:color w:val="000000"/>
                <w:lang w:val="zh-CN"/>
              </w:rPr>
              <w:t xml:space="preserve">供应商规模</w:t>
            </w:r>
            <w:r/>
          </w:p>
        </w:tc>
        <w:tc>
          <w:tcPr>
            <w:tcW w:w="7513" w:type="dxa"/>
            <w:vAlign w:val="center"/>
            <w:textDirection w:val="lrTb"/>
            <w:noWrap w:val="false"/>
          </w:tcPr>
          <w:p>
            <w:pPr>
              <w:spacing w:line="312" w:lineRule="atLeast"/>
              <w:rPr>
                <w:b/>
                <w:bCs/>
                <w:color w:val="000000"/>
                <w:szCs w:val="21"/>
              </w:rPr>
            </w:pPr>
            <w:r>
              <w:rPr>
                <w:b/>
                <w:bCs/>
                <w:color w:val="000000"/>
                <w:szCs w:val="21"/>
              </w:rPr>
              <w:t xml:space="preserve">     </w:t>
            </w:r>
            <w:r>
              <w:rPr>
                <w:color w:val="000000"/>
                <w:sz w:val="24"/>
                <w:szCs w:val="24"/>
              </w:rPr>
              <w:t xml:space="preserve">□</w:t>
            </w:r>
            <w:r>
              <w:rPr>
                <w:b/>
                <w:bCs/>
                <w:color w:val="000000"/>
                <w:szCs w:val="21"/>
              </w:rPr>
              <w:t xml:space="preserve">大型           </w:t>
            </w:r>
            <w:r>
              <w:rPr>
                <w:color w:val="000000"/>
                <w:sz w:val="24"/>
                <w:szCs w:val="24"/>
              </w:rPr>
              <w:t xml:space="preserve">□</w:t>
            </w:r>
            <w:r>
              <w:rPr>
                <w:b/>
                <w:bCs/>
                <w:color w:val="000000"/>
                <w:szCs w:val="21"/>
              </w:rPr>
              <w:t xml:space="preserve">中型          </w:t>
            </w:r>
            <w:r>
              <w:rPr>
                <w:color w:val="000000"/>
                <w:sz w:val="24"/>
                <w:szCs w:val="24"/>
              </w:rPr>
              <w:t xml:space="preserve">□</w:t>
            </w:r>
            <w:r>
              <w:rPr>
                <w:b/>
                <w:bCs/>
                <w:color w:val="000000"/>
                <w:szCs w:val="21"/>
              </w:rPr>
              <w:t xml:space="preserve">小微型      </w:t>
            </w:r>
            <w:r/>
          </w:p>
        </w:tc>
      </w:tr>
      <w:tr>
        <w:trPr>
          <w:trHeight w:val="1130"/>
        </w:trPr>
        <w:tc>
          <w:tcPr>
            <w:tcW w:w="1809" w:type="dxa"/>
            <w:vAlign w:val="center"/>
            <w:textDirection w:val="lrTb"/>
            <w:noWrap w:val="false"/>
          </w:tcPr>
          <w:p>
            <w:pPr>
              <w:jc w:val="center"/>
              <w:rPr>
                <w:b/>
                <w:bCs/>
                <w:color w:val="000000"/>
                <w:lang w:val="zh-CN"/>
              </w:rPr>
            </w:pPr>
            <w:r>
              <w:rPr>
                <w:b/>
                <w:bCs/>
                <w:color w:val="000000"/>
                <w:lang w:val="zh-CN"/>
              </w:rPr>
              <w:t xml:space="preserve">供应商所在区域</w:t>
            </w:r>
            <w:r/>
          </w:p>
          <w:p>
            <w:pPr>
              <w:jc w:val="center"/>
              <w:spacing w:line="312" w:lineRule="atLeast"/>
              <w:rPr>
                <w:b/>
                <w:bCs/>
                <w:color w:val="000000"/>
                <w:lang w:val="zh-CN"/>
              </w:rPr>
            </w:pPr>
            <w:r>
              <w:rPr>
                <w:b/>
                <w:bCs/>
                <w:color w:val="000000"/>
                <w:lang w:val="zh-CN"/>
              </w:rPr>
              <w:t xml:space="preserve">（细化到省份）</w:t>
            </w:r>
            <w:r/>
          </w:p>
        </w:tc>
        <w:tc>
          <w:tcPr>
            <w:tcW w:w="7513" w:type="dxa"/>
            <w:vAlign w:val="center"/>
            <w:textDirection w:val="lrTb"/>
            <w:noWrap w:val="false"/>
          </w:tcPr>
          <w:p>
            <w:pPr>
              <w:spacing w:line="312" w:lineRule="atLeast"/>
              <w:rPr>
                <w:b/>
                <w:bCs/>
                <w:color w:val="000000"/>
                <w:szCs w:val="21"/>
              </w:rPr>
            </w:pPr>
            <w:r>
              <w:rPr>
                <w:b/>
                <w:bCs/>
                <w:color w:val="000000"/>
                <w:szCs w:val="21"/>
              </w:rPr>
            </w:r>
            <w:r/>
          </w:p>
        </w:tc>
      </w:tr>
      <w:tr>
        <w:trPr>
          <w:trHeight w:val="835"/>
        </w:trPr>
        <w:tc>
          <w:tcPr>
            <w:tcW w:w="1809" w:type="dxa"/>
            <w:vAlign w:val="center"/>
            <w:textDirection w:val="lrTb"/>
            <w:noWrap w:val="false"/>
          </w:tcPr>
          <w:p>
            <w:pPr>
              <w:jc w:val="center"/>
              <w:rPr>
                <w:b/>
                <w:bCs/>
                <w:color w:val="000000"/>
                <w:lang w:val="zh-CN"/>
              </w:rPr>
            </w:pPr>
            <w:r>
              <w:rPr>
                <w:b/>
                <w:bCs/>
                <w:color w:val="000000"/>
                <w:lang w:val="zh-CN"/>
              </w:rPr>
              <w:t xml:space="preserve">是否特殊性质</w:t>
            </w:r>
            <w:r/>
          </w:p>
        </w:tc>
        <w:tc>
          <w:tcPr>
            <w:tcW w:w="7513" w:type="dxa"/>
            <w:vAlign w:val="center"/>
            <w:textDirection w:val="lrTb"/>
            <w:noWrap w:val="false"/>
          </w:tcPr>
          <w:p>
            <w:pPr>
              <w:spacing w:line="312" w:lineRule="atLeast"/>
              <w:rPr>
                <w:b/>
                <w:bCs/>
                <w:color w:val="000000"/>
                <w:szCs w:val="21"/>
              </w:rPr>
            </w:pPr>
            <w:r>
              <w:rPr>
                <w:b/>
                <w:bCs/>
                <w:color w:val="000000"/>
                <w:lang w:val="zh-CN"/>
              </w:rPr>
              <w:t xml:space="preserve">   </w:t>
            </w:r>
            <w:r>
              <w:rPr>
                <w:color w:val="000000"/>
                <w:sz w:val="24"/>
                <w:szCs w:val="24"/>
              </w:rPr>
              <w:t xml:space="preserve">□</w:t>
            </w:r>
            <w:r>
              <w:rPr>
                <w:b/>
                <w:bCs/>
                <w:color w:val="000000"/>
                <w:lang w:val="zh-CN"/>
              </w:rPr>
              <w:t xml:space="preserve">监狱企业残疾人     </w:t>
            </w:r>
            <w:r>
              <w:rPr>
                <w:color w:val="000000"/>
                <w:sz w:val="24"/>
                <w:szCs w:val="24"/>
              </w:rPr>
              <w:t xml:space="preserve">□</w:t>
            </w:r>
            <w:r>
              <w:rPr>
                <w:b/>
                <w:bCs/>
                <w:color w:val="000000"/>
                <w:lang w:val="zh-CN"/>
              </w:rPr>
              <w:t xml:space="preserve">福利性单位     </w:t>
            </w:r>
            <w:r>
              <w:rPr>
                <w:color w:val="000000"/>
                <w:sz w:val="24"/>
                <w:szCs w:val="24"/>
              </w:rPr>
              <w:t xml:space="preserve">□</w:t>
            </w:r>
            <w:r>
              <w:rPr>
                <w:b/>
                <w:bCs/>
                <w:color w:val="000000"/>
                <w:lang w:val="zh-CN"/>
              </w:rPr>
              <w:t xml:space="preserve">其他</w:t>
            </w:r>
            <w:r/>
          </w:p>
        </w:tc>
      </w:tr>
    </w:tbl>
    <w:p>
      <w:pPr>
        <w:rPr>
          <w:color w:val="000000"/>
          <w:lang w:val="zh-CN"/>
        </w:rPr>
      </w:pPr>
      <w:r>
        <w:rPr>
          <w:color w:val="000000"/>
          <w:lang w:val="zh-CN"/>
        </w:rPr>
        <w:t xml:space="preserve">注：</w:t>
      </w:r>
      <w:r/>
    </w:p>
    <w:p>
      <w:pPr>
        <w:ind w:firstLine="218"/>
        <w:spacing w:line="360" w:lineRule="auto"/>
        <w:rPr>
          <w:color w:val="000000"/>
          <w:lang w:val="zh-CN"/>
        </w:rPr>
      </w:pPr>
      <w:r>
        <w:rPr>
          <w:color w:val="000000"/>
        </w:rPr>
        <w:t xml:space="preserve">1、供应商规模：供应商应对照工业和信息化部、国家统计局、国家发展改革委、财政部《关于印发中小企业划型标准规定的通知》（工信部联企业〔2011〕300 号）中的规模划分勾选自身规模；</w:t>
      </w:r>
      <w:r/>
    </w:p>
    <w:p>
      <w:pPr>
        <w:ind w:firstLine="218"/>
        <w:spacing w:line="360" w:lineRule="auto"/>
        <w:rPr>
          <w:color w:val="000000"/>
        </w:rPr>
      </w:pPr>
      <w:r>
        <w:rPr>
          <w:color w:val="000000"/>
        </w:rPr>
        <w:t xml:space="preserve">2、供应商所在区域：指供应商注册地所在地区，具体细化到省份；</w:t>
      </w:r>
      <w:r/>
    </w:p>
    <w:p>
      <w:pPr>
        <w:ind w:firstLine="218"/>
        <w:spacing w:line="360" w:lineRule="auto"/>
        <w:rPr>
          <w:color w:val="000000"/>
        </w:rPr>
      </w:pPr>
      <w:r>
        <w:rPr>
          <w:color w:val="000000"/>
        </w:rPr>
        <w:t xml:space="preserve">3、</w:t>
      </w:r>
      <w:r>
        <w:rPr>
          <w:color w:val="000000"/>
          <w:lang w:val="zh-CN"/>
        </w:rPr>
        <w:t xml:space="preserve">是否特殊性质：</w:t>
      </w:r>
      <w:r>
        <w:rPr>
          <w:color w:val="000000"/>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p>
    <w:p>
      <w:pPr>
        <w:spacing w:after="156" w:line="440" w:lineRule="exact"/>
        <w:rPr>
          <w:b/>
          <w:bCs/>
          <w:color w:val="000000"/>
          <w:sz w:val="24"/>
          <w:szCs w:val="22"/>
          <w:lang w:val="zh-CN"/>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bookmarkStart w:id="274" w:name="_Toc22359"/>
      <w:r/>
      <w:bookmarkStart w:id="275" w:name="_Toc15999"/>
      <w:r/>
      <w:r/>
    </w:p>
    <w:p>
      <w:pPr>
        <w:spacing w:after="156" w:line="440" w:lineRule="exact"/>
        <w:rPr>
          <w:b/>
          <w:bCs/>
          <w:color w:val="000000"/>
          <w:sz w:val="24"/>
          <w:szCs w:val="22"/>
        </w:rPr>
        <w:outlineLvl w:val="1"/>
      </w:pPr>
      <w:r/>
      <w:bookmarkStart w:id="276" w:name="_Toc8715"/>
      <w:r/>
      <w:bookmarkStart w:id="277" w:name="_Toc22496"/>
      <w:r/>
      <w:bookmarkStart w:id="278" w:name="_Toc9213"/>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r>
        <w:rPr>
          <w:b/>
          <w:bCs/>
          <w:color w:val="000000"/>
          <w:sz w:val="24"/>
          <w:szCs w:val="22"/>
        </w:rPr>
        <w:t xml:space="preserve">—附表</w:t>
      </w:r>
      <w:bookmarkEnd w:id="274"/>
      <w:r/>
      <w:bookmarkEnd w:id="275"/>
      <w:r/>
      <w:bookmarkEnd w:id="276"/>
      <w:r/>
      <w:bookmarkEnd w:id="277"/>
      <w:r/>
      <w:bookmarkEnd w:id="278"/>
      <w:r/>
      <w:r/>
    </w:p>
    <w:p>
      <w:pPr>
        <w:ind w:firstLine="422"/>
        <w:jc w:val="center"/>
        <w:spacing w:line="360" w:lineRule="auto"/>
        <w:rPr>
          <w:b/>
          <w:bCs/>
          <w:color w:val="000000"/>
          <w:szCs w:val="21"/>
        </w:rPr>
      </w:pPr>
      <w:r>
        <w:rPr>
          <w:b/>
          <w:bCs/>
          <w:color w:val="000000"/>
          <w:szCs w:val="21"/>
        </w:rPr>
        <w:t xml:space="preserve">中小企业划型标准规定</w:t>
      </w:r>
      <w:r/>
    </w:p>
    <w:p>
      <w:pPr>
        <w:ind w:firstLine="420"/>
        <w:jc w:val="left"/>
        <w:spacing w:line="360" w:lineRule="auto"/>
        <w:rPr>
          <w:color w:val="000000"/>
          <w:szCs w:val="21"/>
        </w:rPr>
      </w:pPr>
      <w:r>
        <w:rPr>
          <w:color w:val="000000"/>
          <w:szCs w:val="21"/>
        </w:rPr>
        <w:t xml:space="preserve">一、根据《中华人民共和国中小企业促进法》和《国务院关于进一步促进中小企业发展的若干意见》（国发〔2009〕36号），制定本规定。</w:t>
      </w:r>
      <w:r/>
    </w:p>
    <w:p>
      <w:pPr>
        <w:ind w:firstLine="420"/>
        <w:jc w:val="left"/>
        <w:spacing w:line="360" w:lineRule="auto"/>
        <w:rPr>
          <w:color w:val="000000"/>
          <w:szCs w:val="21"/>
        </w:rPr>
      </w:pPr>
      <w:r>
        <w:rPr>
          <w:color w:val="000000"/>
          <w:szCs w:val="21"/>
        </w:rPr>
        <w:t xml:space="preserve">二、中小企业划分为中型、小型、微型三种类型，具体标准根据企业从业人员、营业收入、资产总额等指标，结合行业特点制定。</w:t>
      </w:r>
      <w:r/>
    </w:p>
    <w:p>
      <w:pPr>
        <w:ind w:firstLine="420"/>
        <w:jc w:val="left"/>
        <w:spacing w:line="360" w:lineRule="auto"/>
        <w:rPr>
          <w:color w:val="000000"/>
          <w:szCs w:val="21"/>
        </w:rPr>
      </w:pPr>
      <w:r>
        <w:rPr>
          <w:color w:val="000000"/>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color w:val="000000"/>
          <w:szCs w:val="21"/>
        </w:rPr>
      </w:pPr>
      <w:r>
        <w:rPr>
          <w:color w:val="000000"/>
          <w:szCs w:val="21"/>
        </w:rPr>
        <w:t xml:space="preserve">四、各行业划型标准为：</w:t>
      </w:r>
      <w:r/>
    </w:p>
    <w:p>
      <w:pPr>
        <w:ind w:firstLine="420"/>
        <w:jc w:val="left"/>
        <w:spacing w:line="360" w:lineRule="auto"/>
        <w:rPr>
          <w:color w:val="000000"/>
          <w:szCs w:val="21"/>
        </w:rPr>
      </w:pPr>
      <w:r>
        <w:rPr>
          <w:color w:val="000000"/>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spacing w:line="360" w:lineRule="auto"/>
        <w:rPr>
          <w:color w:val="000000"/>
          <w:szCs w:val="21"/>
        </w:rPr>
      </w:pPr>
      <w:r>
        <w:rPr>
          <w:color w:val="00000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color w:val="000000"/>
          <w:szCs w:val="21"/>
        </w:rPr>
      </w:pPr>
      <w:r>
        <w:rPr>
          <w:color w:val="000000"/>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color w:val="000000"/>
          <w:szCs w:val="21"/>
        </w:rPr>
      </w:pPr>
      <w:r>
        <w:rPr>
          <w:color w:val="000000"/>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color w:val="000000"/>
          <w:szCs w:val="21"/>
        </w:rPr>
      </w:pPr>
      <w:r>
        <w:rPr>
          <w:color w:val="000000"/>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color w:val="000000"/>
          <w:szCs w:val="21"/>
        </w:rPr>
      </w:pPr>
      <w:r>
        <w:rPr>
          <w:color w:val="000000"/>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360" w:lineRule="auto"/>
        <w:rPr>
          <w:color w:val="000000"/>
          <w:szCs w:val="21"/>
        </w:rPr>
      </w:pPr>
      <w:r>
        <w:rPr>
          <w:color w:val="000000"/>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color w:val="000000"/>
          <w:szCs w:val="21"/>
        </w:rPr>
      </w:pPr>
      <w:r>
        <w:rPr>
          <w:color w:val="000000"/>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color w:val="000000"/>
          <w:szCs w:val="21"/>
        </w:rPr>
      </w:pPr>
      <w:r>
        <w:rPr>
          <w:color w:val="000000"/>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color w:val="000000"/>
          <w:szCs w:val="21"/>
        </w:rPr>
      </w:pPr>
      <w:r>
        <w:rPr>
          <w:color w:val="000000"/>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color w:val="000000"/>
          <w:szCs w:val="21"/>
        </w:rPr>
      </w:pPr>
      <w:r>
        <w:rPr>
          <w:color w:val="000000"/>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color w:val="000000"/>
          <w:szCs w:val="21"/>
        </w:rPr>
      </w:pPr>
      <w:r>
        <w:rPr>
          <w:color w:val="000000"/>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color w:val="000000"/>
          <w:szCs w:val="21"/>
        </w:rPr>
      </w:pPr>
      <w:r>
        <w:rPr>
          <w:color w:val="000000"/>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color w:val="000000"/>
          <w:szCs w:val="21"/>
        </w:rPr>
      </w:pPr>
      <w:r>
        <w:rPr>
          <w:color w:val="000000"/>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color w:val="000000"/>
          <w:szCs w:val="21"/>
        </w:rPr>
      </w:pPr>
      <w:r>
        <w:rPr>
          <w:color w:val="000000"/>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color w:val="000000"/>
          <w:szCs w:val="21"/>
        </w:rPr>
      </w:pPr>
      <w:r>
        <w:rPr>
          <w:color w:val="000000"/>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color w:val="000000"/>
          <w:szCs w:val="21"/>
        </w:rPr>
      </w:pPr>
      <w:r>
        <w:rPr>
          <w:color w:val="000000"/>
          <w:szCs w:val="21"/>
        </w:rPr>
        <w:t xml:space="preserve">五、企业类型的划分以统计部门的统计数据为依据。</w:t>
      </w:r>
      <w:r/>
    </w:p>
    <w:p>
      <w:pPr>
        <w:ind w:firstLine="420"/>
        <w:jc w:val="left"/>
        <w:spacing w:line="360" w:lineRule="auto"/>
        <w:rPr>
          <w:color w:val="000000"/>
          <w:szCs w:val="21"/>
        </w:rPr>
      </w:pPr>
      <w:r>
        <w:rPr>
          <w:color w:val="000000"/>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color w:val="000000"/>
          <w:szCs w:val="21"/>
        </w:rPr>
      </w:pPr>
      <w:r>
        <w:rPr>
          <w:color w:val="000000"/>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color w:val="000000"/>
          <w:szCs w:val="21"/>
        </w:rPr>
      </w:pPr>
      <w:r>
        <w:rPr>
          <w:color w:val="000000"/>
          <w:szCs w:val="21"/>
        </w:rPr>
        <w:t xml:space="preserve">八、本规定由工业和信息化部、国家统计局会同有关部门根据《国民经济行业分类》修订情况和企业发展变化情况适时修订。</w:t>
      </w:r>
      <w:r/>
    </w:p>
    <w:p>
      <w:pPr>
        <w:ind w:firstLine="420"/>
        <w:jc w:val="left"/>
        <w:spacing w:line="360" w:lineRule="auto"/>
        <w:rPr>
          <w:color w:val="000000"/>
          <w:szCs w:val="21"/>
        </w:rPr>
      </w:pPr>
      <w:r>
        <w:rPr>
          <w:color w:val="000000"/>
          <w:szCs w:val="21"/>
        </w:rPr>
        <w:t xml:space="preserve">九、本规定由工业和信息化部、国家统计局会同有关部门负责解释。</w:t>
      </w:r>
      <w:r/>
    </w:p>
    <w:p>
      <w:pPr>
        <w:ind w:firstLine="420"/>
        <w:jc w:val="left"/>
        <w:spacing w:line="360" w:lineRule="auto"/>
        <w:rPr>
          <w:color w:val="000000"/>
          <w:szCs w:val="21"/>
        </w:rPr>
      </w:pPr>
      <w:r>
        <w:rPr>
          <w:color w:val="000000"/>
          <w:szCs w:val="21"/>
        </w:rPr>
        <w:t xml:space="preserve">十、本规定自发布之日起执行，原国家经贸委、原国家计委、财政部和国家统计局2003年颁布的《中小企业标准暂行规定》同时废止。</w:t>
      </w:r>
      <w:r/>
    </w:p>
    <w:p>
      <w:pPr>
        <w:spacing w:line="360" w:lineRule="auto"/>
        <w:rPr>
          <w:b/>
          <w:color w:val="000000"/>
        </w:rPr>
        <w:outlineLvl w:val="1"/>
      </w:pPr>
      <w:r>
        <w:rPr>
          <w:color w:val="000000"/>
          <w:szCs w:val="21"/>
        </w:rPr>
        <w:br w:type="page" w:clear="all"/>
      </w:r>
      <w:bookmarkStart w:id="279" w:name="_Toc19906"/>
      <w:r/>
      <w:bookmarkStart w:id="280" w:name="_Toc9299"/>
      <w:r>
        <w:rPr>
          <w:b/>
          <w:bCs/>
          <w:color w:val="000000"/>
          <w:sz w:val="24"/>
          <w:szCs w:val="22"/>
          <w:lang w:val="zh-CN"/>
        </w:rPr>
        <w:t xml:space="preserve">附件</w:t>
      </w:r>
      <w:r>
        <w:rPr>
          <w:b/>
          <w:bCs/>
          <w:color w:val="000000"/>
          <w:sz w:val="24"/>
          <w:szCs w:val="22"/>
        </w:rPr>
        <w:t xml:space="preserve">八</w:t>
      </w:r>
      <w:r>
        <w:rPr>
          <w:b/>
          <w:bCs/>
          <w:color w:val="000000"/>
          <w:sz w:val="24"/>
          <w:szCs w:val="22"/>
          <w:lang w:val="zh-CN"/>
        </w:rPr>
        <w:t xml:space="preserve"> 资格证明文件</w:t>
      </w:r>
      <w:bookmarkEnd w:id="258"/>
      <w:r/>
      <w:bookmarkEnd w:id="259"/>
      <w:r/>
      <w:bookmarkEnd w:id="279"/>
      <w:r/>
      <w:bookmarkEnd w:id="280"/>
      <w:r/>
      <w:r/>
    </w:p>
    <w:p>
      <w:pPr>
        <w:jc w:val="left"/>
        <w:spacing w:line="360" w:lineRule="auto"/>
        <w:rPr>
          <w:b/>
          <w:bCs/>
          <w:color w:val="000000"/>
          <w:szCs w:val="21"/>
          <w:lang w:val="zh-CN"/>
        </w:rPr>
        <w:outlineLvl w:val="2"/>
      </w:pPr>
      <w:r/>
      <w:bookmarkStart w:id="281" w:name="_Toc5317"/>
      <w:r/>
      <w:bookmarkStart w:id="282" w:name="_Toc12234"/>
      <w:r/>
      <w:bookmarkStart w:id="283" w:name="_Toc7765"/>
      <w:r/>
      <w:bookmarkStart w:id="284" w:name="_Toc4916"/>
      <w:r>
        <w:rPr>
          <w:b/>
          <w:bCs/>
          <w:color w:val="000000"/>
          <w:szCs w:val="21"/>
          <w:lang w:val="zh-CN"/>
        </w:rPr>
        <w:t xml:space="preserve">1、法人或其他组织的营业执照等证明文件（复印件加盖公章）</w:t>
      </w:r>
      <w:bookmarkEnd w:id="281"/>
      <w:r/>
      <w:bookmarkEnd w:id="282"/>
      <w:r/>
      <w:bookmarkEnd w:id="283"/>
      <w:r/>
      <w:bookmarkEnd w:id="284"/>
      <w:r/>
      <w:r/>
    </w:p>
    <w:p>
      <w:pPr>
        <w:spacing w:line="360" w:lineRule="auto"/>
        <w:rPr>
          <w:color w:val="000000"/>
          <w:szCs w:val="21"/>
        </w:rPr>
      </w:pPr>
      <w:r>
        <w:rPr>
          <w:color w:val="000000"/>
          <w:szCs w:val="21"/>
        </w:rPr>
        <w:t xml:space="preserve">注：投标人为法人单位的需提交有效的营业执照并加盖公章，投标人为其他组织的需提供有效的证明文件并加盖有效印章。 </w:t>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Cs w:val="21"/>
        </w:rPr>
      </w:pPr>
      <w:r>
        <w:rPr>
          <w:color w:val="000000"/>
          <w:szCs w:val="21"/>
        </w:rPr>
        <w:t xml:space="preserve">日期：</w:t>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jc w:val="left"/>
        <w:spacing w:line="360" w:lineRule="auto"/>
        <w:rPr>
          <w:b/>
          <w:bCs/>
          <w:color w:val="000000"/>
          <w:szCs w:val="21"/>
          <w:lang w:val="zh-CN"/>
        </w:rPr>
        <w:sectPr>
          <w:footerReference w:type="first" r:id="rId19"/>
          <w:footnotePr/>
          <w:endnotePr/>
          <w:type w:val="nextPage"/>
          <w:pgSz w:w="11906" w:h="16838" w:orient="portrait"/>
          <w:pgMar w:top="1134" w:right="1134" w:bottom="1134" w:left="1134" w:header="851" w:footer="992" w:gutter="0"/>
          <w:cols w:num="1" w:sep="0" w:space="720" w:equalWidth="1"/>
          <w:docGrid w:linePitch="360"/>
          <w:titlePg/>
        </w:sectPr>
      </w:pPr>
      <w:r>
        <w:rPr>
          <w:b/>
          <w:bCs/>
          <w:color w:val="000000"/>
          <w:szCs w:val="21"/>
          <w:lang w:val="zh-CN"/>
        </w:rPr>
      </w:r>
      <w:r/>
    </w:p>
    <w:p>
      <w:pPr>
        <w:jc w:val="left"/>
        <w:spacing w:line="360" w:lineRule="auto"/>
        <w:rPr>
          <w:b/>
          <w:bCs/>
          <w:color w:val="000000"/>
          <w:szCs w:val="21"/>
          <w:lang w:val="zh-CN"/>
        </w:rPr>
        <w:outlineLvl w:val="2"/>
      </w:pPr>
      <w:r/>
      <w:bookmarkStart w:id="285" w:name="_Toc27709"/>
      <w:r/>
      <w:bookmarkStart w:id="286" w:name="_Toc24535"/>
      <w:r/>
      <w:bookmarkStart w:id="287" w:name="_Toc26588"/>
      <w:r/>
      <w:bookmarkStart w:id="288" w:name="_Toc26989"/>
      <w:r>
        <w:rPr>
          <w:b/>
          <w:bCs/>
          <w:color w:val="000000"/>
          <w:szCs w:val="21"/>
          <w:lang w:val="zh-CN"/>
        </w:rPr>
        <w:t xml:space="preserve">2、法人代表授权书</w:t>
      </w:r>
      <w:bookmarkEnd w:id="285"/>
      <w:r/>
      <w:bookmarkEnd w:id="286"/>
      <w:r/>
      <w:bookmarkEnd w:id="287"/>
      <w:r/>
      <w:bookmarkEnd w:id="288"/>
      <w:r/>
      <w:r/>
    </w:p>
    <w:p>
      <w:pPr>
        <w:spacing w:line="360" w:lineRule="auto"/>
        <w:rPr>
          <w:b/>
          <w:color w:val="000000"/>
        </w:rPr>
      </w:pPr>
      <w:r>
        <w:rPr>
          <w:b/>
          <w:color w:val="000000"/>
        </w:rPr>
        <w:t xml:space="preserve">致江苏苏美达仪器设备有限公司：</w:t>
      </w:r>
      <w:r/>
    </w:p>
    <w:p>
      <w:pPr>
        <w:spacing w:line="360" w:lineRule="auto"/>
        <w:rPr>
          <w:color w:val="000000"/>
          <w:szCs w:val="21"/>
        </w:rPr>
      </w:pPr>
      <w:r>
        <w:rPr>
          <w:b/>
          <w:color w:val="000000"/>
        </w:rPr>
        <w:t xml:space="preserve">   </w:t>
      </w:r>
      <w:r>
        <w:rPr>
          <w:color w:val="000000"/>
          <w:szCs w:val="21"/>
        </w:rPr>
        <w:t xml:space="preserve">本授权委托书声明：注册于</w:t>
      </w:r>
      <w:r>
        <w:rPr>
          <w:color w:val="000000"/>
          <w:szCs w:val="21"/>
          <w:u w:val="single"/>
        </w:rPr>
        <w:t xml:space="preserve">                </w:t>
      </w:r>
      <w:r>
        <w:rPr>
          <w:color w:val="000000"/>
          <w:szCs w:val="21"/>
        </w:rPr>
        <w:t xml:space="preserve">（投标人住址）的</w:t>
      </w:r>
      <w:r>
        <w:rPr>
          <w:bCs/>
          <w:color w:val="000000"/>
          <w:szCs w:val="21"/>
          <w:u w:val="single"/>
        </w:rPr>
        <w:t xml:space="preserve">              </w:t>
      </w:r>
      <w:r>
        <w:rPr>
          <w:color w:val="000000"/>
          <w:szCs w:val="21"/>
        </w:rPr>
        <w:t xml:space="preserve">（投标人名称）法定代表人</w:t>
      </w:r>
      <w:r>
        <w:rPr>
          <w:color w:val="000000"/>
          <w:szCs w:val="21"/>
          <w:u w:val="single"/>
        </w:rPr>
        <w:t xml:space="preserve">           </w:t>
      </w:r>
      <w:r>
        <w:rPr>
          <w:color w:val="000000"/>
          <w:szCs w:val="21"/>
        </w:rPr>
        <w:t xml:space="preserve">（法定代表人姓名、职务）代表本公司授权在下面签字的</w:t>
      </w:r>
      <w:r>
        <w:rPr>
          <w:color w:val="000000"/>
          <w:szCs w:val="21"/>
          <w:u w:val="single"/>
        </w:rPr>
        <w:t xml:space="preserve">         </w:t>
      </w:r>
      <w:r>
        <w:rPr>
          <w:color w:val="000000"/>
          <w:szCs w:val="21"/>
        </w:rPr>
        <w:t xml:space="preserve">（投标人代表姓名、职务）为本公司的合法代理人，就贵方组织的</w:t>
      </w:r>
      <w:r>
        <w:rPr>
          <w:color w:val="000000"/>
          <w:szCs w:val="21"/>
          <w:u w:val="single"/>
        </w:rPr>
        <w:t xml:space="preserve">         </w:t>
      </w:r>
      <w:r>
        <w:rPr>
          <w:color w:val="000000"/>
          <w:szCs w:val="21"/>
        </w:rPr>
        <w:t xml:space="preserve">（项目名称）</w:t>
      </w:r>
      <w:r>
        <w:rPr>
          <w:color w:val="000000"/>
          <w:szCs w:val="21"/>
          <w:u w:val="single"/>
        </w:rPr>
        <w:t xml:space="preserve">            </w:t>
      </w:r>
      <w:r>
        <w:rPr>
          <w:color w:val="000000"/>
          <w:szCs w:val="21"/>
        </w:rPr>
        <w:t xml:space="preserve">（招标编号）投标，以本公司名义处理一切与之有关的事务。</w:t>
      </w:r>
      <w:r/>
    </w:p>
    <w:p>
      <w:pPr>
        <w:ind w:firstLine="420"/>
        <w:jc w:val="left"/>
        <w:spacing w:line="360" w:lineRule="auto"/>
        <w:shd w:val="clear" w:color="auto" w:fill="ffffff"/>
        <w:widowControl/>
        <w:rPr>
          <w:color w:val="000000"/>
          <w:szCs w:val="21"/>
        </w:rPr>
      </w:pPr>
      <w:r>
        <w:rPr>
          <w:color w:val="000000"/>
          <w:szCs w:val="21"/>
        </w:rPr>
        <w:t xml:space="preserve">本授权书于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日签字生效，特此声明。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法定代表人签字： </w:t>
      </w:r>
      <w:r/>
    </w:p>
    <w:p>
      <w:pPr>
        <w:spacing w:line="360" w:lineRule="auto"/>
        <w:rPr>
          <w:color w:val="000000"/>
          <w:szCs w:val="21"/>
        </w:rPr>
      </w:pPr>
      <w:r>
        <w:rPr>
          <w:color w:val="000000"/>
          <w:szCs w:val="21"/>
        </w:rPr>
        <w:t xml:space="preserve">授权代表签字： </w:t>
      </w:r>
      <w:r/>
    </w:p>
    <w:p>
      <w:pPr>
        <w:spacing w:line="360" w:lineRule="auto"/>
        <w:rPr>
          <w:color w:val="000000"/>
          <w:sz w:val="23"/>
        </w:rPr>
      </w:pPr>
      <w:r>
        <w:rPr>
          <w:color w:val="000000"/>
          <w:szCs w:val="21"/>
        </w:rPr>
        <w:t xml:space="preserve">投标人名称（公章）：</w:t>
      </w:r>
      <w:r>
        <w:rPr>
          <w:color w:val="000000"/>
          <w:sz w:val="23"/>
        </w:rPr>
        <w:t xml:space="preserve"> </w:t>
      </w:r>
      <w:r/>
    </w:p>
    <w:p>
      <w:pPr>
        <w:spacing w:line="440" w:lineRule="exact"/>
        <w:rPr>
          <w:color w:val="000000"/>
          <w:szCs w:val="21"/>
        </w:rPr>
      </w:pPr>
      <w:r>
        <w:rPr>
          <w:color w:val="000000"/>
          <w:szCs w:val="21"/>
        </w:rPr>
        <w:t xml:space="preserve">日期：</w:t>
      </w:r>
      <w:r/>
    </w:p>
    <w:p>
      <w:pPr>
        <w:spacing w:line="360" w:lineRule="auto"/>
        <w:rPr>
          <w:b/>
          <w:color w:val="000000"/>
          <w:szCs w:val="21"/>
        </w:rPr>
      </w:pPr>
      <w:r>
        <w:rPr>
          <w:color w:val="000000"/>
          <w:sz w:val="23"/>
        </w:rPr>
        <w:t xml:space="preserve"> </w:t>
      </w:r>
      <w:r/>
    </w:p>
    <w:p>
      <w:pPr>
        <w:spacing w:line="360" w:lineRule="auto"/>
        <w:rPr>
          <w:b/>
          <w:bCs/>
          <w:color w:val="000000"/>
          <w:szCs w:val="21"/>
        </w:rPr>
      </w:pPr>
      <w:r>
        <w:rPr>
          <w:b/>
          <w:bCs/>
          <w:color w:val="000000"/>
          <w:szCs w:val="21"/>
        </w:rPr>
        <w:t xml:space="preserve">附：法定代表人、投标人授权代表的身份证复印件</w:t>
      </w:r>
      <w:r/>
    </w:p>
    <w:tbl>
      <w:tblPr>
        <w:tblStyle w:val="11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440" w:lineRule="exact"/>
              <w:rPr>
                <w:b/>
                <w:color w:val="000000"/>
              </w:rPr>
            </w:pPr>
            <w:r>
              <w:rPr>
                <w:b/>
                <w:color w:val="000000"/>
              </w:rPr>
            </w:r>
            <w:r/>
          </w:p>
        </w:tc>
      </w:tr>
    </w:tbl>
    <w:p>
      <w:pPr>
        <w:ind w:right="-5"/>
        <w:spacing w:line="360" w:lineRule="auto"/>
        <w:rPr>
          <w:color w:val="000000"/>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sz w:val="24"/>
          <w:szCs w:val="24"/>
        </w:rPr>
      </w:r>
      <w:r/>
    </w:p>
    <w:p>
      <w:pPr>
        <w:jc w:val="left"/>
        <w:spacing w:line="360" w:lineRule="auto"/>
        <w:rPr>
          <w:b/>
          <w:bCs/>
          <w:color w:val="000000"/>
          <w:szCs w:val="21"/>
          <w:lang w:val="zh-CN"/>
        </w:rPr>
        <w:outlineLvl w:val="2"/>
      </w:pPr>
      <w:r/>
      <w:bookmarkStart w:id="289" w:name="_Toc14112"/>
      <w:r/>
      <w:bookmarkStart w:id="290" w:name="_Toc24273"/>
      <w:r/>
      <w:bookmarkStart w:id="291" w:name="_Toc27067"/>
      <w:r/>
      <w:bookmarkStart w:id="292" w:name="_Toc3078"/>
      <w:r>
        <w:rPr>
          <w:rFonts w:hint="eastAsia"/>
          <w:b/>
          <w:bCs/>
          <w:color w:val="000000"/>
          <w:szCs w:val="21"/>
        </w:rPr>
        <w:t xml:space="preserve">3</w:t>
      </w:r>
      <w:r>
        <w:rPr>
          <w:b/>
          <w:bCs/>
          <w:color w:val="000000"/>
          <w:szCs w:val="21"/>
          <w:lang w:val="zh-CN"/>
        </w:rPr>
        <w:t xml:space="preserve">、具有良好的商业信誉和健全的财务会计制度</w:t>
      </w:r>
      <w:bookmarkEnd w:id="289"/>
      <w:r/>
      <w:bookmarkEnd w:id="290"/>
      <w:r/>
      <w:bookmarkEnd w:id="291"/>
      <w:r/>
      <w:bookmarkEnd w:id="292"/>
      <w:r/>
      <w:r/>
    </w:p>
    <w:p>
      <w:pPr>
        <w:ind w:left="-2" w:right="-5"/>
        <w:spacing w:line="440" w:lineRule="exact"/>
        <w:rPr>
          <w:color w:val="000000"/>
          <w:sz w:val="24"/>
        </w:rPr>
      </w:pPr>
      <w:r>
        <w:rPr>
          <w:color w:val="000000"/>
          <w:sz w:val="24"/>
        </w:rPr>
      </w:r>
      <w:r/>
    </w:p>
    <w:p>
      <w:pPr>
        <w:jc w:val="left"/>
        <w:spacing w:line="360" w:lineRule="auto"/>
        <w:rPr>
          <w:color w:val="000000"/>
          <w:szCs w:val="21"/>
          <w:lang w:val="zh-CN"/>
        </w:rPr>
      </w:pPr>
      <w:r>
        <w:rPr>
          <w:color w:val="000000"/>
          <w:szCs w:val="21"/>
          <w:lang w:val="zh-CN"/>
        </w:rPr>
        <w:t xml:space="preserve">提供距开标时间六个月内任意一月份的财务状况报告（</w:t>
      </w:r>
      <w:r>
        <w:rPr>
          <w:color w:val="000000"/>
          <w:szCs w:val="21"/>
          <w:u w:val="single"/>
          <w:lang w:val="zh-CN"/>
        </w:rPr>
        <w:t xml:space="preserve">至少包括资产负债表和利润表</w:t>
      </w:r>
      <w:r>
        <w:rPr>
          <w:color w:val="000000"/>
          <w:szCs w:val="21"/>
          <w:lang w:val="zh-CN"/>
        </w:rPr>
        <w:t xml:space="preserve">）（法人或者其他组织成立未满三个月的可以不提供），或其银行出具的资信证书（复印件）（开标前六个月内），或其上一年度经审计的财务报告复印件加盖公章</w:t>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Cs w:val="21"/>
        </w:rPr>
      </w:pPr>
      <w:r>
        <w:rPr>
          <w:color w:val="000000"/>
          <w:szCs w:val="21"/>
        </w:rPr>
        <w:t xml:space="preserve">日期：</w:t>
      </w:r>
      <w:r/>
    </w:p>
    <w:p>
      <w:pPr>
        <w:ind w:left="-2" w:right="-5"/>
        <w:spacing w:line="440" w:lineRule="exact"/>
        <w:rPr>
          <w:color w:val="000000"/>
          <w:sz w:val="24"/>
        </w:rPr>
      </w:pPr>
      <w:r>
        <w:rPr>
          <w:color w:val="000000"/>
          <w:sz w:val="24"/>
        </w:rPr>
      </w:r>
      <w:r/>
    </w:p>
    <w:p>
      <w:pPr>
        <w:ind w:left="-2" w:right="-5"/>
        <w:spacing w:line="440" w:lineRule="exact"/>
        <w:rPr>
          <w:color w:val="000000"/>
          <w:szCs w:val="21"/>
        </w:rPr>
      </w:pPr>
      <w:r>
        <w:rPr>
          <w:color w:val="000000"/>
          <w:szCs w:val="21"/>
        </w:rPr>
        <w:t xml:space="preserve">说明：</w:t>
      </w:r>
      <w:r/>
    </w:p>
    <w:p>
      <w:pPr>
        <w:ind w:left="-2" w:right="-5"/>
        <w:spacing w:line="440" w:lineRule="exact"/>
        <w:rPr>
          <w:color w:val="000000"/>
          <w:szCs w:val="21"/>
        </w:rPr>
      </w:pPr>
      <w:r>
        <w:rPr>
          <w:color w:val="000000"/>
          <w:szCs w:val="21"/>
        </w:rPr>
        <w:t xml:space="preserve">1、审计报告复印件至少应包括资产负债表、利润表、现金流量表及其附注、加盖会计师事务所公章页。 </w:t>
      </w:r>
      <w:r/>
    </w:p>
    <w:p>
      <w:pPr>
        <w:ind w:left="-2" w:right="-5"/>
        <w:spacing w:line="440" w:lineRule="exact"/>
        <w:rPr>
          <w:color w:val="000000"/>
          <w:szCs w:val="21"/>
        </w:rPr>
      </w:pPr>
      <w:r>
        <w:rPr>
          <w:color w:val="000000"/>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p>
    <w:p>
      <w:pPr>
        <w:ind w:left="-2" w:right="-5"/>
        <w:spacing w:line="440" w:lineRule="exact"/>
        <w:rPr>
          <w:color w:val="000000"/>
          <w:szCs w:val="21"/>
        </w:rPr>
      </w:pPr>
      <w:r>
        <w:rPr>
          <w:color w:val="000000"/>
          <w:szCs w:val="21"/>
        </w:rPr>
        <w:t xml:space="preserve">3、银行资信证明可以是复印件并加盖投标人公章，评标委员会保留审核原件的权利。 </w:t>
      </w:r>
      <w:r/>
    </w:p>
    <w:p>
      <w:pPr>
        <w:ind w:left="-2" w:right="-5"/>
        <w:spacing w:line="440" w:lineRule="exact"/>
        <w:rPr>
          <w:color w:val="000000"/>
          <w:szCs w:val="21"/>
        </w:rPr>
      </w:pPr>
      <w:r>
        <w:rPr>
          <w:color w:val="000000"/>
          <w:szCs w:val="21"/>
        </w:rPr>
        <w:t xml:space="preserve">4、银行资信证明应能说明该投标人与银行之间业务往来正常，无不良记录，企业信誉良好等。银行出具的存款证明不能作为银行资信证明。 </w:t>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jc w:val="left"/>
        <w:spacing w:line="440" w:lineRule="exact"/>
        <w:rPr>
          <w:color w:val="000000"/>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sz w:val="24"/>
          <w:szCs w:val="24"/>
        </w:rPr>
      </w:r>
      <w:r/>
    </w:p>
    <w:p>
      <w:pPr>
        <w:jc w:val="left"/>
        <w:spacing w:line="360" w:lineRule="auto"/>
        <w:rPr>
          <w:b/>
          <w:bCs/>
          <w:color w:val="000000"/>
          <w:szCs w:val="21"/>
          <w:lang w:val="zh-CN"/>
        </w:rPr>
        <w:outlineLvl w:val="2"/>
      </w:pPr>
      <w:r/>
      <w:bookmarkStart w:id="293" w:name="_Toc4018"/>
      <w:r/>
      <w:bookmarkStart w:id="294" w:name="_Toc15262"/>
      <w:r/>
      <w:bookmarkStart w:id="295" w:name="_Toc23961"/>
      <w:r/>
      <w:bookmarkStart w:id="296" w:name="_Toc23874"/>
      <w:r>
        <w:rPr>
          <w:rFonts w:hint="eastAsia"/>
          <w:b/>
          <w:bCs/>
          <w:color w:val="000000"/>
          <w:szCs w:val="21"/>
        </w:rPr>
        <w:t xml:space="preserve">4</w:t>
      </w:r>
      <w:r>
        <w:rPr>
          <w:b/>
          <w:bCs/>
          <w:color w:val="000000"/>
          <w:szCs w:val="21"/>
        </w:rPr>
        <w:t xml:space="preserve">、</w:t>
      </w:r>
      <w:r>
        <w:rPr>
          <w:b/>
          <w:bCs/>
          <w:color w:val="000000"/>
          <w:szCs w:val="21"/>
          <w:lang w:val="zh-CN"/>
        </w:rPr>
        <w:t xml:space="preserve">具有履行合同所必需的设备和专业技术能力</w:t>
      </w:r>
      <w:bookmarkEnd w:id="293"/>
      <w:r/>
      <w:bookmarkEnd w:id="294"/>
      <w:r/>
      <w:bookmarkEnd w:id="295"/>
      <w:r/>
      <w:bookmarkEnd w:id="296"/>
      <w:r/>
      <w:r/>
    </w:p>
    <w:p>
      <w:pPr>
        <w:jc w:val="left"/>
        <w:spacing w:line="440" w:lineRule="exact"/>
        <w:rPr>
          <w:color w:val="000000"/>
        </w:rPr>
      </w:pPr>
      <w:r>
        <w:rPr>
          <w:color w:val="000000"/>
        </w:rPr>
        <w:t xml:space="preserve">根据项目需求提供履行合同所必需的设备和专业技术能力的证明材料或相关加盖公章的承诺函，承诺函自行编写</w:t>
      </w:r>
      <w:r/>
    </w:p>
    <w:p>
      <w:pPr>
        <w:jc w:val="left"/>
        <w:spacing w:line="440" w:lineRule="exact"/>
        <w:rPr>
          <w:color w:val="000000"/>
        </w:rPr>
      </w:pPr>
      <w:r>
        <w:rPr>
          <w:color w:val="000000"/>
        </w:rPr>
      </w:r>
      <w:r/>
    </w:p>
    <w:p>
      <w:pPr>
        <w:jc w:val="left"/>
        <w:spacing w:line="440" w:lineRule="exact"/>
        <w:rPr>
          <w:color w:val="000000"/>
        </w:rPr>
      </w:pPr>
      <w:r>
        <w:rPr>
          <w:color w:val="000000"/>
        </w:rPr>
        <w:t xml:space="preserve">承诺函参考格式：</w:t>
      </w:r>
      <w:r/>
    </w:p>
    <w:p>
      <w:pPr>
        <w:pStyle w:val="1183"/>
        <w:ind w:firstLine="211"/>
        <w:jc w:val="center"/>
        <w:rPr>
          <w:b/>
          <w:color w:val="000000"/>
          <w:sz w:val="21"/>
        </w:rPr>
      </w:pPr>
      <w:r>
        <w:rPr>
          <w:b/>
          <w:color w:val="000000"/>
          <w:sz w:val="21"/>
        </w:rPr>
        <w:t xml:space="preserve">承诺函</w:t>
      </w:r>
      <w:r/>
    </w:p>
    <w:p>
      <w:pPr>
        <w:pStyle w:val="1183"/>
        <w:ind w:firstLine="210"/>
        <w:rPr>
          <w:color w:val="000000"/>
          <w:sz w:val="21"/>
        </w:rPr>
      </w:pPr>
      <w:r>
        <w:rPr>
          <w:color w:val="000000"/>
          <w:sz w:val="21"/>
        </w:rPr>
      </w:r>
      <w:r/>
    </w:p>
    <w:p>
      <w:pPr>
        <w:pStyle w:val="1183"/>
        <w:ind w:firstLine="210"/>
        <w:rPr>
          <w:color w:val="000000"/>
          <w:sz w:val="21"/>
        </w:rPr>
      </w:pPr>
      <w:r>
        <w:rPr>
          <w:color w:val="000000"/>
          <w:sz w:val="21"/>
        </w:rPr>
        <w:t xml:space="preserve">我单位承诺：</w:t>
      </w:r>
      <w:r>
        <w:rPr>
          <w:bCs/>
          <w:color w:val="000000"/>
          <w:sz w:val="21"/>
          <w:lang w:val="zh-CN"/>
        </w:rPr>
        <w:t xml:space="preserve">具有履行合同所必需的设备和专业技术能力。</w:t>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Cs w:val="21"/>
        </w:rPr>
      </w:pPr>
      <w:r>
        <w:rPr>
          <w:color w:val="000000"/>
          <w:szCs w:val="21"/>
        </w:rPr>
        <w:t xml:space="preserve">日期：</w:t>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sz w:val="24"/>
          <w:szCs w:val="24"/>
        </w:rPr>
      </w:r>
      <w:r/>
    </w:p>
    <w:p>
      <w:pPr>
        <w:jc w:val="left"/>
        <w:spacing w:line="360" w:lineRule="auto"/>
        <w:rPr>
          <w:b/>
          <w:bCs/>
          <w:color w:val="000000"/>
          <w:szCs w:val="21"/>
        </w:rPr>
        <w:outlineLvl w:val="2"/>
      </w:pPr>
      <w:r/>
      <w:bookmarkStart w:id="297" w:name="_Toc1099"/>
      <w:r/>
      <w:bookmarkStart w:id="298" w:name="_Toc6598"/>
      <w:r/>
      <w:bookmarkStart w:id="299" w:name="_Toc17836"/>
      <w:r/>
      <w:bookmarkStart w:id="300" w:name="_Toc19612"/>
      <w:r>
        <w:rPr>
          <w:rFonts w:hint="eastAsia"/>
          <w:b/>
          <w:bCs/>
          <w:color w:val="000000"/>
          <w:szCs w:val="21"/>
        </w:rPr>
        <w:t xml:space="preserve">5</w:t>
      </w:r>
      <w:r>
        <w:rPr>
          <w:b/>
          <w:bCs/>
          <w:color w:val="000000"/>
          <w:szCs w:val="21"/>
        </w:rPr>
        <w:t xml:space="preserve">、参加政府采购活动近三年内（成立时间不足三年的、自成立时间起），在经营活动中没有重大违法记录</w:t>
      </w:r>
      <w:bookmarkEnd w:id="297"/>
      <w:r/>
      <w:bookmarkEnd w:id="298"/>
      <w:r/>
      <w:bookmarkEnd w:id="299"/>
      <w:r/>
      <w:bookmarkEnd w:id="300"/>
      <w:r/>
      <w:r/>
    </w:p>
    <w:p>
      <w:pPr>
        <w:jc w:val="center"/>
        <w:spacing w:line="440" w:lineRule="exact"/>
        <w:tabs>
          <w:tab w:val="left" w:pos="972" w:leader="none"/>
        </w:tabs>
        <w:rPr>
          <w:b/>
          <w:bCs/>
          <w:color w:val="000000"/>
          <w:sz w:val="24"/>
          <w:szCs w:val="24"/>
        </w:rPr>
      </w:pPr>
      <w:r>
        <w:rPr>
          <w:b/>
          <w:bCs/>
          <w:color w:val="000000"/>
          <w:sz w:val="24"/>
          <w:szCs w:val="24"/>
        </w:rPr>
      </w:r>
      <w:r/>
    </w:p>
    <w:p>
      <w:pPr>
        <w:spacing w:line="440" w:lineRule="exact"/>
        <w:tabs>
          <w:tab w:val="left" w:pos="972" w:leader="none"/>
        </w:tabs>
        <w:rPr>
          <w:color w:val="000000"/>
          <w:szCs w:val="21"/>
        </w:rPr>
      </w:pPr>
      <w:r>
        <w:rPr>
          <w:color w:val="000000"/>
          <w:szCs w:val="21"/>
        </w:rPr>
        <w:t xml:space="preserve">参考格式：</w:t>
      </w:r>
      <w:r>
        <w:rPr>
          <w:color w:val="000000"/>
          <w:szCs w:val="21"/>
        </w:rPr>
        <w:tab/>
      </w:r>
      <w:r/>
    </w:p>
    <w:p>
      <w:pPr>
        <w:jc w:val="center"/>
        <w:rPr>
          <w:b/>
          <w:color w:val="000000"/>
          <w:szCs w:val="21"/>
        </w:rPr>
      </w:pPr>
      <w:r>
        <w:rPr>
          <w:b/>
          <w:color w:val="000000"/>
          <w:szCs w:val="21"/>
        </w:rPr>
        <w:t xml:space="preserve">无重大违法记录声明</w:t>
      </w:r>
      <w:r/>
    </w:p>
    <w:p>
      <w:pPr>
        <w:rPr>
          <w:color w:val="000000"/>
          <w:sz w:val="30"/>
          <w:szCs w:val="30"/>
        </w:rPr>
      </w:pPr>
      <w:r>
        <w:rPr>
          <w:color w:val="000000"/>
          <w:sz w:val="30"/>
          <w:szCs w:val="30"/>
        </w:rPr>
      </w:r>
      <w:r/>
    </w:p>
    <w:p>
      <w:pPr>
        <w:ind w:firstLine="420"/>
        <w:spacing w:line="360" w:lineRule="auto"/>
        <w:rPr>
          <w:color w:val="000000"/>
        </w:rPr>
      </w:pPr>
      <w:r>
        <w:rPr>
          <w:color w:val="000000"/>
          <w:szCs w:val="21"/>
        </w:rPr>
        <w:t xml:space="preserve">江苏苏美达仪器设备有限公司</w:t>
      </w:r>
      <w:r>
        <w:rPr>
          <w:color w:val="000000"/>
        </w:rPr>
        <w:t xml:space="preserve">：</w:t>
      </w:r>
      <w:r/>
    </w:p>
    <w:p>
      <w:pPr>
        <w:ind w:firstLine="420"/>
        <w:spacing w:line="360" w:lineRule="auto"/>
        <w:rPr>
          <w:color w:val="000000"/>
        </w:rPr>
      </w:pPr>
      <w:r>
        <w:rPr>
          <w:color w:val="000000"/>
        </w:rPr>
      </w:r>
      <w:r/>
    </w:p>
    <w:p>
      <w:pPr>
        <w:ind w:firstLine="420"/>
        <w:spacing w:line="360" w:lineRule="auto"/>
        <w:rPr>
          <w:color w:val="000000"/>
        </w:rPr>
      </w:pPr>
      <w:r>
        <w:rPr>
          <w:color w:val="000000"/>
        </w:rPr>
        <w:t xml:space="preserve">我单位</w:t>
      </w:r>
      <w:r>
        <w:rPr>
          <w:color w:val="000000"/>
          <w:u w:val="single"/>
        </w:rPr>
        <w:t xml:space="preserve">                </w:t>
      </w:r>
      <w:r>
        <w:rPr>
          <w:color w:val="000000"/>
        </w:rPr>
        <w:t xml:space="preserve">（供应商名称）郑重声明：</w:t>
      </w:r>
      <w:r/>
    </w:p>
    <w:p>
      <w:pPr>
        <w:ind w:firstLine="420"/>
        <w:spacing w:line="360" w:lineRule="auto"/>
        <w:rPr>
          <w:color w:val="000000"/>
        </w:rPr>
      </w:pPr>
      <w:r>
        <w:rPr>
          <w:color w:val="000000"/>
        </w:rPr>
        <w:t xml:space="preserve">参加政府采购活动前3年内在经营活动中</w:t>
      </w:r>
      <w:r>
        <w:rPr>
          <w:color w:val="000000"/>
          <w:u w:val="single"/>
        </w:rPr>
        <w:t xml:space="preserve">        </w:t>
      </w:r>
      <w:r>
        <w:rPr>
          <w:color w:val="000000"/>
        </w:rPr>
        <w:t xml:space="preserve">（在下划线上如实填写：</w:t>
      </w:r>
      <w:r>
        <w:rPr>
          <w:color w:val="000000"/>
          <w:u w:val="single"/>
        </w:rPr>
        <w:t xml:space="preserve">有</w:t>
      </w:r>
      <w:r>
        <w:rPr>
          <w:color w:val="000000"/>
        </w:rPr>
        <w:t xml:space="preserve">或</w:t>
      </w:r>
      <w:r>
        <w:rPr>
          <w:color w:val="000000"/>
          <w:u w:val="single"/>
        </w:rPr>
        <w:t xml:space="preserve">没有</w:t>
      </w:r>
      <w:r>
        <w:rPr>
          <w:color w:val="000000"/>
        </w:rPr>
        <w:t xml:space="preserve">）重大违法记录。</w:t>
      </w:r>
      <w:r/>
    </w:p>
    <w:p>
      <w:pPr>
        <w:spacing w:line="440" w:lineRule="exact"/>
        <w:rPr>
          <w:color w:val="000000"/>
          <w:sz w:val="24"/>
          <w:szCs w:val="24"/>
        </w:rPr>
      </w:pPr>
      <w:r>
        <w:rPr>
          <w:color w:val="000000"/>
        </w:rPr>
        <w:t xml:space="preserve">    （说明：重大违法记录，是指供应商因违法经营受到刑事处罚或者责令停产停业、吊销许可证或者执照、较大数额罚款等行政处罚。）</w:t>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 w:val="24"/>
          <w:szCs w:val="24"/>
        </w:rPr>
      </w:pPr>
      <w:r>
        <w:rPr>
          <w:color w:val="000000"/>
          <w:szCs w:val="21"/>
        </w:rPr>
        <w:t xml:space="preserve">日期：</w:t>
      </w:r>
      <w:r/>
    </w:p>
    <w:p>
      <w:pPr>
        <w:spacing w:line="440" w:lineRule="exact"/>
        <w:rPr>
          <w:color w:val="000000"/>
          <w:sz w:val="24"/>
          <w:szCs w:val="24"/>
        </w:rPr>
      </w:pPr>
      <w:r>
        <w:rPr>
          <w:color w:val="000000"/>
          <w:sz w:val="24"/>
          <w:szCs w:val="24"/>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t xml:space="preserve">注：</w:t>
      </w:r>
      <w:r>
        <w:fldChar w:fldCharType="begin"/>
      </w:r>
      <w:r>
        <w:instrText xml:space="preserve"> HYPERLINK "http://www.creditchina.gov.cn/" \h </w:instrText>
      </w:r>
      <w:r>
        <w:fldChar w:fldCharType="separate"/>
      </w:r>
      <w:r>
        <w:rPr>
          <w:color w:val="000000"/>
          <w:szCs w:val="21"/>
        </w:rPr>
        <w:t xml:space="preserve">1、信用信息查询渠道：信用中国网站</w:t>
      </w:r>
      <w:r>
        <w:rPr>
          <w:color w:val="000000"/>
          <w:szCs w:val="21"/>
        </w:rPr>
        <w:fldChar w:fldCharType="end"/>
      </w:r>
      <w:r>
        <w:rPr>
          <w:color w:val="000000"/>
          <w:szCs w:val="21"/>
        </w:rPr>
        <w:t xml:space="preserve">、中国政府采购网-政府采购严重违法失信行为信息记录； </w:t>
      </w:r>
      <w:r/>
    </w:p>
    <w:p>
      <w:pPr>
        <w:spacing w:line="440" w:lineRule="exact"/>
        <w:rPr>
          <w:color w:val="000000"/>
          <w:szCs w:val="21"/>
        </w:rPr>
      </w:pPr>
      <w:r>
        <w:rPr>
          <w:color w:val="000000"/>
          <w:szCs w:val="21"/>
        </w:rPr>
        <w:t xml:space="preserve">2、信用信息查询截止时点：递交投标文件截止之日24时前。 </w:t>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jc w:val="left"/>
        <w:spacing w:line="360" w:lineRule="auto"/>
        <w:rPr>
          <w:b/>
          <w:bCs/>
          <w:color w:val="000000"/>
          <w:szCs w:val="21"/>
        </w:rPr>
        <w:outlineLvl w:val="2"/>
      </w:pPr>
      <w:r/>
      <w:bookmarkStart w:id="301" w:name="_Toc3968"/>
      <w:r/>
      <w:bookmarkStart w:id="302" w:name="_Toc13811"/>
      <w:r>
        <w:rPr>
          <w:b/>
          <w:bCs/>
          <w:color w:val="000000"/>
          <w:szCs w:val="21"/>
        </w:rPr>
        <w:br w:type="page" w:clear="all"/>
      </w:r>
      <w:bookmarkStart w:id="303" w:name="_Toc417"/>
      <w:r/>
      <w:bookmarkStart w:id="304" w:name="_Toc15535"/>
      <w:r>
        <w:rPr>
          <w:rFonts w:hint="eastAsia"/>
          <w:b/>
          <w:bCs/>
          <w:color w:val="000000"/>
          <w:szCs w:val="21"/>
        </w:rPr>
        <w:t xml:space="preserve">6</w:t>
      </w:r>
      <w:r>
        <w:rPr>
          <w:b/>
          <w:bCs/>
          <w:color w:val="000000"/>
          <w:szCs w:val="21"/>
        </w:rPr>
        <w:t xml:space="preserve">、依法缴纳税收的记录</w:t>
      </w:r>
      <w:bookmarkEnd w:id="301"/>
      <w:r/>
      <w:bookmarkEnd w:id="302"/>
      <w:r/>
      <w:bookmarkEnd w:id="303"/>
      <w:r/>
      <w:bookmarkEnd w:id="304"/>
      <w:r/>
      <w:r/>
    </w:p>
    <w:p>
      <w:pPr>
        <w:spacing w:after="120" w:line="440" w:lineRule="exact"/>
        <w:rPr>
          <w:b/>
          <w:color w:val="000000"/>
          <w:u w:val="single"/>
        </w:rPr>
      </w:pPr>
      <w:r>
        <w:rPr>
          <w:rFonts w:hint="eastAsia"/>
          <w:color w:val="000000"/>
        </w:rPr>
        <w:t xml:space="preserve">（1）</w:t>
      </w:r>
      <w:r>
        <w:rPr>
          <w:color w:val="000000"/>
        </w:rPr>
        <w:t xml:space="preserve">提供距开标时间六个月内任意一月份的纳税（企业代缴的个人所得税除外）凭据复印件加盖公章（依法免税的应提供相应文件说明）</w:t>
      </w:r>
      <w:r>
        <w:rPr>
          <w:color w:val="000000"/>
          <w:szCs w:val="21"/>
          <w:lang w:bidi="en-US"/>
        </w:rPr>
        <w:t xml:space="preserve">；</w:t>
      </w:r>
      <w:r/>
    </w:p>
    <w:p>
      <w:pPr>
        <w:spacing w:after="120" w:line="440" w:lineRule="exact"/>
        <w:rPr>
          <w:color w:val="000000"/>
        </w:rPr>
      </w:pPr>
      <w:r>
        <w:rPr>
          <w:rFonts w:hint="eastAsia"/>
          <w:color w:val="000000"/>
        </w:rPr>
        <w:t xml:space="preserve">（2）</w:t>
      </w:r>
      <w:r>
        <w:rPr>
          <w:color w:val="000000"/>
        </w:rPr>
        <w:t xml:space="preserve">依法免税的供应商，应提供相应的文件证明。 </w:t>
      </w:r>
      <w:r/>
    </w:p>
    <w:p>
      <w:pPr>
        <w:spacing w:after="120" w:line="440" w:lineRule="exact"/>
        <w:rPr>
          <w:b/>
          <w:color w:val="000000"/>
          <w:u w:val="single"/>
        </w:rPr>
      </w:pPr>
      <w:r>
        <w:rPr>
          <w:b/>
          <w:color w:val="000000"/>
          <w:u w:val="single"/>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 w:val="24"/>
          <w:szCs w:val="24"/>
        </w:rPr>
      </w:pPr>
      <w:r>
        <w:rPr>
          <w:color w:val="000000"/>
          <w:szCs w:val="21"/>
        </w:rPr>
        <w:t xml:space="preserve">日期：</w:t>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sz w:val="24"/>
        </w:rPr>
      </w:r>
      <w:r/>
    </w:p>
    <w:p>
      <w:pPr>
        <w:jc w:val="left"/>
        <w:spacing w:line="360" w:lineRule="auto"/>
        <w:rPr>
          <w:b/>
          <w:bCs/>
          <w:color w:val="000000"/>
          <w:szCs w:val="21"/>
        </w:rPr>
        <w:outlineLvl w:val="2"/>
      </w:pPr>
      <w:r/>
      <w:bookmarkStart w:id="305" w:name="_Toc18413"/>
      <w:r/>
      <w:bookmarkStart w:id="306" w:name="_Toc2511"/>
      <w:r/>
      <w:bookmarkStart w:id="307" w:name="_Toc17181"/>
      <w:r/>
      <w:bookmarkStart w:id="308" w:name="_Toc8843"/>
      <w:r>
        <w:rPr>
          <w:rFonts w:hint="eastAsia"/>
          <w:b/>
          <w:bCs/>
          <w:color w:val="000000"/>
          <w:szCs w:val="21"/>
        </w:rPr>
        <w:t xml:space="preserve">7</w:t>
      </w:r>
      <w:r>
        <w:rPr>
          <w:b/>
          <w:bCs/>
          <w:color w:val="000000"/>
          <w:szCs w:val="21"/>
        </w:rPr>
        <w:t xml:space="preserve">、依法缴纳社会保障资金的记录</w:t>
      </w:r>
      <w:bookmarkEnd w:id="305"/>
      <w:r/>
      <w:bookmarkEnd w:id="306"/>
      <w:r/>
      <w:bookmarkEnd w:id="307"/>
      <w:r/>
      <w:bookmarkEnd w:id="308"/>
      <w:r/>
      <w:r/>
    </w:p>
    <w:p>
      <w:pPr>
        <w:spacing w:line="440" w:lineRule="exact"/>
        <w:rPr>
          <w:color w:val="000000"/>
          <w:sz w:val="24"/>
          <w:szCs w:val="24"/>
        </w:rPr>
      </w:pPr>
      <w:r>
        <w:rPr>
          <w:rFonts w:hint="eastAsia"/>
          <w:color w:val="000000"/>
        </w:rPr>
        <w:t xml:space="preserve">（1）</w:t>
      </w:r>
      <w:r>
        <w:rPr>
          <w:color w:val="000000"/>
        </w:rPr>
        <w:t xml:space="preserve">提供距开标时间六个月内任意一月份的依法缴纳社会保障资金的凭据复印件加盖公章（凭据可以是缴费的银行单据、专用收据、社会保险缴纳清单或者所在社保机构开具的证明等，自行编写无效）；</w:t>
      </w:r>
      <w:r/>
    </w:p>
    <w:p>
      <w:pPr>
        <w:spacing w:after="120" w:line="440" w:lineRule="exact"/>
        <w:rPr>
          <w:color w:val="000000"/>
        </w:rPr>
      </w:pPr>
      <w:r>
        <w:rPr>
          <w:rFonts w:hint="eastAsia"/>
          <w:color w:val="000000"/>
        </w:rPr>
        <w:t xml:space="preserve">（2）</w:t>
      </w:r>
      <w:r>
        <w:rPr>
          <w:color w:val="000000"/>
        </w:rPr>
        <w:t xml:space="preserve">依法不需要缴纳社会保障资金的供应商，应提供相应的文件证明。 </w:t>
      </w:r>
      <w:r/>
    </w:p>
    <w:p>
      <w:pPr>
        <w:spacing w:line="440" w:lineRule="exact"/>
        <w:rPr>
          <w:color w:val="000000"/>
          <w:sz w:val="24"/>
        </w:rPr>
      </w:pPr>
      <w:r>
        <w:rPr>
          <w:color w:val="000000"/>
          <w:sz w:val="24"/>
        </w:rPr>
      </w:r>
      <w:r/>
    </w:p>
    <w:p>
      <w:pPr>
        <w:spacing w:line="440" w:lineRule="exact"/>
        <w:rPr>
          <w:b/>
          <w:color w:val="000000"/>
        </w:rPr>
      </w:pPr>
      <w:r>
        <w:rPr>
          <w:b/>
          <w:color w:val="000000"/>
        </w:rPr>
        <w:t xml:space="preserve">  </w:t>
      </w:r>
      <w:r/>
    </w:p>
    <w:p>
      <w:pPr>
        <w:spacing w:line="440" w:lineRule="exact"/>
        <w:rPr>
          <w:b/>
          <w:color w:val="000000"/>
        </w:rPr>
      </w:pPr>
      <w:r>
        <w:rPr>
          <w:b/>
          <w:color w:val="000000"/>
        </w:rPr>
      </w:r>
      <w:r/>
    </w:p>
    <w:p>
      <w:pPr>
        <w:spacing w:line="440" w:lineRule="exact"/>
        <w:rPr>
          <w:color w:val="000000"/>
          <w:sz w:val="24"/>
        </w:rPr>
      </w:pPr>
      <w:r>
        <w:rPr>
          <w:color w:val="000000"/>
          <w:sz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 w:val="24"/>
          <w:szCs w:val="24"/>
        </w:rPr>
      </w:pPr>
      <w:r>
        <w:rPr>
          <w:color w:val="000000"/>
          <w:szCs w:val="21"/>
        </w:rPr>
        <w:t xml:space="preserve">日期：</w:t>
      </w:r>
      <w:r/>
    </w:p>
    <w:p>
      <w:pPr>
        <w:spacing w:line="440" w:lineRule="exact"/>
        <w:rPr>
          <w:color w:val="000000"/>
          <w:sz w:val="24"/>
        </w:rPr>
      </w:pPr>
      <w:r>
        <w:rPr>
          <w:color w:val="000000"/>
          <w:sz w:val="24"/>
        </w:rPr>
      </w:r>
      <w:r/>
    </w:p>
    <w:p>
      <w:pPr>
        <w:spacing w:line="440" w:lineRule="exact"/>
        <w:rPr>
          <w:b/>
          <w:color w:val="000000"/>
        </w:rPr>
      </w:pPr>
      <w:r>
        <w:rPr>
          <w:b/>
          <w:color w:val="000000"/>
        </w:rPr>
      </w:r>
      <w:r/>
    </w:p>
    <w:p>
      <w:pPr>
        <w:jc w:val="center"/>
        <w:spacing w:line="440" w:lineRule="exact"/>
        <w:rPr>
          <w:color w:val="000000"/>
        </w:rPr>
      </w:pPr>
      <w:r>
        <w:rPr>
          <w:color w:val="000000"/>
        </w:rPr>
      </w:r>
      <w:r/>
    </w:p>
    <w:p>
      <w:pPr>
        <w:spacing w:line="440" w:lineRule="exact"/>
        <w:rPr>
          <w:b/>
          <w:color w:val="000000"/>
        </w:rPr>
      </w:pPr>
      <w:r>
        <w:rPr>
          <w:b/>
          <w:color w:val="000000"/>
        </w:rPr>
      </w:r>
      <w:r/>
    </w:p>
    <w:p>
      <w:pPr>
        <w:ind w:right="-5"/>
        <w:spacing w:line="440" w:lineRule="exact"/>
        <w:rPr>
          <w:b/>
          <w:color w:val="000000"/>
        </w:rPr>
      </w:pPr>
      <w:r>
        <w:rPr>
          <w:b/>
          <w:color w:val="000000"/>
        </w:rPr>
      </w:r>
      <w:r/>
    </w:p>
    <w:p>
      <w:pPr>
        <w:ind w:right="-5"/>
        <w:spacing w:line="440" w:lineRule="exact"/>
        <w:rPr>
          <w:b/>
          <w:color w:val="000000"/>
        </w:rPr>
      </w:pPr>
      <w:r>
        <w:rPr>
          <w:b/>
          <w:color w:val="000000"/>
        </w:rPr>
      </w:r>
      <w:r/>
    </w:p>
    <w:p>
      <w:pPr>
        <w:ind w:right="-5"/>
        <w:spacing w:line="440" w:lineRule="exact"/>
        <w:rPr>
          <w:b/>
          <w:color w:val="000000"/>
        </w:rPr>
        <w:sectPr>
          <w:footerReference w:type="first" r:id="rId20"/>
          <w:footnotePr/>
          <w:endnotePr/>
          <w:type w:val="nextPage"/>
          <w:pgSz w:w="11906" w:h="16838" w:orient="portrait"/>
          <w:pgMar w:top="1134" w:right="1134" w:bottom="1134" w:left="1134" w:header="851" w:footer="992" w:gutter="0"/>
          <w:cols w:num="1" w:sep="0" w:space="720" w:equalWidth="1"/>
          <w:docGrid w:linePitch="360"/>
          <w:titlePg/>
        </w:sectPr>
      </w:pPr>
      <w:r>
        <w:rPr>
          <w:b/>
          <w:color w:val="000000"/>
        </w:rPr>
      </w:r>
      <w:r/>
    </w:p>
    <w:p>
      <w:pPr>
        <w:rPr>
          <w:b/>
          <w:bCs/>
          <w:color w:val="000000"/>
          <w:szCs w:val="21"/>
        </w:rPr>
        <w:outlineLvl w:val="2"/>
      </w:pPr>
      <w:r/>
      <w:bookmarkStart w:id="309" w:name="_Toc3374"/>
      <w:r/>
      <w:bookmarkStart w:id="310" w:name="_Toc20105"/>
      <w:r/>
      <w:bookmarkStart w:id="311" w:name="_Toc10804"/>
      <w:r/>
      <w:bookmarkStart w:id="312" w:name="_Toc25601"/>
      <w:r>
        <w:rPr>
          <w:rFonts w:hint="eastAsia"/>
          <w:b/>
          <w:bCs/>
          <w:color w:val="000000"/>
          <w:szCs w:val="21"/>
        </w:rPr>
        <w:t xml:space="preserve">8</w:t>
      </w:r>
      <w:r>
        <w:rPr>
          <w:b/>
          <w:bCs/>
          <w:color w:val="000000"/>
          <w:szCs w:val="21"/>
        </w:rPr>
        <w:t xml:space="preserve">、</w:t>
      </w:r>
      <w:bookmarkEnd w:id="309"/>
      <w:r/>
      <w:bookmarkEnd w:id="310"/>
      <w:r>
        <w:rPr>
          <w:b/>
          <w:bCs/>
          <w:color w:val="000000"/>
          <w:szCs w:val="21"/>
        </w:rPr>
        <w:t xml:space="preserve">针对本项目的特定资格要求</w:t>
      </w:r>
      <w:bookmarkEnd w:id="311"/>
      <w:r/>
      <w:bookmarkEnd w:id="312"/>
      <w:r/>
      <w:r/>
    </w:p>
    <w:p>
      <w:pPr>
        <w:ind w:firstLine="420"/>
        <w:spacing w:line="360" w:lineRule="auto"/>
        <w:rPr>
          <w:color w:val="000000"/>
          <w:szCs w:val="21"/>
        </w:rPr>
      </w:pPr>
      <w:r>
        <w:rPr>
          <w:color w:val="000000"/>
          <w:szCs w:val="21"/>
        </w:rPr>
      </w:r>
      <w:r/>
    </w:p>
    <w:p>
      <w:pPr>
        <w:pStyle w:val="1183"/>
        <w:ind w:firstLine="0"/>
        <w:rPr>
          <w:color w:val="000000"/>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rPr>
      </w:r>
      <w:r/>
    </w:p>
    <w:p>
      <w:pPr>
        <w:jc w:val="left"/>
        <w:spacing w:line="360" w:lineRule="auto"/>
        <w:rPr>
          <w:b/>
          <w:bCs/>
          <w:color w:val="000000"/>
          <w:szCs w:val="21"/>
        </w:rPr>
        <w:outlineLvl w:val="2"/>
      </w:pPr>
      <w:r/>
      <w:bookmarkStart w:id="313" w:name="_Toc30118"/>
      <w:r/>
      <w:bookmarkStart w:id="314" w:name="_Toc9676"/>
      <w:r/>
      <w:bookmarkStart w:id="315" w:name="_Toc13849"/>
      <w:r>
        <w:rPr>
          <w:rFonts w:hint="eastAsia"/>
          <w:b/>
          <w:bCs/>
          <w:color w:val="000000"/>
          <w:szCs w:val="21"/>
        </w:rPr>
        <w:t xml:space="preserve">9</w:t>
      </w:r>
      <w:r>
        <w:rPr>
          <w:b/>
          <w:bCs/>
          <w:color w:val="000000"/>
          <w:szCs w:val="21"/>
        </w:rPr>
        <w:t xml:space="preserve">、符合招标文件第一章“拒绝下述供应商参加本次采购活动的情形”中第 1）条的声明或证明材料（加盖单位公章）</w:t>
      </w:r>
      <w:bookmarkEnd w:id="313"/>
      <w:r/>
      <w:bookmarkEnd w:id="314"/>
      <w:r>
        <w:rPr>
          <w:b/>
          <w:bCs/>
          <w:color w:val="000000"/>
          <w:szCs w:val="21"/>
        </w:rPr>
        <w:t xml:space="preserve"> </w:t>
      </w:r>
      <w:r/>
    </w:p>
    <w:p>
      <w:pPr>
        <w:jc w:val="left"/>
        <w:spacing w:line="360" w:lineRule="auto"/>
        <w:rPr>
          <w:color w:val="000000"/>
          <w:szCs w:val="21"/>
        </w:rPr>
      </w:pPr>
      <w:r>
        <w:rPr>
          <w:color w:val="000000"/>
          <w:szCs w:val="21"/>
        </w:rPr>
        <w:t xml:space="preserve">注：1、投标人应当根据自身存在的情形，如实披露与本单位负责人为同一人或者存在直接控股、管理关系的供应商情况。 </w:t>
      </w:r>
      <w:r/>
    </w:p>
    <w:p>
      <w:pPr>
        <w:jc w:val="left"/>
        <w:spacing w:line="360" w:lineRule="auto"/>
        <w:rPr>
          <w:color w:val="000000"/>
          <w:szCs w:val="21"/>
        </w:rPr>
      </w:pPr>
      <w:r>
        <w:rPr>
          <w:color w:val="000000"/>
          <w:szCs w:val="21"/>
        </w:rPr>
        <w:t xml:space="preserve">2、单位负责人为同一人或者存在直接控股、管理关系的不同供应商，同时参加本项目同一包的投标，相关投标均无效。 </w:t>
      </w:r>
      <w:r/>
    </w:p>
    <w:p>
      <w:pPr>
        <w:pStyle w:val="1162"/>
        <w:ind w:left="1260"/>
        <w:rPr>
          <w:rFonts w:ascii="Times New Roman" w:hAnsi="Times New Roman"/>
          <w:color w:val="000000"/>
        </w:rPr>
      </w:pPr>
      <w:r>
        <w:rPr>
          <w:rFonts w:ascii="Times New Roman" w:hAnsi="Times New Roman"/>
          <w:color w:val="000000"/>
        </w:rPr>
      </w:r>
      <w:r/>
    </w:p>
    <w:p>
      <w:pPr>
        <w:jc w:val="left"/>
        <w:spacing w:line="360" w:lineRule="auto"/>
        <w:rPr>
          <w:b/>
          <w:bCs/>
          <w:color w:val="000000"/>
          <w:szCs w:val="21"/>
        </w:rPr>
      </w:pPr>
      <w:r>
        <w:rPr>
          <w:b/>
          <w:bCs/>
          <w:color w:val="000000"/>
          <w:szCs w:val="21"/>
        </w:rPr>
        <w:t xml:space="preserve">（如不存在上述情况，请提供如下声明） </w:t>
      </w:r>
      <w:r/>
    </w:p>
    <w:p>
      <w:pPr>
        <w:jc w:val="left"/>
        <w:spacing w:line="360" w:lineRule="auto"/>
        <w:rPr>
          <w:b/>
          <w:bCs/>
          <w:color w:val="000000"/>
          <w:szCs w:val="21"/>
        </w:rPr>
      </w:pPr>
      <w:r>
        <w:rPr>
          <w:b/>
          <w:bCs/>
          <w:color w:val="000000"/>
          <w:szCs w:val="21"/>
        </w:rPr>
      </w:r>
      <w:r/>
    </w:p>
    <w:p>
      <w:pPr>
        <w:jc w:val="left"/>
        <w:spacing w:line="360" w:lineRule="auto"/>
        <w:rPr>
          <w:b/>
          <w:bCs/>
          <w:color w:val="000000"/>
          <w:szCs w:val="21"/>
        </w:rPr>
      </w:pPr>
      <w:r>
        <w:rPr>
          <w:b/>
          <w:bCs/>
          <w:color w:val="000000"/>
          <w:szCs w:val="21"/>
        </w:rPr>
        <w:t xml:space="preserve">江苏苏美达仪器设备有限公司： </w:t>
      </w:r>
      <w:r/>
    </w:p>
    <w:p>
      <w:pPr>
        <w:jc w:val="left"/>
        <w:spacing w:line="360" w:lineRule="auto"/>
        <w:rPr>
          <w:b/>
          <w:bCs/>
          <w:color w:val="000000"/>
          <w:szCs w:val="21"/>
        </w:rPr>
      </w:pPr>
      <w:r>
        <w:rPr>
          <w:b/>
          <w:bCs/>
          <w:color w:val="000000"/>
          <w:szCs w:val="21"/>
        </w:rPr>
        <w:t xml:space="preserve"> </w:t>
      </w:r>
      <w:r/>
    </w:p>
    <w:p>
      <w:pPr>
        <w:ind w:firstLine="420"/>
        <w:jc w:val="left"/>
        <w:spacing w:line="360" w:lineRule="auto"/>
        <w:rPr>
          <w:color w:val="000000"/>
          <w:szCs w:val="21"/>
        </w:rPr>
      </w:pPr>
      <w:r>
        <w:rPr>
          <w:color w:val="000000"/>
          <w:szCs w:val="21"/>
        </w:rPr>
        <w:t xml:space="preserve">我单位负责人</w:t>
      </w:r>
      <w:r>
        <w:rPr>
          <w:color w:val="000000"/>
          <w:szCs w:val="21"/>
          <w:u w:val="single"/>
        </w:rPr>
        <w:t xml:space="preserve">（负责人姓名、身份证号）</w:t>
      </w:r>
      <w:r>
        <w:rPr>
          <w:color w:val="000000"/>
          <w:szCs w:val="21"/>
        </w:rPr>
        <w:t xml:space="preserve">，与我单位存在直接控股、管理关系的单位为</w:t>
      </w:r>
      <w:r>
        <w:rPr>
          <w:color w:val="000000"/>
          <w:szCs w:val="21"/>
          <w:u w:val="single"/>
        </w:rPr>
        <w:t xml:space="preserve">（单位名称）</w:t>
      </w:r>
      <w:r>
        <w:rPr>
          <w:color w:val="000000"/>
          <w:szCs w:val="21"/>
        </w:rPr>
        <w:t xml:space="preserve">，不存在与我单位负责人为同一人或者存在直接控股、管理的不同供应商同时参加本项目同一包投标的情形。 </w:t>
      </w:r>
      <w:r/>
    </w:p>
    <w:p>
      <w:pPr>
        <w:jc w:val="left"/>
        <w:spacing w:line="360" w:lineRule="auto"/>
        <w:rPr>
          <w:b/>
          <w:bCs/>
          <w:color w:val="000000"/>
          <w:szCs w:val="21"/>
        </w:rPr>
      </w:pPr>
      <w:r>
        <w:rPr>
          <w:b/>
          <w:bCs/>
          <w:color w:val="000000"/>
          <w:szCs w:val="21"/>
        </w:rPr>
        <w:t xml:space="preserve"> </w:t>
      </w:r>
      <w:r/>
    </w:p>
    <w:p>
      <w:pPr>
        <w:jc w:val="left"/>
        <w:spacing w:line="360" w:lineRule="auto"/>
        <w:rPr>
          <w:b/>
          <w:bCs/>
          <w:color w:val="000000"/>
          <w:szCs w:val="21"/>
        </w:rPr>
      </w:pPr>
      <w:r>
        <w:rPr>
          <w:b/>
          <w:bCs/>
          <w:color w:val="000000"/>
          <w:szCs w:val="21"/>
        </w:rPr>
        <w:t xml:space="preserve">特此声明。 </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法定代表人或授权代表签字： </w:t>
      </w:r>
      <w:r/>
    </w:p>
    <w:p>
      <w:pPr>
        <w:spacing w:line="360" w:lineRule="auto"/>
        <w:rPr>
          <w:color w:val="000000"/>
          <w:sz w:val="23"/>
        </w:rPr>
      </w:pPr>
      <w:r>
        <w:rPr>
          <w:color w:val="000000"/>
          <w:szCs w:val="21"/>
        </w:rPr>
        <w:t xml:space="preserve">投标人名称（公章）：</w:t>
      </w:r>
      <w:r>
        <w:rPr>
          <w:color w:val="000000"/>
          <w:sz w:val="23"/>
        </w:rPr>
        <w:t xml:space="preserve"> </w:t>
      </w:r>
      <w:r/>
    </w:p>
    <w:p>
      <w:pPr>
        <w:spacing w:line="440" w:lineRule="exact"/>
        <w:rPr>
          <w:color w:val="000000"/>
          <w:szCs w:val="21"/>
        </w:rPr>
      </w:pPr>
      <w:r>
        <w:rPr>
          <w:color w:val="000000"/>
          <w:szCs w:val="21"/>
        </w:rPr>
        <w:t xml:space="preserve">日期：</w:t>
      </w:r>
      <w:r/>
    </w:p>
    <w:p>
      <w:pPr>
        <w:pStyle w:val="1183"/>
        <w:ind w:firstLine="281"/>
        <w:rPr>
          <w:b/>
          <w:bCs/>
          <w:color w:val="000000"/>
        </w:rPr>
      </w:pPr>
      <w:r>
        <w:rPr>
          <w:b/>
          <w:bCs/>
          <w:color w:val="000000"/>
        </w:rPr>
        <w:t xml:space="preserve"> </w:t>
      </w:r>
      <w:r/>
    </w:p>
    <w:p>
      <w:pPr>
        <w:pStyle w:val="1183"/>
        <w:ind w:firstLine="281"/>
        <w:rPr>
          <w:b/>
          <w:bCs/>
          <w:color w:val="000000"/>
        </w:rPr>
        <w:sectPr>
          <w:footnotePr/>
          <w:endnotePr/>
          <w:type w:val="nextPage"/>
          <w:pgSz w:w="11906" w:h="16838" w:orient="portrait"/>
          <w:pgMar w:top="1134" w:right="1134" w:bottom="1134" w:left="1134" w:header="851" w:footer="992" w:gutter="0"/>
          <w:cols w:num="1" w:sep="0" w:space="720" w:equalWidth="1"/>
          <w:docGrid w:linePitch="360"/>
          <w:titlePg/>
        </w:sectPr>
      </w:pPr>
      <w:r>
        <w:rPr>
          <w:b/>
          <w:bCs/>
          <w:color w:val="000000"/>
        </w:rPr>
      </w:r>
      <w:r/>
    </w:p>
    <w:p>
      <w:pPr>
        <w:pStyle w:val="1183"/>
        <w:ind w:firstLine="0"/>
        <w:rPr>
          <w:b/>
          <w:bCs/>
          <w:color w:val="000000"/>
          <w:sz w:val="21"/>
        </w:rPr>
        <w:outlineLvl w:val="2"/>
      </w:pPr>
      <w:r/>
      <w:bookmarkStart w:id="316" w:name="_Toc18200"/>
      <w:r/>
      <w:bookmarkStart w:id="317" w:name="_Toc28674"/>
      <w:r>
        <w:rPr>
          <w:b/>
          <w:bCs/>
          <w:color w:val="000000"/>
          <w:sz w:val="21"/>
        </w:rPr>
        <w:t xml:space="preserve">1</w:t>
      </w:r>
      <w:r>
        <w:rPr>
          <w:rFonts w:hint="eastAsia"/>
          <w:b/>
          <w:bCs/>
          <w:color w:val="000000"/>
          <w:sz w:val="21"/>
        </w:rPr>
        <w:t xml:space="preserve">0</w:t>
      </w:r>
      <w:r>
        <w:rPr>
          <w:b/>
          <w:bCs/>
          <w:color w:val="000000"/>
          <w:sz w:val="21"/>
        </w:rPr>
        <w:t xml:space="preserve">、符合招标文件第一章“拒绝下述供应商参加本次采购活动的情形”中第 2）条的声明（加盖单位公章）</w:t>
      </w:r>
      <w:bookmarkEnd w:id="316"/>
      <w:r/>
      <w:bookmarkEnd w:id="317"/>
      <w:r/>
      <w:r/>
    </w:p>
    <w:p>
      <w:pPr>
        <w:pStyle w:val="1183"/>
        <w:ind w:firstLine="210"/>
        <w:rPr>
          <w:color w:val="000000"/>
          <w:sz w:val="21"/>
        </w:rPr>
      </w:pPr>
      <w:r>
        <w:rPr>
          <w:color w:val="000000"/>
          <w:sz w:val="21"/>
        </w:rPr>
      </w:r>
      <w:r/>
    </w:p>
    <w:p>
      <w:pPr>
        <w:pStyle w:val="1183"/>
        <w:ind w:firstLine="0"/>
        <w:rPr>
          <w:color w:val="000000"/>
          <w:sz w:val="21"/>
        </w:rPr>
      </w:pPr>
      <w:r>
        <w:rPr>
          <w:color w:val="000000"/>
          <w:sz w:val="21"/>
        </w:rPr>
        <w:t xml:space="preserve">参考格式：</w:t>
      </w:r>
      <w:r/>
    </w:p>
    <w:p>
      <w:pPr>
        <w:pStyle w:val="1183"/>
        <w:ind w:firstLine="0"/>
        <w:rPr>
          <w:color w:val="000000"/>
          <w:sz w:val="21"/>
        </w:rPr>
      </w:pPr>
      <w:r>
        <w:rPr>
          <w:color w:val="000000"/>
          <w:sz w:val="21"/>
        </w:rPr>
      </w:r>
      <w:r/>
    </w:p>
    <w:p>
      <w:pPr>
        <w:pStyle w:val="1183"/>
        <w:ind w:firstLine="211"/>
        <w:rPr>
          <w:color w:val="000000"/>
          <w:sz w:val="21"/>
        </w:rPr>
      </w:pPr>
      <w:r>
        <w:rPr>
          <w:b/>
          <w:bCs/>
          <w:color w:val="000000"/>
          <w:sz w:val="21"/>
        </w:rPr>
        <w:t xml:space="preserve">江苏苏美达仪器设备有限公司：</w:t>
      </w:r>
      <w:r/>
    </w:p>
    <w:p>
      <w:pPr>
        <w:pStyle w:val="1183"/>
        <w:rPr>
          <w:color w:val="000000"/>
          <w:sz w:val="21"/>
        </w:rPr>
      </w:pPr>
      <w:r>
        <w:rPr>
          <w:color w:val="000000"/>
          <w:sz w:val="21"/>
        </w:rPr>
      </w:r>
      <w:r/>
    </w:p>
    <w:p>
      <w:pPr>
        <w:pStyle w:val="1183"/>
        <w:rPr>
          <w:color w:val="000000"/>
          <w:sz w:val="21"/>
        </w:rPr>
      </w:pPr>
      <w:r>
        <w:rPr>
          <w:color w:val="000000"/>
          <w:sz w:val="21"/>
        </w:rPr>
        <w:t xml:space="preserve">我公司不是为本项目某包提供整体设计、规范编制或者项目管理、监理、检测等服务的供应商。 </w:t>
      </w:r>
      <w:r/>
    </w:p>
    <w:p>
      <w:pPr>
        <w:pStyle w:val="1183"/>
        <w:rPr>
          <w:color w:val="000000"/>
          <w:sz w:val="21"/>
        </w:rPr>
      </w:pPr>
      <w:r>
        <w:rPr>
          <w:color w:val="000000"/>
          <w:sz w:val="21"/>
        </w:rPr>
        <w:t xml:space="preserve"> </w:t>
      </w:r>
      <w:r/>
    </w:p>
    <w:p>
      <w:pPr>
        <w:pStyle w:val="1183"/>
        <w:ind w:firstLine="211"/>
        <w:rPr>
          <w:b/>
          <w:bCs/>
          <w:color w:val="000000"/>
          <w:sz w:val="21"/>
        </w:rPr>
      </w:pPr>
      <w:r>
        <w:rPr>
          <w:b/>
          <w:bCs/>
          <w:color w:val="000000"/>
          <w:sz w:val="21"/>
        </w:rPr>
        <w:t xml:space="preserve">特此声明。 </w:t>
      </w:r>
      <w:r/>
    </w:p>
    <w:p>
      <w:pPr>
        <w:pStyle w:val="1183"/>
        <w:ind w:firstLine="211"/>
        <w:rPr>
          <w:b/>
          <w:bCs/>
          <w:color w:val="000000"/>
          <w:sz w:val="21"/>
        </w:rPr>
      </w:pPr>
      <w:r>
        <w:rPr>
          <w:b/>
          <w:bCs/>
          <w:color w:val="000000"/>
          <w:sz w:val="21"/>
        </w:rPr>
      </w:r>
      <w:r/>
    </w:p>
    <w:p>
      <w:pPr>
        <w:ind w:firstLine="218"/>
        <w:spacing w:line="360" w:lineRule="auto"/>
        <w:rPr>
          <w:color w:val="000000"/>
          <w:szCs w:val="21"/>
        </w:rPr>
      </w:pPr>
      <w:r>
        <w:rPr>
          <w:color w:val="000000"/>
          <w:szCs w:val="21"/>
        </w:rPr>
        <w:t xml:space="preserve">法定代表人或授权代表签字： </w:t>
      </w:r>
      <w:r/>
    </w:p>
    <w:p>
      <w:pPr>
        <w:ind w:firstLine="218"/>
        <w:spacing w:line="360" w:lineRule="auto"/>
        <w:rPr>
          <w:color w:val="000000"/>
          <w:sz w:val="23"/>
        </w:rPr>
      </w:pPr>
      <w:r>
        <w:rPr>
          <w:color w:val="000000"/>
          <w:szCs w:val="21"/>
        </w:rPr>
        <w:t xml:space="preserve">投标人名称（公章）：</w:t>
      </w:r>
      <w:r>
        <w:rPr>
          <w:color w:val="000000"/>
          <w:sz w:val="23"/>
        </w:rPr>
        <w:t xml:space="preserve"> </w:t>
      </w:r>
      <w:r/>
    </w:p>
    <w:p>
      <w:pPr>
        <w:ind w:firstLine="218"/>
        <w:spacing w:line="440" w:lineRule="exact"/>
        <w:rPr>
          <w:color w:val="000000"/>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szCs w:val="21"/>
        </w:rPr>
        <w:t xml:space="preserve">日期：</w:t>
      </w:r>
      <w:r/>
    </w:p>
    <w:p>
      <w:pPr>
        <w:jc w:val="left"/>
        <w:spacing w:line="440" w:lineRule="exact"/>
        <w:rPr>
          <w:b/>
          <w:bCs/>
          <w:color w:val="000000"/>
          <w:szCs w:val="21"/>
        </w:rPr>
        <w:outlineLvl w:val="2"/>
      </w:pPr>
      <w:r/>
      <w:bookmarkStart w:id="318" w:name="_Toc19034"/>
      <w:r/>
      <w:bookmarkStart w:id="319" w:name="_Toc11662"/>
      <w:r/>
      <w:bookmarkStart w:id="320" w:name="_Toc5579"/>
      <w:r>
        <w:rPr>
          <w:b/>
          <w:bCs/>
          <w:color w:val="000000"/>
          <w:szCs w:val="21"/>
        </w:rPr>
        <w:t xml:space="preserve">1</w:t>
      </w:r>
      <w:r>
        <w:rPr>
          <w:rFonts w:hint="eastAsia"/>
          <w:b/>
          <w:bCs/>
          <w:color w:val="000000"/>
          <w:szCs w:val="21"/>
        </w:rPr>
        <w:t xml:space="preserve">1</w:t>
      </w:r>
      <w:r>
        <w:rPr>
          <w:b/>
          <w:bCs/>
          <w:color w:val="000000"/>
          <w:szCs w:val="21"/>
        </w:rPr>
        <w:t xml:space="preserve">、本项目不接受联合体投标，中标后不允许分包、转包。</w:t>
      </w:r>
      <w:bookmarkEnd w:id="318"/>
      <w:r/>
      <w:bookmarkEnd w:id="319"/>
      <w:r/>
      <w:r/>
    </w:p>
    <w:p>
      <w:pPr>
        <w:jc w:val="left"/>
        <w:spacing w:line="440" w:lineRule="exact"/>
        <w:rPr>
          <w:color w:val="000000"/>
          <w:szCs w:val="21"/>
        </w:rPr>
      </w:pPr>
      <w:r/>
      <w:bookmarkStart w:id="321" w:name="_Toc21953"/>
      <w:r>
        <w:rPr>
          <w:color w:val="000000"/>
          <w:szCs w:val="21"/>
        </w:rPr>
        <w:t xml:space="preserve">参考格式：</w:t>
      </w:r>
      <w:bookmarkEnd w:id="320"/>
      <w:r/>
      <w:bookmarkEnd w:id="321"/>
      <w:r/>
      <w:r/>
    </w:p>
    <w:p>
      <w:pPr>
        <w:jc w:val="center"/>
        <w:spacing w:line="440" w:lineRule="exact"/>
        <w:rPr>
          <w:b/>
          <w:bCs/>
          <w:color w:val="000000"/>
          <w:sz w:val="24"/>
          <w:szCs w:val="22"/>
        </w:rPr>
      </w:pPr>
      <w:r>
        <w:rPr>
          <w:b/>
          <w:bCs/>
          <w:color w:val="000000"/>
          <w:sz w:val="24"/>
          <w:szCs w:val="22"/>
        </w:rPr>
        <w:t xml:space="preserve">承诺书</w:t>
      </w:r>
      <w:r/>
    </w:p>
    <w:p>
      <w:pPr>
        <w:rPr>
          <w:color w:val="000000"/>
          <w:sz w:val="24"/>
          <w:szCs w:val="22"/>
        </w:rPr>
      </w:pPr>
      <w:r>
        <w:rPr>
          <w:color w:val="000000"/>
          <w:sz w:val="24"/>
          <w:szCs w:val="22"/>
        </w:rPr>
      </w:r>
      <w:r/>
    </w:p>
    <w:p>
      <w:pPr>
        <w:spacing w:line="360" w:lineRule="auto"/>
        <w:rPr>
          <w:color w:val="000000"/>
          <w:szCs w:val="21"/>
        </w:rPr>
      </w:pPr>
      <w:r>
        <w:rPr>
          <w:color w:val="000000"/>
          <w:szCs w:val="21"/>
        </w:rPr>
        <w:t xml:space="preserve">我单位承诺：</w:t>
      </w:r>
      <w:r/>
    </w:p>
    <w:p>
      <w:pPr>
        <w:ind w:firstLine="420"/>
        <w:spacing w:line="360" w:lineRule="auto"/>
        <w:rPr>
          <w:color w:val="000000"/>
          <w:szCs w:val="21"/>
        </w:rPr>
      </w:pPr>
      <w:r>
        <w:rPr>
          <w:color w:val="000000"/>
          <w:szCs w:val="21"/>
        </w:rPr>
        <w:t xml:space="preserve">我单位未组成联合体投标，中标后不进行分包、转包。如发现有转包、分包的情况，采购人有权提前通知我单位解除本协议并且免于向我单位承担责任。</w:t>
      </w:r>
      <w:r/>
    </w:p>
    <w:p>
      <w:pPr>
        <w:rPr>
          <w:color w:val="000000"/>
          <w:sz w:val="24"/>
          <w:szCs w:val="22"/>
        </w:rPr>
      </w:pPr>
      <w:r>
        <w:rPr>
          <w:color w:val="000000"/>
          <w:sz w:val="24"/>
          <w:szCs w:val="22"/>
        </w:rPr>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授权代表（签字）：</w:t>
      </w:r>
      <w:r/>
    </w:p>
    <w:p>
      <w:pPr>
        <w:jc w:val="left"/>
        <w:spacing w:line="360" w:lineRule="auto"/>
        <w:rPr>
          <w:b/>
          <w:bCs/>
          <w:color w:val="000000"/>
          <w:szCs w:val="21"/>
        </w:rPr>
      </w:pPr>
      <w:r>
        <w:rPr>
          <w:color w:val="000000"/>
          <w:szCs w:val="21"/>
        </w:rPr>
        <w:t xml:space="preserve">日期：</w:t>
      </w:r>
      <w:r/>
    </w:p>
    <w:p>
      <w:pPr>
        <w:pStyle w:val="1183"/>
        <w:ind w:firstLine="280"/>
        <w:rPr>
          <w:color w:val="000000"/>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rPr>
      </w:r>
      <w:r/>
    </w:p>
    <w:p>
      <w:pPr>
        <w:jc w:val="left"/>
        <w:spacing w:line="360" w:lineRule="auto"/>
        <w:rPr>
          <w:b/>
          <w:bCs/>
          <w:color w:val="000000"/>
          <w:szCs w:val="21"/>
        </w:rPr>
        <w:outlineLvl w:val="2"/>
      </w:pPr>
      <w:r/>
      <w:bookmarkStart w:id="322" w:name="_Toc24829"/>
      <w:r/>
      <w:bookmarkStart w:id="323" w:name="_Toc32657"/>
      <w:r>
        <w:rPr>
          <w:b/>
          <w:bCs/>
          <w:color w:val="000000"/>
          <w:szCs w:val="21"/>
        </w:rPr>
        <w:t xml:space="preserve">1</w:t>
      </w:r>
      <w:r>
        <w:rPr>
          <w:rFonts w:hint="eastAsia"/>
          <w:b/>
          <w:bCs/>
          <w:color w:val="000000"/>
          <w:szCs w:val="21"/>
        </w:rPr>
        <w:t xml:space="preserve">2</w:t>
      </w:r>
      <w:r>
        <w:rPr>
          <w:b/>
          <w:bCs/>
          <w:color w:val="000000"/>
          <w:szCs w:val="21"/>
        </w:rPr>
        <w:t xml:space="preserve">、供应商认为其需要提供的其他资格证明文件。</w:t>
      </w:r>
      <w:bookmarkEnd w:id="315"/>
      <w:r/>
      <w:bookmarkEnd w:id="322"/>
      <w:r/>
      <w:bookmarkEnd w:id="323"/>
      <w:r/>
      <w:r/>
    </w:p>
    <w:p>
      <w:pPr>
        <w:spacing w:line="440" w:lineRule="exact"/>
        <w:rPr>
          <w:b/>
          <w:color w:val="000000"/>
        </w:rPr>
      </w:pPr>
      <w:r>
        <w:rPr>
          <w:color w:val="000000"/>
          <w:sz w:val="24"/>
        </w:rPr>
        <w:t xml:space="preserve">    </w:t>
      </w:r>
      <w:r>
        <w:rPr>
          <w:b/>
          <w:color w:val="000000"/>
        </w:rPr>
        <w:t xml:space="preserve">      </w:t>
      </w:r>
      <w:r/>
    </w:p>
    <w:p>
      <w:pPr>
        <w:spacing w:line="440" w:lineRule="exact"/>
        <w:rPr>
          <w:b/>
          <w:color w:val="000000"/>
        </w:rPr>
      </w:pPr>
      <w:r>
        <w:rPr>
          <w:b/>
          <w:color w:val="000000"/>
        </w:rPr>
      </w:r>
      <w:r/>
    </w:p>
    <w:p>
      <w:pPr>
        <w:spacing w:line="440" w:lineRule="exact"/>
        <w:rPr>
          <w:b/>
          <w:color w:val="000000"/>
        </w:rPr>
      </w:pPr>
      <w:r>
        <w:rPr>
          <w:b/>
          <w:color w:val="000000"/>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 w:val="24"/>
          <w:szCs w:val="24"/>
        </w:rPr>
      </w:pPr>
      <w:r>
        <w:rPr>
          <w:color w:val="000000"/>
          <w:szCs w:val="21"/>
        </w:rPr>
        <w:t xml:space="preserve">日期：</w:t>
      </w:r>
      <w:r/>
    </w:p>
    <w:p>
      <w:pPr>
        <w:pStyle w:val="1183"/>
        <w:ind w:firstLine="0"/>
        <w:rPr>
          <w:color w:val="000000"/>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rPr>
      </w:r>
      <w:r/>
    </w:p>
    <w:p>
      <w:pPr>
        <w:rPr>
          <w:b/>
          <w:color w:val="000000"/>
          <w:sz w:val="24"/>
          <w:lang w:val="zh-CN"/>
        </w:rPr>
        <w:outlineLvl w:val="1"/>
      </w:pPr>
      <w:r/>
      <w:bookmarkStart w:id="324" w:name="_Toc22079"/>
      <w:r/>
      <w:bookmarkStart w:id="325" w:name="_Toc21790"/>
      <w:r/>
      <w:bookmarkStart w:id="326" w:name="_Toc26190"/>
      <w:r/>
      <w:bookmarkStart w:id="327" w:name="_Toc3076"/>
      <w:r>
        <w:rPr>
          <w:b/>
          <w:bCs/>
          <w:color w:val="000000"/>
          <w:sz w:val="24"/>
          <w:szCs w:val="22"/>
          <w:lang w:val="zh-CN"/>
        </w:rPr>
        <w:t xml:space="preserve">附件九</w:t>
      </w:r>
      <w:r>
        <w:rPr>
          <w:b/>
          <w:bCs/>
          <w:color w:val="000000"/>
          <w:sz w:val="24"/>
          <w:szCs w:val="22"/>
        </w:rPr>
        <w:t xml:space="preserve"> </w:t>
      </w:r>
      <w:r>
        <w:rPr>
          <w:b/>
          <w:bCs/>
          <w:color w:val="000000"/>
          <w:sz w:val="24"/>
          <w:szCs w:val="22"/>
          <w:lang w:val="zh-CN"/>
        </w:rPr>
        <w:t xml:space="preserve">其它相关文件</w:t>
      </w:r>
      <w:bookmarkEnd w:id="324"/>
      <w:r/>
      <w:bookmarkEnd w:id="325"/>
      <w:r>
        <w:rPr>
          <w:b/>
          <w:bCs/>
          <w:color w:val="000000"/>
          <w:sz w:val="24"/>
          <w:szCs w:val="22"/>
          <w:lang w:val="zh-CN"/>
        </w:rPr>
        <w:t xml:space="preserve">（如有）</w:t>
      </w:r>
      <w:bookmarkEnd w:id="326"/>
      <w:r/>
      <w:bookmarkEnd w:id="327"/>
      <w:r/>
      <w:r/>
    </w:p>
    <w:p>
      <w:pPr>
        <w:rPr>
          <w:b/>
          <w:color w:val="000000"/>
          <w:sz w:val="24"/>
          <w:lang w:val="zh-CN"/>
        </w:rPr>
      </w:pPr>
      <w:r>
        <w:rPr>
          <w:b/>
          <w:color w:val="000000"/>
          <w:sz w:val="24"/>
          <w:lang w:val="zh-CN"/>
        </w:rPr>
      </w:r>
      <w:r/>
    </w:p>
    <w:p>
      <w:pPr>
        <w:rPr>
          <w:color w:val="000000"/>
          <w:szCs w:val="21"/>
        </w:rPr>
      </w:pPr>
      <w:r>
        <w:rPr>
          <w:color w:val="000000"/>
          <w:szCs w:val="21"/>
        </w:rPr>
        <w:t xml:space="preserve">注：须授权代表签字或加盖投标单位公章</w:t>
      </w:r>
      <w:r/>
    </w:p>
    <w:p>
      <w:pPr>
        <w:spacing w:line="240" w:lineRule="atLeast"/>
        <w:rPr>
          <w:b/>
          <w:color w:val="000000"/>
          <w:sz w:val="24"/>
          <w:lang w:val="zh-CN"/>
        </w:rPr>
      </w:pPr>
      <w:r>
        <w:rPr>
          <w:b/>
          <w:color w:val="000000"/>
          <w:sz w:val="24"/>
          <w:lang w:val="zh-CN"/>
        </w:rPr>
      </w:r>
      <w:r/>
    </w:p>
    <w:p>
      <w:pPr>
        <w:spacing w:line="240" w:lineRule="atLeast"/>
        <w:rPr>
          <w:b/>
          <w:color w:val="000000"/>
          <w:sz w:val="24"/>
          <w:lang w:val="zh-CN"/>
        </w:rPr>
      </w:pPr>
      <w:r>
        <w:rPr>
          <w:b/>
          <w:color w:val="000000"/>
          <w:sz w:val="24"/>
          <w:lang w:val="zh-CN"/>
        </w:rPr>
      </w:r>
      <w:r/>
    </w:p>
    <w:p>
      <w:pPr>
        <w:spacing w:line="440" w:lineRule="exact"/>
        <w:rPr>
          <w:color w:val="000000"/>
          <w:szCs w:val="21"/>
        </w:rPr>
      </w:pPr>
      <w:r>
        <w:rPr>
          <w:rFonts w:hint="eastAsia"/>
          <w:color w:val="000000"/>
          <w:szCs w:val="21"/>
        </w:rPr>
        <w:t xml:space="preserve">1</w:t>
      </w:r>
      <w:r>
        <w:rPr>
          <w:bCs/>
          <w:color w:val="000000"/>
          <w:szCs w:val="21"/>
        </w:rPr>
        <w:t xml:space="preserve">、业绩清单（参考格式）</w:t>
      </w:r>
      <w:r/>
    </w:p>
    <w:tbl>
      <w:tblPr>
        <w:tblStyle w:val="114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502"/>
        <w:gridCol w:w="1347"/>
        <w:gridCol w:w="1573"/>
        <w:gridCol w:w="1573"/>
        <w:gridCol w:w="1520"/>
        <w:gridCol w:w="1722"/>
      </w:tblGrid>
      <w:tr>
        <w:trPr>
          <w:jc w:val="center"/>
        </w:trPr>
        <w:tc>
          <w:tcPr>
            <w:tcW w:w="312" w:type="pct"/>
            <w:vAlign w:val="center"/>
            <w:textDirection w:val="lrTb"/>
            <w:noWrap w:val="false"/>
          </w:tcPr>
          <w:p>
            <w:pPr>
              <w:jc w:val="center"/>
              <w:rPr>
                <w:color w:val="000000"/>
                <w:szCs w:val="21"/>
              </w:rPr>
            </w:pPr>
            <w:r>
              <w:rPr>
                <w:color w:val="000000"/>
                <w:szCs w:val="21"/>
              </w:rPr>
              <w:t xml:space="preserve">序号</w:t>
            </w:r>
            <w:r/>
          </w:p>
        </w:tc>
        <w:tc>
          <w:tcPr>
            <w:tcW w:w="762" w:type="pct"/>
            <w:vAlign w:val="center"/>
            <w:textDirection w:val="lrTb"/>
            <w:noWrap w:val="false"/>
          </w:tcPr>
          <w:p>
            <w:pPr>
              <w:jc w:val="center"/>
              <w:rPr>
                <w:color w:val="000000"/>
                <w:szCs w:val="21"/>
              </w:rPr>
            </w:pPr>
            <w:r>
              <w:rPr>
                <w:color w:val="000000"/>
                <w:szCs w:val="21"/>
              </w:rPr>
              <w:t xml:space="preserve">项目名称</w:t>
            </w:r>
            <w:r/>
          </w:p>
        </w:tc>
        <w:tc>
          <w:tcPr>
            <w:tcW w:w="683" w:type="pct"/>
            <w:vAlign w:val="center"/>
            <w:textDirection w:val="lrTb"/>
            <w:noWrap w:val="false"/>
          </w:tcPr>
          <w:p>
            <w:pPr>
              <w:jc w:val="center"/>
              <w:tabs>
                <w:tab w:val="left" w:pos="6252" w:leader="none"/>
              </w:tabs>
              <w:rPr>
                <w:color w:val="000000"/>
                <w:szCs w:val="21"/>
              </w:rPr>
            </w:pPr>
            <w:r>
              <w:rPr>
                <w:color w:val="000000"/>
                <w:szCs w:val="21"/>
              </w:rPr>
              <w:t xml:space="preserve">项目时间</w:t>
            </w:r>
            <w:r/>
          </w:p>
        </w:tc>
        <w:tc>
          <w:tcPr>
            <w:tcW w:w="798" w:type="pct"/>
            <w:vAlign w:val="center"/>
            <w:textDirection w:val="lrTb"/>
            <w:noWrap w:val="false"/>
          </w:tcPr>
          <w:p>
            <w:pPr>
              <w:jc w:val="center"/>
              <w:tabs>
                <w:tab w:val="left" w:pos="6252" w:leader="none"/>
              </w:tabs>
              <w:rPr>
                <w:color w:val="000000"/>
                <w:szCs w:val="21"/>
              </w:rPr>
            </w:pPr>
            <w:r>
              <w:rPr>
                <w:color w:val="000000"/>
                <w:szCs w:val="21"/>
              </w:rPr>
              <w:t xml:space="preserve">完成情况</w:t>
            </w:r>
            <w:r/>
          </w:p>
        </w:tc>
        <w:tc>
          <w:tcPr>
            <w:tcW w:w="798" w:type="pct"/>
            <w:vAlign w:val="center"/>
            <w:textDirection w:val="lrTb"/>
            <w:noWrap w:val="false"/>
          </w:tcPr>
          <w:p>
            <w:pPr>
              <w:jc w:val="center"/>
              <w:tabs>
                <w:tab w:val="left" w:pos="6252" w:leader="none"/>
              </w:tabs>
              <w:rPr>
                <w:color w:val="000000"/>
                <w:szCs w:val="21"/>
              </w:rPr>
            </w:pPr>
            <w:r>
              <w:rPr>
                <w:color w:val="000000"/>
                <w:szCs w:val="21"/>
              </w:rPr>
              <w:t xml:space="preserve">合同金额</w:t>
            </w:r>
            <w:r/>
          </w:p>
        </w:tc>
        <w:tc>
          <w:tcPr>
            <w:tcW w:w="771" w:type="pct"/>
            <w:vAlign w:val="center"/>
            <w:textDirection w:val="lrTb"/>
            <w:noWrap w:val="false"/>
          </w:tcPr>
          <w:p>
            <w:pPr>
              <w:jc w:val="center"/>
              <w:tabs>
                <w:tab w:val="left" w:pos="6252" w:leader="none"/>
              </w:tabs>
              <w:rPr>
                <w:color w:val="000000"/>
                <w:szCs w:val="21"/>
              </w:rPr>
            </w:pPr>
            <w:r>
              <w:rPr>
                <w:color w:val="000000"/>
                <w:szCs w:val="21"/>
              </w:rPr>
              <w:t xml:space="preserve">业主单位及联系电话</w:t>
            </w:r>
            <w:r/>
          </w:p>
        </w:tc>
        <w:tc>
          <w:tcPr>
            <w:tcW w:w="873" w:type="pct"/>
            <w:vAlign w:val="center"/>
            <w:textDirection w:val="lrTb"/>
            <w:noWrap w:val="false"/>
          </w:tcPr>
          <w:p>
            <w:pPr>
              <w:jc w:val="center"/>
              <w:rPr>
                <w:color w:val="000000"/>
                <w:szCs w:val="21"/>
              </w:rPr>
            </w:pPr>
            <w:r>
              <w:rPr>
                <w:color w:val="000000"/>
                <w:szCs w:val="21"/>
              </w:rPr>
              <w:t xml:space="preserve">是否有用户反</w:t>
            </w:r>
            <w:r/>
          </w:p>
          <w:p>
            <w:pPr>
              <w:jc w:val="center"/>
              <w:rPr>
                <w:color w:val="000000"/>
                <w:szCs w:val="21"/>
              </w:rPr>
            </w:pPr>
            <w:r>
              <w:rPr>
                <w:color w:val="000000"/>
                <w:szCs w:val="21"/>
              </w:rPr>
              <w:t xml:space="preserve">馈情况 </w:t>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bl>
    <w:p>
      <w:pPr>
        <w:ind w:right="-5"/>
        <w:spacing w:line="440" w:lineRule="exact"/>
        <w:rPr>
          <w:bCs/>
          <w:color w:val="000000"/>
          <w:szCs w:val="21"/>
        </w:rPr>
      </w:pPr>
      <w:r>
        <w:rPr>
          <w:bCs/>
          <w:color w:val="000000"/>
          <w:szCs w:val="21"/>
        </w:rPr>
      </w:r>
      <w:r/>
    </w:p>
    <w:p>
      <w:pPr>
        <w:ind w:right="-5"/>
        <w:spacing w:line="440" w:lineRule="exact"/>
        <w:rPr>
          <w:bCs/>
          <w:color w:val="000000"/>
          <w:szCs w:val="21"/>
          <w:lang w:val="zh-CN"/>
        </w:rPr>
      </w:pPr>
      <w:r>
        <w:rPr>
          <w:rFonts w:hint="eastAsia"/>
          <w:bCs/>
          <w:color w:val="000000"/>
          <w:szCs w:val="21"/>
        </w:rPr>
        <w:t xml:space="preserve">2</w:t>
      </w:r>
      <w:r>
        <w:rPr>
          <w:bCs/>
          <w:color w:val="000000"/>
          <w:szCs w:val="21"/>
          <w:lang w:val="zh-CN"/>
        </w:rPr>
        <w:t xml:space="preserve">、供应商认为应提供的其他材料</w:t>
      </w:r>
      <w:r/>
    </w:p>
    <w:p>
      <w:pPr>
        <w:ind w:right="-5"/>
        <w:spacing w:line="440" w:lineRule="exact"/>
        <w:rPr>
          <w:bCs/>
          <w:color w:val="000000"/>
          <w:szCs w:val="21"/>
          <w:lang w:val="zh-CN"/>
        </w:rPr>
      </w:pPr>
      <w:r>
        <w:rPr>
          <w:bCs/>
          <w:color w:val="000000"/>
          <w:szCs w:val="21"/>
          <w:lang w:val="zh-CN"/>
        </w:rPr>
        <w:t xml:space="preserve">（针对具体的评标标准提供相应其他材料）</w:t>
      </w:r>
      <w:r/>
    </w:p>
    <w:p>
      <w:pPr>
        <w:spacing w:line="440" w:lineRule="exact"/>
        <w:rPr>
          <w:b/>
          <w:color w:val="000000"/>
        </w:rPr>
        <w:outlineLvl w:val="0"/>
      </w:pPr>
      <w:r>
        <w:rPr>
          <w:b/>
          <w:color w:val="000000"/>
        </w:rPr>
      </w:r>
      <w:r/>
    </w:p>
    <w:p>
      <w:pPr>
        <w:pStyle w:val="1180"/>
        <w:spacing w:before="0" w:beforeAutospacing="0" w:after="0" w:afterAutospacing="0" w:line="360" w:lineRule="auto"/>
        <w:rPr>
          <w:rFonts w:ascii="Times New Roman" w:hAnsi="Times New Roman" w:eastAsia="宋体"/>
          <w:color w:val="auto"/>
          <w:highlight w:val="yellow"/>
        </w:rPr>
      </w:pPr>
      <w:r>
        <w:rPr>
          <w:rFonts w:ascii="Times New Roman" w:hAnsi="Times New Roman" w:eastAsia="宋体"/>
          <w:color w:val="auto"/>
          <w:highlight w:val="yellow"/>
        </w:rPr>
      </w:r>
      <w:r/>
    </w:p>
    <w:sectPr>
      <w:footnotePr/>
      <w:endnotePr/>
      <w:type w:val="nextPage"/>
      <w:pgSz w:w="11906" w:h="16838" w:orient="portrait"/>
      <w:pgMar w:top="1134" w:right="1134" w:bottom="1134"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Wingdings">
    <w:panose1 w:val="05000000000000000000"/>
  </w:font>
  <w:font w:name="Tahoma">
    <w:panose1 w:val="020B0604030504040204"/>
  </w:font>
  <w:font w:name="楷体_GB2312">
    <w:panose1 w:val="02010609060101010101"/>
  </w:font>
  <w:font w:name="微软雅黑">
    <w:panose1 w:val="020B0503020204020204"/>
  </w:font>
  <w:font w:name="Calibri">
    <w:panose1 w:val="020F050202020403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rPr>
        <w:rStyle w:val="1187"/>
      </w:rPr>
      <w:framePr w:wrap="around" w:vAnchor="text" w:hAnchor="margin" w:xAlign="center" w:y="1"/>
    </w:pPr>
    <w:r/>
    <w:r/>
  </w:p>
  <w:p>
    <w:pPr>
      <w:pStyle w:val="1170"/>
      <w:rPr>
        <w:rStyle w:val="1187"/>
      </w:rPr>
      <w:framePr w:wrap="around" w:vAnchor="text" w:hAnchor="page" w:x="6104" w:y="52"/>
    </w:pPr>
    <w:r/>
    <w:r/>
  </w:p>
  <w:p>
    <w:pPr>
      <w:pStyle w:val="1170"/>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rPr>
        <w:rStyle w:val="1187"/>
      </w:rPr>
    </w:pPr>
    <w:r/>
    <w:r/>
  </w:p>
  <w:p>
    <w:pPr>
      <w:pStyle w:val="1170"/>
      <w:rPr>
        <w:rStyle w:val="1187"/>
      </w:rPr>
      <w:framePr w:wrap="around" w:vAnchor="text" w:hAnchor="page" w:x="6104" w:y="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pPr>
                          <w:r>
                            <w:fldChar w:fldCharType="begin"/>
                          </w:r>
                          <w:r>
                            <w:instrText xml:space="preserve"> PAGE  \* MERGEFORMAT </w:instrText>
                          </w:r>
                          <w:r>
                            <w:fldChar w:fldCharType="separate"/>
                          </w:r>
                          <w:r>
                            <w:t xml:space="preserve">40</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pPr>
                          <w:r>
                            <w:fldChar w:fldCharType="begin"/>
                          </w:r>
                          <w:r>
                            <w:instrText xml:space="preserve"> PAGE  \* MERGEFORMAT </w:instrText>
                          </w:r>
                          <w:r>
                            <w:fldChar w:fldCharType="separate"/>
                          </w:r>
                          <w:r>
                            <w:t xml:space="preserve">44</w:t>
                          </w:r>
                          <w: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29"/>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70"/>
                          </w:pPr>
                          <w:r>
                            <w:fldChar w:fldCharType="begin"/>
                          </w:r>
                          <w:r>
                            <w:instrText xml:space="preserve"> PAGE  \* MERGEFORMAT </w:instrText>
                          </w:r>
                          <w:r>
                            <w:fldChar w:fldCharType="separate"/>
                          </w:r>
                          <w:r>
                            <w:t xml:space="preserve">21</w:t>
                          </w:r>
                          <w: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70"/>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30"/>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70"/>
                          </w:pPr>
                          <w:r>
                            <w:fldChar w:fldCharType="begin"/>
                          </w:r>
                          <w:r>
                            <w:instrText xml:space="preserve"> PAGE  \* MERGEFORMAT </w:instrText>
                          </w:r>
                          <w:r>
                            <w:fldChar w:fldCharType="separate"/>
                          </w:r>
                          <w:r>
                            <w:t xml:space="preserve">4</w:t>
                          </w:r>
                          <w: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70"/>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70"/>
                          </w:pPr>
                          <w:r>
                            <w:fldChar w:fldCharType="begin"/>
                          </w:r>
                          <w:r>
                            <w:instrText xml:space="preserve"> PAGE  \* MERGEFORMAT </w:instrText>
                          </w:r>
                          <w:r>
                            <w:fldChar w:fldCharType="separate"/>
                          </w:r>
                          <w:r>
                            <w:t xml:space="preserve">48</w:t>
                          </w:r>
                          <w: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70"/>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70"/>
                          </w:pPr>
                          <w:r>
                            <w:fldChar w:fldCharType="begin"/>
                          </w:r>
                          <w:r>
                            <w:instrText xml:space="preserve"> PAGE  \* MERGEFORMAT </w:instrText>
                          </w:r>
                          <w:r>
                            <w:fldChar w:fldCharType="separate"/>
                          </w:r>
                          <w:r>
                            <w:t xml:space="preserve">56</w:t>
                          </w:r>
                          <w:r>
                            <w:fldChar w:fldCharType="end"/>
                          </w:r>
                          <w:r/>
                        </w:p>
                      </w:txbxContent>
                    </wps:txbx>
                    <wps:bodyPr wrap="none" lIns="0" tIns="0" rIns="0" bIns="0">
                      <a:spAutoFit/>
                    </wps:bodyPr>
                  </wps:wsp>
                </a:graphicData>
              </a:graphic>
            </wp:anchor>
          </w:drawing>
        </mc:Choice>
        <mc:Fallback>
          <w:pict>
            <v:shape id="shape 9" o:spid="_x0000_s9"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70"/>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left"/>
      <w:rPr>
        <w:sz w:val="21"/>
      </w:rPr>
      <w:pBdr>
        <w:bottom w:val="single" w:color="auto" w:sz="4" w:space="1"/>
      </w:pBdr>
    </w:pPr>
    <w:r>
      <mc:AlternateContent>
        <mc:Choice Requires="wpg">
          <w:drawing>
            <wp:inline xmlns:wp="http://schemas.openxmlformats.org/drawingml/2006/wordprocessingDrawing" distT="0" distB="0" distL="0" distR="0">
              <wp:extent cx="1126490" cy="231140"/>
              <wp:effectExtent l="0" t="0" r="3810" b="1016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both"/>
    </w:pPr>
    <w:r>
      <mc:AlternateContent>
        <mc:Choice Requires="wpg">
          <w:drawing>
            <wp:inline xmlns:wp="http://schemas.openxmlformats.org/drawingml/2006/wordprocessingDrawing" distT="0" distB="0" distL="0" distR="0">
              <wp:extent cx="1126490" cy="231140"/>
              <wp:effectExtent l="0" t="0" r="3810" b="1016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0"/>
      <w:jc w:val="left"/>
      <w:spacing w:before="24" w:line="360" w:lineRule="auto"/>
      <w:rPr>
        <w:rFonts w:hint="eastAsia" w:ascii="微软雅黑" w:hAnsi="微软雅黑" w:eastAsia="微软雅黑" w:cs="微软雅黑"/>
        <w:sz w:val="20"/>
      </w:rPr>
    </w:pPr>
    <w:r>
      <mc:AlternateContent>
        <mc:Choice Requires="wpg">
          <w:drawing>
            <wp:inline xmlns:wp="http://schemas.openxmlformats.org/drawingml/2006/wordprocessingDrawing" distT="0" distB="0" distL="0" distR="0">
              <wp:extent cx="1123950" cy="222250"/>
              <wp:effectExtent l="0" t="0" r="0" b="635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r/>
                    </pic:nvPicPr>
                    <pic:blipFill>
                      <a:blip r:embed="rId1"/>
                      <a:stretch/>
                    </pic:blipFill>
                    <pic:spPr bwMode="auto">
                      <a:xfrm>
                        <a:off x="0" y="0"/>
                        <a:ext cx="1123950" cy="222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7.5pt;mso-wrap-distance-left:0.0pt;mso-wrap-distance-top:0.0pt;mso-wrap-distance-right:0.0pt;mso-wrap-distance-bottom:0.0pt;" stroked="f">
              <v:path textboxrect="0,0,0,0"/>
              <v:imagedata r:id="rId1" o:title=""/>
            </v:shape>
          </w:pict>
        </mc:Fallback>
      </mc:AlternateContent>
    </w:r>
    <w:r>
      <w:rPr>
        <w:rFonts w:ascii="微软雅黑" w:hAnsi="微软雅黑" w:eastAsia="微软雅黑" w:cs="微软雅黑"/>
        <w:sz w:val="20"/>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3"/>
  </w:num>
  <w:num w:numId="2">
    <w:abstractNumId w:val="5"/>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86">
    <w:name w:val="Heading 1 Char"/>
    <w:basedOn w:val="1148"/>
    <w:link w:val="1140"/>
    <w:uiPriority w:val="9"/>
    <w:rPr>
      <w:rFonts w:ascii="Arial" w:hAnsi="Arial" w:eastAsia="Arial" w:cs="Arial"/>
      <w:sz w:val="40"/>
      <w:szCs w:val="40"/>
    </w:rPr>
  </w:style>
  <w:style w:type="character" w:styleId="987">
    <w:name w:val="Heading 2 Char"/>
    <w:basedOn w:val="1148"/>
    <w:link w:val="1141"/>
    <w:uiPriority w:val="9"/>
    <w:rPr>
      <w:rFonts w:ascii="Arial" w:hAnsi="Arial" w:eastAsia="Arial" w:cs="Arial"/>
      <w:sz w:val="34"/>
    </w:rPr>
  </w:style>
  <w:style w:type="character" w:styleId="988">
    <w:name w:val="Heading 3 Char"/>
    <w:basedOn w:val="1148"/>
    <w:link w:val="1142"/>
    <w:uiPriority w:val="9"/>
    <w:rPr>
      <w:rFonts w:ascii="Arial" w:hAnsi="Arial" w:eastAsia="Arial" w:cs="Arial"/>
      <w:sz w:val="30"/>
      <w:szCs w:val="30"/>
    </w:rPr>
  </w:style>
  <w:style w:type="character" w:styleId="989">
    <w:name w:val="Heading 4 Char"/>
    <w:basedOn w:val="1148"/>
    <w:link w:val="1143"/>
    <w:uiPriority w:val="9"/>
    <w:rPr>
      <w:rFonts w:ascii="Arial" w:hAnsi="Arial" w:eastAsia="Arial" w:cs="Arial"/>
      <w:b/>
      <w:bCs/>
      <w:sz w:val="26"/>
      <w:szCs w:val="26"/>
    </w:rPr>
  </w:style>
  <w:style w:type="character" w:styleId="990">
    <w:name w:val="Heading 5 Char"/>
    <w:basedOn w:val="1148"/>
    <w:link w:val="1144"/>
    <w:uiPriority w:val="9"/>
    <w:rPr>
      <w:rFonts w:ascii="Arial" w:hAnsi="Arial" w:eastAsia="Arial" w:cs="Arial"/>
      <w:b/>
      <w:bCs/>
      <w:sz w:val="24"/>
      <w:szCs w:val="24"/>
    </w:rPr>
  </w:style>
  <w:style w:type="character" w:styleId="991">
    <w:name w:val="Heading 6 Char"/>
    <w:basedOn w:val="1148"/>
    <w:link w:val="1145"/>
    <w:uiPriority w:val="9"/>
    <w:rPr>
      <w:rFonts w:ascii="Arial" w:hAnsi="Arial" w:eastAsia="Arial" w:cs="Arial"/>
      <w:b/>
      <w:bCs/>
      <w:sz w:val="22"/>
      <w:szCs w:val="22"/>
    </w:rPr>
  </w:style>
  <w:style w:type="paragraph" w:styleId="992">
    <w:name w:val="Heading 7"/>
    <w:basedOn w:val="1139"/>
    <w:next w:val="1139"/>
    <w:link w:val="993"/>
    <w:uiPriority w:val="9"/>
    <w:unhideWhenUsed/>
    <w:qFormat/>
    <w:pPr>
      <w:keepLines/>
      <w:keepNext/>
      <w:spacing w:before="320" w:after="200"/>
      <w:outlineLvl w:val="6"/>
    </w:pPr>
    <w:rPr>
      <w:rFonts w:ascii="Arial" w:hAnsi="Arial" w:eastAsia="Arial" w:cs="Arial"/>
      <w:b/>
      <w:bCs/>
      <w:i/>
      <w:iCs/>
      <w:sz w:val="22"/>
      <w:szCs w:val="22"/>
    </w:rPr>
  </w:style>
  <w:style w:type="character" w:styleId="993">
    <w:name w:val="Heading 7 Char"/>
    <w:basedOn w:val="1148"/>
    <w:link w:val="992"/>
    <w:uiPriority w:val="9"/>
    <w:rPr>
      <w:rFonts w:ascii="Arial" w:hAnsi="Arial" w:eastAsia="Arial" w:cs="Arial"/>
      <w:b/>
      <w:bCs/>
      <w:i/>
      <w:iCs/>
      <w:sz w:val="22"/>
      <w:szCs w:val="22"/>
    </w:rPr>
  </w:style>
  <w:style w:type="character" w:styleId="994">
    <w:name w:val="Heading 8 Char"/>
    <w:basedOn w:val="1148"/>
    <w:link w:val="1146"/>
    <w:uiPriority w:val="9"/>
    <w:rPr>
      <w:rFonts w:ascii="Arial" w:hAnsi="Arial" w:eastAsia="Arial" w:cs="Arial"/>
      <w:i/>
      <w:iCs/>
      <w:sz w:val="22"/>
      <w:szCs w:val="22"/>
    </w:rPr>
  </w:style>
  <w:style w:type="character" w:styleId="995">
    <w:name w:val="Heading 9 Char"/>
    <w:basedOn w:val="1148"/>
    <w:link w:val="1147"/>
    <w:uiPriority w:val="9"/>
    <w:rPr>
      <w:rFonts w:ascii="Arial" w:hAnsi="Arial" w:eastAsia="Arial" w:cs="Arial"/>
      <w:i/>
      <w:iCs/>
      <w:sz w:val="21"/>
      <w:szCs w:val="21"/>
    </w:rPr>
  </w:style>
  <w:style w:type="paragraph" w:styleId="996">
    <w:name w:val="No Spacing"/>
    <w:uiPriority w:val="1"/>
    <w:qFormat/>
    <w:pPr>
      <w:spacing w:before="0" w:after="0" w:line="240" w:lineRule="auto"/>
    </w:pPr>
  </w:style>
  <w:style w:type="character" w:styleId="997">
    <w:name w:val="Title Char"/>
    <w:basedOn w:val="1148"/>
    <w:link w:val="1181"/>
    <w:uiPriority w:val="10"/>
    <w:rPr>
      <w:sz w:val="48"/>
      <w:szCs w:val="48"/>
    </w:rPr>
  </w:style>
  <w:style w:type="character" w:styleId="998">
    <w:name w:val="Subtitle Char"/>
    <w:basedOn w:val="1148"/>
    <w:link w:val="1174"/>
    <w:uiPriority w:val="11"/>
    <w:rPr>
      <w:sz w:val="24"/>
      <w:szCs w:val="24"/>
    </w:rPr>
  </w:style>
  <w:style w:type="paragraph" w:styleId="999">
    <w:name w:val="Quote"/>
    <w:basedOn w:val="1139"/>
    <w:next w:val="1139"/>
    <w:link w:val="1000"/>
    <w:uiPriority w:val="29"/>
    <w:qFormat/>
    <w:pPr>
      <w:ind w:left="720" w:right="720"/>
    </w:pPr>
    <w:rPr>
      <w:i/>
    </w:rPr>
  </w:style>
  <w:style w:type="character" w:styleId="1000">
    <w:name w:val="Quote Char"/>
    <w:link w:val="999"/>
    <w:uiPriority w:val="29"/>
    <w:rPr>
      <w:i/>
    </w:rPr>
  </w:style>
  <w:style w:type="paragraph" w:styleId="1001">
    <w:name w:val="Intense Quote"/>
    <w:basedOn w:val="1139"/>
    <w:next w:val="1139"/>
    <w:link w:val="10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2">
    <w:name w:val="Intense Quote Char"/>
    <w:link w:val="1001"/>
    <w:uiPriority w:val="30"/>
    <w:rPr>
      <w:i/>
    </w:rPr>
  </w:style>
  <w:style w:type="character" w:styleId="1003">
    <w:name w:val="Header Char"/>
    <w:basedOn w:val="1148"/>
    <w:link w:val="1171"/>
    <w:uiPriority w:val="99"/>
  </w:style>
  <w:style w:type="character" w:styleId="1004">
    <w:name w:val="Footer Char"/>
    <w:basedOn w:val="1148"/>
    <w:link w:val="1170"/>
    <w:uiPriority w:val="99"/>
  </w:style>
  <w:style w:type="character" w:styleId="1005">
    <w:name w:val="Caption Char"/>
    <w:basedOn w:val="1153"/>
    <w:link w:val="1170"/>
    <w:uiPriority w:val="99"/>
  </w:style>
  <w:style w:type="table" w:styleId="1006">
    <w:name w:val="Table Grid Light"/>
    <w:basedOn w:val="11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07">
    <w:name w:val="Plain Table 1"/>
    <w:basedOn w:val="11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8">
    <w:name w:val="Plain Table 2"/>
    <w:basedOn w:val="11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9">
    <w:name w:val="Plain Table 3"/>
    <w:basedOn w:val="11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0">
    <w:name w:val="Plain Table 4"/>
    <w:basedOn w:val="11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1">
    <w:name w:val="Plain Table 5"/>
    <w:basedOn w:val="11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2">
    <w:name w:val="Grid Table 1 Light"/>
    <w:basedOn w:val="11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3">
    <w:name w:val="Grid Table 1 Light - Accent 1"/>
    <w:basedOn w:val="11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4">
    <w:name w:val="Grid Table 1 Light - Accent 2"/>
    <w:basedOn w:val="11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5">
    <w:name w:val="Grid Table 1 Light - Accent 3"/>
    <w:basedOn w:val="11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6">
    <w:name w:val="Grid Table 1 Light - Accent 4"/>
    <w:basedOn w:val="11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17">
    <w:name w:val="Grid Table 1 Light - Accent 5"/>
    <w:basedOn w:val="11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18">
    <w:name w:val="Grid Table 1 Light - Accent 6"/>
    <w:basedOn w:val="11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9">
    <w:name w:val="Grid Table 2"/>
    <w:basedOn w:val="11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0">
    <w:name w:val="Grid Table 2 - Accent 1"/>
    <w:basedOn w:val="11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21">
    <w:name w:val="Grid Table 2 - Accent 2"/>
    <w:basedOn w:val="11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2">
    <w:name w:val="Grid Table 2 - Accent 3"/>
    <w:basedOn w:val="11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23">
    <w:name w:val="Grid Table 2 - Accent 4"/>
    <w:basedOn w:val="11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4">
    <w:name w:val="Grid Table 2 - Accent 5"/>
    <w:basedOn w:val="11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5">
    <w:name w:val="Grid Table 2 - Accent 6"/>
    <w:basedOn w:val="11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6">
    <w:name w:val="Grid Table 3"/>
    <w:basedOn w:val="11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7">
    <w:name w:val="Grid Table 3 - Accent 1"/>
    <w:basedOn w:val="11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8">
    <w:name w:val="Grid Table 3 - Accent 2"/>
    <w:basedOn w:val="11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9">
    <w:name w:val="Grid Table 3 - Accent 3"/>
    <w:basedOn w:val="11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3 - Accent 4"/>
    <w:basedOn w:val="11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1">
    <w:name w:val="Grid Table 3 - Accent 5"/>
    <w:basedOn w:val="11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2">
    <w:name w:val="Grid Table 3 - Accent 6"/>
    <w:basedOn w:val="11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3">
    <w:name w:val="Grid Table 4"/>
    <w:basedOn w:val="11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4">
    <w:name w:val="Grid Table 4 - Accent 1"/>
    <w:basedOn w:val="11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5">
    <w:name w:val="Grid Table 4 - Accent 2"/>
    <w:basedOn w:val="11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6">
    <w:name w:val="Grid Table 4 - Accent 3"/>
    <w:basedOn w:val="11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37">
    <w:name w:val="Grid Table 4 - Accent 4"/>
    <w:basedOn w:val="11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38">
    <w:name w:val="Grid Table 4 - Accent 5"/>
    <w:basedOn w:val="11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9">
    <w:name w:val="Grid Table 4 - Accent 6"/>
    <w:basedOn w:val="11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40">
    <w:name w:val="Grid Table 5 Dark"/>
    <w:basedOn w:val="11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1">
    <w:name w:val="Grid Table 5 Dark- Accent 1"/>
    <w:basedOn w:val="11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42">
    <w:name w:val="Grid Table 5 Dark - Accent 2"/>
    <w:basedOn w:val="11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43">
    <w:name w:val="Grid Table 5 Dark - Accent 3"/>
    <w:basedOn w:val="11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44">
    <w:name w:val="Grid Table 5 Dark- Accent 4"/>
    <w:basedOn w:val="11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45">
    <w:name w:val="Grid Table 5 Dark - Accent 5"/>
    <w:basedOn w:val="11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46">
    <w:name w:val="Grid Table 5 Dark - Accent 6"/>
    <w:basedOn w:val="11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47">
    <w:name w:val="Grid Table 6 Colorful"/>
    <w:basedOn w:val="11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48">
    <w:name w:val="Grid Table 6 Colorful - Accent 1"/>
    <w:basedOn w:val="11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49">
    <w:name w:val="Grid Table 6 Colorful - Accent 2"/>
    <w:basedOn w:val="11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50">
    <w:name w:val="Grid Table 6 Colorful - Accent 3"/>
    <w:basedOn w:val="11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51">
    <w:name w:val="Grid Table 6 Colorful - Accent 4"/>
    <w:basedOn w:val="11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52">
    <w:name w:val="Grid Table 6 Colorful - Accent 5"/>
    <w:basedOn w:val="11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3">
    <w:name w:val="Grid Table 6 Colorful - Accent 6"/>
    <w:basedOn w:val="11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4">
    <w:name w:val="Grid Table 7 Colorful"/>
    <w:basedOn w:val="11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5">
    <w:name w:val="Grid Table 7 Colorful - Accent 1"/>
    <w:basedOn w:val="11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6">
    <w:name w:val="Grid Table 7 Colorful - Accent 2"/>
    <w:basedOn w:val="11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57">
    <w:name w:val="Grid Table 7 Colorful - Accent 3"/>
    <w:basedOn w:val="11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58">
    <w:name w:val="Grid Table 7 Colorful - Accent 4"/>
    <w:basedOn w:val="11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9">
    <w:name w:val="Grid Table 7 Colorful - Accent 5"/>
    <w:basedOn w:val="11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60">
    <w:name w:val="Grid Table 7 Colorful - Accent 6"/>
    <w:basedOn w:val="11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61">
    <w:name w:val="List Table 1 Light"/>
    <w:basedOn w:val="11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2">
    <w:name w:val="List Table 1 Light - Accent 1"/>
    <w:basedOn w:val="114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3">
    <w:name w:val="List Table 1 Light - Accent 2"/>
    <w:basedOn w:val="114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4">
    <w:name w:val="List Table 1 Light - Accent 3"/>
    <w:basedOn w:val="114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5">
    <w:name w:val="List Table 1 Light - Accent 4"/>
    <w:basedOn w:val="114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6">
    <w:name w:val="List Table 1 Light - Accent 5"/>
    <w:basedOn w:val="114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67">
    <w:name w:val="List Table 1 Light - Accent 6"/>
    <w:basedOn w:val="114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68">
    <w:name w:val="List Table 2"/>
    <w:basedOn w:val="11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9">
    <w:name w:val="List Table 2 - Accent 1"/>
    <w:basedOn w:val="11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70">
    <w:name w:val="List Table 2 - Accent 2"/>
    <w:basedOn w:val="11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71">
    <w:name w:val="List Table 2 - Accent 3"/>
    <w:basedOn w:val="11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2">
    <w:name w:val="List Table 2 - Accent 4"/>
    <w:basedOn w:val="11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73">
    <w:name w:val="List Table 2 - Accent 5"/>
    <w:basedOn w:val="11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4">
    <w:name w:val="List Table 2 - Accent 6"/>
    <w:basedOn w:val="11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5">
    <w:name w:val="List Table 3"/>
    <w:basedOn w:val="11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6">
    <w:name w:val="List Table 3 - Accent 1"/>
    <w:basedOn w:val="11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7">
    <w:name w:val="List Table 3 - Accent 2"/>
    <w:basedOn w:val="11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78">
    <w:name w:val="List Table 3 - Accent 3"/>
    <w:basedOn w:val="11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79">
    <w:name w:val="List Table 3 - Accent 4"/>
    <w:basedOn w:val="11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80">
    <w:name w:val="List Table 3 - Accent 5"/>
    <w:basedOn w:val="11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81">
    <w:name w:val="List Table 3 - Accent 6"/>
    <w:basedOn w:val="11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82">
    <w:name w:val="List Table 4"/>
    <w:basedOn w:val="11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3">
    <w:name w:val="List Table 4 - Accent 1"/>
    <w:basedOn w:val="11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4">
    <w:name w:val="List Table 4 - Accent 2"/>
    <w:basedOn w:val="11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85">
    <w:name w:val="List Table 4 - Accent 3"/>
    <w:basedOn w:val="11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86">
    <w:name w:val="List Table 4 - Accent 4"/>
    <w:basedOn w:val="11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87">
    <w:name w:val="List Table 4 - Accent 5"/>
    <w:basedOn w:val="11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88">
    <w:name w:val="List Table 4 - Accent 6"/>
    <w:basedOn w:val="11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89">
    <w:name w:val="List Table 5 Dark"/>
    <w:basedOn w:val="11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0">
    <w:name w:val="List Table 5 Dark - Accent 1"/>
    <w:basedOn w:val="11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1">
    <w:name w:val="List Table 5 Dark - Accent 2"/>
    <w:basedOn w:val="11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2">
    <w:name w:val="List Table 5 Dark - Accent 3"/>
    <w:basedOn w:val="11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3">
    <w:name w:val="List Table 5 Dark - Accent 4"/>
    <w:basedOn w:val="11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4">
    <w:name w:val="List Table 5 Dark - Accent 5"/>
    <w:basedOn w:val="11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5">
    <w:name w:val="List Table 5 Dark - Accent 6"/>
    <w:basedOn w:val="11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6">
    <w:name w:val="List Table 6 Colorful"/>
    <w:basedOn w:val="11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7">
    <w:name w:val="List Table 6 Colorful - Accent 1"/>
    <w:basedOn w:val="11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98">
    <w:name w:val="List Table 6 Colorful - Accent 2"/>
    <w:basedOn w:val="11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99">
    <w:name w:val="List Table 6 Colorful - Accent 3"/>
    <w:basedOn w:val="11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00">
    <w:name w:val="List Table 6 Colorful - Accent 4"/>
    <w:basedOn w:val="11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01">
    <w:name w:val="List Table 6 Colorful - Accent 5"/>
    <w:basedOn w:val="11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02">
    <w:name w:val="List Table 6 Colorful - Accent 6"/>
    <w:basedOn w:val="11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03">
    <w:name w:val="List Table 7 Colorful"/>
    <w:basedOn w:val="11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4">
    <w:name w:val="List Table 7 Colorful - Accent 1"/>
    <w:basedOn w:val="11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05">
    <w:name w:val="List Table 7 Colorful - Accent 2"/>
    <w:basedOn w:val="11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06">
    <w:name w:val="List Table 7 Colorful - Accent 3"/>
    <w:basedOn w:val="11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07">
    <w:name w:val="List Table 7 Colorful - Accent 4"/>
    <w:basedOn w:val="11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08">
    <w:name w:val="List Table 7 Colorful - Accent 5"/>
    <w:basedOn w:val="11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09">
    <w:name w:val="List Table 7 Colorful - Accent 6"/>
    <w:basedOn w:val="11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10">
    <w:name w:val="Lined - Accent"/>
    <w:basedOn w:val="11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1">
    <w:name w:val="Lined - Accent 1"/>
    <w:basedOn w:val="11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2">
    <w:name w:val="Lined - Accent 2"/>
    <w:basedOn w:val="11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3">
    <w:name w:val="Lined - Accent 3"/>
    <w:basedOn w:val="11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4">
    <w:name w:val="Lined - Accent 4"/>
    <w:basedOn w:val="11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5">
    <w:name w:val="Lined - Accent 5"/>
    <w:basedOn w:val="11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6">
    <w:name w:val="Lined - Accent 6"/>
    <w:basedOn w:val="11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7">
    <w:name w:val="Bordered &amp; Lined - Accent"/>
    <w:basedOn w:val="11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8">
    <w:name w:val="Bordered &amp; Lined - Accent 1"/>
    <w:basedOn w:val="11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9">
    <w:name w:val="Bordered &amp; Lined - Accent 2"/>
    <w:basedOn w:val="11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0">
    <w:name w:val="Bordered &amp; Lined - Accent 3"/>
    <w:basedOn w:val="11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1">
    <w:name w:val="Bordered &amp; Lined - Accent 4"/>
    <w:basedOn w:val="11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2">
    <w:name w:val="Bordered &amp; Lined - Accent 5"/>
    <w:basedOn w:val="11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3">
    <w:name w:val="Bordered &amp; Lined - Accent 6"/>
    <w:basedOn w:val="11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4">
    <w:name w:val="Bordered"/>
    <w:basedOn w:val="11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5">
    <w:name w:val="Bordered - Accent 1"/>
    <w:basedOn w:val="11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6">
    <w:name w:val="Bordered - Accent 2"/>
    <w:basedOn w:val="11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27">
    <w:name w:val="Bordered - Accent 3"/>
    <w:basedOn w:val="11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28">
    <w:name w:val="Bordered - Accent 4"/>
    <w:basedOn w:val="11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9">
    <w:name w:val="Bordered - Accent 5"/>
    <w:basedOn w:val="11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30">
    <w:name w:val="Bordered - Accent 6"/>
    <w:basedOn w:val="11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31">
    <w:name w:val="footnote text"/>
    <w:basedOn w:val="1139"/>
    <w:link w:val="1132"/>
    <w:uiPriority w:val="99"/>
    <w:semiHidden/>
    <w:unhideWhenUsed/>
    <w:pPr>
      <w:spacing w:after="40" w:line="240" w:lineRule="auto"/>
    </w:pPr>
    <w:rPr>
      <w:sz w:val="18"/>
    </w:rPr>
  </w:style>
  <w:style w:type="character" w:styleId="1132">
    <w:name w:val="Footnote Text Char"/>
    <w:link w:val="1131"/>
    <w:uiPriority w:val="99"/>
    <w:rPr>
      <w:sz w:val="18"/>
    </w:rPr>
  </w:style>
  <w:style w:type="character" w:styleId="1133">
    <w:name w:val="footnote reference"/>
    <w:basedOn w:val="1148"/>
    <w:uiPriority w:val="99"/>
    <w:unhideWhenUsed/>
    <w:rPr>
      <w:vertAlign w:val="superscript"/>
    </w:rPr>
  </w:style>
  <w:style w:type="paragraph" w:styleId="1134">
    <w:name w:val="endnote text"/>
    <w:basedOn w:val="1139"/>
    <w:link w:val="1135"/>
    <w:uiPriority w:val="99"/>
    <w:semiHidden/>
    <w:unhideWhenUsed/>
    <w:pPr>
      <w:spacing w:after="0" w:line="240" w:lineRule="auto"/>
    </w:pPr>
    <w:rPr>
      <w:sz w:val="20"/>
    </w:rPr>
  </w:style>
  <w:style w:type="character" w:styleId="1135">
    <w:name w:val="Endnote Text Char"/>
    <w:link w:val="1134"/>
    <w:uiPriority w:val="99"/>
    <w:rPr>
      <w:sz w:val="20"/>
    </w:rPr>
  </w:style>
  <w:style w:type="character" w:styleId="1136">
    <w:name w:val="endnote reference"/>
    <w:basedOn w:val="1148"/>
    <w:uiPriority w:val="99"/>
    <w:semiHidden/>
    <w:unhideWhenUsed/>
    <w:rPr>
      <w:vertAlign w:val="superscript"/>
    </w:rPr>
  </w:style>
  <w:style w:type="paragraph" w:styleId="1137">
    <w:name w:val="TOC Heading"/>
    <w:uiPriority w:val="39"/>
    <w:unhideWhenUsed/>
  </w:style>
  <w:style w:type="paragraph" w:styleId="1138">
    <w:name w:val="table of figures"/>
    <w:basedOn w:val="1139"/>
    <w:next w:val="1139"/>
    <w:uiPriority w:val="99"/>
    <w:unhideWhenUsed/>
    <w:pPr>
      <w:spacing w:after="0" w:afterAutospacing="0"/>
    </w:pPr>
  </w:style>
  <w:style w:type="paragraph" w:styleId="1139"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140">
    <w:name w:val="Heading 1"/>
    <w:basedOn w:val="1139"/>
    <w:next w:val="1139"/>
    <w:link w:val="1195"/>
    <w:uiPriority w:val="0"/>
    <w:qFormat/>
    <w:pPr>
      <w:jc w:val="center"/>
      <w:keepNext/>
      <w:spacing w:line="440" w:lineRule="exact"/>
      <w:outlineLvl w:val="0"/>
    </w:pPr>
    <w:rPr>
      <w:rFonts w:ascii="宋体"/>
      <w:sz w:val="28"/>
    </w:rPr>
  </w:style>
  <w:style w:type="paragraph" w:styleId="1141">
    <w:name w:val="Heading 2"/>
    <w:basedOn w:val="1139"/>
    <w:next w:val="1139"/>
    <w:link w:val="1194"/>
    <w:uiPriority w:val="0"/>
    <w:qFormat/>
    <w:pPr>
      <w:keepLines/>
      <w:keepNext/>
      <w:spacing w:before="260" w:after="260" w:line="416" w:lineRule="auto"/>
      <w:outlineLvl w:val="1"/>
    </w:pPr>
    <w:rPr>
      <w:rFonts w:ascii="Arial" w:hAnsi="Arial" w:eastAsia="黑体"/>
      <w:b/>
      <w:bCs/>
      <w:sz w:val="32"/>
      <w:szCs w:val="32"/>
    </w:rPr>
  </w:style>
  <w:style w:type="paragraph" w:styleId="1142">
    <w:name w:val="Heading 3"/>
    <w:basedOn w:val="1139"/>
    <w:next w:val="1139"/>
    <w:link w:val="1196"/>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143">
    <w:name w:val="Heading 4"/>
    <w:basedOn w:val="1139"/>
    <w:next w:val="1139"/>
    <w:link w:val="1197"/>
    <w:uiPriority w:val="0"/>
    <w:qFormat/>
    <w:pPr>
      <w:keepLines/>
      <w:keepNext/>
      <w:spacing w:before="280" w:after="290" w:line="372" w:lineRule="auto"/>
      <w:outlineLvl w:val="3"/>
    </w:pPr>
    <w:rPr>
      <w:rFonts w:ascii="Arial" w:hAnsi="Arial" w:eastAsia="黑体"/>
      <w:b/>
      <w:bCs/>
      <w:sz w:val="28"/>
      <w:szCs w:val="28"/>
    </w:rPr>
  </w:style>
  <w:style w:type="paragraph" w:styleId="1144">
    <w:name w:val="Heading 5"/>
    <w:basedOn w:val="1139"/>
    <w:next w:val="1139"/>
    <w:link w:val="1199"/>
    <w:uiPriority w:val="0"/>
    <w:qFormat/>
    <w:pPr>
      <w:jc w:val="left"/>
      <w:keepLines/>
      <w:keepNext/>
      <w:spacing w:before="280" w:after="290" w:line="376" w:lineRule="auto"/>
      <w:outlineLvl w:val="4"/>
    </w:pPr>
    <w:rPr>
      <w:rFonts w:ascii="宋体"/>
      <w:b/>
      <w:bCs/>
      <w:sz w:val="28"/>
      <w:szCs w:val="28"/>
    </w:rPr>
  </w:style>
  <w:style w:type="paragraph" w:styleId="1145">
    <w:name w:val="Heading 6"/>
    <w:basedOn w:val="1139"/>
    <w:next w:val="1139"/>
    <w:link w:val="1200"/>
    <w:uiPriority w:val="0"/>
    <w:qFormat/>
    <w:pPr>
      <w:jc w:val="left"/>
      <w:keepLines/>
      <w:keepNext/>
      <w:spacing w:before="240" w:after="64" w:line="320" w:lineRule="auto"/>
      <w:outlineLvl w:val="5"/>
    </w:pPr>
    <w:rPr>
      <w:rFonts w:ascii="Arial" w:hAnsi="Arial" w:eastAsia="黑体"/>
      <w:b/>
      <w:bCs/>
      <w:sz w:val="24"/>
      <w:szCs w:val="24"/>
    </w:rPr>
  </w:style>
  <w:style w:type="paragraph" w:styleId="1146">
    <w:name w:val="Heading 8"/>
    <w:basedOn w:val="1139"/>
    <w:next w:val="1139"/>
    <w:link w:val="1201"/>
    <w:uiPriority w:val="0"/>
    <w:qFormat/>
    <w:pPr>
      <w:jc w:val="left"/>
      <w:keepLines/>
      <w:keepNext/>
      <w:spacing w:before="240" w:after="64" w:line="320" w:lineRule="auto"/>
      <w:outlineLvl w:val="7"/>
    </w:pPr>
    <w:rPr>
      <w:rFonts w:ascii="Arial" w:hAnsi="Arial" w:eastAsia="黑体"/>
      <w:sz w:val="24"/>
      <w:szCs w:val="24"/>
    </w:rPr>
  </w:style>
  <w:style w:type="paragraph" w:styleId="1147">
    <w:name w:val="Heading 9"/>
    <w:basedOn w:val="1139"/>
    <w:next w:val="1139"/>
    <w:link w:val="1202"/>
    <w:uiPriority w:val="0"/>
    <w:qFormat/>
    <w:pPr>
      <w:jc w:val="left"/>
      <w:keepLines/>
      <w:keepNext/>
      <w:spacing w:before="240" w:after="64" w:line="320" w:lineRule="auto"/>
      <w:outlineLvl w:val="8"/>
    </w:pPr>
    <w:rPr>
      <w:rFonts w:ascii="Arial" w:hAnsi="Arial" w:eastAsia="黑体"/>
      <w:szCs w:val="21"/>
    </w:rPr>
  </w:style>
  <w:style w:type="character" w:styleId="1148" w:default="1">
    <w:name w:val="Default Paragraph Font"/>
    <w:uiPriority w:val="1"/>
    <w:semiHidden/>
    <w:unhideWhenUsed/>
  </w:style>
  <w:style w:type="table" w:styleId="1149" w:default="1">
    <w:name w:val="Normal Table"/>
    <w:uiPriority w:val="99"/>
    <w:semiHidden/>
    <w:unhideWhenUsed/>
    <w:qFormat/>
    <w:tblPr>
      <w:tblCellMar>
        <w:left w:w="108" w:type="dxa"/>
        <w:top w:w="0" w:type="dxa"/>
        <w:right w:w="108" w:type="dxa"/>
        <w:bottom w:w="0" w:type="dxa"/>
      </w:tblCellMar>
    </w:tblPr>
  </w:style>
  <w:style w:type="paragraph" w:styleId="1150">
    <w:name w:val="List 3"/>
    <w:basedOn w:val="1139"/>
    <w:uiPriority w:val="0"/>
    <w:qFormat/>
    <w:pPr>
      <w:contextualSpacing/>
      <w:ind w:left="100" w:hanging="200"/>
    </w:pPr>
  </w:style>
  <w:style w:type="paragraph" w:styleId="1151">
    <w:name w:val="toc 7"/>
    <w:basedOn w:val="1139"/>
    <w:next w:val="1139"/>
    <w:uiPriority w:val="39"/>
    <w:qFormat/>
    <w:pPr>
      <w:ind w:left="2520"/>
    </w:pPr>
  </w:style>
  <w:style w:type="paragraph" w:styleId="1152">
    <w:name w:val="Normal Indent"/>
    <w:basedOn w:val="1139"/>
    <w:link w:val="1198"/>
    <w:uiPriority w:val="0"/>
    <w:qFormat/>
    <w:pPr>
      <w:ind w:firstLine="420"/>
    </w:pPr>
    <w:rPr>
      <w:b/>
      <w:sz w:val="24"/>
    </w:rPr>
  </w:style>
  <w:style w:type="paragraph" w:styleId="1153">
    <w:name w:val="Caption"/>
    <w:basedOn w:val="1139"/>
    <w:next w:val="1139"/>
    <w:uiPriority w:val="0"/>
    <w:qFormat/>
    <w:pPr>
      <w:ind w:firstLine="200"/>
      <w:spacing w:line="360" w:lineRule="auto"/>
    </w:pPr>
    <w:rPr>
      <w:rFonts w:ascii="Cambria" w:hAnsi="Cambria" w:eastAsia="黑体"/>
      <w:sz w:val="20"/>
    </w:rPr>
  </w:style>
  <w:style w:type="paragraph" w:styleId="1154">
    <w:name w:val="List Bullet"/>
    <w:basedOn w:val="1139"/>
    <w:uiPriority w:val="0"/>
    <w:qFormat/>
    <w:pPr>
      <w:ind w:firstLine="288"/>
      <w:spacing w:line="360" w:lineRule="atLeast"/>
      <w:tabs>
        <w:tab w:val="left" w:pos="0" w:leader="none"/>
        <w:tab w:val="left" w:pos="360" w:leader="none"/>
      </w:tabs>
    </w:pPr>
    <w:rPr>
      <w:rFonts w:ascii="Arial" w:hAnsi="Arial"/>
      <w:szCs w:val="21"/>
    </w:rPr>
  </w:style>
  <w:style w:type="paragraph" w:styleId="1155">
    <w:name w:val="Document Map"/>
    <w:basedOn w:val="1139"/>
    <w:link w:val="1203"/>
    <w:uiPriority w:val="0"/>
    <w:qFormat/>
    <w:pPr>
      <w:jc w:val="left"/>
    </w:pPr>
    <w:rPr>
      <w:rFonts w:ascii="宋体" w:eastAsia="仿宋_GB2312"/>
      <w:sz w:val="18"/>
      <w:szCs w:val="18"/>
    </w:rPr>
  </w:style>
  <w:style w:type="paragraph" w:styleId="1156">
    <w:name w:val="toa heading"/>
    <w:basedOn w:val="1139"/>
    <w:next w:val="1139"/>
    <w:uiPriority w:val="0"/>
    <w:qFormat/>
    <w:pPr>
      <w:spacing w:before="120"/>
    </w:pPr>
    <w:rPr>
      <w:rFonts w:ascii="Arial" w:hAnsi="Arial" w:cs="Arial"/>
      <w:sz w:val="24"/>
      <w:szCs w:val="24"/>
    </w:rPr>
  </w:style>
  <w:style w:type="paragraph" w:styleId="1157">
    <w:name w:val="annotation text"/>
    <w:basedOn w:val="1139"/>
    <w:link w:val="1204"/>
    <w:uiPriority w:val="0"/>
    <w:qFormat/>
    <w:pPr>
      <w:jc w:val="left"/>
    </w:pPr>
  </w:style>
  <w:style w:type="paragraph" w:styleId="1158">
    <w:name w:val="Body Text"/>
    <w:basedOn w:val="1139"/>
    <w:link w:val="1205"/>
    <w:uiPriority w:val="0"/>
    <w:qFormat/>
    <w:rPr>
      <w:rFonts w:ascii="宋体"/>
      <w:sz w:val="28"/>
    </w:rPr>
  </w:style>
  <w:style w:type="paragraph" w:styleId="1159">
    <w:name w:val="Body Text Indent"/>
    <w:basedOn w:val="1139"/>
    <w:link w:val="1206"/>
    <w:uiPriority w:val="0"/>
    <w:qFormat/>
    <w:pPr>
      <w:ind w:firstLine="420"/>
      <w:spacing w:line="360" w:lineRule="auto"/>
    </w:pPr>
    <w:rPr>
      <w:rFonts w:ascii="宋体"/>
      <w:sz w:val="24"/>
    </w:rPr>
  </w:style>
  <w:style w:type="paragraph" w:styleId="1160">
    <w:name w:val="List 2"/>
    <w:basedOn w:val="1139"/>
    <w:uiPriority w:val="0"/>
    <w:qFormat/>
    <w:pPr>
      <w:ind w:left="100" w:hanging="200"/>
    </w:pPr>
  </w:style>
  <w:style w:type="paragraph" w:styleId="1161">
    <w:name w:val="Block Text"/>
    <w:basedOn w:val="1139"/>
    <w:uiPriority w:val="99"/>
    <w:unhideWhenUsed/>
    <w:qFormat/>
    <w:pPr>
      <w:ind w:left="1440" w:right="1440"/>
      <w:spacing w:after="120"/>
    </w:pPr>
  </w:style>
  <w:style w:type="paragraph" w:styleId="1162">
    <w:name w:val="index 4"/>
    <w:basedOn w:val="1139"/>
    <w:next w:val="1139"/>
    <w:uiPriority w:val="99"/>
    <w:unhideWhenUsed/>
    <w:qFormat/>
    <w:pPr>
      <w:ind w:left="600"/>
    </w:pPr>
    <w:rPr>
      <w:rFonts w:ascii="Verdana" w:hAnsi="Verdana"/>
    </w:rPr>
  </w:style>
  <w:style w:type="paragraph" w:styleId="1163">
    <w:name w:val="toc 5"/>
    <w:basedOn w:val="1139"/>
    <w:next w:val="1139"/>
    <w:uiPriority w:val="39"/>
    <w:qFormat/>
    <w:pPr>
      <w:ind w:left="1680"/>
    </w:pPr>
  </w:style>
  <w:style w:type="paragraph" w:styleId="1164">
    <w:name w:val="toc 3"/>
    <w:basedOn w:val="1139"/>
    <w:next w:val="1139"/>
    <w:uiPriority w:val="39"/>
    <w:qFormat/>
    <w:pPr>
      <w:ind w:left="840"/>
    </w:pPr>
  </w:style>
  <w:style w:type="paragraph" w:styleId="1165">
    <w:name w:val="Plain Text"/>
    <w:basedOn w:val="1139"/>
    <w:link w:val="1207"/>
    <w:uiPriority w:val="0"/>
    <w:qFormat/>
    <w:rPr>
      <w:rFonts w:ascii="宋体" w:hAnsi="Courier New"/>
    </w:rPr>
  </w:style>
  <w:style w:type="paragraph" w:styleId="1166">
    <w:name w:val="toc 8"/>
    <w:basedOn w:val="1139"/>
    <w:next w:val="1139"/>
    <w:uiPriority w:val="39"/>
    <w:qFormat/>
    <w:pPr>
      <w:ind w:left="2940"/>
    </w:pPr>
  </w:style>
  <w:style w:type="paragraph" w:styleId="1167">
    <w:name w:val="Date"/>
    <w:basedOn w:val="1139"/>
    <w:next w:val="1139"/>
    <w:link w:val="1208"/>
    <w:uiPriority w:val="0"/>
    <w:qFormat/>
    <w:rPr>
      <w:rFonts w:ascii="宋体"/>
    </w:rPr>
  </w:style>
  <w:style w:type="paragraph" w:styleId="1168">
    <w:name w:val="Body Text Indent 2"/>
    <w:basedOn w:val="1139"/>
    <w:link w:val="1209"/>
    <w:uiPriority w:val="0"/>
    <w:qFormat/>
    <w:pPr>
      <w:ind w:firstLine="525"/>
      <w:spacing w:line="420" w:lineRule="exact"/>
    </w:pPr>
    <w:rPr>
      <w:rFonts w:ascii="宋体"/>
    </w:rPr>
  </w:style>
  <w:style w:type="paragraph" w:styleId="1169">
    <w:name w:val="Balloon Text"/>
    <w:basedOn w:val="1139"/>
    <w:link w:val="1210"/>
    <w:uiPriority w:val="99"/>
    <w:qFormat/>
    <w:rPr>
      <w:sz w:val="18"/>
      <w:szCs w:val="18"/>
    </w:rPr>
  </w:style>
  <w:style w:type="paragraph" w:styleId="1170">
    <w:name w:val="Footer"/>
    <w:basedOn w:val="1139"/>
    <w:link w:val="1211"/>
    <w:uiPriority w:val="99"/>
    <w:qFormat/>
    <w:pPr>
      <w:jc w:val="left"/>
      <w:tabs>
        <w:tab w:val="center" w:pos="4153" w:leader="none"/>
        <w:tab w:val="right" w:pos="8306" w:leader="none"/>
      </w:tabs>
    </w:pPr>
    <w:rPr>
      <w:sz w:val="18"/>
    </w:rPr>
  </w:style>
  <w:style w:type="paragraph" w:styleId="1171">
    <w:name w:val="Header"/>
    <w:basedOn w:val="1139"/>
    <w:link w:val="1212"/>
    <w:uiPriority w:val="99"/>
    <w:qFormat/>
    <w:pPr>
      <w:jc w:val="center"/>
      <w:tabs>
        <w:tab w:val="center" w:pos="4153" w:leader="none"/>
        <w:tab w:val="right" w:pos="8306" w:leader="none"/>
      </w:tabs>
      <w:pBdr>
        <w:bottom w:val="single" w:color="auto" w:sz="6" w:space="1"/>
      </w:pBdr>
    </w:pPr>
    <w:rPr>
      <w:sz w:val="18"/>
    </w:rPr>
  </w:style>
  <w:style w:type="paragraph" w:styleId="1172">
    <w:name w:val="toc 1"/>
    <w:basedOn w:val="1139"/>
    <w:next w:val="1139"/>
    <w:uiPriority w:val="39"/>
    <w:qFormat/>
  </w:style>
  <w:style w:type="paragraph" w:styleId="1173">
    <w:name w:val="toc 4"/>
    <w:basedOn w:val="1139"/>
    <w:next w:val="1139"/>
    <w:uiPriority w:val="39"/>
    <w:qFormat/>
    <w:pPr>
      <w:ind w:left="1260"/>
    </w:pPr>
  </w:style>
  <w:style w:type="paragraph" w:styleId="1174">
    <w:name w:val="Subtitle"/>
    <w:basedOn w:val="1139"/>
    <w:next w:val="1139"/>
    <w:link w:val="1213"/>
    <w:uiPriority w:val="0"/>
    <w:qFormat/>
    <w:pPr>
      <w:jc w:val="center"/>
      <w:spacing w:before="240" w:after="60" w:line="312" w:lineRule="auto"/>
      <w:outlineLvl w:val="1"/>
    </w:pPr>
    <w:rPr>
      <w:rFonts w:ascii="Cambria" w:hAnsi="Cambria"/>
      <w:b/>
      <w:bCs/>
      <w:sz w:val="32"/>
      <w:szCs w:val="32"/>
    </w:rPr>
  </w:style>
  <w:style w:type="paragraph" w:styleId="1175">
    <w:name w:val="toc 6"/>
    <w:basedOn w:val="1139"/>
    <w:next w:val="1139"/>
    <w:uiPriority w:val="39"/>
    <w:qFormat/>
    <w:pPr>
      <w:ind w:left="2100"/>
    </w:pPr>
  </w:style>
  <w:style w:type="paragraph" w:styleId="1176">
    <w:name w:val="Body Text Indent 3"/>
    <w:basedOn w:val="1139"/>
    <w:link w:val="1214"/>
    <w:uiPriority w:val="0"/>
    <w:qFormat/>
    <w:pPr>
      <w:ind w:firstLine="841"/>
    </w:pPr>
    <w:rPr>
      <w:rFonts w:eastAsia="华文新魏"/>
      <w:b/>
      <w:bCs/>
      <w:sz w:val="84"/>
    </w:rPr>
  </w:style>
  <w:style w:type="paragraph" w:styleId="1177">
    <w:name w:val="toc 2"/>
    <w:basedOn w:val="1139"/>
    <w:next w:val="1139"/>
    <w:uiPriority w:val="39"/>
    <w:qFormat/>
    <w:pPr>
      <w:ind w:left="420"/>
    </w:pPr>
  </w:style>
  <w:style w:type="paragraph" w:styleId="1178">
    <w:name w:val="toc 9"/>
    <w:basedOn w:val="1139"/>
    <w:next w:val="1139"/>
    <w:uiPriority w:val="39"/>
    <w:qFormat/>
    <w:pPr>
      <w:ind w:left="3360"/>
    </w:pPr>
  </w:style>
  <w:style w:type="paragraph" w:styleId="1179">
    <w:name w:val="HTML Preformatted"/>
    <w:basedOn w:val="1139"/>
    <w:link w:val="121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180">
    <w:name w:val="Normal (Web)"/>
    <w:basedOn w:val="1139"/>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81">
    <w:name w:val="Title"/>
    <w:basedOn w:val="1139"/>
    <w:link w:val="1216"/>
    <w:uiPriority w:val="10"/>
    <w:qFormat/>
    <w:pPr>
      <w:jc w:val="center"/>
    </w:pPr>
    <w:rPr>
      <w:sz w:val="30"/>
      <w:szCs w:val="24"/>
    </w:rPr>
  </w:style>
  <w:style w:type="paragraph" w:styleId="1182">
    <w:name w:val="annotation subject"/>
    <w:basedOn w:val="1157"/>
    <w:next w:val="1157"/>
    <w:link w:val="1217"/>
    <w:uiPriority w:val="0"/>
    <w:qFormat/>
    <w:rPr>
      <w:b/>
      <w:bCs/>
    </w:rPr>
  </w:style>
  <w:style w:type="paragraph" w:styleId="1183">
    <w:name w:val="Body Text First Indent"/>
    <w:basedOn w:val="1158"/>
    <w:uiPriority w:val="0"/>
    <w:qFormat/>
    <w:pPr>
      <w:ind w:firstLine="420"/>
      <w:spacing w:line="360" w:lineRule="auto"/>
    </w:pPr>
    <w:rPr>
      <w:rFonts w:ascii="Times New Roman"/>
      <w:szCs w:val="21"/>
    </w:rPr>
  </w:style>
  <w:style w:type="paragraph" w:styleId="1184">
    <w:name w:val="Body Text First Indent 2"/>
    <w:basedOn w:val="1139"/>
    <w:next w:val="1139"/>
    <w:uiPriority w:val="0"/>
    <w:qFormat/>
  </w:style>
  <w:style w:type="table" w:styleId="1185">
    <w:name w:val="Table Grid"/>
    <w:basedOn w:val="1149"/>
    <w:uiPriority w:val="0"/>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86">
    <w:name w:val="Strong"/>
    <w:uiPriority w:val="0"/>
    <w:qFormat/>
    <w:rPr>
      <w:b/>
      <w:bCs/>
    </w:rPr>
  </w:style>
  <w:style w:type="character" w:styleId="1187">
    <w:name w:val="page number"/>
    <w:uiPriority w:val="0"/>
    <w:qFormat/>
  </w:style>
  <w:style w:type="character" w:styleId="1188">
    <w:name w:val="Emphasis"/>
    <w:uiPriority w:val="0"/>
    <w:qFormat/>
    <w:rPr>
      <w:i/>
    </w:rPr>
  </w:style>
  <w:style w:type="character" w:styleId="1189">
    <w:name w:val="Hyperlink"/>
    <w:uiPriority w:val="99"/>
    <w:qFormat/>
    <w:rPr>
      <w:color w:val="333333"/>
      <w:u w:val="none"/>
    </w:rPr>
  </w:style>
  <w:style w:type="character" w:styleId="1190">
    <w:name w:val="annotation reference"/>
    <w:uiPriority w:val="0"/>
    <w:qFormat/>
    <w:rPr>
      <w:sz w:val="21"/>
      <w:szCs w:val="21"/>
    </w:rPr>
  </w:style>
  <w:style w:type="paragraph" w:styleId="1191" w:customStyle="1">
    <w:name w:val="BodyText1I"/>
    <w:basedOn w:val="1192"/>
    <w:uiPriority w:val="0"/>
    <w:qFormat/>
    <w:pPr>
      <w:ind w:firstLine="420"/>
    </w:pPr>
  </w:style>
  <w:style w:type="paragraph" w:styleId="1192" w:customStyle="1">
    <w:name w:val="BodyText"/>
    <w:basedOn w:val="1139"/>
    <w:next w:val="1139"/>
    <w:uiPriority w:val="0"/>
    <w:qFormat/>
    <w:pPr>
      <w:ind w:left="120"/>
      <w:spacing w:before="36"/>
    </w:pPr>
    <w:rPr>
      <w:rFonts w:ascii="宋体" w:hAnsi="宋体"/>
      <w:sz w:val="24"/>
      <w:szCs w:val="24"/>
    </w:rPr>
  </w:style>
  <w:style w:type="paragraph" w:styleId="1193" w:customStyle="1">
    <w:name w:val="首行缩进"/>
    <w:basedOn w:val="1139"/>
    <w:uiPriority w:val="0"/>
    <w:qFormat/>
    <w:pPr>
      <w:ind w:firstLine="480"/>
    </w:pPr>
    <w:rPr>
      <w:lang w:val="zh-CN"/>
    </w:rPr>
  </w:style>
  <w:style w:type="character" w:styleId="1194" w:customStyle="1">
    <w:name w:val="标题 2 字符"/>
    <w:link w:val="1141"/>
    <w:uiPriority w:val="0"/>
    <w:qFormat/>
    <w:rPr>
      <w:rFonts w:ascii="Arial" w:hAnsi="Arial" w:eastAsia="黑体"/>
      <w:b/>
      <w:bCs/>
      <w:sz w:val="32"/>
      <w:szCs w:val="32"/>
    </w:rPr>
  </w:style>
  <w:style w:type="character" w:styleId="1195" w:customStyle="1">
    <w:name w:val="标题 1 字符"/>
    <w:link w:val="1140"/>
    <w:uiPriority w:val="0"/>
    <w:qFormat/>
    <w:rPr>
      <w:rFonts w:ascii="宋体"/>
      <w:sz w:val="28"/>
    </w:rPr>
  </w:style>
  <w:style w:type="character" w:styleId="1196" w:customStyle="1">
    <w:name w:val="标题 3 字符"/>
    <w:link w:val="1142"/>
    <w:uiPriority w:val="0"/>
    <w:qFormat/>
    <w:rPr>
      <w:rFonts w:ascii="仿宋_GB2312" w:eastAsia="仿宋_GB2312"/>
      <w:sz w:val="32"/>
    </w:rPr>
  </w:style>
  <w:style w:type="character" w:styleId="1197" w:customStyle="1">
    <w:name w:val="标题 4 字符"/>
    <w:link w:val="1143"/>
    <w:uiPriority w:val="0"/>
    <w:qFormat/>
    <w:rPr>
      <w:rFonts w:ascii="Arial" w:hAnsi="Arial" w:eastAsia="黑体" w:cs="Arial"/>
      <w:b/>
      <w:bCs/>
      <w:sz w:val="28"/>
      <w:szCs w:val="28"/>
    </w:rPr>
  </w:style>
  <w:style w:type="character" w:styleId="1198" w:customStyle="1">
    <w:name w:val="正文缩进 字符"/>
    <w:link w:val="1152"/>
    <w:uiPriority w:val="0"/>
    <w:qFormat/>
    <w:rPr>
      <w:b/>
      <w:sz w:val="24"/>
    </w:rPr>
  </w:style>
  <w:style w:type="character" w:styleId="1199" w:customStyle="1">
    <w:name w:val="标题 5 字符"/>
    <w:link w:val="1144"/>
    <w:uiPriority w:val="0"/>
    <w:qFormat/>
    <w:rPr>
      <w:rFonts w:ascii="宋体"/>
      <w:b/>
      <w:bCs/>
      <w:sz w:val="28"/>
      <w:szCs w:val="28"/>
    </w:rPr>
  </w:style>
  <w:style w:type="character" w:styleId="1200" w:customStyle="1">
    <w:name w:val="标题 6 字符"/>
    <w:link w:val="1145"/>
    <w:uiPriority w:val="0"/>
    <w:qFormat/>
    <w:rPr>
      <w:rFonts w:ascii="Arial" w:hAnsi="Arial" w:eastAsia="黑体"/>
      <w:b/>
      <w:bCs/>
      <w:sz w:val="24"/>
      <w:szCs w:val="24"/>
    </w:rPr>
  </w:style>
  <w:style w:type="character" w:styleId="1201" w:customStyle="1">
    <w:name w:val="标题 8 字符"/>
    <w:link w:val="1146"/>
    <w:uiPriority w:val="0"/>
    <w:qFormat/>
    <w:rPr>
      <w:rFonts w:ascii="Arial" w:hAnsi="Arial" w:eastAsia="黑体"/>
      <w:sz w:val="24"/>
      <w:szCs w:val="24"/>
    </w:rPr>
  </w:style>
  <w:style w:type="character" w:styleId="1202" w:customStyle="1">
    <w:name w:val="标题 9 字符"/>
    <w:link w:val="1147"/>
    <w:uiPriority w:val="0"/>
    <w:qFormat/>
    <w:rPr>
      <w:rFonts w:ascii="Arial" w:hAnsi="Arial" w:eastAsia="黑体"/>
      <w:sz w:val="21"/>
      <w:szCs w:val="21"/>
    </w:rPr>
  </w:style>
  <w:style w:type="character" w:styleId="1203" w:customStyle="1">
    <w:name w:val="文档结构图 字符"/>
    <w:link w:val="1155"/>
    <w:uiPriority w:val="0"/>
    <w:qFormat/>
    <w:rPr>
      <w:rFonts w:ascii="宋体" w:eastAsia="仿宋_GB2312"/>
      <w:sz w:val="18"/>
      <w:szCs w:val="18"/>
    </w:rPr>
  </w:style>
  <w:style w:type="character" w:styleId="1204" w:customStyle="1">
    <w:name w:val="批注文字 字符"/>
    <w:link w:val="1157"/>
    <w:uiPriority w:val="0"/>
    <w:qFormat/>
    <w:rPr>
      <w:sz w:val="21"/>
    </w:rPr>
  </w:style>
  <w:style w:type="character" w:styleId="1205" w:customStyle="1">
    <w:name w:val="正文文本 字符"/>
    <w:link w:val="1158"/>
    <w:uiPriority w:val="0"/>
    <w:qFormat/>
    <w:rPr>
      <w:rFonts w:ascii="宋体" w:eastAsia="宋体"/>
      <w:sz w:val="28"/>
      <w:lang w:val="en-US" w:eastAsia="zh-CN" w:bidi="ar-SA"/>
    </w:rPr>
  </w:style>
  <w:style w:type="character" w:styleId="1206" w:customStyle="1">
    <w:name w:val="正文文本缩进 字符"/>
    <w:link w:val="1159"/>
    <w:uiPriority w:val="0"/>
    <w:qFormat/>
    <w:rPr>
      <w:rFonts w:ascii="宋体"/>
      <w:sz w:val="24"/>
    </w:rPr>
  </w:style>
  <w:style w:type="character" w:styleId="1207" w:customStyle="1">
    <w:name w:val="纯文本 字符"/>
    <w:link w:val="1165"/>
    <w:uiPriority w:val="0"/>
    <w:qFormat/>
    <w:rPr>
      <w:rFonts w:ascii="宋体" w:hAnsi="Courier New" w:eastAsia="宋体"/>
      <w:sz w:val="21"/>
      <w:lang w:val="en-US" w:eastAsia="zh-CN" w:bidi="ar-SA"/>
    </w:rPr>
  </w:style>
  <w:style w:type="character" w:styleId="1208" w:customStyle="1">
    <w:name w:val="日期 字符"/>
    <w:link w:val="1167"/>
    <w:uiPriority w:val="0"/>
    <w:qFormat/>
    <w:rPr>
      <w:rFonts w:ascii="宋体"/>
      <w:sz w:val="21"/>
    </w:rPr>
  </w:style>
  <w:style w:type="character" w:styleId="1209" w:customStyle="1">
    <w:name w:val="正文文本缩进 2 字符"/>
    <w:link w:val="1168"/>
    <w:uiPriority w:val="0"/>
    <w:qFormat/>
    <w:rPr>
      <w:rFonts w:ascii="宋体"/>
      <w:sz w:val="21"/>
    </w:rPr>
  </w:style>
  <w:style w:type="character" w:styleId="1210" w:customStyle="1">
    <w:name w:val="批注框文本 字符"/>
    <w:link w:val="1169"/>
    <w:uiPriority w:val="99"/>
    <w:semiHidden/>
    <w:qFormat/>
    <w:rPr>
      <w:sz w:val="18"/>
      <w:szCs w:val="18"/>
    </w:rPr>
  </w:style>
  <w:style w:type="character" w:styleId="1211" w:customStyle="1">
    <w:name w:val="页脚 字符"/>
    <w:link w:val="1170"/>
    <w:uiPriority w:val="99"/>
    <w:qFormat/>
    <w:rPr>
      <w:sz w:val="18"/>
    </w:rPr>
  </w:style>
  <w:style w:type="character" w:styleId="1212" w:customStyle="1">
    <w:name w:val="页眉 字符"/>
    <w:link w:val="1171"/>
    <w:uiPriority w:val="99"/>
    <w:qFormat/>
    <w:rPr>
      <w:sz w:val="18"/>
    </w:rPr>
  </w:style>
  <w:style w:type="character" w:styleId="1213" w:customStyle="1">
    <w:name w:val="副标题 字符"/>
    <w:link w:val="1174"/>
    <w:uiPriority w:val="0"/>
    <w:qFormat/>
    <w:rPr>
      <w:rFonts w:ascii="Cambria" w:hAnsi="Cambria"/>
      <w:b/>
      <w:bCs/>
      <w:sz w:val="32"/>
      <w:szCs w:val="32"/>
    </w:rPr>
  </w:style>
  <w:style w:type="character" w:styleId="1214" w:customStyle="1">
    <w:name w:val="正文文本缩进 3 字符"/>
    <w:link w:val="1176"/>
    <w:uiPriority w:val="0"/>
    <w:qFormat/>
    <w:rPr>
      <w:rFonts w:eastAsia="华文新魏"/>
      <w:b/>
      <w:bCs/>
      <w:sz w:val="84"/>
    </w:rPr>
  </w:style>
  <w:style w:type="character" w:styleId="1215" w:customStyle="1">
    <w:name w:val="HTML 预设格式 字符"/>
    <w:link w:val="1179"/>
    <w:uiPriority w:val="0"/>
    <w:qFormat/>
    <w:rPr>
      <w:rFonts w:ascii="黑体" w:hAnsi="Courier New" w:eastAsia="黑体" w:cs="Courier New"/>
    </w:rPr>
  </w:style>
  <w:style w:type="character" w:styleId="1216" w:customStyle="1">
    <w:name w:val="标题 字符"/>
    <w:link w:val="1181"/>
    <w:uiPriority w:val="10"/>
    <w:qFormat/>
    <w:rPr>
      <w:sz w:val="30"/>
      <w:szCs w:val="24"/>
    </w:rPr>
  </w:style>
  <w:style w:type="character" w:styleId="1217" w:customStyle="1">
    <w:name w:val="批注主题 字符"/>
    <w:link w:val="1182"/>
    <w:uiPriority w:val="0"/>
    <w:qFormat/>
    <w:rPr>
      <w:b/>
      <w:bCs/>
      <w:sz w:val="21"/>
    </w:rPr>
  </w:style>
  <w:style w:type="character" w:styleId="1218" w:customStyle="1">
    <w:name w:val="NormalCharacter"/>
    <w:uiPriority w:val="0"/>
    <w:semiHidden/>
    <w:qFormat/>
    <w:rPr>
      <w:sz w:val="21"/>
      <w:lang w:val="en-US" w:eastAsia="zh-CN" w:bidi="ar-SA"/>
    </w:rPr>
  </w:style>
  <w:style w:type="character" w:styleId="1219" w:customStyle="1">
    <w:name w:val="正文文本缩进 2 Char"/>
    <w:uiPriority w:val="0"/>
    <w:qFormat/>
    <w:rPr>
      <w:rFonts w:ascii="宋体"/>
      <w:sz w:val="21"/>
    </w:rPr>
  </w:style>
  <w:style w:type="character" w:styleId="1220" w:customStyle="1">
    <w:name w:val="Andy_正文格式 Char"/>
    <w:link w:val="1221"/>
    <w:uiPriority w:val="0"/>
    <w:qFormat/>
    <w:rPr>
      <w:rFonts w:ascii="仿宋_GB2312" w:eastAsia="仿宋_GB2312"/>
      <w:sz w:val="28"/>
      <w:szCs w:val="28"/>
    </w:rPr>
  </w:style>
  <w:style w:type="paragraph" w:styleId="1221" w:customStyle="1">
    <w:name w:val="Andy_正文格式"/>
    <w:basedOn w:val="1139"/>
    <w:link w:val="1220"/>
    <w:uiPriority w:val="0"/>
    <w:qFormat/>
    <w:pPr>
      <w:ind w:firstLine="560"/>
    </w:pPr>
    <w:rPr>
      <w:rFonts w:ascii="仿宋_GB2312" w:eastAsia="仿宋_GB2312"/>
      <w:sz w:val="28"/>
      <w:szCs w:val="28"/>
    </w:rPr>
  </w:style>
  <w:style w:type="character" w:styleId="1222" w:customStyle="1">
    <w:name w:val="正文缩进 Char"/>
    <w:uiPriority w:val="0"/>
    <w:qFormat/>
    <w:rPr>
      <w:b/>
      <w:sz w:val="24"/>
    </w:rPr>
  </w:style>
  <w:style w:type="character" w:styleId="1223" w:customStyle="1">
    <w:name w:val="标题 1 Char1"/>
    <w:uiPriority w:val="0"/>
    <w:qFormat/>
    <w:rPr>
      <w:rFonts w:ascii="宋体"/>
      <w:sz w:val="28"/>
    </w:rPr>
  </w:style>
  <w:style w:type="character" w:styleId="1224" w:customStyle="1">
    <w:name w:val="纯文本 Char"/>
    <w:uiPriority w:val="0"/>
    <w:qFormat/>
    <w:rPr>
      <w:rFonts w:ascii="宋体" w:hAnsi="Courier New" w:eastAsia="宋体" w:cs="Courier New"/>
      <w:szCs w:val="21"/>
    </w:rPr>
  </w:style>
  <w:style w:type="character" w:styleId="1225" w:customStyle="1">
    <w:name w:val="正文文本 (2) + Gulim"/>
    <w:uiPriority w:val="0"/>
    <w:qFormat/>
    <w:rPr>
      <w:rFonts w:ascii="Gulim" w:hAnsi="Gulim" w:eastAsia="Gulim" w:cs="Gulim"/>
      <w:b/>
      <w:color w:val="000000"/>
      <w:spacing w:val="0"/>
      <w:position w:val="0"/>
      <w:sz w:val="15"/>
      <w:szCs w:val="15"/>
      <w:u w:val="none"/>
      <w:lang w:val="en-US" w:eastAsia="en-US" w:bidi="en-US"/>
    </w:rPr>
  </w:style>
  <w:style w:type="character" w:styleId="1226" w:customStyle="1">
    <w:name w:val="标题 4 Char1"/>
    <w:uiPriority w:val="0"/>
    <w:qFormat/>
    <w:rPr>
      <w:rFonts w:ascii="Arial" w:hAnsi="Arial" w:eastAsia="黑体" w:cs="Arial"/>
      <w:b/>
      <w:bCs/>
      <w:sz w:val="28"/>
      <w:szCs w:val="28"/>
    </w:rPr>
  </w:style>
  <w:style w:type="character" w:styleId="1227" w:customStyle="1">
    <w:name w:val="style21"/>
    <w:uiPriority w:val="0"/>
    <w:qFormat/>
    <w:rPr>
      <w:sz w:val="18"/>
      <w:szCs w:val="18"/>
    </w:rPr>
  </w:style>
  <w:style w:type="character" w:styleId="1228" w:customStyle="1">
    <w:name w:val="日期 Char1"/>
    <w:uiPriority w:val="0"/>
    <w:qFormat/>
    <w:rPr>
      <w:rFonts w:ascii="宋体"/>
      <w:sz w:val="21"/>
    </w:rPr>
  </w:style>
  <w:style w:type="character" w:styleId="1229" w:customStyle="1">
    <w:name w:val="正文文本 Char"/>
    <w:uiPriority w:val="0"/>
    <w:qFormat/>
    <w:rPr>
      <w:rFonts w:ascii="宋体" w:eastAsia="宋体"/>
      <w:sz w:val="28"/>
      <w:lang w:val="en-US" w:eastAsia="zh-CN" w:bidi="ar-SA"/>
    </w:rPr>
  </w:style>
  <w:style w:type="character" w:styleId="1230" w:customStyle="1">
    <w:name w:val="font211"/>
    <w:uiPriority w:val="0"/>
    <w:qFormat/>
    <w:rPr>
      <w:rFonts w:hint="eastAsia" w:ascii="新宋体" w:hAnsi="新宋体" w:eastAsia="新宋体" w:cs="新宋体"/>
      <w:color w:val="000000"/>
      <w:sz w:val="18"/>
      <w:szCs w:val="18"/>
      <w:u w:val="none"/>
    </w:rPr>
  </w:style>
  <w:style w:type="character" w:styleId="1231" w:customStyle="1">
    <w:name w:val="样式 仿宋_GB2312 小四 加粗 黑色"/>
    <w:uiPriority w:val="0"/>
    <w:qFormat/>
    <w:rPr>
      <w:rFonts w:ascii="仿宋_GB2312" w:eastAsia="仿宋_GB2312"/>
      <w:b/>
      <w:bCs/>
      <w:color w:val="000000"/>
      <w:sz w:val="24"/>
      <w:szCs w:val="24"/>
      <w:lang w:val="en-US" w:eastAsia="zh-CN" w:bidi="ar-SA"/>
    </w:rPr>
  </w:style>
  <w:style w:type="character" w:styleId="1232" w:customStyle="1">
    <w:name w:val="批注主题 Char"/>
    <w:uiPriority w:val="0"/>
    <w:qFormat/>
    <w:rPr>
      <w:b/>
      <w:bCs/>
      <w:sz w:val="21"/>
    </w:rPr>
  </w:style>
  <w:style w:type="character" w:styleId="1233" w:customStyle="1">
    <w:name w:val="标题 2 Char1"/>
    <w:uiPriority w:val="0"/>
    <w:qFormat/>
    <w:rPr>
      <w:rFonts w:ascii="Arial" w:hAnsi="Arial" w:eastAsia="黑体"/>
      <w:b/>
      <w:bCs/>
      <w:sz w:val="32"/>
      <w:szCs w:val="32"/>
    </w:rPr>
  </w:style>
  <w:style w:type="character" w:styleId="1234" w:customStyle="1">
    <w:name w:val="页眉 Char1"/>
    <w:uiPriority w:val="99"/>
    <w:qFormat/>
    <w:rPr>
      <w:sz w:val="18"/>
    </w:rPr>
  </w:style>
  <w:style w:type="character" w:styleId="1235" w:customStyle="1">
    <w:name w:val="正文文本缩进 Char1"/>
    <w:uiPriority w:val="0"/>
    <w:qFormat/>
    <w:rPr>
      <w:rFonts w:ascii="宋体"/>
      <w:sz w:val="24"/>
    </w:rPr>
  </w:style>
  <w:style w:type="character" w:styleId="1236" w:customStyle="1">
    <w:name w:val="正文文本缩进 Char"/>
    <w:uiPriority w:val="99"/>
    <w:semiHidden/>
    <w:qFormat/>
    <w:rPr>
      <w:rFonts w:ascii="宋体" w:hAnsi="Times New Roman" w:eastAsia="宋体" w:cs="Times New Roman"/>
      <w:sz w:val="20"/>
      <w:szCs w:val="20"/>
    </w:rPr>
  </w:style>
  <w:style w:type="character" w:styleId="1237" w:customStyle="1">
    <w:name w:val="列出段落 Char1"/>
    <w:link w:val="1238"/>
    <w:uiPriority w:val="0"/>
    <w:qFormat/>
    <w:rPr>
      <w:rFonts w:ascii="Calibri" w:hAnsi="Calibri"/>
      <w:sz w:val="21"/>
      <w:szCs w:val="22"/>
    </w:rPr>
  </w:style>
  <w:style w:type="paragraph" w:styleId="1238" w:customStyle="1">
    <w:name w:val="列出段落1"/>
    <w:basedOn w:val="1139"/>
    <w:link w:val="1237"/>
    <w:uiPriority w:val="0"/>
    <w:qFormat/>
    <w:pPr>
      <w:ind w:firstLine="420"/>
    </w:pPr>
    <w:rPr>
      <w:rFonts w:ascii="Calibri" w:hAnsi="Calibri"/>
      <w:szCs w:val="22"/>
    </w:rPr>
  </w:style>
  <w:style w:type="character" w:styleId="1239" w:customStyle="1">
    <w:name w:val="批注框文本 Char"/>
    <w:uiPriority w:val="99"/>
    <w:semiHidden/>
    <w:qFormat/>
    <w:rPr>
      <w:rFonts w:ascii="宋体" w:hAnsi="Times New Roman" w:eastAsia="宋体" w:cs="Times New Roman"/>
      <w:sz w:val="18"/>
      <w:szCs w:val="18"/>
    </w:rPr>
  </w:style>
  <w:style w:type="character" w:styleId="1240" w:customStyle="1">
    <w:name w:val="font21"/>
    <w:uiPriority w:val="0"/>
    <w:qFormat/>
    <w:rPr>
      <w:rFonts w:hint="eastAsia" w:ascii="新宋体" w:hAnsi="新宋体" w:eastAsia="新宋体" w:cs="新宋体"/>
      <w:color w:val="000000"/>
      <w:sz w:val="18"/>
      <w:szCs w:val="18"/>
      <w:u w:val="none"/>
    </w:rPr>
  </w:style>
  <w:style w:type="character" w:styleId="1241" w:customStyle="1">
    <w:name w:val="标准文本 Char"/>
    <w:link w:val="1242"/>
    <w:uiPriority w:val="0"/>
    <w:qFormat/>
    <w:rPr>
      <w:rFonts w:ascii="宋体" w:hAnsi="宋体" w:eastAsia="宋体" w:cs="宋体"/>
      <w:sz w:val="21"/>
      <w:szCs w:val="21"/>
      <w:lang w:val="en-US" w:eastAsia="zh-CN" w:bidi="ar-SA"/>
    </w:rPr>
  </w:style>
  <w:style w:type="paragraph" w:styleId="1242" w:customStyle="1">
    <w:name w:val="标准文本"/>
    <w:basedOn w:val="1139"/>
    <w:link w:val="1241"/>
    <w:uiPriority w:val="0"/>
    <w:qFormat/>
    <w:pPr>
      <w:ind w:firstLine="420"/>
      <w:spacing w:line="300" w:lineRule="auto"/>
    </w:pPr>
    <w:rPr>
      <w:rFonts w:ascii="宋体" w:hAnsi="宋体" w:cs="宋体"/>
      <w:szCs w:val="21"/>
    </w:rPr>
  </w:style>
  <w:style w:type="character" w:styleId="1243" w:customStyle="1">
    <w:name w:val="表格标题 + SimSun"/>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244" w:customStyle="1">
    <w:name w:val="标题 4 Char"/>
    <w:uiPriority w:val="0"/>
    <w:qFormat/>
    <w:rPr>
      <w:rFonts w:ascii="Cambria" w:hAnsi="Cambria" w:eastAsia="宋体" w:cs="Times New Roman"/>
      <w:b/>
      <w:bCs/>
      <w:sz w:val="28"/>
      <w:szCs w:val="28"/>
    </w:rPr>
  </w:style>
  <w:style w:type="character" w:styleId="1245" w:customStyle="1">
    <w:name w:val="表格标题_"/>
    <w:link w:val="1246"/>
    <w:uiPriority w:val="0"/>
    <w:qFormat/>
    <w:rPr>
      <w:rFonts w:ascii="Gulim" w:hAnsi="Gulim" w:eastAsia="Gulim" w:cs="Gulim"/>
      <w:b/>
      <w:sz w:val="15"/>
      <w:szCs w:val="15"/>
      <w:shd w:val="clear" w:color="auto" w:fill="ffffff"/>
      <w:lang w:eastAsia="en-US" w:bidi="en-US"/>
    </w:rPr>
  </w:style>
  <w:style w:type="paragraph" w:styleId="1246" w:customStyle="1">
    <w:name w:val="表格标题"/>
    <w:basedOn w:val="1139"/>
    <w:link w:val="1245"/>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247" w:customStyle="1">
    <w:name w:val="Char Char3"/>
    <w:uiPriority w:val="0"/>
    <w:qFormat/>
    <w:rPr>
      <w:rFonts w:ascii="宋体" w:hAnsi="宋体" w:eastAsia="宋体"/>
      <w:sz w:val="24"/>
      <w:szCs w:val="24"/>
      <w:lang w:val="en-US" w:eastAsia="zh-CN" w:bidi="ar-SA"/>
    </w:rPr>
  </w:style>
  <w:style w:type="character" w:styleId="1248" w:customStyle="1">
    <w:name w:val="fontstyle11"/>
    <w:uiPriority w:val="0"/>
    <w:qFormat/>
    <w:rPr>
      <w:rFonts w:hint="default" w:ascii="Times New Roman" w:hAnsi="Times New Roman" w:cs="Times New Roman"/>
      <w:color w:val="000000"/>
      <w:sz w:val="24"/>
      <w:szCs w:val="24"/>
    </w:rPr>
  </w:style>
  <w:style w:type="character" w:styleId="1249" w:customStyle="1">
    <w:name w:val="正文文本 (2)_"/>
    <w:uiPriority w:val="0"/>
    <w:qFormat/>
    <w:rPr>
      <w:rFonts w:ascii="宋体" w:hAnsi="宋体" w:eastAsia="宋体" w:cs="宋体"/>
      <w:b/>
      <w:sz w:val="17"/>
      <w:szCs w:val="17"/>
      <w:u w:val="none"/>
      <w:lang w:val="en-US" w:eastAsia="zh-CN" w:bidi="ar-SA"/>
    </w:rPr>
  </w:style>
  <w:style w:type="character" w:styleId="1250" w:customStyle="1">
    <w:name w:val="yy1"/>
    <w:uiPriority w:val="0"/>
    <w:qFormat/>
    <w:rPr>
      <w:rFonts w:ascii="宋体" w:hAnsi="宋体" w:eastAsia="宋体"/>
      <w:b/>
      <w:bCs/>
      <w:sz w:val="28"/>
    </w:rPr>
  </w:style>
  <w:style w:type="character" w:styleId="1251" w:customStyle="1">
    <w:name w:val="批注框文本 Char1"/>
    <w:uiPriority w:val="99"/>
    <w:semiHidden/>
    <w:qFormat/>
    <w:rPr>
      <w:sz w:val="18"/>
      <w:szCs w:val="18"/>
    </w:rPr>
  </w:style>
  <w:style w:type="character" w:styleId="1252" w:customStyle="1">
    <w:name w:val="文档结构图 Char1"/>
    <w:uiPriority w:val="0"/>
    <w:qFormat/>
    <w:rPr>
      <w:rFonts w:ascii="宋体" w:eastAsia="仿宋_GB2312"/>
      <w:sz w:val="18"/>
      <w:szCs w:val="18"/>
    </w:rPr>
  </w:style>
  <w:style w:type="character" w:styleId="1253" w:customStyle="1">
    <w:name w:val="纯文本 Char2"/>
    <w:uiPriority w:val="0"/>
    <w:qFormat/>
    <w:rPr>
      <w:rFonts w:ascii="宋体" w:hAnsi="Courier New" w:eastAsia="宋体"/>
      <w:sz w:val="21"/>
      <w:lang w:val="en-US" w:eastAsia="zh-CN" w:bidi="ar-SA"/>
    </w:rPr>
  </w:style>
  <w:style w:type="character" w:styleId="1254" w:customStyle="1">
    <w:name w:val="访问过的超链接1"/>
    <w:uiPriority w:val="99"/>
    <w:qFormat/>
    <w:rPr>
      <w:color w:val="333333"/>
      <w:u w:val="none"/>
    </w:rPr>
  </w:style>
  <w:style w:type="character" w:styleId="1255" w:customStyle="1">
    <w:name w:val="副标题 Char"/>
    <w:uiPriority w:val="0"/>
    <w:qFormat/>
    <w:rPr>
      <w:rFonts w:ascii="Cambria" w:hAnsi="Cambria"/>
      <w:b/>
      <w:bCs/>
      <w:sz w:val="32"/>
      <w:szCs w:val="32"/>
    </w:rPr>
  </w:style>
  <w:style w:type="character" w:styleId="1256" w:customStyle="1">
    <w:name w:val="新正文 Char Char"/>
    <w:link w:val="1257"/>
    <w:uiPriority w:val="0"/>
    <w:qFormat/>
    <w:rPr>
      <w:rFonts w:ascii="宋体" w:hAnsi="宋体" w:cs="宋体"/>
      <w:b/>
      <w:bCs/>
      <w:color w:val="000000"/>
      <w:sz w:val="24"/>
      <w:szCs w:val="21"/>
    </w:rPr>
  </w:style>
  <w:style w:type="paragraph" w:styleId="1257" w:customStyle="1">
    <w:name w:val="新正文"/>
    <w:basedOn w:val="1139"/>
    <w:link w:val="1256"/>
    <w:uiPriority w:val="0"/>
    <w:qFormat/>
    <w:pPr>
      <w:ind w:firstLine="200"/>
      <w:spacing w:line="480" w:lineRule="exact"/>
    </w:pPr>
    <w:rPr>
      <w:rFonts w:ascii="宋体" w:hAnsi="宋体"/>
      <w:b/>
      <w:bCs/>
      <w:color w:val="000000"/>
      <w:sz w:val="24"/>
      <w:szCs w:val="21"/>
    </w:rPr>
  </w:style>
  <w:style w:type="character" w:styleId="1258" w:customStyle="1">
    <w:name w:val="apple-converted-space"/>
    <w:uiPriority w:val="0"/>
    <w:qFormat/>
  </w:style>
  <w:style w:type="character" w:styleId="1259" w:customStyle="1">
    <w:name w:val="c lh15"/>
    <w:uiPriority w:val="0"/>
    <w:qFormat/>
  </w:style>
  <w:style w:type="character" w:styleId="1260" w:customStyle="1">
    <w:name w:val="文档结构图 字符1"/>
    <w:uiPriority w:val="0"/>
    <w:qFormat/>
    <w:rPr>
      <w:rFonts w:ascii="Microsoft YaHei UI" w:eastAsia="Microsoft YaHei UI"/>
      <w:sz w:val="18"/>
      <w:szCs w:val="18"/>
    </w:rPr>
  </w:style>
  <w:style w:type="character" w:styleId="1261" w:customStyle="1">
    <w:name w:val="标题 3 Char"/>
    <w:uiPriority w:val="0"/>
    <w:qFormat/>
    <w:rPr>
      <w:rFonts w:ascii="仿宋_GB2312" w:eastAsia="仿宋_GB2312"/>
      <w:sz w:val="32"/>
    </w:rPr>
  </w:style>
  <w:style w:type="character" w:styleId="1262" w:customStyle="1">
    <w:name w:val="ask-title2"/>
    <w:uiPriority w:val="0"/>
    <w:qFormat/>
  </w:style>
  <w:style w:type="character" w:styleId="1263" w:customStyle="1">
    <w:name w:val="页脚 Char1"/>
    <w:uiPriority w:val="99"/>
    <w:qFormat/>
    <w:rPr>
      <w:sz w:val="18"/>
    </w:rPr>
  </w:style>
  <w:style w:type="character" w:styleId="1264" w:customStyle="1">
    <w:name w:val="批注文字 Char"/>
    <w:uiPriority w:val="0"/>
    <w:qFormat/>
    <w:rPr>
      <w:sz w:val="21"/>
    </w:rPr>
  </w:style>
  <w:style w:type="character" w:styleId="1265" w:customStyle="1">
    <w:name w:val="news"/>
    <w:uiPriority w:val="0"/>
    <w:qFormat/>
    <w:rPr>
      <w:rFonts w:ascii="仿宋_GB2312" w:eastAsia="仿宋_GB2312"/>
      <w:sz w:val="24"/>
      <w:szCs w:val="24"/>
      <w:lang w:val="en-US" w:eastAsia="zh-CN" w:bidi="ar-SA"/>
    </w:rPr>
  </w:style>
  <w:style w:type="character" w:styleId="1266" w:customStyle="1">
    <w:name w:val="页脚 Char"/>
    <w:uiPriority w:val="99"/>
    <w:qFormat/>
    <w:rPr>
      <w:rFonts w:ascii="宋体" w:hAnsi="Times New Roman" w:eastAsia="宋体" w:cs="Times New Roman"/>
      <w:sz w:val="18"/>
      <w:szCs w:val="18"/>
    </w:rPr>
  </w:style>
  <w:style w:type="character" w:styleId="1267" w:customStyle="1">
    <w:name w:val="标题 Char1"/>
    <w:uiPriority w:val="0"/>
    <w:qFormat/>
    <w:rPr>
      <w:rFonts w:ascii="Cambria" w:hAnsi="Cambria" w:eastAsia="仿宋_GB2312" w:cs="Times New Roman"/>
      <w:b/>
      <w:bCs/>
      <w:sz w:val="32"/>
      <w:szCs w:val="32"/>
      <w:lang w:val="en-US" w:eastAsia="zh-CN" w:bidi="ar-SA"/>
    </w:rPr>
  </w:style>
  <w:style w:type="character" w:styleId="1268" w:customStyle="1">
    <w:name w:val="文档结构图 Char"/>
    <w:uiPriority w:val="0"/>
    <w:qFormat/>
    <w:rPr>
      <w:rFonts w:ascii="宋体" w:hAnsi="Times New Roman" w:eastAsia="宋体" w:cs="Times New Roman"/>
      <w:sz w:val="18"/>
      <w:szCs w:val="18"/>
    </w:rPr>
  </w:style>
  <w:style w:type="character" w:styleId="1269" w:customStyle="1">
    <w:name w:val="正文文本 (2)"/>
    <w:uiPriority w:val="0"/>
    <w:qFormat/>
    <w:rPr>
      <w:rFonts w:ascii="宋体" w:hAnsi="宋体" w:eastAsia="宋体" w:cs="宋体"/>
      <w:b/>
      <w:color w:val="000000"/>
      <w:spacing w:val="0"/>
      <w:position w:val="0"/>
      <w:sz w:val="17"/>
      <w:szCs w:val="17"/>
      <w:u w:val="none"/>
      <w:lang w:val="zh-CN" w:eastAsia="zh-CN" w:bidi="zh-CN"/>
    </w:rPr>
  </w:style>
  <w:style w:type="character" w:styleId="1270" w:customStyle="1">
    <w:name w:val="标题 2 Char"/>
    <w:uiPriority w:val="9"/>
    <w:semiHidden/>
    <w:qFormat/>
    <w:rPr>
      <w:rFonts w:ascii="Cambria" w:hAnsi="Cambria" w:eastAsia="宋体" w:cs="Times New Roman"/>
      <w:b/>
      <w:bCs/>
      <w:sz w:val="32"/>
      <w:szCs w:val="32"/>
    </w:rPr>
  </w:style>
  <w:style w:type="character" w:styleId="1271" w:customStyle="1">
    <w:name w:val="标题 1 Char"/>
    <w:uiPriority w:val="0"/>
    <w:qFormat/>
    <w:rPr>
      <w:rFonts w:ascii="宋体" w:hAnsi="Times New Roman" w:eastAsia="宋体" w:cs="Times New Roman"/>
      <w:b/>
      <w:bCs/>
      <w:sz w:val="44"/>
      <w:szCs w:val="44"/>
    </w:rPr>
  </w:style>
  <w:style w:type="character" w:styleId="1272" w:customStyle="1">
    <w:name w:val="批注文字 字符1"/>
    <w:uiPriority w:val="99"/>
    <w:semiHidden/>
    <w:qFormat/>
    <w:rPr>
      <w:rFonts w:ascii="宋体" w:hAnsi="Times New Roman" w:eastAsia="宋体" w:cs="Times New Roman"/>
      <w:sz w:val="20"/>
      <w:szCs w:val="20"/>
    </w:rPr>
  </w:style>
  <w:style w:type="character" w:styleId="1273" w:customStyle="1">
    <w:name w:val="页眉 Char"/>
    <w:uiPriority w:val="0"/>
    <w:qFormat/>
    <w:rPr>
      <w:rFonts w:ascii="宋体" w:hAnsi="Times New Roman" w:eastAsia="宋体" w:cs="Times New Roman"/>
      <w:sz w:val="18"/>
      <w:szCs w:val="18"/>
    </w:rPr>
  </w:style>
  <w:style w:type="character" w:styleId="1274" w:customStyle="1">
    <w:name w:val="报告正文 Char"/>
    <w:link w:val="1275"/>
    <w:uiPriority w:val="0"/>
    <w:qFormat/>
    <w:rPr>
      <w:rFonts w:eastAsia="仿宋_GB2312"/>
      <w:sz w:val="24"/>
      <w:szCs w:val="24"/>
    </w:rPr>
  </w:style>
  <w:style w:type="paragraph" w:styleId="1275" w:customStyle="1">
    <w:name w:val="报告正文"/>
    <w:basedOn w:val="1139"/>
    <w:link w:val="1274"/>
    <w:uiPriority w:val="0"/>
    <w:qFormat/>
    <w:pPr>
      <w:ind w:firstLine="480"/>
      <w:spacing w:line="360" w:lineRule="auto"/>
    </w:pPr>
    <w:rPr>
      <w:rFonts w:eastAsia="仿宋_GB2312"/>
      <w:sz w:val="24"/>
      <w:szCs w:val="24"/>
    </w:rPr>
  </w:style>
  <w:style w:type="character" w:styleId="1276" w:customStyle="1">
    <w:name w:val="正文文本 (8)_"/>
    <w:link w:val="1277"/>
    <w:uiPriority w:val="0"/>
    <w:qFormat/>
    <w:rPr>
      <w:rFonts w:ascii="Gulim" w:hAnsi="Gulim" w:eastAsia="Gulim" w:cs="Gulim"/>
      <w:b/>
      <w:sz w:val="15"/>
      <w:szCs w:val="15"/>
      <w:shd w:val="clear" w:color="auto" w:fill="ffffff"/>
      <w:lang w:eastAsia="en-US" w:bidi="en-US"/>
    </w:rPr>
  </w:style>
  <w:style w:type="paragraph" w:styleId="1277" w:customStyle="1">
    <w:name w:val="正文文本 (8)"/>
    <w:basedOn w:val="1139"/>
    <w:link w:val="1276"/>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278" w:customStyle="1">
    <w:name w:val="font71"/>
    <w:uiPriority w:val="0"/>
    <w:qFormat/>
    <w:rPr>
      <w:rFonts w:hint="eastAsia" w:ascii="宋体" w:hAnsi="宋体" w:eastAsia="宋体" w:cs="宋体"/>
      <w:color w:val="000000"/>
      <w:sz w:val="18"/>
      <w:szCs w:val="18"/>
      <w:u w:val="none"/>
    </w:rPr>
  </w:style>
  <w:style w:type="character" w:styleId="1279" w:customStyle="1">
    <w:name w:val="样式 样式 标题 3 + (中文) 黑体 Char + (中文) 宋体 小四 Char Char Char Char Char Char"/>
    <w:uiPriority w:val="0"/>
    <w:qFormat/>
    <w:rPr>
      <w:rFonts w:ascii="宋体" w:hAnsi="Courier New" w:eastAsia="宋体" w:cs="Courier New"/>
      <w:sz w:val="24"/>
      <w:szCs w:val="21"/>
      <w:lang w:val="en-US" w:eastAsia="zh-CN" w:bidi="ar-SA"/>
    </w:rPr>
  </w:style>
  <w:style w:type="character" w:styleId="1280" w:customStyle="1">
    <w:name w:val="标题 6 Char"/>
    <w:uiPriority w:val="0"/>
    <w:qFormat/>
    <w:rPr>
      <w:rFonts w:ascii="Arial" w:hAnsi="Arial" w:eastAsia="黑体"/>
      <w:b/>
      <w:bCs/>
      <w:sz w:val="24"/>
      <w:szCs w:val="24"/>
    </w:rPr>
  </w:style>
  <w:style w:type="character" w:styleId="1281" w:customStyle="1">
    <w:name w:val="标题 8 Char"/>
    <w:uiPriority w:val="0"/>
    <w:qFormat/>
    <w:rPr>
      <w:rFonts w:ascii="Arial" w:hAnsi="Arial" w:eastAsia="黑体"/>
      <w:sz w:val="24"/>
      <w:szCs w:val="24"/>
    </w:rPr>
  </w:style>
  <w:style w:type="character" w:styleId="1282" w:customStyle="1">
    <w:name w:val="Char Char4"/>
    <w:uiPriority w:val="0"/>
    <w:qFormat/>
    <w:rPr>
      <w:rFonts w:eastAsia="宋体"/>
      <w:sz w:val="18"/>
      <w:szCs w:val="18"/>
      <w:lang w:val="en-US" w:eastAsia="zh-CN" w:bidi="ar-SA"/>
    </w:rPr>
  </w:style>
  <w:style w:type="character" w:styleId="1283" w:customStyle="1">
    <w:name w:val="标题 5 Char"/>
    <w:uiPriority w:val="0"/>
    <w:qFormat/>
    <w:rPr>
      <w:rFonts w:ascii="宋体"/>
      <w:b/>
      <w:bCs/>
      <w:sz w:val="28"/>
      <w:szCs w:val="28"/>
    </w:rPr>
  </w:style>
  <w:style w:type="character" w:styleId="1284" w:customStyle="1">
    <w:name w:val="B正文 Char"/>
    <w:link w:val="1285"/>
    <w:uiPriority w:val="0"/>
    <w:qFormat/>
    <w:rPr>
      <w:sz w:val="28"/>
      <w:szCs w:val="24"/>
    </w:rPr>
  </w:style>
  <w:style w:type="paragraph" w:styleId="1285" w:customStyle="1">
    <w:name w:val="B正文"/>
    <w:basedOn w:val="1139"/>
    <w:link w:val="1284"/>
    <w:uiPriority w:val="0"/>
    <w:qFormat/>
    <w:pPr>
      <w:ind w:firstLine="560"/>
      <w:spacing w:line="500" w:lineRule="exact"/>
    </w:pPr>
    <w:rPr>
      <w:sz w:val="28"/>
      <w:szCs w:val="24"/>
    </w:rPr>
  </w:style>
  <w:style w:type="character" w:styleId="1286" w:customStyle="1">
    <w:name w:val="标题 9 Char"/>
    <w:uiPriority w:val="0"/>
    <w:qFormat/>
    <w:rPr>
      <w:rFonts w:ascii="Arial" w:hAnsi="Arial" w:eastAsia="黑体"/>
      <w:sz w:val="21"/>
      <w:szCs w:val="21"/>
    </w:rPr>
  </w:style>
  <w:style w:type="character" w:styleId="1287" w:customStyle="1">
    <w:name w:val="HTML 预设格式 Char"/>
    <w:uiPriority w:val="0"/>
    <w:qFormat/>
    <w:rPr>
      <w:rFonts w:ascii="黑体" w:hAnsi="Courier New" w:eastAsia="黑体" w:cs="Courier New"/>
    </w:rPr>
  </w:style>
  <w:style w:type="character" w:styleId="1288" w:customStyle="1">
    <w:name w:val="正文文本 (2) + MingLiU"/>
    <w:uiPriority w:val="0"/>
    <w:qFormat/>
    <w:rPr>
      <w:rFonts w:ascii="MingLiU" w:hAnsi="MingLiU" w:eastAsia="MingLiU" w:cs="MingLiU"/>
      <w:b/>
      <w:color w:val="000000"/>
      <w:spacing w:val="-20"/>
      <w:position w:val="0"/>
      <w:sz w:val="14"/>
      <w:szCs w:val="14"/>
      <w:u w:val="none"/>
      <w:lang w:val="zh-CN" w:eastAsia="zh-CN" w:bidi="zh-CN"/>
    </w:rPr>
  </w:style>
  <w:style w:type="character" w:styleId="1289" w:customStyle="1">
    <w:name w:val="列出段落 Char"/>
    <w:uiPriority w:val="0"/>
    <w:qFormat/>
    <w:rPr>
      <w:rFonts w:ascii="Calibri" w:hAnsi="Calibri"/>
      <w:sz w:val="21"/>
      <w:szCs w:val="22"/>
    </w:rPr>
  </w:style>
  <w:style w:type="character" w:styleId="1290" w:customStyle="1">
    <w:name w:val="标题 Char2"/>
    <w:uiPriority w:val="10"/>
    <w:qFormat/>
    <w:rPr>
      <w:sz w:val="30"/>
      <w:szCs w:val="24"/>
    </w:rPr>
  </w:style>
  <w:style w:type="character" w:styleId="1291" w:customStyle="1">
    <w:name w:val="标题 2 Char Char Char"/>
    <w:uiPriority w:val="0"/>
    <w:qFormat/>
    <w:rPr>
      <w:rFonts w:ascii="Arial" w:hAnsi="Arial" w:eastAsia="黑体"/>
      <w:b/>
      <w:bCs/>
      <w:sz w:val="32"/>
      <w:szCs w:val="32"/>
      <w:lang w:val="en-US" w:eastAsia="zh-CN" w:bidi="ar-SA"/>
    </w:rPr>
  </w:style>
  <w:style w:type="character" w:styleId="1292" w:customStyle="1">
    <w:name w:val="标题 3 Char Char Char Char Char Char Char Char Char"/>
    <w:uiPriority w:val="0"/>
    <w:qFormat/>
    <w:rPr>
      <w:rFonts w:eastAsia="宋体"/>
      <w:b/>
      <w:sz w:val="32"/>
      <w:lang w:val="en-US" w:eastAsia="zh-CN"/>
    </w:rPr>
  </w:style>
  <w:style w:type="character" w:styleId="1293" w:customStyle="1">
    <w:name w:val="font01"/>
    <w:uiPriority w:val="0"/>
    <w:qFormat/>
    <w:rPr>
      <w:rFonts w:hint="eastAsia" w:ascii="宋体" w:hAnsi="宋体" w:eastAsia="宋体" w:cs="宋体"/>
      <w:color w:val="000000"/>
      <w:sz w:val="20"/>
      <w:szCs w:val="20"/>
      <w:u w:val="none"/>
    </w:rPr>
  </w:style>
  <w:style w:type="character" w:styleId="1294" w:customStyle="1">
    <w:name w:val="apple-style-span"/>
    <w:uiPriority w:val="0"/>
    <w:qFormat/>
  </w:style>
  <w:style w:type="character" w:styleId="1295" w:customStyle="1">
    <w:name w:val="identication Char"/>
    <w:uiPriority w:val="0"/>
    <w:qFormat/>
    <w:rPr>
      <w:rFonts w:eastAsia="宋体"/>
      <w:sz w:val="21"/>
      <w:szCs w:val="24"/>
      <w:lang w:val="en-US" w:eastAsia="zh-CN" w:bidi="ar-SA"/>
    </w:rPr>
  </w:style>
  <w:style w:type="character" w:styleId="1296" w:customStyle="1">
    <w:name w:val="正文文本缩进 3 Char"/>
    <w:uiPriority w:val="0"/>
    <w:qFormat/>
    <w:rPr>
      <w:rFonts w:eastAsia="华文新魏"/>
      <w:b/>
      <w:bCs/>
      <w:sz w:val="84"/>
    </w:rPr>
  </w:style>
  <w:style w:type="character" w:styleId="1297" w:customStyle="1">
    <w:name w:val="标题 Char"/>
    <w:uiPriority w:val="0"/>
    <w:qFormat/>
    <w:rPr>
      <w:rFonts w:ascii="Cambria" w:hAnsi="Cambria" w:eastAsia="宋体" w:cs="Times New Roman"/>
      <w:b/>
      <w:bCs/>
      <w:sz w:val="32"/>
      <w:szCs w:val="32"/>
    </w:rPr>
  </w:style>
  <w:style w:type="character" w:styleId="1298" w:customStyle="1">
    <w:name w:val="纯文本 Char1"/>
    <w:uiPriority w:val="0"/>
    <w:qFormat/>
    <w:rPr>
      <w:rFonts w:ascii="宋体" w:hAnsi="Courier New" w:eastAsia="宋体" w:cs="Times New Roman"/>
      <w:sz w:val="21"/>
      <w:szCs w:val="20"/>
    </w:rPr>
  </w:style>
  <w:style w:type="character" w:styleId="1299" w:customStyle="1">
    <w:name w:val="font241"/>
    <w:uiPriority w:val="0"/>
    <w:qFormat/>
    <w:rPr>
      <w:rFonts w:hint="eastAsia" w:ascii="宋体" w:hAnsi="宋体" w:eastAsia="宋体" w:cs="宋体"/>
      <w:color w:val="000000"/>
      <w:sz w:val="18"/>
      <w:szCs w:val="18"/>
      <w:u w:val="none"/>
    </w:rPr>
  </w:style>
  <w:style w:type="character" w:styleId="1300" w:customStyle="1">
    <w:name w:val="fontstyle01"/>
    <w:uiPriority w:val="0"/>
    <w:qFormat/>
    <w:rPr>
      <w:rFonts w:hint="eastAsia" w:ascii="宋体" w:hAnsi="宋体" w:eastAsia="宋体"/>
      <w:color w:val="000000"/>
      <w:sz w:val="24"/>
      <w:szCs w:val="24"/>
    </w:rPr>
  </w:style>
  <w:style w:type="character" w:styleId="1301" w:customStyle="1">
    <w:name w:val="日期 Char"/>
    <w:uiPriority w:val="0"/>
    <w:qFormat/>
    <w:rPr>
      <w:rFonts w:ascii="宋体" w:hAnsi="Times New Roman" w:eastAsia="宋体" w:cs="Times New Roman"/>
      <w:sz w:val="20"/>
      <w:szCs w:val="20"/>
    </w:rPr>
  </w:style>
  <w:style w:type="paragraph" w:styleId="1302" w:customStyle="1">
    <w:name w:val="修订1"/>
    <w:uiPriority w:val="99"/>
    <w:unhideWhenUsed/>
    <w:qFormat/>
    <w:rPr>
      <w:rFonts w:ascii="Times New Roman" w:hAnsi="Times New Roman" w:eastAsia="宋体" w:cs="Times New Roman"/>
      <w:sz w:val="21"/>
      <w:lang w:val="en-US" w:eastAsia="zh-CN" w:bidi="ar-SA"/>
    </w:rPr>
  </w:style>
  <w:style w:type="paragraph" w:styleId="1303" w:customStyle="1">
    <w:name w:val="xl71"/>
    <w:basedOn w:val="11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304" w:customStyle="1">
    <w:name w:val="xl89"/>
    <w:basedOn w:val="1139"/>
    <w:uiPriority w:val="0"/>
    <w:qFormat/>
    <w:pPr>
      <w:jc w:val="left"/>
      <w:spacing w:before="100" w:beforeAutospacing="1" w:after="100" w:afterAutospacing="1"/>
      <w:widowControl/>
      <w:pBdr>
        <w:top w:val="single" w:color="auto" w:sz="4" w:space="0"/>
        <w:bottom w:val="single" w:color="auto" w:sz="4" w:space="0"/>
        <w:right w:val="single" w:color="auto" w:sz="4" w:space="0"/>
      </w:pBdr>
    </w:pPr>
    <w:rPr>
      <w:b/>
      <w:bCs/>
      <w:szCs w:val="21"/>
    </w:rPr>
  </w:style>
  <w:style w:type="paragraph" w:styleId="1305" w:customStyle="1">
    <w:name w:val="正文宋体4"/>
    <w:basedOn w:val="1139"/>
    <w:uiPriority w:val="0"/>
    <w:qFormat/>
    <w:pPr>
      <w:ind w:firstLine="359"/>
      <w:tabs>
        <w:tab w:val="left" w:pos="0" w:leader="none"/>
      </w:tabs>
    </w:pPr>
    <w:rPr>
      <w:rFonts w:ascii="仿宋_GB2312" w:eastAsia="仿宋_GB2312"/>
      <w:b/>
      <w:color w:val="000000"/>
      <w:sz w:val="24"/>
      <w:szCs w:val="24"/>
    </w:rPr>
  </w:style>
  <w:style w:type="paragraph" w:styleId="1306" w:customStyle="1">
    <w:name w:val="列出段落3"/>
    <w:basedOn w:val="1139"/>
    <w:uiPriority w:val="0"/>
    <w:qFormat/>
    <w:pPr>
      <w:ind w:firstLine="420"/>
    </w:pPr>
    <w:rPr>
      <w:rFonts w:ascii="Calibri" w:hAnsi="Calibri"/>
      <w:szCs w:val="22"/>
    </w:rPr>
  </w:style>
  <w:style w:type="paragraph" w:styleId="1307" w:customStyle="1">
    <w:name w:val="标题2"/>
    <w:basedOn w:val="1141"/>
    <w:uiPriority w:val="0"/>
    <w:qFormat/>
    <w:pPr>
      <w:keepLines w:val="0"/>
      <w:keepNext w:val="0"/>
      <w:spacing w:before="0" w:after="0" w:line="360" w:lineRule="auto"/>
      <w:tabs>
        <w:tab w:val="left" w:pos="0" w:leader="none"/>
      </w:tabs>
    </w:pPr>
    <w:rPr>
      <w:rFonts w:eastAsia="仿宋_GB2312"/>
      <w:b w:val="0"/>
      <w:sz w:val="30"/>
    </w:rPr>
  </w:style>
  <w:style w:type="paragraph" w:styleId="1308" w:customStyle="1">
    <w:name w:val="xl94"/>
    <w:basedOn w:val="1139"/>
    <w:uiPriority w:val="0"/>
    <w:qFormat/>
    <w:pPr>
      <w:jc w:val="center"/>
      <w:spacing w:before="100" w:beforeAutospacing="1" w:after="100" w:afterAutospacing="1"/>
      <w:widowControl/>
      <w:pBdr>
        <w:left w:val="single" w:color="auto" w:sz="4" w:space="0"/>
        <w:right w:val="single" w:color="auto" w:sz="4" w:space="0"/>
      </w:pBdr>
    </w:pPr>
    <w:rPr>
      <w:szCs w:val="21"/>
    </w:rPr>
  </w:style>
  <w:style w:type="paragraph" w:styleId="1309" w:customStyle="1">
    <w:name w:val="Char"/>
    <w:basedOn w:val="1139"/>
    <w:uiPriority w:val="0"/>
    <w:qFormat/>
    <w:pPr>
      <w:tabs>
        <w:tab w:val="left" w:pos="360" w:leader="none"/>
      </w:tabs>
    </w:pPr>
    <w:rPr>
      <w:rFonts w:ascii="仿宋_GB2312" w:eastAsia="仿宋_GB2312"/>
      <w:b/>
      <w:sz w:val="24"/>
      <w:szCs w:val="24"/>
    </w:rPr>
  </w:style>
  <w:style w:type="paragraph" w:styleId="1310" w:customStyle="1">
    <w:name w:val="2"/>
    <w:basedOn w:val="1139"/>
    <w:uiPriority w:val="0"/>
    <w:qFormat/>
    <w:pPr>
      <w:spacing w:line="360" w:lineRule="auto"/>
    </w:pPr>
    <w:rPr>
      <w:rFonts w:ascii="宋体" w:hAnsi="宋体"/>
      <w:b/>
      <w:sz w:val="24"/>
    </w:rPr>
  </w:style>
  <w:style w:type="paragraph" w:styleId="1311" w:customStyle="1">
    <w:name w:val="xl75"/>
    <w:basedOn w:val="11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21"/>
    </w:rPr>
  </w:style>
  <w:style w:type="paragraph" w:styleId="1312" w:customStyle="1">
    <w:name w:val="a"/>
    <w:basedOn w:val="1139"/>
    <w:uiPriority w:val="0"/>
    <w:qFormat/>
    <w:pPr>
      <w:jc w:val="left"/>
      <w:spacing w:before="100" w:beforeAutospacing="1" w:after="100" w:afterAutospacing="1"/>
    </w:pPr>
    <w:rPr>
      <w:rFonts w:ascii="宋体" w:hAnsi="宋体" w:cs="宋体"/>
      <w:sz w:val="24"/>
      <w:szCs w:val="24"/>
    </w:rPr>
  </w:style>
  <w:style w:type="paragraph" w:styleId="1313" w:customStyle="1">
    <w:name w:val="xl100"/>
    <w:basedOn w:val="113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Cs w:val="21"/>
    </w:rPr>
  </w:style>
  <w:style w:type="paragraph" w:styleId="1314" w:customStyle="1">
    <w:name w:val="xl68"/>
    <w:basedOn w:val="113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315" w:customStyle="1">
    <w:name w:val="标题4"/>
    <w:basedOn w:val="1143"/>
    <w:uiPriority w:val="0"/>
    <w:qFormat/>
    <w:pPr>
      <w:keepLines w:val="0"/>
      <w:keepNext w:val="0"/>
      <w:spacing w:before="0" w:after="0" w:line="360" w:lineRule="auto"/>
      <w:tabs>
        <w:tab w:val="left" w:pos="0" w:leader="none"/>
      </w:tabs>
    </w:pPr>
    <w:rPr>
      <w:rFonts w:eastAsia="仿宋_GB2312"/>
      <w:b w:val="0"/>
      <w:sz w:val="30"/>
      <w:szCs w:val="30"/>
    </w:rPr>
  </w:style>
  <w:style w:type="paragraph" w:styleId="1316" w:customStyle="1">
    <w:name w:val="节标题"/>
    <w:basedOn w:val="1139"/>
    <w:next w:val="1139"/>
    <w:uiPriority w:val="0"/>
    <w:qFormat/>
    <w:pPr>
      <w:jc w:val="center"/>
      <w:spacing w:line="289" w:lineRule="atLeast"/>
    </w:pPr>
    <w:rPr>
      <w:sz w:val="28"/>
      <w:szCs w:val="24"/>
    </w:rPr>
  </w:style>
  <w:style w:type="paragraph" w:styleId="1317" w:customStyle="1">
    <w:name w:val="xl98"/>
    <w:basedOn w:val="1139"/>
    <w:uiPriority w:val="0"/>
    <w:qFormat/>
    <w:pPr>
      <w:jc w:val="center"/>
      <w:spacing w:before="100" w:beforeAutospacing="1" w:after="100" w:afterAutospacing="1"/>
      <w:widowControl/>
      <w:pBdr>
        <w:top w:val="single" w:color="auto" w:sz="4" w:space="0"/>
        <w:left w:val="single" w:color="auto" w:sz="4" w:space="0"/>
        <w:bottom w:val="single" w:color="auto" w:sz="4" w:space="0"/>
      </w:pBdr>
    </w:pPr>
    <w:rPr>
      <w:szCs w:val="21"/>
    </w:rPr>
  </w:style>
  <w:style w:type="paragraph" w:styleId="1318" w:customStyle="1">
    <w:name w:val="xl90"/>
    <w:basedOn w:val="113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319" w:customStyle="1">
    <w:name w:val="样式 首行缩进:  2 字符"/>
    <w:basedOn w:val="1139"/>
    <w:uiPriority w:val="0"/>
    <w:qFormat/>
    <w:pPr>
      <w:ind w:firstLine="200"/>
      <w:spacing w:line="400" w:lineRule="exact"/>
    </w:pPr>
    <w:rPr>
      <w:rFonts w:cs="宋体"/>
      <w:sz w:val="24"/>
      <w:szCs w:val="24"/>
    </w:rPr>
  </w:style>
  <w:style w:type="paragraph" w:styleId="1320" w:customStyle="1">
    <w:name w:val="列出段落5"/>
    <w:basedOn w:val="1139"/>
    <w:uiPriority w:val="99"/>
    <w:unhideWhenUsed/>
    <w:qFormat/>
    <w:pPr>
      <w:ind w:firstLine="420"/>
    </w:pPr>
  </w:style>
  <w:style w:type="paragraph" w:styleId="1321" w:customStyle="1">
    <w:name w:val="标题8"/>
    <w:basedOn w:val="1146"/>
    <w:uiPriority w:val="0"/>
    <w:qFormat/>
    <w:pPr>
      <w:jc w:val="both"/>
      <w:keepLines w:val="0"/>
      <w:keepNext w:val="0"/>
      <w:spacing w:before="0" w:after="0" w:line="360" w:lineRule="auto"/>
      <w:tabs>
        <w:tab w:val="left" w:pos="0" w:leader="none"/>
      </w:tabs>
    </w:pPr>
    <w:rPr>
      <w:rFonts w:eastAsia="仿宋_GB2312"/>
      <w:sz w:val="30"/>
    </w:rPr>
  </w:style>
  <w:style w:type="paragraph" w:styleId="1322" w:customStyle="1">
    <w:name w:val="标题9"/>
    <w:basedOn w:val="1147"/>
    <w:uiPriority w:val="0"/>
    <w:qFormat/>
    <w:pPr>
      <w:jc w:val="both"/>
      <w:keepLines w:val="0"/>
      <w:keepNext w:val="0"/>
      <w:spacing w:before="0" w:after="0" w:line="360" w:lineRule="auto"/>
      <w:tabs>
        <w:tab w:val="left" w:pos="0" w:leader="none"/>
      </w:tabs>
    </w:pPr>
    <w:rPr>
      <w:rFonts w:eastAsia="仿宋_GB2312"/>
      <w:sz w:val="30"/>
    </w:rPr>
  </w:style>
  <w:style w:type="paragraph" w:styleId="1323" w:customStyle="1">
    <w:name w:val="xl85"/>
    <w:basedOn w:val="1139"/>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Cs w:val="21"/>
    </w:rPr>
  </w:style>
  <w:style w:type="paragraph" w:styleId="1324" w:customStyle="1">
    <w:name w:val="font13"/>
    <w:basedOn w:val="1139"/>
    <w:uiPriority w:val="0"/>
    <w:qFormat/>
    <w:pPr>
      <w:jc w:val="left"/>
      <w:spacing w:before="100" w:beforeAutospacing="1" w:after="100" w:afterAutospacing="1"/>
      <w:widowControl/>
    </w:pPr>
    <w:rPr>
      <w:rFonts w:ascii="宋体" w:hAnsi="宋体" w:cs="宋体"/>
      <w:sz w:val="18"/>
      <w:szCs w:val="18"/>
    </w:rPr>
  </w:style>
  <w:style w:type="paragraph" w:styleId="1325" w:customStyle="1">
    <w:name w:val="font7"/>
    <w:basedOn w:val="1139"/>
    <w:uiPriority w:val="0"/>
    <w:qFormat/>
    <w:pPr>
      <w:jc w:val="left"/>
      <w:spacing w:before="100" w:beforeAutospacing="1" w:after="100" w:afterAutospacing="1"/>
      <w:widowControl/>
    </w:pPr>
    <w:rPr>
      <w:b/>
      <w:bCs/>
      <w:color w:val="000000"/>
      <w:szCs w:val="21"/>
    </w:rPr>
  </w:style>
  <w:style w:type="paragraph" w:styleId="1326" w:customStyle="1">
    <w:name w:val="xl108"/>
    <w:basedOn w:val="113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7" w:customStyle="1">
    <w:name w:val="格式1"/>
    <w:basedOn w:val="1139"/>
    <w:uiPriority w:val="0"/>
    <w:qFormat/>
    <w:pPr>
      <w:jc w:val="center"/>
    </w:pPr>
    <w:rPr>
      <w:rFonts w:ascii="黑体" w:hAnsi="宋体" w:eastAsia="黑体"/>
      <w:b/>
      <w:bCs/>
      <w:color w:val="000000"/>
      <w:sz w:val="32"/>
    </w:rPr>
  </w:style>
  <w:style w:type="paragraph" w:styleId="1328" w:customStyle="1">
    <w:name w:val="xl67"/>
    <w:basedOn w:val="11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21"/>
    </w:rPr>
  </w:style>
  <w:style w:type="paragraph" w:styleId="1329" w:customStyle="1">
    <w:name w:val="xl77"/>
    <w:basedOn w:val="11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0" w:customStyle="1">
    <w:name w:val="xl88"/>
    <w:basedOn w:val="1139"/>
    <w:uiPriority w:val="0"/>
    <w:qFormat/>
    <w:pPr>
      <w:jc w:val="left"/>
      <w:spacing w:before="100" w:beforeAutospacing="1" w:after="100" w:afterAutospacing="1"/>
      <w:widowControl/>
      <w:pBdr>
        <w:top w:val="single" w:color="auto" w:sz="4" w:space="0"/>
        <w:bottom w:val="single" w:color="auto" w:sz="4" w:space="0"/>
      </w:pBdr>
    </w:pPr>
    <w:rPr>
      <w:b/>
      <w:bCs/>
      <w:szCs w:val="21"/>
    </w:rPr>
  </w:style>
  <w:style w:type="paragraph" w:styleId="1331" w:customStyle="1">
    <w:name w:val="默认段落字体 Para Char Char Char Char Char Char Char"/>
    <w:basedOn w:val="1139"/>
    <w:uiPriority w:val="0"/>
    <w:qFormat/>
    <w:pPr>
      <w:spacing w:line="360" w:lineRule="auto"/>
    </w:pPr>
    <w:rPr>
      <w:rFonts w:ascii="Arial" w:hAnsi="Arial" w:eastAsia="黑体" w:cs="Verdana"/>
      <w:b/>
      <w:sz w:val="30"/>
      <w:szCs w:val="24"/>
      <w:lang w:eastAsia="en-US"/>
    </w:rPr>
  </w:style>
  <w:style w:type="paragraph" w:styleId="1332" w:customStyle="1">
    <w:name w:val="_Style 2"/>
    <w:basedOn w:val="1139"/>
    <w:uiPriority w:val="34"/>
    <w:qFormat/>
    <w:pPr>
      <w:ind w:firstLine="420"/>
    </w:pPr>
    <w:rPr>
      <w:szCs w:val="24"/>
    </w:rPr>
  </w:style>
  <w:style w:type="paragraph" w:styleId="1333" w:customStyle="1">
    <w:name w:val="xl81"/>
    <w:basedOn w:val="1139"/>
    <w:uiPriority w:val="0"/>
    <w:qFormat/>
    <w:pPr>
      <w:jc w:val="left"/>
      <w:spacing w:before="100" w:beforeAutospacing="1" w:after="100" w:afterAutospacing="1"/>
      <w:widowControl/>
      <w:pBdr>
        <w:left w:val="single" w:color="auto" w:sz="4" w:space="0"/>
        <w:right w:val="single" w:color="auto" w:sz="4" w:space="0"/>
      </w:pBdr>
    </w:pPr>
    <w:rPr>
      <w:sz w:val="20"/>
    </w:rPr>
  </w:style>
  <w:style w:type="paragraph" w:styleId="1334" w:customStyle="1">
    <w:name w:val="font10"/>
    <w:basedOn w:val="1139"/>
    <w:uiPriority w:val="0"/>
    <w:qFormat/>
    <w:pPr>
      <w:jc w:val="left"/>
      <w:spacing w:before="100" w:beforeAutospacing="1" w:after="100" w:afterAutospacing="1"/>
      <w:widowControl/>
    </w:pPr>
    <w:rPr>
      <w:rFonts w:ascii="宋体" w:hAnsi="宋体" w:cs="宋体"/>
      <w:color w:val="000000"/>
      <w:sz w:val="22"/>
      <w:szCs w:val="22"/>
    </w:rPr>
  </w:style>
  <w:style w:type="paragraph" w:styleId="1335" w:customStyle="1">
    <w:name w:val="xl97"/>
    <w:basedOn w:val="1139"/>
    <w:uiPriority w:val="0"/>
    <w:qFormat/>
    <w:pPr>
      <w:jc w:val="left"/>
      <w:spacing w:before="100" w:beforeAutospacing="1" w:after="100" w:afterAutospacing="1"/>
      <w:widowControl/>
    </w:pPr>
    <w:rPr>
      <w:rFonts w:ascii="宋体" w:hAnsi="宋体" w:cs="宋体"/>
      <w:szCs w:val="21"/>
    </w:rPr>
  </w:style>
  <w:style w:type="paragraph" w:styleId="1336" w:customStyle="1">
    <w:name w:val="xl109"/>
    <w:basedOn w:val="1139"/>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rPr>
  </w:style>
  <w:style w:type="paragraph" w:styleId="1337" w:customStyle="1">
    <w:name w:val="xl96"/>
    <w:basedOn w:val="11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Cs w:val="21"/>
    </w:rPr>
  </w:style>
  <w:style w:type="paragraph" w:styleId="1338" w:customStyle="1">
    <w:name w:val="font11"/>
    <w:basedOn w:val="1139"/>
    <w:uiPriority w:val="0"/>
    <w:qFormat/>
    <w:pPr>
      <w:jc w:val="left"/>
      <w:spacing w:before="100" w:beforeAutospacing="1" w:after="100" w:afterAutospacing="1"/>
      <w:widowControl/>
    </w:pPr>
    <w:rPr>
      <w:rFonts w:ascii="宋体" w:hAnsi="宋体" w:cs="宋体"/>
      <w:color w:val="000000"/>
      <w:sz w:val="18"/>
      <w:szCs w:val="18"/>
    </w:rPr>
  </w:style>
  <w:style w:type="paragraph" w:styleId="1339" w:customStyle="1">
    <w:name w:val="xl91"/>
    <w:basedOn w:val="1139"/>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340" w:customStyle="1">
    <w:name w:val="font8"/>
    <w:basedOn w:val="1139"/>
    <w:uiPriority w:val="0"/>
    <w:qFormat/>
    <w:pPr>
      <w:jc w:val="left"/>
      <w:spacing w:before="100" w:beforeAutospacing="1" w:after="100" w:afterAutospacing="1"/>
      <w:widowControl/>
    </w:pPr>
    <w:rPr>
      <w:rFonts w:ascii="宋体" w:hAnsi="宋体" w:cs="宋体"/>
      <w:b/>
      <w:bCs/>
      <w:color w:val="000000"/>
      <w:szCs w:val="21"/>
    </w:rPr>
  </w:style>
  <w:style w:type="paragraph" w:styleId="1341" w:customStyle="1">
    <w:name w:val="font12"/>
    <w:basedOn w:val="1139"/>
    <w:uiPriority w:val="0"/>
    <w:qFormat/>
    <w:pPr>
      <w:jc w:val="left"/>
      <w:spacing w:before="100" w:beforeAutospacing="1" w:after="100" w:afterAutospacing="1"/>
      <w:widowControl/>
    </w:pPr>
    <w:rPr>
      <w:rFonts w:ascii="宋体" w:hAnsi="宋体" w:cs="宋体"/>
      <w:color w:val="000000"/>
      <w:sz w:val="20"/>
    </w:rPr>
  </w:style>
  <w:style w:type="paragraph" w:styleId="1342" w:customStyle="1">
    <w:name w:val="xl110"/>
    <w:basedOn w:val="1139"/>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rPr>
  </w:style>
  <w:style w:type="paragraph" w:styleId="1343" w:customStyle="1">
    <w:name w:val="xl104"/>
    <w:basedOn w:val="1139"/>
    <w:uiPriority w:val="0"/>
    <w:qFormat/>
    <w:pPr>
      <w:jc w:val="left"/>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344" w:customStyle="1">
    <w:name w:val="yy标题"/>
    <w:basedOn w:val="1345"/>
    <w:uiPriority w:val="0"/>
    <w:qFormat/>
    <w:rPr>
      <w:sz w:val="24"/>
    </w:rPr>
  </w:style>
  <w:style w:type="paragraph" w:styleId="1345" w:customStyle="1">
    <w:name w:val="yy目录"/>
    <w:basedOn w:val="1139"/>
    <w:uiPriority w:val="0"/>
    <w:qFormat/>
    <w:pPr>
      <w:spacing w:line="360" w:lineRule="auto"/>
    </w:pPr>
    <w:rPr>
      <w:rFonts w:ascii="楷体_GB2312"/>
      <w:bCs/>
      <w:sz w:val="28"/>
      <w:szCs w:val="72"/>
    </w:rPr>
  </w:style>
  <w:style w:type="paragraph" w:styleId="1346" w:customStyle="1">
    <w:name w:val="Char Char Char"/>
    <w:basedOn w:val="1139"/>
    <w:uiPriority w:val="0"/>
    <w:qFormat/>
    <w:pPr>
      <w:jc w:val="center"/>
      <w:spacing w:line="400" w:lineRule="exact"/>
      <w:widowControl/>
    </w:pPr>
    <w:rPr>
      <w:szCs w:val="24"/>
    </w:rPr>
  </w:style>
  <w:style w:type="paragraph" w:styleId="1347" w:customStyle="1">
    <w:name w:val="标题5"/>
    <w:basedOn w:val="1144"/>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348" w:customStyle="1">
    <w:name w:val="xl92"/>
    <w:basedOn w:val="113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349" w:customStyle="1">
    <w:name w:val="xl79"/>
    <w:basedOn w:val="1139"/>
    <w:uiPriority w:val="0"/>
    <w:qFormat/>
    <w:pPr>
      <w:jc w:val="left"/>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350" w:customStyle="1">
    <w:name w:val="xl112"/>
    <w:basedOn w:val="1139"/>
    <w:uiPriority w:val="0"/>
    <w:qFormat/>
    <w:pPr>
      <w:jc w:val="left"/>
      <w:spacing w:before="100" w:beforeAutospacing="1" w:after="100" w:afterAutospacing="1"/>
      <w:widowControl/>
      <w:pBdr>
        <w:bottom w:val="single" w:color="auto" w:sz="4" w:space="0"/>
        <w:right w:val="single" w:color="auto" w:sz="4" w:space="0"/>
      </w:pBdr>
    </w:pPr>
    <w:rPr>
      <w:rFonts w:ascii="宋体" w:hAnsi="宋体" w:cs="宋体"/>
      <w:b/>
      <w:bCs/>
      <w:szCs w:val="21"/>
    </w:rPr>
  </w:style>
  <w:style w:type="paragraph" w:styleId="1351" w:customStyle="1">
    <w:name w:val="Char Char2 Char"/>
    <w:basedOn w:val="1139"/>
    <w:uiPriority w:val="0"/>
    <w:qFormat/>
    <w:pPr>
      <w:ind w:left="390" w:hanging="390"/>
      <w:keepLines/>
      <w:keepNext/>
      <w:pageBreakBefore/>
      <w:tabs>
        <w:tab w:val="left" w:pos="390" w:leader="none"/>
      </w:tabs>
    </w:pPr>
    <w:rPr>
      <w:szCs w:val="24"/>
    </w:rPr>
  </w:style>
  <w:style w:type="paragraph" w:styleId="1352" w:customStyle="1">
    <w:name w:val="xl70"/>
    <w:basedOn w:val="11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353" w:customStyle="1">
    <w:name w:val="xl105"/>
    <w:basedOn w:val="1139"/>
    <w:uiPriority w:val="0"/>
    <w:qFormat/>
    <w:pPr>
      <w:jc w:val="left"/>
      <w:spacing w:before="100" w:beforeAutospacing="1" w:after="100" w:afterAutospacing="1"/>
      <w:widowControl/>
    </w:pPr>
    <w:rPr>
      <w:rFonts w:ascii="宋体" w:hAnsi="宋体" w:cs="宋体"/>
      <w:sz w:val="20"/>
    </w:rPr>
  </w:style>
  <w:style w:type="paragraph" w:styleId="1354" w:customStyle="1">
    <w:name w:val="xl93"/>
    <w:basedOn w:val="113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Cs w:val="21"/>
    </w:rPr>
  </w:style>
  <w:style w:type="paragraph" w:styleId="1355" w:customStyle="1">
    <w:name w:val="列出段落4"/>
    <w:basedOn w:val="1139"/>
    <w:uiPriority w:val="34"/>
    <w:qFormat/>
    <w:pPr>
      <w:ind w:firstLine="420"/>
    </w:pPr>
  </w:style>
  <w:style w:type="paragraph" w:styleId="1356" w:customStyle="1">
    <w:name w:val="Char Char Char Char Char Char Char1"/>
    <w:basedOn w:val="1139"/>
    <w:uiPriority w:val="0"/>
    <w:qFormat/>
    <w:pPr>
      <w:ind w:left="432" w:hanging="432"/>
      <w:jc w:val="center"/>
      <w:tabs>
        <w:tab w:val="left" w:pos="432" w:leader="none"/>
      </w:tabs>
    </w:pPr>
    <w:rPr>
      <w:rFonts w:ascii="仿宋_GB2312" w:hAnsi="Tahoma" w:eastAsia="仿宋_GB2312"/>
      <w:sz w:val="24"/>
      <w:szCs w:val="24"/>
    </w:rPr>
  </w:style>
  <w:style w:type="paragraph" w:styleId="1357" w:customStyle="1">
    <w:name w:val="xl80"/>
    <w:basedOn w:val="1139"/>
    <w:uiPriority w:val="0"/>
    <w:qFormat/>
    <w:pPr>
      <w:jc w:val="left"/>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358" w:customStyle="1">
    <w:name w:val="三级条带序号我的标题"/>
    <w:basedOn w:val="1139"/>
    <w:uiPriority w:val="99"/>
    <w:qFormat/>
    <w:pPr>
      <w:ind w:left="420" w:hanging="420"/>
      <w:outlineLvl w:val="2"/>
    </w:pPr>
    <w:rPr>
      <w:rFonts w:ascii="黑体" w:hAnsi="黑体" w:eastAsia="黑体"/>
      <w:b/>
      <w:sz w:val="28"/>
      <w:szCs w:val="28"/>
    </w:rPr>
  </w:style>
  <w:style w:type="paragraph" w:styleId="1359" w:customStyle="1">
    <w:name w:val="xl73"/>
    <w:basedOn w:val="11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60" w:customStyle="1">
    <w:name w:val="xl74"/>
    <w:basedOn w:val="11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61" w:customStyle="1">
    <w:name w:val="Char Char Char Char"/>
    <w:basedOn w:val="1155"/>
    <w:uiPriority w:val="0"/>
    <w:qFormat/>
    <w:pPr>
      <w:jc w:val="both"/>
      <w:spacing w:line="360" w:lineRule="auto"/>
      <w:shd w:val="clear" w:color="auto" w:fill="000080"/>
    </w:pPr>
    <w:rPr>
      <w:rFonts w:ascii="Tahoma" w:hAnsi="Tahoma"/>
      <w:sz w:val="24"/>
      <w:szCs w:val="24"/>
    </w:rPr>
  </w:style>
  <w:style w:type="paragraph" w:styleId="1362" w:customStyle="1">
    <w:name w:val="简单回函地址"/>
    <w:basedOn w:val="1139"/>
    <w:uiPriority w:val="0"/>
    <w:qFormat/>
    <w:rPr>
      <w:szCs w:val="24"/>
    </w:rPr>
  </w:style>
  <w:style w:type="paragraph" w:styleId="1363" w:customStyle="1">
    <w:name w:val="xl111"/>
    <w:basedOn w:val="1139"/>
    <w:uiPriority w:val="0"/>
    <w:qFormat/>
    <w:pPr>
      <w:jc w:val="left"/>
      <w:spacing w:before="100" w:beforeAutospacing="1" w:after="100" w:afterAutospacing="1"/>
      <w:widowControl/>
      <w:pBdr>
        <w:top w:val="single" w:color="auto" w:sz="4" w:space="0"/>
        <w:right w:val="single" w:color="auto" w:sz="4" w:space="0"/>
      </w:pBdr>
    </w:pPr>
    <w:rPr>
      <w:rFonts w:ascii="宋体" w:hAnsi="宋体" w:cs="宋体"/>
      <w:b/>
      <w:bCs/>
      <w:szCs w:val="21"/>
    </w:rPr>
  </w:style>
  <w:style w:type="paragraph" w:styleId="1364" w:customStyle="1">
    <w:name w:val="标题3"/>
    <w:basedOn w:val="1142"/>
    <w:uiPriority w:val="0"/>
    <w:qFormat/>
    <w:pPr>
      <w:ind w:left="0" w:firstLine="0"/>
      <w:jc w:val="both"/>
      <w:keepNext w:val="0"/>
      <w:spacing w:line="360" w:lineRule="auto"/>
      <w:tabs>
        <w:tab w:val="left" w:pos="0" w:leader="none"/>
      </w:tabs>
    </w:pPr>
    <w:rPr>
      <w:rFonts w:ascii="Times New Roman"/>
      <w:bCs/>
      <w:sz w:val="30"/>
      <w:szCs w:val="32"/>
    </w:rPr>
  </w:style>
  <w:style w:type="paragraph" w:styleId="1365" w:customStyle="1">
    <w:name w:val="列出段落11"/>
    <w:basedOn w:val="1139"/>
    <w:uiPriority w:val="34"/>
    <w:qFormat/>
    <w:pPr>
      <w:ind w:firstLine="420"/>
    </w:pPr>
    <w:rPr>
      <w:rFonts w:ascii="Calibri" w:hAnsi="Calibri"/>
      <w:szCs w:val="22"/>
    </w:rPr>
  </w:style>
  <w:style w:type="paragraph" w:styleId="1366" w:customStyle="1">
    <w:name w:val="Char Char Char Char Char Char Char"/>
    <w:basedOn w:val="1139"/>
    <w:uiPriority w:val="0"/>
    <w:semiHidden/>
    <w:qFormat/>
    <w:rPr>
      <w:rFonts w:ascii="Tahoma" w:hAnsi="Tahoma" w:cs="仿宋_GB2312"/>
      <w:sz w:val="24"/>
      <w:szCs w:val="28"/>
    </w:rPr>
  </w:style>
  <w:style w:type="paragraph" w:styleId="1367" w:customStyle="1">
    <w:name w:val="xl107"/>
    <w:basedOn w:val="1139"/>
    <w:uiPriority w:val="0"/>
    <w:qFormat/>
    <w:pPr>
      <w:jc w:val="left"/>
      <w:spacing w:before="100" w:beforeAutospacing="1" w:after="100" w:afterAutospacing="1"/>
      <w:widowControl/>
      <w:pBdr>
        <w:bottom w:val="single" w:color="auto" w:sz="4" w:space="0"/>
      </w:pBdr>
    </w:pPr>
    <w:rPr>
      <w:rFonts w:ascii="宋体" w:hAnsi="宋体" w:cs="宋体"/>
      <w:b/>
      <w:bCs/>
      <w:szCs w:val="21"/>
    </w:rPr>
  </w:style>
  <w:style w:type="paragraph" w:styleId="1368" w:customStyle="1">
    <w:name w:val="yy标题3"/>
    <w:basedOn w:val="1369"/>
    <w:uiPriority w:val="0"/>
    <w:qFormat/>
  </w:style>
  <w:style w:type="paragraph" w:styleId="1369" w:customStyle="1">
    <w:name w:val="yy标题2"/>
    <w:basedOn w:val="1345"/>
    <w:uiPriority w:val="0"/>
    <w:qFormat/>
    <w:rPr>
      <w:bCs w:val="0"/>
      <w:color w:val="000000"/>
      <w:sz w:val="24"/>
    </w:rPr>
  </w:style>
  <w:style w:type="paragraph" w:styleId="1370" w:customStyle="1">
    <w:name w:val="Char Char"/>
    <w:basedOn w:val="1139"/>
    <w:uiPriority w:val="0"/>
    <w:qFormat/>
    <w:pPr>
      <w:tabs>
        <w:tab w:val="left" w:pos="360" w:leader="none"/>
      </w:tabs>
    </w:pPr>
    <w:rPr>
      <w:sz w:val="24"/>
      <w:szCs w:val="24"/>
    </w:rPr>
  </w:style>
  <w:style w:type="paragraph" w:styleId="1371" w:customStyle="1">
    <w:name w:val="_Style 4"/>
    <w:basedOn w:val="1139"/>
    <w:uiPriority w:val="99"/>
    <w:qFormat/>
    <w:pPr>
      <w:ind w:firstLine="420"/>
    </w:pPr>
  </w:style>
  <w:style w:type="paragraph" w:styleId="1372" w:customStyle="1">
    <w:name w:val="标题6"/>
    <w:basedOn w:val="1145"/>
    <w:uiPriority w:val="0"/>
    <w:qFormat/>
    <w:pPr>
      <w:jc w:val="both"/>
      <w:keepLines w:val="0"/>
      <w:keepNext w:val="0"/>
      <w:spacing w:before="0" w:after="0" w:line="360" w:lineRule="auto"/>
      <w:tabs>
        <w:tab w:val="left" w:pos="0" w:leader="none"/>
      </w:tabs>
    </w:pPr>
    <w:rPr>
      <w:rFonts w:eastAsia="仿宋_GB2312"/>
      <w:b w:val="0"/>
      <w:sz w:val="30"/>
    </w:rPr>
  </w:style>
  <w:style w:type="paragraph" w:styleId="1373" w:customStyle="1">
    <w:name w:val="yy正文"/>
    <w:basedOn w:val="1345"/>
    <w:uiPriority w:val="0"/>
    <w:qFormat/>
    <w:pPr>
      <w:spacing w:line="300" w:lineRule="auto"/>
    </w:pPr>
    <w:rPr>
      <w:sz w:val="21"/>
    </w:rPr>
  </w:style>
  <w:style w:type="paragraph" w:styleId="1374" w:customStyle="1">
    <w:name w:val="缺省文本"/>
    <w:basedOn w:val="1139"/>
    <w:uiPriority w:val="0"/>
    <w:qFormat/>
    <w:pPr>
      <w:ind w:firstLine="504"/>
      <w:jc w:val="left"/>
      <w:spacing w:before="20" w:after="20" w:line="400" w:lineRule="exact"/>
    </w:pPr>
    <w:rPr>
      <w:sz w:val="24"/>
    </w:rPr>
  </w:style>
  <w:style w:type="paragraph" w:styleId="1375" w:customStyle="1">
    <w:name w:val="正文1"/>
    <w:uiPriority w:val="0"/>
    <w:qFormat/>
    <w:pPr>
      <w:jc w:val="both"/>
    </w:pPr>
    <w:rPr>
      <w:rFonts w:ascii="Times New Roman" w:hAnsi="Times New Roman" w:eastAsia="宋体" w:cs="宋体"/>
      <w:sz w:val="21"/>
      <w:szCs w:val="21"/>
      <w:lang w:val="en-US" w:eastAsia="zh-CN" w:bidi="ar-SA"/>
    </w:rPr>
  </w:style>
  <w:style w:type="paragraph" w:styleId="1376" w:customStyle="1">
    <w:name w:val="xl84"/>
    <w:basedOn w:val="113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Cs w:val="21"/>
    </w:rPr>
  </w:style>
  <w:style w:type="paragraph" w:styleId="1377" w:customStyle="1">
    <w:name w:val="Default"/>
    <w:basedOn w:val="1378"/>
    <w:uiPriority w:val="0"/>
    <w:qFormat/>
    <w:rPr>
      <w:rFonts w:ascii="微软雅黑" w:eastAsia="微软雅黑" w:cs="微软雅黑"/>
      <w:color w:val="000000"/>
      <w:sz w:val="24"/>
      <w:szCs w:val="24"/>
    </w:rPr>
  </w:style>
  <w:style w:type="paragraph" w:styleId="1378" w:customStyle="1">
    <w:name w:val="正文_2"/>
    <w:next w:val="1379"/>
    <w:uiPriority w:val="0"/>
    <w:qFormat/>
    <w:pPr>
      <w:jc w:val="both"/>
      <w:widowControl w:val="off"/>
    </w:pPr>
    <w:rPr>
      <w:rFonts w:ascii="Times New Roman" w:hAnsi="Times New Roman" w:eastAsia="宋体" w:cs="Times New Roman"/>
      <w:sz w:val="21"/>
      <w:szCs w:val="22"/>
      <w:lang w:val="en-US" w:eastAsia="zh-CN" w:bidi="ar-SA"/>
    </w:rPr>
  </w:style>
  <w:style w:type="paragraph" w:styleId="1379" w:customStyle="1">
    <w:name w:val="Plain Text2"/>
    <w:basedOn w:val="1380"/>
    <w:uiPriority w:val="0"/>
    <w:qFormat/>
    <w:rPr>
      <w:rFonts w:ascii="宋体" w:hAnsi="Courier New" w:cs="Courier New"/>
      <w:szCs w:val="21"/>
    </w:rPr>
  </w:style>
  <w:style w:type="paragraph" w:styleId="1380" w:customStyle="1">
    <w:name w:val="正文_1_0_0"/>
    <w:basedOn w:val="1381"/>
    <w:next w:val="1379"/>
    <w:uiPriority w:val="0"/>
    <w:qFormat/>
  </w:style>
  <w:style w:type="paragraph" w:styleId="1381" w:customStyle="1">
    <w:name w:val="正文_1_0"/>
    <w:basedOn w:val="1382"/>
    <w:next w:val="1379"/>
    <w:uiPriority w:val="0"/>
    <w:qFormat/>
    <w:rPr>
      <w:rFonts w:cs="Times New Roman"/>
      <w:szCs w:val="22"/>
    </w:rPr>
  </w:style>
  <w:style w:type="paragraph" w:styleId="1382" w:customStyle="1">
    <w:name w:val="正文_1"/>
    <w:next w:val="1383"/>
    <w:uiPriority w:val="0"/>
    <w:qFormat/>
    <w:pPr>
      <w:jc w:val="both"/>
      <w:widowControl w:val="off"/>
    </w:pPr>
    <w:rPr>
      <w:rFonts w:ascii="Times New Roman" w:hAnsi="Times New Roman" w:eastAsia="宋体" w:cs="Calibri"/>
      <w:sz w:val="21"/>
      <w:szCs w:val="21"/>
      <w:lang w:val="en-US" w:eastAsia="zh-CN" w:bidi="ar-SA"/>
    </w:rPr>
  </w:style>
  <w:style w:type="paragraph" w:styleId="1383" w:customStyle="1">
    <w:name w:val="Plain Text1"/>
    <w:basedOn w:val="1380"/>
    <w:uiPriority w:val="0"/>
    <w:qFormat/>
    <w:rPr>
      <w:rFonts w:ascii="宋体" w:hAnsi="Courier New" w:cs="Courier New"/>
      <w:szCs w:val="21"/>
    </w:rPr>
  </w:style>
  <w:style w:type="paragraph" w:styleId="1384" w:customStyle="1">
    <w:name w:val="正文缩进1"/>
    <w:basedOn w:val="1139"/>
    <w:uiPriority w:val="0"/>
    <w:qFormat/>
    <w:pPr>
      <w:ind w:firstLine="482"/>
      <w:spacing w:line="360" w:lineRule="atLeast"/>
    </w:pPr>
    <w:rPr>
      <w:sz w:val="24"/>
      <w:szCs w:val="24"/>
    </w:rPr>
  </w:style>
  <w:style w:type="paragraph" w:styleId="1385" w:customStyle="1">
    <w:name w:val="此正文"/>
    <w:basedOn w:val="1139"/>
    <w:uiPriority w:val="0"/>
    <w:qFormat/>
    <w:pPr>
      <w:ind w:firstLine="200"/>
      <w:spacing w:line="360" w:lineRule="auto"/>
    </w:pPr>
    <w:rPr>
      <w:sz w:val="24"/>
    </w:rPr>
  </w:style>
  <w:style w:type="paragraph" w:styleId="1386" w:customStyle="1">
    <w:name w:val="font14"/>
    <w:basedOn w:val="1139"/>
    <w:uiPriority w:val="0"/>
    <w:qFormat/>
    <w:pPr>
      <w:jc w:val="left"/>
      <w:spacing w:before="100" w:beforeAutospacing="1" w:after="100" w:afterAutospacing="1"/>
      <w:widowControl/>
    </w:pPr>
    <w:rPr>
      <w:rFonts w:ascii="宋体" w:hAnsi="宋体" w:cs="宋体"/>
      <w:color w:val="000000"/>
      <w:szCs w:val="21"/>
    </w:rPr>
  </w:style>
  <w:style w:type="paragraph" w:styleId="1387" w:customStyle="1">
    <w:name w:val="font6"/>
    <w:basedOn w:val="1139"/>
    <w:uiPriority w:val="0"/>
    <w:qFormat/>
    <w:pPr>
      <w:jc w:val="left"/>
      <w:spacing w:before="100" w:beforeAutospacing="1" w:after="100" w:afterAutospacing="1"/>
      <w:widowControl/>
    </w:pPr>
    <w:rPr>
      <w:color w:val="000000"/>
      <w:szCs w:val="21"/>
    </w:rPr>
  </w:style>
  <w:style w:type="paragraph" w:styleId="1388" w:customStyle="1">
    <w:name w:val="xl83"/>
    <w:basedOn w:val="1139"/>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sz w:val="36"/>
      <w:szCs w:val="36"/>
    </w:rPr>
  </w:style>
  <w:style w:type="paragraph" w:styleId="1389" w:customStyle="1">
    <w:name w:val="Char1"/>
    <w:basedOn w:val="1139"/>
    <w:uiPriority w:val="0"/>
    <w:qFormat/>
    <w:pPr>
      <w:ind w:left="840" w:hanging="420"/>
      <w:tabs>
        <w:tab w:val="left" w:pos="840" w:leader="none"/>
      </w:tabs>
    </w:pPr>
    <w:rPr>
      <w:sz w:val="24"/>
      <w:szCs w:val="24"/>
    </w:rPr>
  </w:style>
  <w:style w:type="paragraph" w:styleId="1390" w:customStyle="1">
    <w:name w:val="xl103"/>
    <w:basedOn w:val="113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Cs w:val="21"/>
    </w:rPr>
  </w:style>
  <w:style w:type="paragraph" w:styleId="1391" w:customStyle="1">
    <w:name w:val="默认段落字体 Para Char Char Char Char"/>
    <w:basedOn w:val="1139"/>
    <w:uiPriority w:val="0"/>
    <w:qFormat/>
  </w:style>
  <w:style w:type="paragraph" w:styleId="1392" w:customStyle="1">
    <w:name w:val="_Style 231"/>
    <w:uiPriority w:val="99"/>
    <w:qFormat/>
    <w:pPr>
      <w:jc w:val="both"/>
      <w:widowControl w:val="off"/>
    </w:pPr>
    <w:rPr>
      <w:rFonts w:ascii="Times New Roman" w:hAnsi="Times New Roman" w:eastAsia="宋体" w:cs="Times New Roman"/>
      <w:sz w:val="21"/>
      <w:lang w:val="en-US" w:eastAsia="zh-CN" w:bidi="ar-SA"/>
    </w:rPr>
  </w:style>
  <w:style w:type="paragraph" w:styleId="1393" w:customStyle="1">
    <w:name w:val="font9"/>
    <w:basedOn w:val="1139"/>
    <w:uiPriority w:val="0"/>
    <w:qFormat/>
    <w:pPr>
      <w:jc w:val="left"/>
      <w:spacing w:before="100" w:beforeAutospacing="1" w:after="100" w:afterAutospacing="1"/>
      <w:widowControl/>
    </w:pPr>
    <w:rPr>
      <w:rFonts w:ascii="宋体" w:hAnsi="宋体" w:cs="宋体"/>
      <w:color w:val="000000"/>
      <w:szCs w:val="21"/>
    </w:rPr>
  </w:style>
  <w:style w:type="paragraph" w:styleId="1394" w:customStyle="1">
    <w:name w:val="彩色列表 - 强调文字颜色 11"/>
    <w:basedOn w:val="1139"/>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395" w:customStyle="1">
    <w:name w:val="p0"/>
    <w:basedOn w:val="1139"/>
    <w:uiPriority w:val="0"/>
    <w:qFormat/>
    <w:pPr>
      <w:jc w:val="left"/>
      <w:spacing w:before="100" w:beforeAutospacing="1" w:after="100" w:afterAutospacing="1"/>
      <w:widowControl/>
    </w:pPr>
    <w:rPr>
      <w:rFonts w:ascii="宋体" w:hAnsi="宋体" w:cs="宋体"/>
      <w:sz w:val="24"/>
      <w:szCs w:val="24"/>
    </w:rPr>
  </w:style>
  <w:style w:type="paragraph" w:styleId="1396" w:customStyle="1">
    <w:name w:val="font5"/>
    <w:basedOn w:val="1139"/>
    <w:uiPriority w:val="0"/>
    <w:qFormat/>
    <w:pPr>
      <w:jc w:val="left"/>
      <w:spacing w:before="100" w:beforeAutospacing="1" w:after="100" w:afterAutospacing="1"/>
      <w:widowControl/>
    </w:pPr>
    <w:rPr>
      <w:color w:val="000000"/>
      <w:sz w:val="20"/>
    </w:rPr>
  </w:style>
  <w:style w:type="paragraph" w:styleId="1397" w:customStyle="1">
    <w:name w:val="xl69"/>
    <w:basedOn w:val="11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8" w:customStyle="1">
    <w:name w:val="三级条我的分类标题"/>
    <w:basedOn w:val="1139"/>
    <w:uiPriority w:val="99"/>
    <w:qFormat/>
    <w:pPr>
      <w:ind w:left="992" w:hanging="567"/>
    </w:pPr>
    <w:rPr>
      <w:rFonts w:ascii="黑体" w:hAnsi="黑体" w:eastAsia="黑体"/>
      <w:b/>
      <w:sz w:val="28"/>
      <w:szCs w:val="28"/>
    </w:rPr>
  </w:style>
  <w:style w:type="paragraph" w:styleId="1399" w:customStyle="1">
    <w:name w:val="xl86"/>
    <w:basedOn w:val="11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400" w:customStyle="1">
    <w:name w:val="xl78"/>
    <w:basedOn w:val="11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401" w:customStyle="1">
    <w:name w:val="flName"/>
    <w:basedOn w:val="1139"/>
    <w:uiPriority w:val="0"/>
    <w:qFormat/>
    <w:pPr>
      <w:jc w:val="center"/>
      <w:spacing w:before="320" w:after="160" w:line="360" w:lineRule="atLeast"/>
    </w:pPr>
    <w:rPr>
      <w:rFonts w:ascii="Arial" w:eastAsia="黑体"/>
      <w:sz w:val="32"/>
      <w:szCs w:val="24"/>
    </w:rPr>
  </w:style>
  <w:style w:type="paragraph" w:styleId="1402" w:customStyle="1">
    <w:name w:val="xl101"/>
    <w:basedOn w:val="113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03" w:customStyle="1">
    <w:name w:val="xl72"/>
    <w:basedOn w:val="11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4" w:customStyle="1">
    <w:name w:val="Char Char Char1"/>
    <w:basedOn w:val="1139"/>
    <w:uiPriority w:val="0"/>
    <w:qFormat/>
    <w:rPr>
      <w:szCs w:val="24"/>
    </w:rPr>
  </w:style>
  <w:style w:type="paragraph" w:styleId="1405" w:customStyle="1">
    <w:name w:val="xl76"/>
    <w:basedOn w:val="11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406" w:customStyle="1">
    <w:name w:val="样式 样式 标题1 + 行距: 单倍行距 + 段前: 7.8 磅 段后: 7.8 磅"/>
    <w:basedOn w:val="1139"/>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407" w:customStyle="1">
    <w:name w:val="_Style 53"/>
    <w:next w:val="1139"/>
    <w:uiPriority w:val="99"/>
    <w:unhideWhenUsed/>
    <w:qFormat/>
    <w:pPr>
      <w:widowControl w:val="off"/>
    </w:pPr>
    <w:rPr>
      <w:rFonts w:ascii="宋体" w:hAnsi="Times New Roman" w:eastAsia="宋体" w:cs="Times New Roman"/>
      <w:lang w:val="en-US" w:eastAsia="zh-CN" w:bidi="ar-SA"/>
    </w:rPr>
  </w:style>
  <w:style w:type="paragraph" w:styleId="1408" w:customStyle="1">
    <w:name w:val="yy一级标题"/>
    <w:basedOn w:val="1139"/>
    <w:uiPriority w:val="0"/>
    <w:qFormat/>
    <w:rPr>
      <w:rFonts w:ascii="宋体" w:hAnsi="宋体"/>
      <w:sz w:val="24"/>
      <w:szCs w:val="24"/>
    </w:rPr>
  </w:style>
  <w:style w:type="paragraph" w:styleId="1409" w:customStyle="1">
    <w:name w:val="TOC 标题1"/>
    <w:basedOn w:val="1140"/>
    <w:next w:val="1139"/>
    <w:uiPriority w:val="39"/>
    <w:qFormat/>
    <w:pPr>
      <w:jc w:val="left"/>
      <w:keepLines/>
      <w:spacing w:before="480" w:line="276" w:lineRule="auto"/>
      <w:widowControl/>
      <w:outlineLvl w:val="9"/>
    </w:pPr>
    <w:rPr>
      <w:rFonts w:ascii="Cambria" w:hAnsi="Cambria"/>
      <w:b/>
      <w:bCs/>
      <w:color w:val="365f91"/>
      <w:szCs w:val="28"/>
    </w:rPr>
  </w:style>
  <w:style w:type="paragraph" w:styleId="1410" w:customStyle="1">
    <w:name w:val="xl66"/>
    <w:basedOn w:val="11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411" w:customStyle="1">
    <w:name w:val="xl102"/>
    <w:basedOn w:val="113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Cs w:val="21"/>
    </w:rPr>
  </w:style>
  <w:style w:type="paragraph" w:styleId="1412">
    <w:name w:val="List Paragraph"/>
    <w:basedOn w:val="1139"/>
    <w:uiPriority w:val="99"/>
    <w:qFormat/>
    <w:pPr>
      <w:ind w:firstLine="420"/>
    </w:pPr>
  </w:style>
  <w:style w:type="paragraph" w:styleId="1413" w:customStyle="1">
    <w:name w:val="xl87"/>
    <w:basedOn w:val="1139"/>
    <w:uiPriority w:val="0"/>
    <w:qFormat/>
    <w:pPr>
      <w:jc w:val="left"/>
      <w:spacing w:before="100" w:beforeAutospacing="1" w:after="100" w:afterAutospacing="1"/>
      <w:widowControl/>
      <w:pBdr>
        <w:top w:val="single" w:color="auto" w:sz="4" w:space="0"/>
        <w:left w:val="single" w:color="auto" w:sz="4" w:space="0"/>
        <w:bottom w:val="single" w:color="auto" w:sz="4" w:space="0"/>
      </w:pBdr>
    </w:pPr>
    <w:rPr>
      <w:b/>
      <w:bCs/>
      <w:szCs w:val="21"/>
    </w:rPr>
  </w:style>
  <w:style w:type="paragraph" w:styleId="1414" w:customStyle="1">
    <w:name w:val="xl99"/>
    <w:basedOn w:val="113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Cs w:val="21"/>
    </w:rPr>
  </w:style>
  <w:style w:type="paragraph" w:styleId="1415" w:customStyle="1">
    <w:name w:val="xl106"/>
    <w:basedOn w:val="1139"/>
    <w:uiPriority w:val="0"/>
    <w:qFormat/>
    <w:pPr>
      <w:jc w:val="left"/>
      <w:spacing w:before="100" w:beforeAutospacing="1" w:after="100" w:afterAutospacing="1"/>
      <w:widowControl/>
      <w:pBdr>
        <w:top w:val="single" w:color="auto" w:sz="4" w:space="0"/>
      </w:pBdr>
    </w:pPr>
    <w:rPr>
      <w:rFonts w:ascii="宋体" w:hAnsi="宋体" w:cs="宋体"/>
      <w:b/>
      <w:bCs/>
      <w:szCs w:val="21"/>
    </w:rPr>
  </w:style>
  <w:style w:type="paragraph" w:styleId="1416" w:customStyle="1">
    <w:name w:val="_Style 1"/>
    <w:basedOn w:val="1139"/>
    <w:uiPriority w:val="99"/>
    <w:qFormat/>
    <w:pPr>
      <w:ind w:firstLine="420"/>
    </w:pPr>
    <w:rPr>
      <w:rFonts w:ascii="Calibri" w:hAnsi="Calibri"/>
      <w:szCs w:val="22"/>
    </w:rPr>
  </w:style>
  <w:style w:type="paragraph" w:styleId="1417" w:customStyle="1">
    <w:name w:val="正文2"/>
    <w:basedOn w:val="1139"/>
    <w:uiPriority w:val="0"/>
    <w:qFormat/>
    <w:pPr>
      <w:ind w:firstLine="200"/>
      <w:jc w:val="left"/>
      <w:spacing w:after="160" w:line="360" w:lineRule="auto"/>
      <w:widowControl/>
    </w:pPr>
    <w:rPr>
      <w:rFonts w:ascii="Verdana" w:hAnsi="Verdana" w:eastAsia="黑体"/>
      <w:lang w:eastAsia="en-US"/>
    </w:rPr>
  </w:style>
  <w:style w:type="paragraph" w:styleId="1418" w:customStyle="1">
    <w:name w:val="xl95"/>
    <w:basedOn w:val="113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419" w:customStyle="1">
    <w:name w:val="列出段落2"/>
    <w:basedOn w:val="1139"/>
    <w:uiPriority w:val="34"/>
    <w:qFormat/>
    <w:pPr>
      <w:ind w:firstLine="420"/>
    </w:pPr>
    <w:rPr>
      <w:rFonts w:ascii="Calibri" w:hAnsi="Calibri"/>
      <w:szCs w:val="21"/>
    </w:rPr>
  </w:style>
  <w:style w:type="paragraph" w:styleId="1420" w:customStyle="1">
    <w:name w:val="xl65"/>
    <w:basedOn w:val="11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421" w:customStyle="1">
    <w:name w:val="xl82"/>
    <w:basedOn w:val="113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36"/>
      <w:szCs w:val="36"/>
    </w:rPr>
  </w:style>
  <w:style w:type="paragraph" w:styleId="1422" w:customStyle="1">
    <w:name w:val="Table Paragraph"/>
    <w:basedOn w:val="1139"/>
    <w:uiPriority w:val="1"/>
    <w:qFormat/>
    <w:pPr>
      <w:spacing w:before="2"/>
    </w:pPr>
    <w:rPr>
      <w:rFonts w:ascii="宋体" w:hAnsi="宋体" w:cs="宋体"/>
      <w:lang w:val="zh-CN" w:bidi="zh-CN"/>
    </w:rPr>
  </w:style>
  <w:style w:type="paragraph" w:styleId="1423" w:customStyle="1">
    <w:name w:val="彩色列表1"/>
    <w:basedOn w:val="1139"/>
    <w:uiPriority w:val="0"/>
    <w:qFormat/>
    <w:pPr>
      <w:ind w:firstLine="420"/>
    </w:pPr>
    <w:rPr>
      <w:rFonts w:ascii="Calibri" w:hAnsi="Calibri"/>
      <w:szCs w:val="22"/>
    </w:rPr>
  </w:style>
  <w:style w:type="paragraph" w:styleId="1424" w:customStyle="1">
    <w:name w:val="纯文本4"/>
    <w:basedOn w:val="1139"/>
    <w:uiPriority w:val="0"/>
    <w:qFormat/>
    <w:pPr>
      <w:jc w:val="left"/>
      <w:widowControl/>
    </w:pPr>
    <w:rPr>
      <w:rFonts w:ascii="宋体" w:hAnsi="Courier New"/>
    </w:rPr>
  </w:style>
  <w:style w:type="character" w:styleId="1425" w:customStyle="1">
    <w:name w:val="_Style 280"/>
    <w:uiPriority w:val="99"/>
    <w:unhideWhenUsed/>
    <w:qFormat/>
    <w:rPr>
      <w:color w:val="605e5c"/>
      <w:shd w:val="clear" w:color="auto" w:fill="e1dfdd"/>
    </w:rPr>
  </w:style>
  <w:style w:type="paragraph" w:styleId="1426" w:customStyle="1">
    <w:name w:val="_Style 281"/>
    <w:uiPriority w:val="99"/>
    <w:unhideWhenUsed/>
    <w:qFormat/>
    <w:rPr>
      <w:rFonts w:ascii="Times New Roman" w:hAnsi="Times New Roman" w:eastAsia="宋体" w:cs="Times New Roman"/>
      <w:sz w:val="21"/>
      <w:lang w:val="en-US" w:eastAsia="zh-CN" w:bidi="ar-SA"/>
    </w:rPr>
  </w:style>
  <w:style w:type="paragraph" w:styleId="1427" w:customStyle="1">
    <w:name w:val="标2"/>
    <w:basedOn w:val="1139"/>
    <w:uiPriority w:val="0"/>
    <w:qFormat/>
    <w:pPr>
      <w:jc w:val="left"/>
      <w:spacing w:before="156" w:after="156" w:line="240" w:lineRule="atLeast"/>
      <w:outlineLvl w:val="1"/>
    </w:pPr>
    <w:rPr>
      <w:color w:val="000000"/>
    </w:rPr>
  </w:style>
  <w:style w:type="paragraph" w:styleId="1428" w:customStyle="1">
    <w:name w:val="普通正文"/>
    <w:basedOn w:val="1139"/>
    <w:uiPriority w:val="0"/>
    <w:qFormat/>
    <w:pPr>
      <w:ind w:firstLine="480"/>
      <w:jc w:val="left"/>
      <w:spacing w:before="120" w:after="120" w:line="360" w:lineRule="auto"/>
    </w:pPr>
    <w:rPr>
      <w:rFonts w:ascii="Arial" w:hAnsi="Arial"/>
      <w:sz w:val="24"/>
    </w:rPr>
  </w:style>
  <w:style w:type="paragraph" w:styleId="1429" w:customStyle="1">
    <w:name w:val="招标"/>
    <w:basedOn w:val="1139"/>
    <w:uiPriority w:val="0"/>
    <w:qFormat/>
    <w:pPr>
      <w:ind w:firstLine="420"/>
      <w:jc w:val="left"/>
      <w:spacing w:line="400" w:lineRule="exact"/>
    </w:pPr>
    <w:rPr>
      <w:rFonts w:ascii="宋体" w:hAnsi="宋体"/>
    </w:rPr>
  </w:style>
  <w:style w:type="paragraph" w:styleId="1430" w:customStyle="1">
    <w:name w:val="修订2"/>
    <w:hidden/>
    <w:uiPriority w:val="99"/>
    <w:unhideWhenUsed/>
    <w:qFormat/>
    <w:rPr>
      <w:rFonts w:ascii="Times New Roman" w:hAnsi="Times New Roman" w:eastAsia="宋体" w:cs="Times New Roman"/>
      <w:sz w:val="21"/>
      <w:lang w:val="en-US" w:eastAsia="zh-CN" w:bidi="ar-SA"/>
    </w:rPr>
  </w:style>
  <w:style w:type="paragraph" w:styleId="1431" w:customStyle="1">
    <w:name w:val="修订3"/>
    <w:hidden/>
    <w:uiPriority w:val="99"/>
    <w:unhideWhenUsed/>
    <w:qFormat/>
    <w:rPr>
      <w:rFonts w:ascii="Times New Roman" w:hAnsi="Times New Roman" w:eastAsia="宋体" w:cs="Times New Roman"/>
      <w:sz w:val="21"/>
      <w:lang w:val="en-US" w:eastAsia="zh-CN" w:bidi="ar-SA"/>
    </w:rPr>
  </w:style>
  <w:style w:type="paragraph" w:styleId="1432" w:customStyle="1">
    <w:name w:val="修订4"/>
    <w:hidden/>
    <w:uiPriority w:val="99"/>
    <w:unhideWhenUsed/>
    <w:qFormat/>
    <w:rPr>
      <w:rFonts w:ascii="Times New Roman" w:hAnsi="Times New Roman" w:eastAsia="宋体" w:cs="Times New Roman"/>
      <w:sz w:val="21"/>
      <w:lang w:val="en-US" w:eastAsia="zh-CN" w:bidi="ar-SA"/>
    </w:rPr>
  </w:style>
  <w:style w:type="paragraph" w:styleId="1433" w:customStyle="1">
    <w:name w:val="Revision"/>
    <w:hidden/>
    <w:uiPriority w:val="99"/>
    <w:unhideWhenUsed/>
    <w:qFormat/>
    <w:rPr>
      <w:rFonts w:ascii="Times New Roman" w:hAnsi="Times New Roman" w:eastAsia="宋体" w:cs="Times New Roman"/>
      <w:sz w:val="21"/>
      <w:lang w:val="en-US" w:eastAsia="zh-CN" w:bidi="ar-SA"/>
    </w:rPr>
  </w:style>
  <w:style w:type="numbering" w:styleId="14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80cca574-a1e3-42b5-b173-dd333b3f11f2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16053426</paraID>
      <start>0</start>
      <end>2</end>
      <status>unmodified</status>
      <modifiedWord/>
      <trackRevisions>false</trackRevisions>
    </reviewItem>
    <reviewItem>
      <errorID>09e42283-3d9a-45ab-8f1f-c02004660b70</errorID>
      <errorWord>一</errorWord>
      <group>L1_Word</group>
      <groupName>字词问题</groupName>
      <ability>L2_Typo</ability>
      <abilityName>字词错误</abilityName>
      <candidateList>
        <item>一个</item>
      </candidateList>
      <explain/>
      <paraID>1A54AA6F</paraID>
      <start>29</start>
      <end>30</end>
      <status>unmodified</status>
      <modifiedWord/>
      <trackRevisions>false</trackRevisions>
    </reviewItem>
    <reviewItem>
      <errorID>3c0f5c0e-f4ba-4526-aeee-f51451bef4e5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5058BBD2</paraID>
      <start>0</start>
      <end>2</end>
      <status>unmodified</status>
      <modifiedWord/>
      <trackRevisions>false</trackRevisions>
    </reviewItem>
    <reviewItem>
      <errorID>402da65e-679c-42db-9710-4b54e1c453a1</errorID>
      <errorWord>(</errorWord>
      <group>L1_Format</group>
      <groupName>格式问题</groupName>
      <ability>L2_HalfPunc_CN</ability>
      <abilityName>全半角检查</abilityName>
      <candidateList>
        <item>（</item>
      </candidateList>
      <explain>文本全半角错误。</explain>
      <paraID>1AFD1015</paraID>
      <start>75</start>
      <end>76</end>
      <status>unmodified</status>
      <modifiedWord/>
      <trackRevisions>false</trackRevisions>
    </reviewItem>
    <reviewItem>
      <errorID>32727eab-ff0f-484a-be2b-bd8bd15ba857</errorID>
      <errorWord>)</errorWord>
      <group>L1_Format</group>
      <groupName>格式问题</groupName>
      <ability>L2_HalfPunc_CN</ability>
      <abilityName>全半角检查</abilityName>
      <candidateList>
        <item>）</item>
      </candidateList>
      <explain>文本全半角错误。</explain>
      <paraID>1AFD1015</paraID>
      <start>98</start>
      <end>99</end>
      <status>unmodified</status>
      <modifiedWord/>
      <trackRevisions>false</trackRevisions>
    </reviewItem>
    <reviewItem>
      <errorID>b1c23d7b-f9d2-4c9c-af8a-dbb2eb47fae1</errorID>
      <errorWord>(</errorWord>
      <group>L1_Format</group>
      <groupName>格式问题</groupName>
      <ability>L2_HalfPunc_CN</ability>
      <abilityName>全半角检查</abilityName>
      <candidateList>
        <item>（</item>
      </candidateList>
      <explain>文本全半角错误。</explain>
      <paraID>1AFD1015</paraID>
      <start>107</start>
      <end>108</end>
      <status>unmodified</status>
      <modifiedWord/>
      <trackRevisions>false</trackRevisions>
    </reviewItem>
    <reviewItem>
      <errorID>37046e14-ac42-4fd3-bd4e-884ce7568584</errorID>
      <errorWord>)</errorWord>
      <group>L1_Format</group>
      <groupName>格式问题</groupName>
      <ability>L2_HalfPunc_CN</ability>
      <abilityName>全半角检查</abilityName>
      <candidateList>
        <item>）</item>
      </candidateList>
      <explain>文本全半角错误。</explain>
      <paraID>1AFD1015</paraID>
      <start>123</start>
      <end>124</end>
      <status>unmodified</status>
      <modifiedWord/>
      <trackRevisions>false</trackRevisions>
    </reviewItem>
    <reviewItem>
      <errorID>72d3f7a9-9885-42a2-b833-46a42c2e360c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1B87240C</paraID>
      <start>0</start>
      <end>2</end>
      <status>unmodified</status>
      <modifiedWord/>
      <trackRevisions>false</trackRevisions>
    </reviewItem>
    <reviewItem>
      <errorID>97cad994-be65-4d0f-aa85-cafc665cf2e8</errorID>
      <errorWord>后</errorWord>
      <group>L1_Word</group>
      <groupName>字词问题</groupName>
      <ability>L2_Typo</ability>
      <abilityName>字词错误</abilityName>
      <candidateList>
        <item>后在</item>
      </candidateList>
      <explain/>
      <paraID>712D80E8</paraID>
      <start>16</start>
      <end>17</end>
      <status>unmodified</status>
      <modifiedWord/>
      <trackRevisions>false</trackRevisions>
    </reviewItem>
    <reviewItem>
      <errorID>c86b073b-b99d-4ea8-a02e-27d1af6bae56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4541EFEA</paraID>
      <start>0</start>
      <end>2</end>
      <status>unmodified</status>
      <modifiedWord/>
      <trackRevisions>false</trackRevisions>
    </reviewItem>
    <reviewItem>
      <errorID>ea2eaf58-45e7-437c-ac3f-76f6da1e2ede</errorID>
      <errorWord>-</errorWord>
      <group>L1_Format</group>
      <groupName>格式问题</groupName>
      <ability>L2_HalfPunc_CN</ability>
      <abilityName>全半角检查</abilityName>
      <candidateList>
        <item>－</item>
      </candidateList>
      <explain>文本全半角错误。</explain>
      <paraID>3018372C</paraID>
      <start>11</start>
      <end>12</end>
      <status>unmodified</status>
      <modifiedWord/>
      <trackRevisions>false</trackRevisions>
    </reviewItem>
    <reviewItem>
      <errorID>a15435f8-7c76-40cd-9022-2088b89e87ca</errorID>
      <errorWord>-</errorWord>
      <group>L1_Format</group>
      <groupName>格式问题</groupName>
      <ability>L2_HalfPunc_CN</ability>
      <abilityName>全半角检查</abilityName>
      <candidateList>
        <item>－</item>
      </candidateList>
      <explain>文本全半角错误。</explain>
      <paraID>3018372C</paraID>
      <start>12</start>
      <end>13</end>
      <status>unmodified</status>
      <modifiedWord/>
      <trackRevisions>false</trackRevisions>
    </reviewItem>
    <reviewItem>
      <errorID>38f53760-944c-48f2-a8e1-84af6b2779a3</errorID>
      <errorWord>-</errorWord>
      <group>L1_Format</group>
      <groupName>格式问题</groupName>
      <ability>L2_HalfPunc_CN</ability>
      <abilityName>全半角检查</abilityName>
      <candidateList>
        <item>－</item>
      </candidateList>
      <explain>文本全半角错误。</explain>
      <paraID>3018372C</paraID>
      <start>38</start>
      <end>39</end>
      <status>unmodified</status>
      <modifiedWord/>
      <trackRevisions>false</trackRevisions>
    </reviewItem>
    <reviewItem>
      <errorID>5167b563-15ed-45fd-8f34-74c971859993</errorID>
      <errorWord>-</errorWord>
      <group>L1_Format</group>
      <groupName>格式问题</groupName>
      <ability>L2_HalfPunc_CN</ability>
      <abilityName>全半角检查</abilityName>
      <candidateList>
        <item>－</item>
      </candidateList>
      <explain>文本全半角错误。</explain>
      <paraID>3018372C</paraID>
      <start>39</start>
      <end>40</end>
      <status>unmodified</status>
      <modifiedWord/>
      <trackRevisions>false</trackRevisions>
    </reviewItem>
    <reviewItem>
      <errorID>8d63b88e-53b0-4c08-aa06-acfb99b10dda</errorID>
      <errorWord>“.</errorWord>
      <group>L1_Punc</group>
      <groupName>标点问题</groupName>
      <ability>L2_Punc_CN</ability>
      <abilityName>标点符号检查</abilityName>
      <candidateList>
        <item>“</item>
      </candidateList>
      <explain/>
      <paraID>3018372C</paraID>
      <start>51</start>
      <end>53</end>
      <status>unmodified</status>
      <modifiedWord/>
      <trackRevisions>false</trackRevisions>
    </reviewItem>
    <reviewItem>
      <errorID>2e47176b-41e9-4fc7-b683-537fa8c96f76</errorID>
      <errorWord>“.</errorWord>
      <group>L1_Punc</group>
      <groupName>标点问题</groupName>
      <ability>L2_Punc_CN</ability>
      <abilityName>标点符号检查</abilityName>
      <candidateList>
        <item>“</item>
      </candidateList>
      <explain/>
      <paraID>3018372C</paraID>
      <start>66</start>
      <end>68</end>
      <status>unmodified</status>
      <modifiedWord/>
      <trackRevisions>false</trackRevisions>
    </reviewItem>
    <reviewItem>
      <errorID>75c9c85a-1c23-424c-8e92-08bddba03c0b</errorID>
      <errorWord>-</errorWord>
      <group>L1_Format</group>
      <groupName>格式问题</groupName>
      <ability>L2_HalfPunc_CN</ability>
      <abilityName>全半角检查</abilityName>
      <candidateList>
        <item>－</item>
      </candidateList>
      <explain>文本全半角错误。</explain>
      <paraID>3018372C</paraID>
      <start>89</start>
      <end>90</end>
      <status>unmodified</status>
      <modifiedWord/>
      <trackRevisions>false</trackRevisions>
    </reviewItem>
    <reviewItem>
      <errorID>89d05142-c1dd-4a15-af1a-f32840b48821</errorID>
      <errorWord>-</errorWord>
      <group>L1_Format</group>
      <groupName>格式问题</groupName>
      <ability>L2_HalfPunc_CN</ability>
      <abilityName>全半角检查</abilityName>
      <candidateList>
        <item>－</item>
      </candidateList>
      <explain>文本全半角错误。</explain>
      <paraID>3018372C</paraID>
      <start>90</start>
      <end>91</end>
      <status>unmodified</status>
      <modifiedWord/>
      <trackRevisions>false</trackRevisions>
    </reviewItem>
    <reviewItem>
      <errorID>19e04394-6906-4f34-b498-d6d9fd3031ba</errorID>
      <errorWord>-</errorWord>
      <group>L1_Format</group>
      <groupName>格式问题</groupName>
      <ability>L2_HalfPunc_CN</ability>
      <abilityName>全半角检查</abilityName>
      <candidateList>
        <item>－</item>
      </candidateList>
      <explain>文本全半角错误。</explain>
      <paraID>3018372C</paraID>
      <start>97</start>
      <end>98</end>
      <status>unmodified</status>
      <modifiedWord/>
      <trackRevisions>false</trackRevisions>
    </reviewItem>
    <reviewItem>
      <errorID>24317fe5-e365-4938-8653-22cd4d44e44e</errorID>
      <errorWord>-</errorWord>
      <group>L1_Format</group>
      <groupName>格式问题</groupName>
      <ability>L2_HalfPunc_CN</ability>
      <abilityName>全半角检查</abilityName>
      <candidateList>
        <item>－</item>
      </candidateList>
      <explain>文本全半角错误。</explain>
      <paraID>3018372C</paraID>
      <start>98</start>
      <end>99</end>
      <status>unmodified</status>
      <modifiedWord/>
      <trackRevisions>false</trackRevisions>
    </reviewItem>
    <reviewItem>
      <errorID>19ab9100-5a02-4be2-a27b-baeb7fe8c67d</errorID>
      <errorWord>-</errorWord>
      <group>L1_Format</group>
      <groupName>格式问题</groupName>
      <ability>L2_HalfPunc_CN</ability>
      <abilityName>全半角检查</abilityName>
      <candidateList>
        <item>－</item>
      </candidateList>
      <explain>文本全半角错误。</explain>
      <paraID> AF224DB</paraID>
      <start>49</start>
      <end>50</end>
      <status>unmodified</status>
      <modifiedWord/>
      <trackRevisions>false</trackRevisions>
    </reviewItem>
    <reviewItem>
      <errorID>516f6dd7-823f-47db-98e2-59c136b4f873</errorID>
      <errorWord>“.</errorWord>
      <group>L1_Punc</group>
      <groupName>标点问题</groupName>
      <ability>L2_Punc_CN</ability>
      <abilityName>标点符号检查</abilityName>
      <candidateList>
        <item>“</item>
      </candidateList>
      <explain/>
      <paraID>76A71B6C</paraID>
      <start>11</start>
      <end>13</end>
      <status>unmodified</status>
      <modifiedWord/>
      <trackRevisions>false</trackRevisions>
    </reviewItem>
    <reviewItem>
      <errorID>d9b33729-0ae6-4d7c-a400-77e7b568bdf1</errorID>
      <errorWord>-</errorWord>
      <group>L1_Format</group>
      <groupName>格式问题</groupName>
      <ability>L2_HalfPunc_CN</ability>
      <abilityName>全半角检查</abilityName>
      <candidateList>
        <item>－</item>
      </candidateList>
      <explain>文本全半角错误。</explain>
      <paraID>76A71B6C</paraID>
      <start>47</start>
      <end>48</end>
      <status>unmodified</status>
      <modifiedWord/>
      <trackRevisions>false</trackRevisions>
    </reviewItem>
    <reviewItem>
      <errorID>0fc8ff0f-1d83-4ee3-9e70-082687c12fd6</errorID>
      <errorWord>-</errorWord>
      <group>L1_Format</group>
      <groupName>格式问题</groupName>
      <ability>L2_HalfPunc_CN</ability>
      <abilityName>全半角检查</abilityName>
      <candidateList>
        <item>－</item>
      </candidateList>
      <explain>文本全半角错误。</explain>
      <paraID>76A71B6C</paraID>
      <start>48</start>
      <end>49</end>
      <status>unmodified</status>
      <modifiedWord/>
      <trackRevisions>false</trackRevisions>
    </reviewItem>
    <reviewItem>
      <errorID>cd5f948f-50c1-4128-9020-d498acdc59f1</errorID>
      <errorWord>-</errorWord>
      <group>L1_Format</group>
      <groupName>格式问题</groupName>
      <ability>L2_HalfPunc_CN</ability>
      <abilityName>全半角检查</abilityName>
      <candidateList>
        <item>－</item>
      </candidateList>
      <explain>文本全半角错误。</explain>
      <paraID>76A71B6C</paraID>
      <start>54</start>
      <end>55</end>
      <status>unmodified</status>
      <modifiedWord/>
      <trackRevisions>false</trackRevisions>
    </reviewItem>
    <reviewItem>
      <errorID>806cf848-d7bf-45cd-a237-463e47249c9b</errorID>
      <errorWord>-</errorWord>
      <group>L1_Format</group>
      <groupName>格式问题</groupName>
      <ability>L2_HalfPunc_CN</ability>
      <abilityName>全半角检查</abilityName>
      <candidateList>
        <item>－</item>
      </candidateList>
      <explain>文本全半角错误。</explain>
      <paraID>76A71B6C</paraID>
      <start>55</start>
      <end>56</end>
      <status>unmodified</status>
      <modifiedWord/>
      <trackRevisions>false</trackRevisions>
    </reviewItem>
    <reviewItem>
      <errorID>11157fec-3da1-4444-9889-dc2d2775508f</errorID>
      <errorWord>（</errorWord>
      <group>L1_Punc</group>
      <groupName>标点问题</groupName>
      <ability>L2_Punc_CN</ability>
      <abilityName>标点符号检查</abilityName>
      <candidateList/>
      <explain>同一形式括号套用。</explain>
      <paraID>2EDB0317</paraID>
      <start>34</start>
      <end>35</end>
      <status>unmodified</status>
      <modifiedWord/>
      <trackRevisions>false</trackRevisions>
    </reviewItem>
    <reviewItem>
      <errorID>3fd0bb70-03a4-4e99-b0f8-b112a8a4971e</errorID>
      <errorWord>）</errorWord>
      <group>L1_Punc</group>
      <groupName>标点问题</groupName>
      <ability>L2_Punc_CN</ability>
      <abilityName>标点符号检查</abilityName>
      <candidateList/>
      <explain>同一形式括号套用。</explain>
      <paraID>2EDB0317</paraID>
      <start>38</start>
      <end>39</end>
      <status>unmodified</status>
      <modifiedWord/>
      <trackRevisions>false</trackRevisions>
    </reviewItem>
    <reviewItem>
      <errorID>7c3debf6-cfd3-4d3e-8564-6eecf1de79c9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31BDECDB</paraID>
      <start>0</start>
      <end>2</end>
      <status>unmodified</status>
      <modifiedWord/>
      <trackRevisions>false</trackRevisions>
    </reviewItem>
    <reviewItem>
      <errorID>3c3c2725-5ee1-4ef2-9903-a8cf7531e46f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7CCF4064</paraID>
      <start>0</start>
      <end>2</end>
      <status>unmodified</status>
      <modifiedWord/>
      <trackRevisions>false</trackRevisions>
    </reviewItem>
    <reviewItem>
      <errorID>27dd7210-4032-4d8a-a991-de433337907c</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43186948</paraID>
      <start>14</start>
      <end>24</end>
      <status>unmodified</status>
      <modifiedWord/>
      <trackRevisions>false</trackRevisions>
    </reviewItem>
    <reviewItem>
      <errorID>abe97e2d-e166-4587-bc55-e2d27acc4b8d</errorID>
      <errorWord>(</errorWord>
      <group>L1_Format</group>
      <groupName>格式问题</groupName>
      <ability>L2_HalfPunc_CN</ability>
      <abilityName>全半角检查</abilityName>
      <candidateList>
        <item>（</item>
      </candidateList>
      <explain>文本全半角错误。</explain>
      <paraID>1EF00D39</paraID>
      <start>19</start>
      <end>20</end>
      <status>unmodified</status>
      <modifiedWord/>
      <trackRevisions>false</trackRevisions>
    </reviewItem>
    <reviewItem>
      <errorID>94819564-45db-4193-be2e-cdb5a20624e1</errorID>
      <errorWord>)</errorWord>
      <group>L1_Format</group>
      <groupName>格式问题</groupName>
      <ability>L2_HalfPunc_CN</ability>
      <abilityName>全半角检查</abilityName>
      <candidateList>
        <item>）</item>
      </candidateList>
      <explain>文本全半角错误。</explain>
      <paraID>1EF00D39</paraID>
      <start>42</start>
      <end>43</end>
      <status>unmodified</status>
      <modifiedWord/>
      <trackRevisions>false</trackRevisions>
    </reviewItem>
    <reviewItem>
      <errorID>c4789fed-15bc-432a-9239-73971c314ff5</errorID>
      <errorWord>(</errorWord>
      <group>L1_Format</group>
      <groupName>格式问题</groupName>
      <ability>L2_HalfPunc_CN</ability>
      <abilityName>全半角检查</abilityName>
      <candidateList>
        <item>（</item>
      </candidateList>
      <explain>文本全半角错误。</explain>
      <paraID>1EF00D39</paraID>
      <start>51</start>
      <end>52</end>
      <status>unmodified</status>
      <modifiedWord/>
      <trackRevisions>false</trackRevisions>
    </reviewItem>
    <reviewItem>
      <errorID>0683249a-89fe-4e76-8a10-72803f7b2fa4</errorID>
      <errorWord>)</errorWord>
      <group>L1_Format</group>
      <groupName>格式问题</groupName>
      <ability>L2_HalfPunc_CN</ability>
      <abilityName>全半角检查</abilityName>
      <candidateList>
        <item>）</item>
      </candidateList>
      <explain>文本全半角错误。</explain>
      <paraID>1EF00D39</paraID>
      <start>67</start>
      <end>68</end>
      <status>unmodified</status>
      <modifiedWord/>
      <trackRevisions>false</trackRevisions>
    </reviewItem>
    <reviewItem>
      <errorID>2340e764-0fb2-472e-95ee-ca1e7e50c1be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4F80C82B</paraID>
      <start>0</start>
      <end>2</end>
      <status>unmodified</status>
      <modifiedWord/>
      <trackRevisions>false</trackRevisions>
    </reviewItem>
    <reviewItem>
      <errorID>8daa4bb6-ef61-4903-a98e-f786c70bcbaa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4F80C82B</paraID>
      <start>62</start>
      <end>66</end>
      <status>unmodified</status>
      <modifiedWord/>
      <trackRevisions>false</trackRevisions>
    </reviewItem>
    <reviewItem>
      <errorID>83c46e64-d649-4596-b5c8-076f6771acc6</errorID>
      <errorWord>（2011）59号</errorWord>
      <group>L1_Knowledge</group>
      <groupName>知识性问题</groupName>
      <ability>L2_Knowledge</ability>
      <abilityName>其他知识</abilityName>
      <candidateList>
        <item>〔2011〕59号</item>
      </candidateList>
      <explain>发文字号格式错误。</explain>
      <paraID>720E7C5A</paraID>
      <start>7</start>
      <end>16</end>
      <status>unmodified</status>
      <modifiedWord/>
      <trackRevisions>false</trackRevisions>
    </reviewItem>
    <reviewItem>
      <errorID>92f32541-d955-4982-ab2e-a8667af8d800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1DDE0B41</paraID>
      <start>16</start>
      <end>19</end>
      <status>unmodified</status>
      <modifiedWord/>
      <trackRevisions>false</trackRevisions>
    </reviewItem>
    <reviewItem>
      <errorID>261da4a1-82e0-4d2b-b5d0-aedd0e450f7e</errorID>
      <errorWord>如须</errorWord>
      <group>L1_Word</group>
      <groupName>字词问题</groupName>
      <ability>L2_Typo</ability>
      <abilityName>字词错误</abilityName>
      <candidateList>
        <item>如需</item>
      </candidateList>
      <explain/>
      <paraID>15024B06</paraID>
      <start>56</start>
      <end>58</end>
      <status>unmodified</status>
      <modifiedWord/>
      <trackRevisions>false</trackRevisions>
    </reviewItem>
    <reviewItem>
      <errorID>936eef04-8be2-47f2-b62a-33a5767cf783</errorID>
      <errorWord>）</errorWord>
      <group>L1_Word</group>
      <groupName>字词问题</groupName>
      <ability>L2_Typo</ability>
      <abilityName>字词错误</abilityName>
      <candidateList>
        <item>）在</item>
      </candidateList>
      <explain/>
      <paraID>35408BA1</paraID>
      <start>2</start>
      <end>3</end>
      <status>unmodified</status>
      <modifiedWord/>
      <trackRevisions>false</trackRevisions>
    </reviewItem>
    <reviewItem>
      <errorID>bc688c71-2c6b-4505-a109-95e17a389c50</errorID>
      <errorWord>间</errorWord>
      <group>L1_Word</group>
      <groupName>字词问题</groupName>
      <ability>L2_Typo</ability>
      <abilityName>字词错误</abilityName>
      <candidateList>
        <item>间之</item>
      </candidateList>
      <explain/>
      <paraID>1FDEB234</paraID>
      <start>37</start>
      <end>38</end>
      <status>unmodified</status>
      <modifiedWord/>
      <trackRevisions>false</trackRevisions>
    </reviewItem>
    <reviewItem>
      <errorID>14cc15d4-d83a-4c12-93bf-a2fca6cae749</errorID>
      <errorWord>文件的</errorWord>
      <group>L1_Word</group>
      <groupName>字词问题</groupName>
      <ability>L2_Typo</ability>
      <abilityName>字词错误</abilityName>
      <candidateList>
        <item>文件</item>
      </candidateList>
      <explain/>
      <paraID>5D146E76</paraID>
      <start>6</start>
      <end>9</end>
      <status>unmodified</status>
      <modifiedWord/>
      <trackRevisions>false</trackRevisions>
    </reviewItem>
    <reviewItem>
      <errorID>79e46792-6c12-4290-9602-de71bf8f6721</errorID>
      <errorWord>间</errorWord>
      <group>L1_Word</group>
      <groupName>字词问题</groupName>
      <ability>L2_Typo</ability>
      <abilityName>字词错误</abilityName>
      <candidateList>
        <item>间之</item>
      </candidateList>
      <explain/>
      <paraID>561790CF</paraID>
      <start>42</start>
      <end>43</end>
      <status>unmodified</status>
      <modifiedWord/>
      <trackRevisions>false</trackRevisions>
    </reviewItem>
    <reviewItem>
      <errorID>663ba783-4b91-4c22-a764-bd65f0409423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6026A551</paraID>
      <start>13</start>
      <end>16</end>
      <status>unmodified</status>
      <modifiedWord/>
      <trackRevisions>false</trackRevisions>
    </reviewItem>
    <reviewItem>
      <errorID>b665bbb2-4f1e-43e9-935a-419c9b1d44e8</errorID>
      <errorWord>法律、法规</errorWord>
      <group>L1_Word</group>
      <groupName>字词问题</groupName>
      <ability>L2_Typo</ability>
      <abilityName>字词错误</abilityName>
      <candidateList>
        <item>法律法规</item>
      </candidateList>
      <explain/>
      <paraID>4347849C</paraID>
      <start>4</start>
      <end>9</end>
      <status>unmodified</status>
      <modifiedWord/>
      <trackRevisions>false</trackRevisions>
    </reviewItem>
    <reviewItem>
      <errorID>984ed3e5-2496-4e87-8c8f-1094cf9202e1</errorID>
      <errorWord>(</errorWord>
      <group>L1_Format</group>
      <groupName>格式问题</groupName>
      <ability>L2_HalfPunc_CN</ability>
      <abilityName>全半角检查</abilityName>
      <candidateList>
        <item>（</item>
      </candidateList>
      <explain>文本全半角错误。</explain>
      <paraID>56B2F9E9</paraID>
      <start>54</start>
      <end>55</end>
      <status>unmodified</status>
      <modifiedWord/>
      <trackRevisions>false</trackRevisions>
    </reviewItem>
    <reviewItem>
      <errorID>bb1e2e2e-2b77-4bcb-9fc5-ce8506d8d0d6</errorID>
      <errorWord>)</errorWord>
      <group>L1_Format</group>
      <groupName>格式问题</groupName>
      <ability>L2_HalfPunc_CN</ability>
      <abilityName>全半角检查</abilityName>
      <candidateList>
        <item>）</item>
      </candidateList>
      <explain>文本全半角错误。</explain>
      <paraID>56B2F9E9</paraID>
      <start>81</start>
      <end>82</end>
      <status>unmodified</status>
      <modifiedWord/>
      <trackRevisions>false</trackRevisions>
    </reviewItem>
    <reviewItem>
      <errorID>115c9742-7102-45a7-b8b7-30b03bd1f4b3</errorID>
      <errorWord>&lt;</errorWord>
      <group>L1_Format</group>
      <groupName>格式问题</groupName>
      <ability>L2_HalfPunc_CN</ability>
      <abilityName>全半角检查</abilityName>
      <candidateList>
        <item>〈</item>
      </candidateList>
      <explain>文本全半角错误。</explain>
      <paraID>52BD8EC2</paraID>
      <start>49</start>
      <end>50</end>
      <status>unmodified</status>
      <modifiedWord/>
      <trackRevisions>false</trackRevisions>
    </reviewItem>
    <reviewItem>
      <errorID>d8de6858-941f-40eb-bed4-a935e423cad1</errorID>
      <errorWord>&lt;</errorWord>
      <group>L1_Format</group>
      <groupName>格式问题</groupName>
      <ability>L2_HalfPunc_CN</ability>
      <abilityName>全半角检查</abilityName>
      <candidateList>
        <item>〈</item>
      </candidateList>
      <explain>文本全半角错误。</explain>
      <paraID> 9D3F94E</paraID>
      <start>49</start>
      <end>50</end>
      <status>unmodified</status>
      <modifiedWord/>
      <trackRevisions>false</trackRevisions>
    </reviewItem>
    <reviewItem>
      <errorID>cdc2332b-d813-4aa6-a789-cbe277ea9fd6</errorID>
      <errorWord>&lt;</errorWord>
      <group>L1_Format</group>
      <groupName>格式问题</groupName>
      <ability>L2_HalfPunc_CN</ability>
      <abilityName>全半角检查</abilityName>
      <candidateList>
        <item>〈</item>
      </candidateList>
      <explain>文本全半角错误。</explain>
      <paraID>452663AE</paraID>
      <start>34</start>
      <end>35</end>
      <status>unmodified</status>
      <modifiedWord/>
      <trackRevisions>false</trackRevisions>
    </reviewItem>
    <reviewItem>
      <errorID>41caa079-b9eb-44c8-a894-5f4bf4b91fce</errorID>
      <errorWord>作必要</errorWord>
      <group>L1_Word</group>
      <groupName>字词问题</groupName>
      <ability>L2_Typo</ability>
      <abilityName>字词错误</abilityName>
      <candidateList>
        <item>做必要</item>
      </candidateList>
      <explain/>
      <paraID>509F65BF</paraID>
      <start>60</start>
      <end>63</end>
      <status>unmodified</status>
      <modifiedWord/>
      <trackRevisions>false</trackRevisions>
    </reviewItem>
    <reviewItem>
      <errorID>12ebb7d5-3a87-4891-b721-eb907f56443e</errorID>
      <errorWord>法律、法规</errorWord>
      <group>L1_Word</group>
      <groupName>字词问题</groupName>
      <ability>L2_Typo</ability>
      <abilityName>字词错误</abilityName>
      <candidateList>
        <item>法律法规</item>
      </candidateList>
      <explain/>
      <paraID>79629F59</paraID>
      <start>5</start>
      <end>10</end>
      <status>unmodified</status>
      <modifiedWord/>
      <trackRevisions>false</trackRevisions>
    </reviewItem>
    <reviewItem>
      <errorID>c1d222f8-f5d9-41e5-a2cb-0c8fd73af4a4</errorID>
      <errorWord>属</errorWord>
      <group>L1_Word</group>
      <groupName>字词问题</groupName>
      <ability>L2_Typo</ability>
      <abilityName>字词错误</abilityName>
      <candidateList>
        <item>属于</item>
      </candidateList>
      <explain/>
      <paraID>79629F59</paraID>
      <start>19</start>
      <end>20</end>
      <status>unmodified</status>
      <modifiedWord/>
      <trackRevisions>false</trackRevisions>
    </reviewItem>
    <reviewItem>
      <errorID>46e5c72f-480d-4247-bedf-b06fff86eb89</errorID>
      <errorWord>,</errorWord>
      <group>L1_Format</group>
      <groupName>格式问题</groupName>
      <ability>L2_HalfPunc_CN</ability>
      <abilityName>全半角检查</abilityName>
      <candidateList>
        <item>，</item>
      </candidateList>
      <explain>文本全半角错误。</explain>
      <paraID> 5913D13</paraID>
      <start>127</start>
      <end>128</end>
      <status>unmodified</status>
      <modifiedWord/>
      <trackRevisions>false</trackRevisions>
    </reviewItem>
    <reviewItem>
      <errorID>52dc89c4-341a-4e87-880f-e0349b280f27</errorID>
      <errorWord>日</errorWord>
      <group>L1_Word</group>
      <groupName>字词问题</groupName>
      <ability>L2_Typo</ability>
      <abilityName>字词错误</abilityName>
      <candidateList>
        <item>日起</item>
      </candidateList>
      <explain/>
      <paraID>1CEB3FC0</paraID>
      <start>156</start>
      <end>157</end>
      <status>unmodified</status>
      <modifiedWord/>
      <trackRevisions>false</trackRevisions>
    </reviewItem>
    <reviewItem>
      <errorID>5360b464-b6cb-441e-8ba4-481dd0bd720f</errorID>
      <errorWord>(</errorWord>
      <group>L1_Format</group>
      <groupName>格式问题</groupName>
      <ability>L2_HalfPunc_CN</ability>
      <abilityName>全半角检查</abilityName>
      <candidateList>
        <item>（</item>
      </candidateList>
      <explain>文本全半角错误。</explain>
      <paraID>57D7F431</paraID>
      <start>75</start>
      <end>76</end>
      <status>unmodified</status>
      <modifiedWord/>
      <trackRevisions>false</trackRevisions>
    </reviewItem>
    <reviewItem>
      <errorID>bca30d3e-8cc1-4cd9-9f3f-28673e3f6278</errorID>
      <errorWord>)</errorWord>
      <group>L1_Format</group>
      <groupName>格式问题</groupName>
      <ability>L2_HalfPunc_CN</ability>
      <abilityName>全半角检查</abilityName>
      <candidateList>
        <item>）</item>
      </candidateList>
      <explain>文本全半角错误。</explain>
      <paraID>57D7F431</paraID>
      <start>86</start>
      <end>87</end>
      <status>unmodified</status>
      <modifiedWord/>
      <trackRevisions>false</trackRevisions>
    </reviewItem>
    <reviewItem>
      <errorID>ebd78a7f-94a0-4c10-932d-d5057ea80d61</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3D15492A</paraID>
      <start>22</start>
      <end>24</end>
      <status>unmodified</status>
      <modifiedWord/>
      <trackRevisions>false</trackRevisions>
    </reviewItem>
    <reviewItem>
      <errorID>6d7eb100-f048-4d2b-81cb-ff24b904ce01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772FF76B</paraID>
      <start>21</start>
      <end>24</end>
      <status>unmodified</status>
      <modifiedWord/>
      <trackRevisions>false</trackRevisions>
    </reviewItem>
    <reviewItem>
      <errorID>a7ea751d-0385-4ec9-87bf-0b7b28d0be89</errorID>
      <errorWord>规定来</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6AA06918</paraID>
      <start>37</start>
      <end>40</end>
      <status>unmodified</status>
      <modifiedWord/>
      <trackRevisions>false</trackRevisions>
    </reviewItem>
    <reviewItem>
      <errorID>c0d96a44-d946-482a-8829-30ec5e501e46</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44F577BF</paraID>
      <start>157</start>
      <end>158</end>
      <status>unmodified</status>
      <modifiedWord/>
      <trackRevisions>false</trackRevisions>
    </reviewItem>
    <reviewItem>
      <errorID>a43c73e5-43d2-42cd-9ffa-9a109e0f5fcb</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44F577BF</paraID>
      <start>169</start>
      <end>170</end>
      <status>unmodified</status>
      <modifiedWord/>
      <trackRevisions>false</trackRevisions>
    </reviewItem>
    <reviewItem>
      <errorID>f87c0ea6-9f5e-459c-9cae-1c1e3098690b</errorID>
      <errorWord>并要</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7583FC69</paraID>
      <start>32</start>
      <end>34</end>
      <status>unmodified</status>
      <modifiedWord/>
      <trackRevisions>false</trackRevisions>
    </reviewItem>
    <reviewItem>
      <errorID>28abfc35-8ed2-4adc-b7d8-9032c585e5db</errorID>
      <errorWord>扩大蔓延。</errorWord>
      <group>L1_Word</group>
      <groupName>字词问题</groupName>
      <ability>L2_Typo</ability>
      <abilityName>字词错误</abilityName>
      <candidateList>
        <item>扩散蔓延。</item>
      </candidateList>
      <explain/>
      <paraID>32E1F659</paraID>
      <start>148</start>
      <end>153</end>
      <status>unmodified</status>
      <modifiedWord/>
      <trackRevisions>false</trackRevisions>
    </reviewItem>
    <reviewItem>
      <errorID>489652fc-b0e2-49b3-b480-111f5d4c2eca</errorID>
      <errorWord>其它</errorWord>
      <group>L1_Word</group>
      <groupName>字词问题</groupName>
      <ability>L2_Alias</ability>
      <abilityName>也作/曾用词</abilityName>
      <candidateList>
        <item>其他</item>
      </candidateList>
      <explain>词汇[其它]为不规范表述或旧称，其规范书面表述为[其他]。</explain>
      <paraID>54F39E4F</paraID>
      <start>62</start>
      <end>64</end>
      <status>unmodified</status>
      <modifiedWord/>
      <trackRevisions>false</trackRevisions>
    </reviewItem>
    <reviewItem>
      <errorID>183034a9-741e-4f13-8178-a25c39abac5c</errorID>
      <errorWord>的的</errorWord>
      <group>L1_Word</group>
      <groupName>字词问题</groupName>
      <ability>L2_Typo</ability>
      <abilityName>字词错误</abilityName>
      <candidateList>
        <item>的</item>
      </candidateList>
      <explain>“的”常用于连接修饰语与名词性中心语，表示属性、所属或描述。</explain>
      <paraID>57D9A102</paraID>
      <start>57</start>
      <end>59</end>
      <status>unmodified</status>
      <modifiedWord/>
      <trackRevisions>false</trackRevisions>
    </reviewItem>
    <reviewItem>
      <errorID>0593d9d5-5d74-4131-a40e-874484d1431c</errorID>
      <errorWord>台帐</errorWord>
      <group>L1_Word</group>
      <groupName>字词问题</groupName>
      <ability>L2_Typo</ability>
      <abilityName>字词错误</abilityName>
      <candidateList>
        <item>台账</item>
      </candidateList>
      <explain/>
      <paraID>7149FE25</paraID>
      <start>7</start>
      <end>9</end>
      <status>unmodified</status>
      <modifiedWord/>
      <trackRevisions>false</trackRevisions>
    </reviewItem>
    <reviewItem>
      <errorID>92482678-c50b-4b21-9856-f85739a888a5</errorID>
      <errorWord>详实</errorWord>
      <group>L1_Word</group>
      <groupName>字词问题</groupName>
      <ability>L2_Typo</ability>
      <abilityName>字词错误</abilityName>
      <candidateList>
        <item>翔实</item>
      </candidateList>
      <explain/>
      <paraID> F6F1C02</paraID>
      <start>43</start>
      <end>45</end>
      <status>unmodified</status>
      <modifiedWord/>
      <trackRevisions>false</trackRevisions>
    </reviewItem>
    <reviewItem>
      <errorID>686be168-7632-4118-b30a-471b061c7943</errorID>
      <errorWord>：</errorWord>
      <group>L1_Format</group>
      <groupName>格式问题</groupName>
      <ability>L2_HalfPunc_CN</ability>
      <abilityName>全半角检查</abilityName>
      <candidateList>
        <item>:</item>
      </candidateList>
      <explain>文本全半角错误。</explain>
      <paraID>69975DD0</paraID>
      <start>70</start>
      <end>71</end>
      <status>unmodified</status>
      <modifiedWord/>
      <trackRevisions>false</trackRevisions>
    </reviewItem>
    <reviewItem>
      <errorID>42e919ec-6f6c-43b9-8861-0929e0aeedf2</errorID>
      <errorWord>00点</errorWord>
      <group>L1_Word</group>
      <groupName>字词问题</groupName>
      <ability>L2_Typo</ability>
      <abilityName>字词错误</abilityName>
      <candidateList>
        <item>00</item>
      </candidateList>
      <explain/>
      <paraID>69975DD0</paraID>
      <start>71</start>
      <end>74</end>
      <status>unmodified</status>
      <modifiedWord/>
      <trackRevisions>false</trackRevisions>
    </reviewItem>
    <reviewItem>
      <errorID>6a89df6f-9885-49b0-827e-d46ecb4afc25</errorID>
      <errorWord>-</errorWord>
      <group>L1_Format</group>
      <groupName>格式问题</groupName>
      <ability>L2_HalfPunc_CN</ability>
      <abilityName>全半角检查</abilityName>
      <candidateList>
        <item>－</item>
      </candidateList>
      <explain>文本全半角错误。</explain>
      <paraID>69975DD0</paraID>
      <start>89</start>
      <end>90</end>
      <status>unmodified</status>
      <modifiedWord/>
      <trackRevisions>false</trackRevisions>
    </reviewItem>
    <reviewItem>
      <errorID>14da3be0-e1dc-45e6-a301-a57be5d71d2e</errorID>
      <errorWord>：</errorWord>
      <group>L1_Format</group>
      <groupName>格式问题</groupName>
      <ability>L2_HalfPunc_CN</ability>
      <abilityName>全半角检查</abilityName>
      <candidateList>
        <item>:</item>
      </candidateList>
      <explain>文本全半角错误。</explain>
      <paraID>69975DD0</paraID>
      <start>116</start>
      <end>117</end>
      <status>unmodified</status>
      <modifiedWord/>
      <trackRevisions>false</trackRevisions>
    </reviewItem>
    <reviewItem>
      <errorID>3437368f-0526-46b4-8223-f4d0867257ab</errorID>
      <errorWord>噪音</errorWord>
      <group>L1_Word</group>
      <groupName>字词问题</groupName>
      <ability>L2_Alias</ability>
      <abilityName>也作/曾用词</abilityName>
      <candidateList>
        <item>噪声</item>
      </candidateList>
      <explain>词汇[噪音]为不规范表述或旧称，其规范书面表述为[噪声]。</explain>
      <paraID>69975DD0</paraID>
      <start>139</start>
      <end>141</end>
      <status>unmodified</status>
      <modifiedWord/>
      <trackRevisions>false</trackRevisions>
    </reviewItem>
    <reviewItem>
      <errorID>85cf0a41-284f-4c55-9e98-b195e3a1c99f</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3D583753</paraID>
      <start>36</start>
      <end>38</end>
      <status>unmodified</status>
      <modifiedWord/>
      <trackRevisions>false</trackRevisions>
    </reviewItem>
    <reviewItem>
      <errorID>4c75b145-9ac9-4a97-8389-a698f236dacb</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6CAB8B57</paraID>
      <start>137</start>
      <end>138</end>
      <status>unmodified</status>
      <modifiedWord/>
      <trackRevisions>false</trackRevisions>
    </reviewItem>
    <reviewItem>
      <errorID>e842c036-e18a-4d1d-bb51-934ea6bae708</errorID>
      <errorWord>(</errorWord>
      <group>L1_Format</group>
      <groupName>格式问题</groupName>
      <ability>L2_HalfPunc_CN</ability>
      <abilityName>全半角检查</abilityName>
      <candidateList>
        <item>（</item>
      </candidateList>
      <explain>文本全半角错误。</explain>
      <paraID>2C54D9E9</paraID>
      <start>51</start>
      <end>52</end>
      <status>unmodified</status>
      <modifiedWord/>
      <trackRevisions>false</trackRevisions>
    </reviewItem>
    <reviewItem>
      <errorID>0fab6625-3889-4d66-90b2-026b2ccd1e66</errorID>
      <errorWord>)</errorWord>
      <group>L1_Format</group>
      <groupName>格式问题</groupName>
      <ability>L2_HalfPunc_CN</ability>
      <abilityName>全半角检查</abilityName>
      <candidateList>
        <item>）</item>
      </candidateList>
      <explain>文本全半角错误。</explain>
      <paraID>2C54D9E9</paraID>
      <start>82</start>
      <end>83</end>
      <status>unmodified</status>
      <modifiedWord/>
      <trackRevisions>false</trackRevisions>
    </reviewItem>
    <reviewItem>
      <errorID>65ee2dcd-8c88-4a62-be7b-0f88f1d5dafb</errorID>
      <errorWord>制定</errorWord>
      <group>L1_Word</group>
      <groupName>字词问题</groupName>
      <ability>L2_Typo</ability>
      <abilityName>字词错误</abilityName>
      <candidateList>
        <item>制订</item>
      </candidateList>
      <explain/>
      <paraID>2C184761</paraID>
      <start>62</start>
      <end>64</end>
      <status>unmodified</status>
      <modifiedWord/>
      <trackRevisions>false</trackRevisions>
    </reviewItem>
    <reviewItem>
      <errorID>e98b394f-97bd-41e1-9f51-83fc49d77e3b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7BE34AD4</paraID>
      <start>11</start>
      <end>12</end>
      <status>unmodified</status>
      <modifiedWord/>
      <trackRevisions>false</trackRevisions>
    </reviewItem>
    <reviewItem>
      <errorID>7118cfea-07e4-4333-bd49-5cc0b7dbab38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2C4E7583</paraID>
      <start>21</start>
      <end>24</end>
      <status>unmodified</status>
      <modifiedWord/>
      <trackRevisions>false</trackRevisions>
    </reviewItem>
    <reviewItem>
      <errorID>1afcb54d-d64e-44f9-a8db-efbe7e874b13</errorID>
      <errorWord>金</errorWord>
      <group>L1_Word</group>
      <groupName>字词问题</groupName>
      <ability>L2_Typo</ability>
      <abilityName>字词错误</abilityName>
      <candidateList>
        <item>金中</item>
      </candidateList>
      <explain/>
      <paraID>4DB806BA</paraID>
      <start>113</start>
      <end>114</end>
      <status>unmodified</status>
      <modifiedWord/>
      <trackRevisions>false</trackRevisions>
    </reviewItem>
    <reviewItem>
      <errorID>c62a3cc0-aa19-4fc2-8870-4f67cf83632c</errorID>
      <errorWord>-</errorWord>
      <group>L1_Format</group>
      <groupName>格式问题</groupName>
      <ability>L2_HalfPunc_CN</ability>
      <abilityName>全半角检查</abilityName>
      <candidateList>
        <item>－</item>
      </candidateList>
      <explain>文本全半角错误。</explain>
      <paraID>4B55AC7F</paraID>
      <start>92</start>
      <end>93</end>
      <status>unmodified</status>
      <modifiedWord/>
      <trackRevisions>false</trackRevisions>
    </reviewItem>
    <reviewItem>
      <errorID>e8c590d6-ce38-4848-a34b-ae0806d16e57</errorID>
      <errorWord>-</errorWord>
      <group>L1_Format</group>
      <groupName>格式问题</groupName>
      <ability>L2_HalfPunc_CN</ability>
      <abilityName>全半角检查</abilityName>
      <candidateList>
        <item>－</item>
      </candidateList>
      <explain>文本全半角错误。</explain>
      <paraID>4B55AC7F</paraID>
      <start>142</start>
      <end>143</end>
      <status>unmodified</status>
      <modifiedWord/>
      <trackRevisions>false</trackRevisions>
    </reviewItem>
    <reviewItem>
      <errorID>32af4b71-e64d-4c4b-b46c-5a4b47928792</errorID>
      <errorWord>容</errorWord>
      <group>L1_Word</group>
      <groupName>字词问题</groupName>
      <ability>L2_Typo</ability>
      <abilityName>字词错误</abilityName>
      <candidateList>
        <item>容和</item>
      </candidateList>
      <explain/>
      <paraID>63A99A06</paraID>
      <start>10</start>
      <end>11</end>
      <status>unmodified</status>
      <modifiedWord/>
      <trackRevisions>false</trackRevisions>
    </reviewItem>
    <reviewItem>
      <errorID>71c6d132-9f90-4624-8b01-0badc807a097</errorID>
      <errorWord>作</errorWord>
      <group>L1_Word</group>
      <groupName>字词问题</groupName>
      <ability>L2_Typo</ability>
      <abilityName>字词错误</abilityName>
      <candidateList>
        <item>做</item>
      </candidateList>
      <explain>存在发音相同字词的误用。</explain>
      <paraID>63A99A06</paraID>
      <start>28</start>
      <end>29</end>
      <status>unmodified</status>
      <modifiedWord/>
      <trackRevisions>false</trackRevisions>
    </reviewItem>
    <reviewItem>
      <errorID>dfb5ed56-e835-4926-acd7-39c11ad97d6b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B695D48</paraID>
      <start>0</start>
      <end>2</end>
      <status>unmodified</status>
      <modifiedWord/>
      <trackRevisions>false</trackRevisions>
    </reviewItem>
    <reviewItem>
      <errorID>b97f3478-248e-4ec7-8444-bd989af7f448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7956EDC</paraID>
      <start>0</start>
      <end>2</end>
      <status>unmodified</status>
      <modifiedWord/>
      <trackRevisions>false</trackRevisions>
    </reviewItem>
    <reviewItem>
      <errorID>54d264f2-a830-427f-a1b6-dc76ba9aa5b8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49DC2DEF</paraID>
      <start>0</start>
      <end>2</end>
      <status>unmodified</status>
      <modifiedWord/>
      <trackRevisions>false</trackRevisions>
    </reviewItem>
    <reviewItem>
      <errorID>a6c52032-fb9c-4651-b910-dd10e5ba9b2a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4A1D113A</paraID>
      <start>0</start>
      <end>2</end>
      <status>unmodified</status>
      <modifiedWord/>
      <trackRevisions>false</trackRevisions>
    </reviewItem>
    <reviewItem>
      <errorID>e39840df-b411-403b-a171-36619f32fcc4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FCBA54D</paraID>
      <start>0</start>
      <end>2</end>
      <status>unmodified</status>
      <modifiedWord/>
      <trackRevisions>false</trackRevisions>
    </reviewItem>
    <reviewItem>
      <errorID>3f643440-7e06-491e-9173-236ca040a576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13044763</paraID>
      <start>0</start>
      <end>2</end>
      <status>unmodified</status>
      <modifiedWord/>
      <trackRevisions>false</trackRevisions>
    </reviewItem>
    <reviewItem>
      <errorID>ae6bd306-db0a-4962-943c-454c2688a11e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4B266371</paraID>
      <start>0</start>
      <end>2</end>
      <status>unmodified</status>
      <modifiedWord/>
      <trackRevisions>false</trackRevisions>
    </reviewItem>
    <reviewItem>
      <errorID>a748f9b7-12da-404c-8352-aa867db7036f</errorID>
      <errorWord>其它</errorWord>
      <group>L1_Word</group>
      <groupName>字词问题</groupName>
      <ability>L2_Alias</ability>
      <abilityName>也作/曾用词</abilityName>
      <candidateList>
        <item>其他</item>
      </candidateList>
      <explain>词汇[其它]为不规范表述或旧称，其规范书面表述为[其他]。</explain>
      <paraID>4B266371</paraID>
      <start>2</start>
      <end>4</end>
      <status>unmodified</status>
      <modifiedWord/>
      <trackRevisions>false</trackRevisions>
    </reviewItem>
    <reviewItem>
      <errorID>66481722-3700-4d83-81b4-c16e8efc545f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3930704B</paraID>
      <start>0</start>
      <end>2</end>
      <status>unmodified</status>
      <modifiedWord/>
      <trackRevisions>false</trackRevisions>
    </reviewItem>
    <reviewItem>
      <errorID>f328451a-b0bc-4ee5-9056-f75512f19448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3930704B</paraID>
      <start>6</start>
      <end>7</end>
      <status>unmodified</status>
      <modifiedWord/>
      <trackRevisions>false</trackRevisions>
    </reviewItem>
    <reviewItem>
      <errorID>1ada2c71-71f0-44e4-b12f-489f0a6ae303</errorID>
      <errorWord>"</errorWord>
      <group>L1_Format</group>
      <groupName>格式问题</groupName>
      <ability>L2_HalfPunc_CN</ability>
      <abilityName>全半角检查</abilityName>
      <candidateList>
        <item>”</item>
      </candidateList>
      <explain>文本全半角错误。</explain>
      <paraID>3930704B</paraID>
      <start>13</start>
      <end>14</end>
      <status>unmodified</status>
      <modifiedWord/>
      <trackRevisions>false</trackRevisions>
    </reviewItem>
    <reviewItem>
      <errorID>ba39f5f7-519b-48a9-bf24-4c8d68137fe6</errorID>
      <errorWord>,</errorWord>
      <group>L1_Format</group>
      <groupName>格式问题</groupName>
      <ability>L2_HalfPunc_CN</ability>
      <abilityName>全半角检查</abilityName>
      <candidateList>
        <item>，</item>
      </candidateList>
      <explain>文本全半角错误。</explain>
      <paraID>3930704B</paraID>
      <start>14</start>
      <end>15</end>
      <status>unmodified</status>
      <modifiedWord/>
      <trackRevisions>false</trackRevisions>
    </reviewItem>
    <reviewItem>
      <errorID>73db0fb4-6cd5-4b78-84e6-b970057775eb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603D5CB8</paraID>
      <start>0</start>
      <end>2</end>
      <status>unmodified</status>
      <modifiedWord/>
      <trackRevisions>false</trackRevisions>
    </reviewItem>
    <reviewItem>
      <errorID>510e0f98-e9c7-4c42-95c9-e46ab426a1a8</errorID>
      <errorWord>统一信用代码</errorWord>
      <group>L1_Word</group>
      <groupName>字词问题</groupName>
      <ability>L2_Typo</ability>
      <abilityName>字词错误</abilityName>
      <candidateList>
        <item>统一社会信用代码</item>
      </candidateList>
      <explain/>
      <paraID>2694CCF2</paraID>
      <start>4</start>
      <end>10</end>
      <status>unmodified</status>
      <modifiedWord/>
      <trackRevisions>false</trackRevisions>
    </reviewItem>
    <reviewItem>
      <errorID>1fd49312-34cf-4504-a933-4c9ba60fb3f2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4B8DD06F</paraID>
      <start>0</start>
      <end>2</end>
      <status>unmodified</status>
      <modifiedWord/>
      <trackRevisions>false</trackRevisions>
    </reviewItem>
    <reviewItem>
      <errorID>ae579dc9-a72a-4119-826a-a418a8b1cf66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1067DD4F</paraID>
      <start>0</start>
      <end>2</end>
      <status>unmodified</status>
      <modifiedWord/>
      <trackRevisions>false</trackRevisions>
    </reviewItem>
    <reviewItem>
      <errorID>66900493-347b-4435-b236-dd5209c43ed8</errorID>
      <errorWord>一</errorWord>
      <group>L1_Word</group>
      <groupName>字词问题</groupName>
      <ability>L2_Typo</ability>
      <abilityName>字词错误</abilityName>
      <candidateList>
        <item>一个</item>
      </candidateList>
      <explain/>
      <paraID>20B5D8B8</paraID>
      <start>13</start>
      <end>14</end>
      <status>unmodified</status>
      <modifiedWord/>
      <trackRevisions>false</trackRevisions>
    </reviewItem>
    <reviewItem>
      <errorID>eba97333-28cf-4c93-a2b4-1351826efb69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75DEE387</paraID>
      <start>0</start>
      <end>2</end>
      <status>unmodified</status>
      <modifiedWord/>
      <trackRevisions>false</trackRevisions>
    </reviewItem>
    <reviewItem>
      <errorID>131705bb-b10f-4d3c-9696-7e15c60c4879</errorID>
      <errorWord>人</errorWord>
      <group>L1_Word</group>
      <groupName>字词问题</groupName>
      <ability>L2_Typo</ability>
      <abilityName>字词错误</abilityName>
      <candidateList>
        <item>人在</item>
      </candidateList>
      <explain/>
      <paraID>75DEE387</paraID>
      <start>12</start>
      <end>13</end>
      <status>unmodified</status>
      <modifiedWord/>
      <trackRevisions>false</trackRevisions>
    </reviewItem>
    <reviewItem>
      <errorID>2e98ef63-1943-4646-a10a-9e5544b3ae18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471615E4</paraID>
      <start>0</start>
      <end>2</end>
      <status>unmodified</status>
      <modifiedWord/>
      <trackRevisions>false</trackRevisions>
    </reviewItem>
    <reviewItem>
      <errorID>9a48146a-20f4-401f-a6e4-23cb5cd363c2</errorID>
      <errorWord>一</errorWord>
      <group>L1_Word</group>
      <groupName>字词问题</groupName>
      <ability>L2_Typo</ability>
      <abilityName>字词错误</abilityName>
      <candidateList>
        <item>一个</item>
      </candidateList>
      <explain/>
      <paraID>7195D285</paraID>
      <start>16</start>
      <end>17</end>
      <status>unmodified</status>
      <modifiedWord/>
      <trackRevisions>false</trackRevisions>
    </reviewItem>
    <reviewItem>
      <errorID>1e6c2ef6-53a8-4950-87a4-cafae7da16bf</errorID>
      <errorWord>一</errorWord>
      <group>L1_Word</group>
      <groupName>字词问题</groupName>
      <ability>L2_Typo</ability>
      <abilityName>字词错误</abilityName>
      <candidateList>
        <item>一个</item>
      </candidateList>
      <explain/>
      <paraID>664E78D9</paraID>
      <start>16</start>
      <end>17</end>
      <status>unmodified</status>
      <modifiedWord/>
      <trackRevisions>false</trackRevisions>
    </reviewItem>
    <reviewItem>
      <errorID>7ee9d43f-7d8b-482b-bc6c-9d5b49072803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7E9DE1E2</paraID>
      <start>0</start>
      <end>2</end>
      <status>unmodified</status>
      <modifiedWord/>
      <trackRevisions>false</trackRevisions>
    </reviewItem>
    <reviewItem>
      <errorID>bb12bd4b-0b7f-484d-8a8d-47b9fcb18611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5D026ECF</paraID>
      <start>0</start>
      <end>2</end>
      <status>unmodified</status>
      <modifiedWord/>
      <trackRevisions>false</trackRevisions>
    </reviewItem>
    <reviewItem>
      <errorID>62f2983f-8013-4814-a492-6171b884fca0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4F565EF9</paraID>
      <start>0</start>
      <end>3</end>
      <status>unmodified</status>
      <modifiedWord/>
      <trackRevisions>false</trackRevisions>
    </reviewItem>
    <reviewItem>
      <errorID>05d64d74-67db-4432-9627-b00b865858dc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10777D20</paraID>
      <start>0</start>
      <end>3</end>
      <status>unmodified</status>
      <modifiedWord/>
      <trackRevisions>false</trackRevisions>
    </reviewItem>
    <reviewItem>
      <errorID>469969ce-164c-48b7-b728-a18f54643329</errorID>
      <errorWord>其它</errorWord>
      <group>L1_Word</group>
      <groupName>字词问题</groupName>
      <ability>L2_Alias</ability>
      <abilityName>也作/曾用词</abilityName>
      <candidateList>
        <item>其他</item>
      </candidateList>
      <explain>词汇[其它]为不规范表述或旧称，其规范书面表述为[其他]。</explain>
      <paraID> D4D0FBC</paraID>
      <start>4</start>
      <end>6</end>
      <status>unmodified</status>
      <modifiedWord/>
      <trackRevisions>false</trackRevisions>
    </reviewItem>
    <reviewItem>
      <errorID>d8d6d808-7eb4-4cd4-b83b-98109ca8fd4d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377FFB99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299BC73-00A3-49C2-83EF-AFA6152C6F7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朱琳</cp:lastModifiedBy>
  <cp:revision>3</cp:revision>
  <dcterms:created xsi:type="dcterms:W3CDTF">2023-08-14T08:31:00Z</dcterms:created>
  <dcterms:modified xsi:type="dcterms:W3CDTF">2026-06-22T09:53:38Z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FAE4842036104BA6BA496E277B56C275_13</vt:lpwstr>
  </property>
  <property fmtid="{D5CDD505-2E9C-101B-9397-08002B2CF9AE}" pid="4" name="KSOTemplateDocerSaveRecord">
    <vt:lpwstr>eyJoZGlkIjoiMDVjZmZiOGMxYmVlNjY4MjAyZjhmMTgzOTljY2E2NjMiLCJ1c2VySWQiOiI0OTM3MDY3NjEifQ==</vt:lpwstr>
  </property>
</Properties>
</file>