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1"/>
        <w:ind w:firstLine="160"/>
        <w:spacing w:line="360" w:lineRule="auto"/>
        <w:rPr>
          <w:rFonts w:ascii="CESI黑体-GB2312" w:hAnsi="CESI黑体-GB2312" w:eastAsia="CESI黑体-GB2312" w:cs="CESI黑体-GB2312"/>
          <w:sz w:val="32"/>
          <w:szCs w:val="32"/>
          <w:highlight w:val="none"/>
        </w:rPr>
      </w:pPr>
      <w:r>
        <w:rPr>
          <w:rFonts w:ascii="CESI黑体-GB2312" w:hAnsi="CESI黑体-GB2312" w:eastAsia="CESI黑体-GB2312" w:cs="CESI黑体-GB2312"/>
          <w:sz w:val="32"/>
          <w:szCs w:val="32"/>
          <w:highlight w:val="none"/>
        </w:rPr>
      </w:r>
      <w:r/>
    </w:p>
    <w:p>
      <w:pPr>
        <w:pStyle w:val="1101"/>
        <w:ind w:firstLine="300"/>
        <w:spacing w:line="360" w:lineRule="auto"/>
        <w:rPr>
          <w:sz w:val="60"/>
          <w:szCs w:val="60"/>
          <w:highlight w:val="none"/>
        </w:rPr>
      </w:pPr>
      <w:r>
        <w:rPr>
          <w:sz w:val="60"/>
          <w:szCs w:val="60"/>
          <w:highlight w:val="none"/>
        </w:rPr>
      </w:r>
      <w:r/>
    </w:p>
    <w:p>
      <w:pPr>
        <w:pStyle w:val="1101"/>
        <w:jc w:val="center"/>
        <w:spacing w:line="360" w:lineRule="auto"/>
        <w:rPr>
          <w:b/>
          <w:bCs/>
          <w:sz w:val="60"/>
          <w:szCs w:val="60"/>
          <w:highlight w:val="none"/>
        </w:rPr>
      </w:pPr>
      <w:r>
        <w:rPr>
          <w:b/>
          <w:bCs/>
          <w:sz w:val="60"/>
          <w:szCs w:val="60"/>
          <w:highlight w:val="none"/>
        </w:rPr>
        <w:t xml:space="preserve">常州市政府采购项目</w:t>
      </w:r>
      <w:r>
        <w:rPr>
          <w:b/>
          <w:bCs/>
          <w:sz w:val="60"/>
          <w:szCs w:val="60"/>
          <w:highlight w:val="none"/>
        </w:rPr>
      </w:r>
      <w:r/>
    </w:p>
    <w:p>
      <w:pPr>
        <w:pStyle w:val="1101"/>
        <w:jc w:val="center"/>
        <w:spacing w:line="360" w:lineRule="auto"/>
        <w:rPr>
          <w:b/>
          <w:bCs/>
          <w:sz w:val="60"/>
          <w:szCs w:val="60"/>
          <w:highlight w:val="none"/>
        </w:rPr>
      </w:pPr>
      <w:r>
        <w:rPr>
          <w:rFonts w:hint="eastAsia"/>
          <w:b/>
          <w:bCs/>
          <w:sz w:val="60"/>
          <w:szCs w:val="60"/>
          <w:highlight w:val="none"/>
        </w:rPr>
        <w:t xml:space="preserve">公开</w:t>
      </w:r>
      <w:r>
        <w:rPr>
          <w:b/>
          <w:bCs/>
          <w:sz w:val="60"/>
          <w:szCs w:val="60"/>
          <w:highlight w:val="none"/>
        </w:rPr>
        <w:t xml:space="preserve">招标文件</w:t>
      </w:r>
      <w:r>
        <w:rPr>
          <w:b/>
          <w:bCs/>
          <w:sz w:val="60"/>
          <w:szCs w:val="60"/>
          <w:highlight w:val="none"/>
        </w:rPr>
      </w:r>
      <w:r/>
    </w:p>
    <w:p>
      <w:pPr>
        <w:pStyle w:val="1101"/>
        <w:jc w:val="center"/>
        <w:rPr>
          <w:b/>
          <w:bCs/>
          <w:sz w:val="60"/>
          <w:szCs w:val="60"/>
          <w:highlight w:val="none"/>
        </w:rPr>
      </w:pPr>
      <w:r>
        <w:rPr>
          <w:b/>
          <w:bCs/>
          <w:sz w:val="60"/>
          <w:szCs w:val="60"/>
          <w:highlight w:val="none"/>
        </w:rPr>
      </w:r>
      <w:r/>
    </w:p>
    <w:p>
      <w:pPr>
        <w:pStyle w:val="1101"/>
        <w:jc w:val="center"/>
        <w:spacing w:line="360" w:lineRule="auto"/>
        <w:rPr>
          <w:sz w:val="60"/>
          <w:szCs w:val="60"/>
          <w:highlight w:val="none"/>
        </w:rPr>
      </w:pPr>
      <w:r>
        <w:rPr>
          <w:sz w:val="60"/>
          <w:szCs w:val="60"/>
          <w:highlight w:val="none"/>
        </w:rPr>
      </w:r>
      <w:r/>
    </w:p>
    <w:p>
      <w:pPr>
        <w:pStyle w:val="1101"/>
        <w:ind w:left="2159" w:hanging="1800"/>
        <w:jc w:val="left"/>
        <w:spacing w:line="360" w:lineRule="auto"/>
        <w:tabs>
          <w:tab w:val="left" w:pos="3240" w:leader="none"/>
          <w:tab w:val="left" w:pos="3420" w:leader="none"/>
        </w:tabs>
        <w:rPr>
          <w:rFonts w:hint="eastAsia" w:ascii="宋体" w:hAnsi="宋体" w:cs="宋体"/>
          <w:bCs/>
          <w:sz w:val="36"/>
          <w:szCs w:val="36"/>
          <w:highlight w:val="none"/>
        </w:rPr>
      </w:pPr>
      <w:r>
        <w:rPr>
          <w:bCs/>
          <w:sz w:val="36"/>
          <w:szCs w:val="36"/>
          <w:highlight w:val="none"/>
        </w:rPr>
        <w:t xml:space="preserve">项目名称：</w:t>
      </w:r>
      <w:r>
        <w:rPr>
          <w:rFonts w:hint="eastAsia"/>
          <w:bCs/>
          <w:sz w:val="36"/>
          <w:szCs w:val="36"/>
          <w:highlight w:val="none"/>
        </w:rPr>
        <w:t xml:space="preserve">江苏省常州技师学院机电设备智能技术应用实训室教学设施设备</w:t>
      </w:r>
      <w:r>
        <w:rPr>
          <w:rFonts w:hint="eastAsia" w:ascii="宋体" w:hAnsi="宋体" w:cs="宋体"/>
          <w:bCs/>
          <w:sz w:val="36"/>
          <w:szCs w:val="36"/>
          <w:highlight w:val="none"/>
        </w:rPr>
      </w:r>
      <w:r/>
    </w:p>
    <w:p>
      <w:pPr>
        <w:pStyle w:val="1101"/>
        <w:ind w:firstLine="360"/>
        <w:jc w:val="left"/>
        <w:spacing w:line="360" w:lineRule="auto"/>
        <w:tabs>
          <w:tab w:val="left" w:pos="3240" w:leader="none"/>
          <w:tab w:val="left" w:pos="3420" w:leader="none"/>
        </w:tabs>
        <w:rPr>
          <w:rFonts w:ascii="宋体" w:hAnsi="宋体" w:cs="宋体"/>
          <w:bCs/>
          <w:sz w:val="36"/>
          <w:szCs w:val="36"/>
          <w:highlight w:val="none"/>
        </w:rPr>
      </w:pPr>
      <w:r>
        <w:rPr>
          <w:rFonts w:hint="eastAsia" w:ascii="宋体" w:hAnsi="宋体" w:cs="宋体"/>
          <w:bCs/>
          <w:sz w:val="36"/>
          <w:szCs w:val="36"/>
          <w:highlight w:val="none"/>
        </w:rPr>
        <w:t xml:space="preserve">项目编号：JSZC-320400-CZRB-G2026-0016</w:t>
      </w:r>
      <w:r>
        <w:rPr>
          <w:rFonts w:ascii="宋体" w:hAnsi="宋体" w:cs="宋体"/>
          <w:bCs/>
          <w:sz w:val="36"/>
          <w:szCs w:val="36"/>
          <w:highlight w:val="none"/>
        </w:rPr>
      </w:r>
      <w:r/>
    </w:p>
    <w:p>
      <w:pPr>
        <w:pStyle w:val="1101"/>
        <w:ind w:firstLine="360"/>
        <w:jc w:val="left"/>
        <w:spacing w:line="360" w:lineRule="auto"/>
        <w:tabs>
          <w:tab w:val="left" w:pos="3240" w:leader="none"/>
          <w:tab w:val="left" w:pos="3420" w:leader="none"/>
        </w:tabs>
        <w:rPr>
          <w:rFonts w:hint="eastAsia"/>
          <w:bCs/>
          <w:sz w:val="36"/>
          <w:szCs w:val="36"/>
          <w:highlight w:val="none"/>
        </w:rPr>
      </w:pPr>
      <w:r>
        <w:rPr>
          <w:rFonts w:hint="eastAsia" w:ascii="宋体" w:hAnsi="宋体" w:cs="宋体"/>
          <w:bCs/>
          <w:sz w:val="36"/>
          <w:szCs w:val="36"/>
          <w:highlight w:val="none"/>
        </w:rPr>
        <w:t xml:space="preserve">采 购 人：江苏省常州技师学院</w:t>
      </w:r>
      <w:r>
        <w:rPr>
          <w:rFonts w:hint="eastAsia"/>
          <w:bCs/>
          <w:sz w:val="36"/>
          <w:szCs w:val="36"/>
          <w:highlight w:val="none"/>
        </w:rPr>
      </w:r>
      <w:r/>
    </w:p>
    <w:p>
      <w:pPr>
        <w:pStyle w:val="1101"/>
        <w:ind w:firstLine="360"/>
        <w:jc w:val="left"/>
        <w:spacing w:line="360" w:lineRule="auto"/>
        <w:tabs>
          <w:tab w:val="left" w:pos="3240" w:leader="none"/>
          <w:tab w:val="left" w:pos="3420" w:leader="none"/>
        </w:tabs>
        <w:rPr>
          <w:rFonts w:hint="eastAsia" w:eastAsia="宋体"/>
          <w:bCs/>
          <w:sz w:val="36"/>
          <w:szCs w:val="36"/>
          <w:highlight w:val="none"/>
          <w:lang w:eastAsia="zh-CN"/>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lang w:eastAsia="zh-CN"/>
        </w:rPr>
        <w:t xml:space="preserve">常州润邦招标代理有限公司</w:t>
      </w:r>
      <w:r>
        <w:rPr>
          <w:rFonts w:hint="eastAsia" w:eastAsia="宋体"/>
          <w:bCs/>
          <w:sz w:val="36"/>
          <w:szCs w:val="36"/>
          <w:highlight w:val="none"/>
          <w:lang w:eastAsia="zh-CN"/>
        </w:rPr>
      </w:r>
      <w:r/>
    </w:p>
    <w:p>
      <w:pPr>
        <w:pStyle w:val="1101"/>
        <w:ind w:firstLine="1446"/>
        <w:jc w:val="center"/>
        <w:spacing w:line="500" w:lineRule="exact"/>
        <w:rPr>
          <w:b/>
          <w:sz w:val="72"/>
          <w:highlight w:val="none"/>
        </w:rPr>
        <w:sectPr>
          <w:headerReference w:type="default" r:id="rId9"/>
          <w:headerReference w:type="even" r:id="rId10"/>
          <w:headerReference w:type="first" r:id="rId11"/>
          <w:footerReference w:type="default" r:id="rId14"/>
          <w:footerReference w:type="even" r:id="rId15"/>
          <w:footerReference w:type="first" r:id="rId16"/>
          <w:footnotePr/>
          <w:endnotePr/>
          <w:type w:val="nextColumn"/>
          <w:pgSz w:w="11907" w:h="16840" w:orient="portrait"/>
          <w:pgMar w:top="1440" w:right="1417" w:bottom="1440" w:left="1417" w:header="851" w:footer="850" w:gutter="0"/>
          <w:pgNumType w:start="1"/>
          <w:cols w:num="1" w:sep="0" w:space="1701" w:equalWidth="1"/>
          <w:docGrid w:linePitch="360"/>
          <w:titlePg/>
        </w:sectPr>
      </w:pPr>
      <w:r>
        <w:rPr>
          <w:b/>
          <w:sz w:val="72"/>
          <w:highlight w:val="none"/>
        </w:rPr>
        <w:br w:type="page" w:clear="all"/>
      </w:r>
      <w:r/>
    </w:p>
    <w:p>
      <w:pPr>
        <w:pStyle w:val="1101"/>
        <w:jc w:val="center"/>
        <w:spacing w:line="360" w:lineRule="auto"/>
        <w:rPr>
          <w:b/>
          <w:sz w:val="44"/>
          <w:szCs w:val="44"/>
          <w:highlight w:val="none"/>
        </w:rPr>
        <w:outlineLvl w:val="0"/>
      </w:pPr>
      <w:r/>
      <w:bookmarkStart w:id="0" w:name="_Toc17344"/>
      <w:r/>
      <w:bookmarkStart w:id="1" w:name="_Toc99301418"/>
      <w:r>
        <w:rPr>
          <w:b/>
          <w:sz w:val="44"/>
          <w:szCs w:val="44"/>
          <w:highlight w:val="none"/>
        </w:rPr>
        <w:t xml:space="preserve">目  录</w:t>
      </w:r>
      <w:bookmarkEnd w:id="0"/>
      <w:r/>
      <w:bookmarkEnd w:id="1"/>
      <w:r>
        <w:rPr>
          <w:b/>
          <w:sz w:val="44"/>
          <w:szCs w:val="44"/>
          <w:highlight w:val="none"/>
        </w:rPr>
      </w:r>
      <w:r/>
    </w:p>
    <w:p>
      <w:pPr>
        <w:pStyle w:val="1155"/>
        <w:spacing w:line="360" w:lineRule="auto"/>
        <w:tabs>
          <w:tab w:val="right" w:pos="8307" w:leader="dot"/>
        </w:tabs>
        <w:rPr>
          <w:sz w:val="32"/>
          <w:szCs w:val="32"/>
          <w:highlight w:val="none"/>
        </w:rPr>
      </w:pPr>
      <w:r>
        <w:rPr>
          <w:rFonts w:hint="eastAsia" w:cs="宋体"/>
          <w:b w:val="0"/>
          <w:sz w:val="32"/>
          <w:szCs w:val="32"/>
          <w:highlight w:val="none"/>
        </w:rPr>
        <w:fldChar w:fldCharType="begin"/>
      </w:r>
      <w:r>
        <w:rPr>
          <w:rFonts w:hint="eastAsia" w:cs="宋体"/>
          <w:b w:val="0"/>
          <w:sz w:val="32"/>
          <w:szCs w:val="32"/>
          <w:highlight w:val="none"/>
        </w:rPr>
        <w:instrText xml:space="preserve"> TOC \o "1-1" \h \z \u </w:instrText>
      </w:r>
      <w:r>
        <w:rPr>
          <w:rFonts w:hint="eastAsia" w:cs="宋体"/>
          <w:b w:val="0"/>
          <w:sz w:val="32"/>
          <w:szCs w:val="32"/>
          <w:highlight w:val="none"/>
        </w:rPr>
        <w:fldChar w:fldCharType="separate"/>
      </w:r>
      <w:r>
        <w:rPr>
          <w:highlight w:val="none"/>
        </w:rPr>
        <w:fldChar w:fldCharType="begin"/>
      </w:r>
      <w:r>
        <w:rPr>
          <w:highlight w:val="none"/>
        </w:rPr>
        <w:instrText xml:space="preserve"> HYPERLINK \l "_Toc10285" </w:instrText>
      </w:r>
      <w:r>
        <w:rPr>
          <w:highlight w:val="none"/>
        </w:rPr>
        <w:fldChar w:fldCharType="separate"/>
      </w:r>
      <w:r>
        <w:rPr>
          <w:sz w:val="32"/>
          <w:szCs w:val="32"/>
          <w:highlight w:val="none"/>
        </w:rPr>
        <w:t xml:space="preserve">第一章   投标邀请</w:t>
      </w:r>
      <w:r>
        <w:rPr>
          <w:sz w:val="32"/>
          <w:szCs w:val="32"/>
          <w:highlight w:val="none"/>
        </w:rPr>
        <w:tab/>
      </w:r>
      <w:r>
        <w:rPr>
          <w:sz w:val="32"/>
          <w:szCs w:val="32"/>
          <w:highlight w:val="none"/>
        </w:rPr>
        <w:fldChar w:fldCharType="begin"/>
      </w:r>
      <w:r>
        <w:rPr>
          <w:sz w:val="32"/>
          <w:szCs w:val="32"/>
          <w:highlight w:val="none"/>
        </w:rPr>
        <w:instrText xml:space="preserve"> PAGEREF _Toc10285 \h </w:instrText>
      </w:r>
      <w:r>
        <w:rPr>
          <w:sz w:val="32"/>
          <w:szCs w:val="32"/>
          <w:highlight w:val="none"/>
        </w:rPr>
        <w:fldChar w:fldCharType="separate"/>
      </w:r>
      <w:r>
        <w:rPr>
          <w:sz w:val="32"/>
          <w:szCs w:val="32"/>
          <w:highlight w:val="none"/>
        </w:rPr>
        <w:t xml:space="preserve">2</w:t>
      </w:r>
      <w:r>
        <w:rPr>
          <w:sz w:val="32"/>
          <w:szCs w:val="32"/>
          <w:highlight w:val="none"/>
        </w:rPr>
        <w:fldChar w:fldCharType="end"/>
      </w:r>
      <w:r>
        <w:rPr>
          <w:sz w:val="32"/>
          <w:szCs w:val="32"/>
          <w:highlight w:val="none"/>
        </w:rPr>
        <w:fldChar w:fldCharType="end"/>
      </w:r>
      <w:r>
        <w:rPr>
          <w:sz w:val="32"/>
          <w:szCs w:val="32"/>
          <w:highlight w:val="none"/>
        </w:rPr>
      </w:r>
      <w:r/>
    </w:p>
    <w:p>
      <w:pPr>
        <w:pStyle w:val="1155"/>
        <w:spacing w:line="360" w:lineRule="auto"/>
        <w:tabs>
          <w:tab w:val="right" w:pos="8307" w:leader="dot"/>
        </w:tabs>
        <w:rPr>
          <w:sz w:val="32"/>
          <w:szCs w:val="32"/>
          <w:highlight w:val="none"/>
        </w:rPr>
      </w:pPr>
      <w:r>
        <w:rPr>
          <w:highlight w:val="none"/>
        </w:rPr>
        <w:fldChar w:fldCharType="begin"/>
      </w:r>
      <w:r>
        <w:rPr>
          <w:highlight w:val="none"/>
        </w:rPr>
        <w:instrText xml:space="preserve"> HYPERLINK \l "_Toc8972" </w:instrText>
      </w:r>
      <w:r>
        <w:rPr>
          <w:highlight w:val="none"/>
        </w:rPr>
        <w:fldChar w:fldCharType="separate"/>
      </w:r>
      <w:r>
        <w:rPr>
          <w:sz w:val="32"/>
          <w:szCs w:val="32"/>
          <w:highlight w:val="none"/>
        </w:rPr>
        <w:t xml:space="preserve">第二章   投标人须知</w:t>
      </w:r>
      <w:r>
        <w:rPr>
          <w:sz w:val="32"/>
          <w:szCs w:val="32"/>
          <w:highlight w:val="none"/>
        </w:rPr>
        <w:tab/>
      </w:r>
      <w:r>
        <w:rPr>
          <w:sz w:val="32"/>
          <w:szCs w:val="32"/>
          <w:highlight w:val="none"/>
        </w:rPr>
        <w:fldChar w:fldCharType="begin"/>
      </w:r>
      <w:r>
        <w:rPr>
          <w:sz w:val="32"/>
          <w:szCs w:val="32"/>
          <w:highlight w:val="none"/>
        </w:rPr>
        <w:instrText xml:space="preserve"> PAGEREF _Toc8972 \h </w:instrText>
      </w:r>
      <w:r>
        <w:rPr>
          <w:sz w:val="32"/>
          <w:szCs w:val="32"/>
          <w:highlight w:val="none"/>
        </w:rPr>
        <w:fldChar w:fldCharType="separate"/>
      </w:r>
      <w:r>
        <w:rPr>
          <w:sz w:val="32"/>
          <w:szCs w:val="32"/>
          <w:highlight w:val="none"/>
        </w:rPr>
        <w:t xml:space="preserve">5</w:t>
      </w:r>
      <w:r>
        <w:rPr>
          <w:sz w:val="32"/>
          <w:szCs w:val="32"/>
          <w:highlight w:val="none"/>
        </w:rPr>
        <w:fldChar w:fldCharType="end"/>
      </w:r>
      <w:r>
        <w:rPr>
          <w:sz w:val="32"/>
          <w:szCs w:val="32"/>
          <w:highlight w:val="none"/>
        </w:rPr>
        <w:fldChar w:fldCharType="end"/>
      </w:r>
      <w:r>
        <w:rPr>
          <w:sz w:val="32"/>
          <w:szCs w:val="32"/>
          <w:highlight w:val="none"/>
        </w:rPr>
      </w:r>
      <w:r/>
    </w:p>
    <w:p>
      <w:pPr>
        <w:pStyle w:val="1155"/>
        <w:spacing w:line="360" w:lineRule="auto"/>
        <w:tabs>
          <w:tab w:val="right" w:pos="8307" w:leader="dot"/>
        </w:tabs>
        <w:rPr>
          <w:sz w:val="32"/>
          <w:szCs w:val="32"/>
          <w:highlight w:val="none"/>
        </w:rPr>
      </w:pPr>
      <w:r>
        <w:rPr>
          <w:highlight w:val="none"/>
        </w:rPr>
        <w:fldChar w:fldCharType="begin"/>
      </w:r>
      <w:r>
        <w:rPr>
          <w:highlight w:val="none"/>
        </w:rPr>
        <w:instrText xml:space="preserve"> HYPERLINK \l "_Toc2283" </w:instrText>
      </w:r>
      <w:r>
        <w:rPr>
          <w:highlight w:val="none"/>
        </w:rPr>
        <w:fldChar w:fldCharType="separate"/>
      </w:r>
      <w:r>
        <w:rPr>
          <w:sz w:val="32"/>
          <w:szCs w:val="32"/>
          <w:highlight w:val="none"/>
        </w:rPr>
        <w:t xml:space="preserve">第三章   资格审查</w:t>
      </w:r>
      <w:r>
        <w:rPr>
          <w:sz w:val="32"/>
          <w:szCs w:val="32"/>
          <w:highlight w:val="none"/>
        </w:rPr>
        <w:tab/>
      </w:r>
      <w:r>
        <w:rPr>
          <w:sz w:val="32"/>
          <w:szCs w:val="32"/>
          <w:highlight w:val="none"/>
        </w:rPr>
        <w:fldChar w:fldCharType="begin"/>
      </w:r>
      <w:r>
        <w:rPr>
          <w:sz w:val="32"/>
          <w:szCs w:val="32"/>
          <w:highlight w:val="none"/>
        </w:rPr>
        <w:instrText xml:space="preserve"> PAGEREF _Toc2283 \h </w:instrText>
      </w:r>
      <w:r>
        <w:rPr>
          <w:sz w:val="32"/>
          <w:szCs w:val="32"/>
          <w:highlight w:val="none"/>
        </w:rPr>
        <w:fldChar w:fldCharType="separate"/>
      </w:r>
      <w:r>
        <w:rPr>
          <w:sz w:val="32"/>
          <w:szCs w:val="32"/>
          <w:highlight w:val="none"/>
        </w:rPr>
        <w:t xml:space="preserve">17</w:t>
      </w:r>
      <w:r>
        <w:rPr>
          <w:sz w:val="32"/>
          <w:szCs w:val="32"/>
          <w:highlight w:val="none"/>
        </w:rPr>
        <w:fldChar w:fldCharType="end"/>
      </w:r>
      <w:r>
        <w:rPr>
          <w:sz w:val="32"/>
          <w:szCs w:val="32"/>
          <w:highlight w:val="none"/>
        </w:rPr>
        <w:fldChar w:fldCharType="end"/>
      </w:r>
      <w:r>
        <w:rPr>
          <w:sz w:val="32"/>
          <w:szCs w:val="32"/>
          <w:highlight w:val="none"/>
        </w:rPr>
      </w:r>
      <w:r/>
    </w:p>
    <w:p>
      <w:pPr>
        <w:pStyle w:val="1155"/>
        <w:spacing w:line="360" w:lineRule="auto"/>
        <w:tabs>
          <w:tab w:val="right" w:pos="8307" w:leader="dot"/>
        </w:tabs>
        <w:rPr>
          <w:sz w:val="32"/>
          <w:szCs w:val="32"/>
          <w:highlight w:val="none"/>
        </w:rPr>
      </w:pPr>
      <w:r>
        <w:rPr>
          <w:highlight w:val="none"/>
        </w:rPr>
        <w:fldChar w:fldCharType="begin"/>
      </w:r>
      <w:r>
        <w:rPr>
          <w:highlight w:val="none"/>
        </w:rPr>
        <w:instrText xml:space="preserve"> HYPERLINK \l "_Toc9995" </w:instrText>
      </w:r>
      <w:r>
        <w:rPr>
          <w:highlight w:val="none"/>
        </w:rPr>
        <w:fldChar w:fldCharType="separate"/>
      </w:r>
      <w:r>
        <w:rPr>
          <w:sz w:val="32"/>
          <w:szCs w:val="32"/>
          <w:highlight w:val="none"/>
        </w:rPr>
        <w:t xml:space="preserve">第四章   评标程序、评标方法和评标标准</w:t>
      </w:r>
      <w:r>
        <w:rPr>
          <w:sz w:val="32"/>
          <w:szCs w:val="32"/>
          <w:highlight w:val="none"/>
        </w:rPr>
        <w:tab/>
      </w:r>
      <w:r>
        <w:rPr>
          <w:sz w:val="32"/>
          <w:szCs w:val="32"/>
          <w:highlight w:val="none"/>
        </w:rPr>
        <w:fldChar w:fldCharType="begin"/>
      </w:r>
      <w:r>
        <w:rPr>
          <w:sz w:val="32"/>
          <w:szCs w:val="32"/>
          <w:highlight w:val="none"/>
        </w:rPr>
        <w:instrText xml:space="preserve"> PAGEREF _Toc9995 \h </w:instrText>
      </w:r>
      <w:r>
        <w:rPr>
          <w:sz w:val="32"/>
          <w:szCs w:val="32"/>
          <w:highlight w:val="none"/>
        </w:rPr>
        <w:fldChar w:fldCharType="separate"/>
      </w:r>
      <w:r>
        <w:rPr>
          <w:sz w:val="32"/>
          <w:szCs w:val="32"/>
          <w:highlight w:val="none"/>
        </w:rPr>
        <w:t xml:space="preserve">19</w:t>
      </w:r>
      <w:r>
        <w:rPr>
          <w:sz w:val="32"/>
          <w:szCs w:val="32"/>
          <w:highlight w:val="none"/>
        </w:rPr>
        <w:fldChar w:fldCharType="end"/>
      </w:r>
      <w:r>
        <w:rPr>
          <w:sz w:val="32"/>
          <w:szCs w:val="32"/>
          <w:highlight w:val="none"/>
        </w:rPr>
        <w:fldChar w:fldCharType="end"/>
      </w:r>
      <w:r>
        <w:rPr>
          <w:sz w:val="32"/>
          <w:szCs w:val="32"/>
          <w:highlight w:val="none"/>
        </w:rPr>
      </w:r>
      <w:r/>
    </w:p>
    <w:p>
      <w:pPr>
        <w:pStyle w:val="1155"/>
        <w:spacing w:line="360" w:lineRule="auto"/>
        <w:tabs>
          <w:tab w:val="right" w:pos="8307" w:leader="dot"/>
        </w:tabs>
        <w:rPr>
          <w:sz w:val="32"/>
          <w:szCs w:val="32"/>
          <w:highlight w:val="none"/>
        </w:rPr>
      </w:pPr>
      <w:r>
        <w:rPr>
          <w:highlight w:val="none"/>
        </w:rPr>
        <w:fldChar w:fldCharType="begin"/>
      </w:r>
      <w:r>
        <w:rPr>
          <w:highlight w:val="none"/>
        </w:rPr>
        <w:instrText xml:space="preserve"> HYPERLINK \l "_Toc9184" </w:instrText>
      </w:r>
      <w:r>
        <w:rPr>
          <w:highlight w:val="none"/>
        </w:rPr>
        <w:fldChar w:fldCharType="separate"/>
      </w:r>
      <w:r>
        <w:rPr>
          <w:sz w:val="32"/>
          <w:szCs w:val="32"/>
          <w:highlight w:val="none"/>
        </w:rPr>
        <w:t xml:space="preserve">第五章   采购需求</w:t>
      </w:r>
      <w:r>
        <w:rPr>
          <w:sz w:val="32"/>
          <w:szCs w:val="32"/>
          <w:highlight w:val="none"/>
        </w:rPr>
        <w:tab/>
      </w:r>
      <w:r>
        <w:rPr>
          <w:sz w:val="32"/>
          <w:szCs w:val="32"/>
          <w:highlight w:val="none"/>
        </w:rPr>
        <w:fldChar w:fldCharType="begin"/>
      </w:r>
      <w:r>
        <w:rPr>
          <w:sz w:val="32"/>
          <w:szCs w:val="32"/>
          <w:highlight w:val="none"/>
        </w:rPr>
        <w:instrText xml:space="preserve"> PAGEREF _Toc9184 \h </w:instrText>
      </w:r>
      <w:r>
        <w:rPr>
          <w:sz w:val="32"/>
          <w:szCs w:val="32"/>
          <w:highlight w:val="none"/>
        </w:rPr>
        <w:fldChar w:fldCharType="separate"/>
      </w:r>
      <w:r>
        <w:rPr>
          <w:sz w:val="32"/>
          <w:szCs w:val="32"/>
          <w:highlight w:val="none"/>
        </w:rPr>
        <w:t xml:space="preserve">29</w:t>
      </w:r>
      <w:r>
        <w:rPr>
          <w:sz w:val="32"/>
          <w:szCs w:val="32"/>
          <w:highlight w:val="none"/>
        </w:rPr>
        <w:fldChar w:fldCharType="end"/>
      </w:r>
      <w:r>
        <w:rPr>
          <w:sz w:val="32"/>
          <w:szCs w:val="32"/>
          <w:highlight w:val="none"/>
        </w:rPr>
        <w:fldChar w:fldCharType="end"/>
      </w:r>
      <w:r>
        <w:rPr>
          <w:sz w:val="32"/>
          <w:szCs w:val="32"/>
          <w:highlight w:val="none"/>
        </w:rPr>
      </w:r>
      <w:r/>
    </w:p>
    <w:p>
      <w:pPr>
        <w:pStyle w:val="1155"/>
        <w:spacing w:line="360" w:lineRule="auto"/>
        <w:tabs>
          <w:tab w:val="right" w:pos="8307" w:leader="dot"/>
        </w:tabs>
        <w:rPr>
          <w:sz w:val="32"/>
          <w:szCs w:val="32"/>
          <w:highlight w:val="none"/>
        </w:rPr>
      </w:pPr>
      <w:r>
        <w:rPr>
          <w:highlight w:val="none"/>
        </w:rPr>
        <w:fldChar w:fldCharType="begin"/>
      </w:r>
      <w:r>
        <w:rPr>
          <w:highlight w:val="none"/>
        </w:rPr>
        <w:instrText xml:space="preserve"> HYPERLINK \l "_Toc5239" </w:instrText>
      </w:r>
      <w:r>
        <w:rPr>
          <w:highlight w:val="none"/>
        </w:rPr>
        <w:fldChar w:fldCharType="separate"/>
      </w:r>
      <w:r>
        <w:rPr>
          <w:sz w:val="32"/>
          <w:szCs w:val="32"/>
          <w:highlight w:val="none"/>
        </w:rPr>
        <w:t xml:space="preserve">第六章   拟签订的合同文本</w:t>
      </w:r>
      <w:r>
        <w:rPr>
          <w:sz w:val="32"/>
          <w:szCs w:val="32"/>
          <w:highlight w:val="none"/>
        </w:rPr>
        <w:tab/>
      </w:r>
      <w:r>
        <w:rPr>
          <w:sz w:val="32"/>
          <w:szCs w:val="32"/>
          <w:highlight w:val="none"/>
        </w:rPr>
        <w:fldChar w:fldCharType="begin"/>
      </w:r>
      <w:r>
        <w:rPr>
          <w:sz w:val="32"/>
          <w:szCs w:val="32"/>
          <w:highlight w:val="none"/>
        </w:rPr>
        <w:instrText xml:space="preserve"> PAGEREF _Toc5239 \h </w:instrText>
      </w:r>
      <w:r>
        <w:rPr>
          <w:sz w:val="32"/>
          <w:szCs w:val="32"/>
          <w:highlight w:val="none"/>
        </w:rPr>
        <w:fldChar w:fldCharType="separate"/>
      </w:r>
      <w:r>
        <w:rPr>
          <w:sz w:val="32"/>
          <w:szCs w:val="32"/>
          <w:highlight w:val="none"/>
        </w:rPr>
        <w:t xml:space="preserve">31</w:t>
      </w:r>
      <w:r>
        <w:rPr>
          <w:sz w:val="32"/>
          <w:szCs w:val="32"/>
          <w:highlight w:val="none"/>
        </w:rPr>
        <w:fldChar w:fldCharType="end"/>
      </w:r>
      <w:r>
        <w:rPr>
          <w:sz w:val="32"/>
          <w:szCs w:val="32"/>
          <w:highlight w:val="none"/>
        </w:rPr>
        <w:fldChar w:fldCharType="end"/>
      </w:r>
      <w:r>
        <w:rPr>
          <w:sz w:val="32"/>
          <w:szCs w:val="32"/>
          <w:highlight w:val="none"/>
        </w:rPr>
      </w:r>
      <w:r/>
    </w:p>
    <w:p>
      <w:pPr>
        <w:pStyle w:val="1155"/>
        <w:spacing w:line="360" w:lineRule="auto"/>
        <w:tabs>
          <w:tab w:val="right" w:pos="8307" w:leader="dot"/>
        </w:tabs>
        <w:rPr>
          <w:sz w:val="32"/>
          <w:szCs w:val="32"/>
          <w:highlight w:val="none"/>
        </w:rPr>
      </w:pPr>
      <w:r>
        <w:rPr>
          <w:highlight w:val="none"/>
        </w:rPr>
        <w:fldChar w:fldCharType="begin"/>
      </w:r>
      <w:r>
        <w:rPr>
          <w:highlight w:val="none"/>
        </w:rPr>
        <w:instrText xml:space="preserve"> HYPERLINK \l "_Toc1889" </w:instrText>
      </w:r>
      <w:r>
        <w:rPr>
          <w:highlight w:val="none"/>
        </w:rPr>
        <w:fldChar w:fldCharType="separate"/>
      </w:r>
      <w:r>
        <w:rPr>
          <w:sz w:val="32"/>
          <w:szCs w:val="32"/>
          <w:highlight w:val="none"/>
        </w:rPr>
        <w:t xml:space="preserve">第七章   投标文件格式</w:t>
      </w:r>
      <w:r>
        <w:rPr>
          <w:sz w:val="32"/>
          <w:szCs w:val="32"/>
          <w:highlight w:val="none"/>
        </w:rPr>
        <w:tab/>
      </w:r>
      <w:r>
        <w:rPr>
          <w:sz w:val="32"/>
          <w:szCs w:val="32"/>
          <w:highlight w:val="none"/>
        </w:rPr>
        <w:fldChar w:fldCharType="begin"/>
      </w:r>
      <w:r>
        <w:rPr>
          <w:sz w:val="32"/>
          <w:szCs w:val="32"/>
          <w:highlight w:val="none"/>
        </w:rPr>
        <w:instrText xml:space="preserve"> PAGEREF _Toc1889 \h </w:instrText>
      </w:r>
      <w:r>
        <w:rPr>
          <w:sz w:val="32"/>
          <w:szCs w:val="32"/>
          <w:highlight w:val="none"/>
        </w:rPr>
        <w:fldChar w:fldCharType="separate"/>
      </w:r>
      <w:r>
        <w:rPr>
          <w:sz w:val="32"/>
          <w:szCs w:val="32"/>
          <w:highlight w:val="none"/>
        </w:rPr>
        <w:t xml:space="preserve">87</w:t>
      </w:r>
      <w:r>
        <w:rPr>
          <w:sz w:val="32"/>
          <w:szCs w:val="32"/>
          <w:highlight w:val="none"/>
        </w:rPr>
        <w:fldChar w:fldCharType="end"/>
      </w:r>
      <w:r>
        <w:rPr>
          <w:sz w:val="32"/>
          <w:szCs w:val="32"/>
          <w:highlight w:val="none"/>
        </w:rPr>
        <w:fldChar w:fldCharType="end"/>
      </w:r>
      <w:r>
        <w:rPr>
          <w:sz w:val="32"/>
          <w:szCs w:val="32"/>
          <w:highlight w:val="none"/>
        </w:rPr>
      </w:r>
      <w:r/>
    </w:p>
    <w:p>
      <w:pPr>
        <w:pStyle w:val="1155"/>
        <w:spacing w:line="360" w:lineRule="auto"/>
        <w:tabs>
          <w:tab w:val="left" w:pos="1050" w:leader="none"/>
          <w:tab w:val="right" w:pos="8937" w:leader="dot"/>
        </w:tabs>
        <w:rPr>
          <w:rFonts w:ascii="Times New Roman" w:hAnsi="Times New Roman"/>
          <w:b w:val="0"/>
          <w:highlight w:val="none"/>
        </w:rPr>
      </w:pPr>
      <w:r>
        <w:rPr>
          <w:rFonts w:hint="eastAsia" w:cs="宋体"/>
          <w:sz w:val="32"/>
          <w:szCs w:val="32"/>
          <w:highlight w:val="none"/>
        </w:rPr>
        <w:fldChar w:fldCharType="end"/>
      </w:r>
      <w:r>
        <w:rPr>
          <w:rFonts w:ascii="Times New Roman" w:hAnsi="Times New Roman"/>
          <w:b w:val="0"/>
          <w:highlight w:val="none"/>
        </w:rPr>
      </w:r>
      <w:r/>
    </w:p>
    <w:p>
      <w:pPr>
        <w:pStyle w:val="1101"/>
        <w:jc w:val="center"/>
        <w:spacing w:line="400" w:lineRule="exact"/>
        <w:rPr>
          <w:b/>
          <w:sz w:val="36"/>
          <w:szCs w:val="36"/>
          <w:highlight w:val="none"/>
        </w:rPr>
        <w:outlineLvl w:val="0"/>
      </w:pPr>
      <w:r>
        <w:rPr>
          <w:sz w:val="24"/>
          <w:highlight w:val="none"/>
        </w:rPr>
        <w:br w:type="page" w:clear="all"/>
      </w:r>
      <w:bookmarkStart w:id="2" w:name="_Toc10285"/>
      <w:r>
        <w:rPr>
          <w:b/>
          <w:sz w:val="36"/>
          <w:szCs w:val="36"/>
          <w:highlight w:val="none"/>
        </w:rPr>
        <w:t xml:space="preserve">第一章   投标邀请</w:t>
      </w:r>
      <w:bookmarkEnd w:id="2"/>
      <w:r>
        <w:rPr>
          <w:b/>
          <w:sz w:val="36"/>
          <w:szCs w:val="36"/>
          <w:highlight w:val="none"/>
        </w:rPr>
      </w:r>
      <w:r/>
    </w:p>
    <w:p>
      <w:pPr>
        <w:pStyle w:val="1101"/>
        <w:ind w:firstLine="482"/>
        <w:spacing w:line="400" w:lineRule="exact"/>
        <w:rPr>
          <w:rFonts w:ascii="宋体" w:hAnsi="宋体" w:cs="宋体"/>
          <w:b/>
          <w:bCs/>
          <w:sz w:val="24"/>
          <w:highlight w:val="none"/>
        </w:rPr>
      </w:pPr>
      <w:r/>
      <w:bookmarkStart w:id="3" w:name="_Toc35393790"/>
      <w:r/>
      <w:bookmarkStart w:id="4" w:name="_Toc28359002"/>
      <w:r/>
      <w:bookmarkStart w:id="5" w:name="_Toc28359079"/>
      <w:r/>
      <w:bookmarkStart w:id="6" w:name="_Toc35393621"/>
      <w:r/>
      <w:bookmarkStart w:id="7" w:name="_Hlk24379207"/>
      <w:r>
        <w:rPr>
          <w:rFonts w:hint="eastAsia" w:ascii="宋体" w:hAnsi="宋体" w:cs="宋体"/>
          <w:b/>
          <w:bCs/>
          <w:sz w:val="24"/>
          <w:highlight w:val="none"/>
        </w:rPr>
        <w:t xml:space="preserve">一、项目基本情况</w:t>
      </w:r>
      <w:bookmarkEnd w:id="3"/>
      <w:r/>
      <w:bookmarkEnd w:id="4"/>
      <w:r/>
      <w:bookmarkEnd w:id="5"/>
      <w:r/>
      <w:bookmarkEnd w:id="6"/>
      <w:r>
        <w:rPr>
          <w:rFonts w:ascii="宋体" w:hAnsi="宋体" w:cs="宋体"/>
          <w:b/>
          <w:bCs/>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1.项目编号/包号：JSZC-320400-CZRB-G2026-0016</w:t>
      </w:r>
      <w:r>
        <w:rPr>
          <w:rFonts w:ascii="宋体" w:hAnsi="宋体" w:cs="宋体"/>
          <w:sz w:val="24"/>
          <w:highlight w:val="none"/>
        </w:rPr>
      </w:r>
      <w:r/>
    </w:p>
    <w:p>
      <w:pPr>
        <w:pStyle w:val="1101"/>
        <w:ind w:firstLine="480"/>
        <w:spacing w:line="400" w:lineRule="exact"/>
        <w:rPr>
          <w:rFonts w:hint="eastAsia" w:ascii="宋体" w:hAnsi="宋体" w:cs="宋体"/>
          <w:sz w:val="24"/>
          <w:highlight w:val="none"/>
        </w:rPr>
      </w:pPr>
      <w:r>
        <w:rPr>
          <w:rFonts w:hint="eastAsia" w:ascii="宋体" w:hAnsi="宋体" w:cs="宋体"/>
          <w:sz w:val="24"/>
          <w:highlight w:val="none"/>
        </w:rPr>
        <w:t xml:space="preserve">2.项目名称：江苏省常州技师学院机电设备智能技术应用实训室教学设施设备</w:t>
      </w:r>
      <w:r>
        <w:rPr>
          <w:rFonts w:hint="eastAsia" w:ascii="宋体" w:hAnsi="宋体" w:cs="宋体"/>
          <w:sz w:val="24"/>
          <w:highlight w:val="none"/>
        </w:rPr>
      </w:r>
      <w:r/>
    </w:p>
    <w:p>
      <w:pPr>
        <w:pStyle w:val="1101"/>
        <w:ind w:firstLine="480"/>
        <w:spacing w:line="400" w:lineRule="exact"/>
        <w:rPr>
          <w:rFonts w:hint="eastAsia" w:ascii="宋体" w:hAnsi="宋体" w:cs="宋体"/>
          <w:sz w:val="24"/>
          <w:highlight w:val="none"/>
        </w:rPr>
      </w:pPr>
      <w:r/>
      <w:bookmarkEnd w:id="7"/>
      <w:r/>
      <w:bookmarkStart w:id="8" w:name="_Toc35393622"/>
      <w:r/>
      <w:bookmarkStart w:id="9" w:name="_Toc28359003"/>
      <w:r/>
      <w:bookmarkStart w:id="10" w:name="_Toc28359080"/>
      <w:r/>
      <w:bookmarkStart w:id="11" w:name="_Toc35393791"/>
      <w:r>
        <w:rPr>
          <w:rFonts w:hint="eastAsia" w:ascii="宋体" w:hAnsi="宋体" w:cs="宋体"/>
          <w:sz w:val="24"/>
          <w:highlight w:val="none"/>
        </w:rPr>
        <w:t xml:space="preserve">3.项目预算金额：人民币350万元；最高限价：人民币350万元</w:t>
      </w:r>
      <w:r>
        <w:rPr>
          <w:rFonts w:hint="eastAsia" w:ascii="宋体" w:hAnsi="宋体" w:cs="宋体"/>
          <w:sz w:val="24"/>
          <w:highlight w:val="none"/>
        </w:rPr>
      </w:r>
      <w:r/>
    </w:p>
    <w:p>
      <w:pPr>
        <w:pStyle w:val="1101"/>
        <w:ind w:firstLine="480"/>
        <w:spacing w:line="400" w:lineRule="exact"/>
        <w:rPr>
          <w:rFonts w:hint="eastAsia" w:ascii="仿宋" w:hAnsi="仿宋" w:cs="仿宋"/>
          <w:sz w:val="24"/>
          <w:highlight w:val="none"/>
        </w:rPr>
      </w:pPr>
      <w:r>
        <w:rPr>
          <w:rFonts w:hint="eastAsia" w:ascii="宋体" w:hAnsi="宋体" w:cs="宋体"/>
          <w:sz w:val="24"/>
          <w:highlight w:val="none"/>
        </w:rPr>
        <w:t xml:space="preserve">4.采购需求：为加强专业建设，进一步完善构建机电复合型高技能人才培养专业课程体系，扎实推进教学改革，契合行业与技术发展对人才培养质量的需求，拟建设机电设备智能技术应用实训室，主要设施设备包含机电一体化智能控制系统、数字智能运维控制平台、工业机器人系统运维训练平台等。</w:t>
      </w:r>
      <w:r>
        <w:rPr>
          <w:rFonts w:hint="eastAsia" w:ascii="仿宋" w:hAnsi="仿宋" w:cs="仿宋"/>
          <w:sz w:val="24"/>
          <w:highlight w:val="none"/>
        </w:rPr>
      </w:r>
      <w:r/>
    </w:p>
    <w:p>
      <w:pPr>
        <w:pStyle w:val="1101"/>
        <w:ind w:firstLine="480"/>
        <w:spacing w:line="400" w:lineRule="exact"/>
        <w:rPr>
          <w:rFonts w:hint="eastAsia" w:ascii="宋体" w:hAnsi="宋体" w:cs="宋体"/>
          <w:sz w:val="24"/>
          <w:highlight w:val="none"/>
        </w:rPr>
      </w:pPr>
      <w:r>
        <w:rPr>
          <w:rFonts w:hint="eastAsia" w:ascii="宋体" w:hAnsi="宋体" w:cs="宋体"/>
          <w:sz w:val="24"/>
          <w:highlight w:val="none"/>
        </w:rPr>
        <w:t xml:space="preserve">5.合同履行期限：合同签订后，接到采购人通知30天内完成供货、安装、调试并交付使用。</w:t>
      </w:r>
      <w:r>
        <w:rPr>
          <w:rFonts w:hint="eastAsia"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6.本项目是否接受联合体：否。</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7.本项目是否接受进口产品响应：否。</w:t>
      </w:r>
      <w:r>
        <w:rPr>
          <w:rFonts w:ascii="宋体" w:hAnsi="宋体" w:cs="宋体"/>
          <w:sz w:val="24"/>
          <w:highlight w:val="none"/>
        </w:rPr>
      </w:r>
      <w:r/>
    </w:p>
    <w:p>
      <w:pPr>
        <w:pStyle w:val="1101"/>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二、申请人的资格要求（须同时满足）</w:t>
      </w:r>
      <w:bookmarkEnd w:id="8"/>
      <w:r/>
      <w:bookmarkEnd w:id="9"/>
      <w:r/>
      <w:bookmarkEnd w:id="10"/>
      <w:r/>
      <w:bookmarkEnd w:id="11"/>
      <w:r>
        <w:rPr>
          <w:rFonts w:ascii="宋体" w:hAnsi="宋体" w:cs="宋体"/>
          <w:b/>
          <w:bCs/>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1.满足《中华人民共和国政府采购法》第二十二条规定以及下列情形：</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1.1未被“信用中国”网站（www.creditchina.gov.cn）或“中国政府采购网”网站（www.ccgp.gov.cn）列入失信被执行人、重大税收违法案件当事人名单、政府采购严重失信行为记录名单；</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sz w:val="24"/>
          <w:highlight w:val="none"/>
        </w:rPr>
      </w:r>
      <w:r/>
    </w:p>
    <w:p>
      <w:pPr>
        <w:pStyle w:val="1101"/>
        <w:ind w:firstLine="480"/>
        <w:spacing w:line="400" w:lineRule="exact"/>
        <w:rPr>
          <w:rFonts w:ascii="宋体" w:hAnsi="宋体" w:cs="宋体"/>
          <w:sz w:val="24"/>
          <w:highlight w:val="none"/>
        </w:rPr>
      </w:pPr>
      <w:r/>
      <w:bookmarkStart w:id="12" w:name="_Toc28359004"/>
      <w:r/>
      <w:bookmarkStart w:id="13" w:name="_Toc28359081"/>
      <w:r>
        <w:rPr>
          <w:rFonts w:hint="eastAsia" w:ascii="宋体" w:hAnsi="宋体" w:cs="宋体"/>
          <w:sz w:val="24"/>
          <w:highlight w:val="none"/>
        </w:rPr>
        <w:t xml:space="preserve">2.落实政府采购政策需满足的资格要求：</w:t>
      </w:r>
      <w:r>
        <w:rPr>
          <w:rFonts w:ascii="宋体" w:hAnsi="宋体" w:cs="宋体"/>
          <w:sz w:val="24"/>
          <w:highlight w:val="none"/>
        </w:rPr>
      </w:r>
      <w:r/>
    </w:p>
    <w:p>
      <w:pPr>
        <w:pStyle w:val="1101"/>
        <w:ind w:firstLine="480"/>
        <w:spacing w:line="400" w:lineRule="exact"/>
        <w:rPr>
          <w:rFonts w:ascii="宋体" w:hAnsi="宋体" w:eastAsia="宋体" w:cs="宋体"/>
          <w:sz w:val="24"/>
          <w:highlight w:val="none"/>
          <w:lang w:val="en-US" w:eastAsia="zh-CN"/>
        </w:rPr>
      </w:pPr>
      <w:r>
        <w:rPr>
          <w:rFonts w:hint="eastAsia" w:ascii="宋体" w:hAnsi="宋体" w:cs="宋体"/>
          <w:sz w:val="24"/>
          <w:highlight w:val="none"/>
        </w:rPr>
        <w:t xml:space="preserve">2.1 中小企业政策：</w:t>
      </w:r>
      <w:r>
        <w:rPr>
          <w:rFonts w:hint="eastAsia" w:ascii="宋体" w:hAnsi="宋体" w:cs="宋体"/>
          <w:b/>
          <w:bCs/>
          <w:sz w:val="24"/>
          <w:highlight w:val="none"/>
        </w:rPr>
        <w:t xml:space="preserve">本项目专门面向中小企业采购</w:t>
      </w:r>
      <w:r>
        <w:rPr>
          <w:rFonts w:hint="eastAsia" w:ascii="宋体" w:hAnsi="宋体" w:cs="宋体"/>
          <w:b/>
          <w:bCs/>
          <w:sz w:val="24"/>
          <w:highlight w:val="none"/>
          <w:lang w:eastAsia="zh-CN"/>
        </w:rPr>
        <w:t xml:space="preserve">，</w:t>
      </w:r>
      <w:r>
        <w:rPr>
          <w:rFonts w:hint="eastAsia" w:ascii="宋体" w:hAnsi="宋体" w:cs="宋体"/>
          <w:b/>
          <w:bCs/>
          <w:sz w:val="24"/>
          <w:highlight w:val="none"/>
          <w:lang w:val="en-US" w:eastAsia="zh-CN"/>
        </w:rPr>
        <w:t xml:space="preserve">即提供的货物全部由符合政策要求的中小微企业制造。</w:t>
      </w:r>
      <w:r>
        <w:rPr>
          <w:rFonts w:ascii="宋体" w:hAnsi="宋体" w:eastAsia="宋体" w:cs="宋体"/>
          <w:sz w:val="24"/>
          <w:highlight w:val="none"/>
          <w:lang w:val="en-US" w:eastAsia="zh-CN"/>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2.2 其它落实政府采购政策的资格要求（如有）：无。</w:t>
      </w:r>
      <w:r>
        <w:rPr>
          <w:rFonts w:ascii="宋体" w:hAnsi="宋体" w:cs="宋体"/>
          <w:sz w:val="24"/>
          <w:highlight w:val="none"/>
        </w:rPr>
      </w:r>
      <w:r/>
    </w:p>
    <w:p>
      <w:pPr>
        <w:pStyle w:val="1101"/>
        <w:ind w:firstLine="480"/>
        <w:spacing w:line="400" w:lineRule="exact"/>
        <w:rPr>
          <w:rFonts w:hint="eastAsia" w:ascii="宋体" w:hAnsi="宋体" w:cs="宋体"/>
          <w:sz w:val="24"/>
          <w:highlight w:val="none"/>
        </w:rPr>
      </w:pPr>
      <w:r>
        <w:rPr>
          <w:rFonts w:hint="eastAsia" w:ascii="宋体" w:hAnsi="宋体" w:cs="宋体"/>
          <w:sz w:val="24"/>
          <w:highlight w:val="none"/>
        </w:rPr>
        <w:t xml:space="preserve">3.本项目的特定资格要求：</w:t>
      </w:r>
      <w:r>
        <w:rPr>
          <w:rFonts w:hint="eastAsia"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3.1本项目是否接受分支机构参与投标：否；</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3.2本项目是否属于政府购买服务：否</w:t>
      </w:r>
      <w:r>
        <w:rPr>
          <w:rFonts w:ascii="宋体" w:hAnsi="宋体" w:cs="宋体"/>
          <w:sz w:val="24"/>
          <w:highlight w:val="none"/>
        </w:rPr>
      </w:r>
      <w:r/>
    </w:p>
    <w:p>
      <w:pPr>
        <w:pStyle w:val="1101"/>
        <w:ind w:firstLine="480"/>
        <w:spacing w:line="400" w:lineRule="exact"/>
        <w:tabs>
          <w:tab w:val="left" w:pos="900" w:leader="none"/>
          <w:tab w:val="left" w:pos="1134" w:leader="none"/>
          <w:tab w:val="left" w:pos="1589" w:leader="none"/>
          <w:tab w:val="left" w:pos="5521" w:leader="none"/>
        </w:tabs>
        <w:rPr>
          <w:rFonts w:hint="eastAsia" w:ascii="宋体" w:hAnsi="宋体"/>
          <w:sz w:val="24"/>
          <w:highlight w:val="none"/>
        </w:rPr>
      </w:pPr>
      <w:r>
        <w:rPr>
          <w:rFonts w:hint="eastAsia" w:ascii="宋体" w:hAnsi="宋体" w:cs="宋体"/>
          <w:sz w:val="24"/>
          <w:highlight w:val="none"/>
        </w:rPr>
        <w:t xml:space="preserve">3.3其他特定资格要求：</w:t>
      </w:r>
      <w:bookmarkEnd w:id="12"/>
      <w:r/>
      <w:bookmarkEnd w:id="13"/>
      <w:r/>
      <w:bookmarkStart w:id="14" w:name="_Toc35393792"/>
      <w:r/>
      <w:bookmarkStart w:id="15" w:name="_Toc35393623"/>
      <w:r>
        <w:rPr>
          <w:rFonts w:hint="eastAsia" w:ascii="宋体" w:hAnsi="宋体" w:cs="宋体"/>
          <w:sz w:val="24"/>
          <w:highlight w:val="none"/>
        </w:rPr>
        <w:t xml:space="preserve">无</w:t>
      </w:r>
      <w:r>
        <w:rPr>
          <w:rFonts w:hint="eastAsia" w:ascii="宋体" w:hAnsi="宋体"/>
          <w:sz w:val="24"/>
          <w:highlight w:val="none"/>
        </w:rPr>
      </w:r>
      <w:r/>
    </w:p>
    <w:p>
      <w:pPr>
        <w:pStyle w:val="1101"/>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三、获取招标文件</w:t>
      </w:r>
      <w:bookmarkEnd w:id="14"/>
      <w:r/>
      <w:bookmarkEnd w:id="15"/>
      <w:r>
        <w:rPr>
          <w:rFonts w:ascii="宋体" w:hAnsi="宋体" w:cs="宋体"/>
          <w:b/>
          <w:bCs/>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1.时间：自招标文件公告发布之日起5个工作日</w:t>
      </w:r>
      <w:r>
        <w:rPr>
          <w:rFonts w:ascii="宋体" w:hAnsi="宋体" w:cs="宋体"/>
          <w:sz w:val="24"/>
          <w:highlight w:val="none"/>
        </w:rPr>
      </w:r>
      <w:r/>
    </w:p>
    <w:p>
      <w:pPr>
        <w:pStyle w:val="1101"/>
        <w:ind w:firstLine="480"/>
        <w:spacing w:line="400" w:lineRule="exact"/>
        <w:rPr>
          <w:rFonts w:hint="eastAsia" w:ascii="宋体" w:hAnsi="宋体" w:cs="宋体"/>
          <w:sz w:val="24"/>
          <w:highlight w:val="none"/>
        </w:rPr>
      </w:pPr>
      <w:r/>
      <w:bookmarkStart w:id="16" w:name="_Toc28359082"/>
      <w:r/>
      <w:bookmarkStart w:id="17" w:name="_Toc28359005"/>
      <w:r/>
      <w:bookmarkStart w:id="18" w:name="_Toc35393624"/>
      <w:r/>
      <w:bookmarkStart w:id="19" w:name="_Toc35393793"/>
      <w:r>
        <w:rPr>
          <w:rFonts w:hint="eastAsia" w:ascii="宋体" w:hAnsi="宋体" w:cs="宋体"/>
          <w:sz w:val="24"/>
          <w:highlight w:val="none"/>
        </w:rPr>
        <w:t xml:space="preserve">2.地点：“苏采云”政府采购一体化平台</w:t>
      </w:r>
      <w:r>
        <w:rPr>
          <w:rFonts w:hint="eastAsia"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3.方式：在“苏采云”政府采购一体化平台自行免费下载</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4.售价：0元</w:t>
      </w:r>
      <w:r>
        <w:rPr>
          <w:rFonts w:ascii="宋体" w:hAnsi="宋体" w:cs="宋体"/>
          <w:sz w:val="24"/>
          <w:highlight w:val="none"/>
        </w:rPr>
      </w:r>
      <w:r/>
    </w:p>
    <w:p>
      <w:pPr>
        <w:pStyle w:val="1101"/>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四、提交投标文件</w:t>
      </w:r>
      <w:bookmarkEnd w:id="16"/>
      <w:r/>
      <w:bookmarkEnd w:id="17"/>
      <w:r>
        <w:rPr>
          <w:rFonts w:hint="eastAsia" w:ascii="宋体" w:hAnsi="宋体" w:cs="宋体"/>
          <w:b/>
          <w:bCs/>
          <w:sz w:val="24"/>
          <w:highlight w:val="none"/>
        </w:rPr>
        <w:t xml:space="preserve">截止时间、开标时间和地点</w:t>
      </w:r>
      <w:bookmarkEnd w:id="18"/>
      <w:r/>
      <w:bookmarkEnd w:id="19"/>
      <w:r>
        <w:rPr>
          <w:rFonts w:ascii="宋体" w:hAnsi="宋体" w:cs="宋体"/>
          <w:b/>
          <w:bCs/>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投标截止时间、开标时间：2026年</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日14点00分（北京时间）</w:t>
      </w:r>
      <w:r>
        <w:rPr>
          <w:rFonts w:ascii="宋体" w:hAnsi="宋体" w:cs="宋体"/>
          <w:sz w:val="24"/>
          <w:highlight w:val="none"/>
        </w:rPr>
      </w:r>
      <w:r/>
    </w:p>
    <w:p>
      <w:pPr>
        <w:pStyle w:val="1101"/>
        <w:ind w:firstLine="480"/>
        <w:spacing w:line="400" w:lineRule="exact"/>
        <w:rPr>
          <w:rFonts w:ascii="宋体" w:hAnsi="宋体" w:cs="宋体"/>
          <w:sz w:val="24"/>
          <w:highlight w:val="none"/>
          <w:lang w:val="zh-TW"/>
        </w:rPr>
      </w:pPr>
      <w:r>
        <w:rPr>
          <w:rFonts w:hint="eastAsia" w:ascii="宋体" w:hAnsi="宋体" w:cs="宋体"/>
          <w:sz w:val="24"/>
          <w:highlight w:val="none"/>
        </w:rPr>
        <w:t xml:space="preserve">地点：“苏采云”政府采购一体化平台</w:t>
      </w:r>
      <w:r>
        <w:rPr>
          <w:rFonts w:ascii="宋体" w:hAnsi="宋体" w:cs="宋体"/>
          <w:sz w:val="24"/>
          <w:highlight w:val="none"/>
          <w:lang w:val="zh-TW"/>
        </w:rPr>
      </w:r>
      <w:r/>
    </w:p>
    <w:p>
      <w:pPr>
        <w:pStyle w:val="1101"/>
        <w:ind w:firstLine="482"/>
        <w:spacing w:line="400" w:lineRule="exact"/>
        <w:rPr>
          <w:rFonts w:ascii="宋体" w:hAnsi="宋体" w:cs="宋体"/>
          <w:b/>
          <w:bCs/>
          <w:sz w:val="24"/>
          <w:highlight w:val="none"/>
        </w:rPr>
      </w:pPr>
      <w:r/>
      <w:bookmarkStart w:id="20" w:name="_Toc35393625"/>
      <w:r/>
      <w:bookmarkStart w:id="21" w:name="_Toc28359007"/>
      <w:r/>
      <w:bookmarkStart w:id="22" w:name="_Toc28359084"/>
      <w:r/>
      <w:bookmarkStart w:id="23" w:name="_Toc35393794"/>
      <w:r>
        <w:rPr>
          <w:rFonts w:hint="eastAsia" w:ascii="宋体" w:hAnsi="宋体" w:cs="宋体"/>
          <w:b/>
          <w:bCs/>
          <w:sz w:val="24"/>
          <w:highlight w:val="none"/>
        </w:rPr>
        <w:t xml:space="preserve">五、公告期限</w:t>
      </w:r>
      <w:bookmarkEnd w:id="20"/>
      <w:r/>
      <w:bookmarkEnd w:id="21"/>
      <w:r/>
      <w:bookmarkEnd w:id="22"/>
      <w:r/>
      <w:bookmarkEnd w:id="23"/>
      <w:r>
        <w:rPr>
          <w:rFonts w:ascii="宋体" w:hAnsi="宋体" w:cs="宋体"/>
          <w:b/>
          <w:bCs/>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自本公告发布之日起5个工作日。</w:t>
      </w:r>
      <w:r>
        <w:rPr>
          <w:rFonts w:ascii="宋体" w:hAnsi="宋体" w:cs="宋体"/>
          <w:sz w:val="24"/>
          <w:highlight w:val="none"/>
        </w:rPr>
      </w:r>
      <w:r/>
    </w:p>
    <w:p>
      <w:pPr>
        <w:pStyle w:val="1101"/>
        <w:ind w:firstLine="482"/>
        <w:spacing w:line="400" w:lineRule="exact"/>
        <w:rPr>
          <w:rFonts w:ascii="宋体" w:hAnsi="宋体" w:cs="宋体"/>
          <w:b/>
          <w:bCs/>
          <w:sz w:val="24"/>
          <w:highlight w:val="none"/>
        </w:rPr>
      </w:pPr>
      <w:r/>
      <w:bookmarkStart w:id="24" w:name="_Toc35393626"/>
      <w:r/>
      <w:bookmarkStart w:id="25" w:name="_Toc35393795"/>
      <w:r>
        <w:rPr>
          <w:rFonts w:hint="eastAsia" w:ascii="宋体" w:hAnsi="宋体" w:cs="宋体"/>
          <w:b/>
          <w:bCs/>
          <w:sz w:val="24"/>
          <w:highlight w:val="none"/>
        </w:rPr>
        <w:t xml:space="preserve">六、其他补充事宜</w:t>
      </w:r>
      <w:bookmarkEnd w:id="24"/>
      <w:r/>
      <w:bookmarkEnd w:id="25"/>
      <w:r>
        <w:rPr>
          <w:rFonts w:ascii="宋体" w:hAnsi="宋体" w:cs="宋体"/>
          <w:b/>
          <w:bCs/>
          <w:sz w:val="24"/>
          <w:highlight w:val="none"/>
        </w:rPr>
      </w:r>
      <w:r/>
    </w:p>
    <w:p>
      <w:pPr>
        <w:pStyle w:val="1101"/>
        <w:ind w:firstLine="480"/>
        <w:spacing w:line="390" w:lineRule="exact"/>
        <w:rPr>
          <w:rFonts w:ascii="宋体" w:hAnsi="宋体" w:cs="宋体"/>
          <w:sz w:val="24"/>
          <w:highlight w:val="none"/>
        </w:rPr>
      </w:pPr>
      <w:r/>
      <w:bookmarkStart w:id="26" w:name="_Toc35393796"/>
      <w:r/>
      <w:bookmarkStart w:id="27" w:name="_Toc35393627"/>
      <w:r/>
      <w:bookmarkStart w:id="28" w:name="_Toc28359085"/>
      <w:r/>
      <w:bookmarkStart w:id="29" w:name="_Toc28359008"/>
      <w:r>
        <w:rPr>
          <w:rFonts w:hint="eastAsia" w:ascii="宋体" w:hAnsi="宋体" w:cs="宋体"/>
          <w:sz w:val="24"/>
          <w:highlight w:val="none"/>
        </w:rPr>
        <w:t xml:space="preserve">1.本项目需要落实的政府采购政策：无。</w:t>
      </w:r>
      <w:r>
        <w:rPr>
          <w:rFonts w:ascii="宋体" w:hAnsi="宋体" w:cs="宋体"/>
          <w:sz w:val="24"/>
          <w:highlight w:val="none"/>
        </w:rPr>
      </w:r>
      <w:r/>
    </w:p>
    <w:p>
      <w:pPr>
        <w:pStyle w:val="1101"/>
        <w:ind w:firstLine="480"/>
        <w:spacing w:line="400" w:lineRule="exact"/>
        <w:rPr>
          <w:rFonts w:hint="eastAsia" w:ascii="宋体" w:hAnsi="宋体" w:cs="宋体"/>
          <w:sz w:val="24"/>
          <w:highlight w:val="none"/>
        </w:rPr>
      </w:pPr>
      <w:r>
        <w:rPr>
          <w:rFonts w:hint="eastAsia" w:ascii="宋体" w:hAnsi="宋体" w:cs="宋体"/>
          <w:sz w:val="24"/>
          <w:highlight w:val="none"/>
        </w:rPr>
        <w:t xml:space="preserve">2.根据省财政厅《关</w:t>
      </w:r>
      <w:r>
        <w:rPr>
          <w:rFonts w:hint="eastAsia" w:ascii="宋体" w:hAnsi="宋体" w:cs="宋体"/>
          <w:sz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cs="宋体"/>
          <w:sz w:val="24"/>
          <w:highlight w:val="none"/>
        </w:rPr>
      </w:r>
      <w:r/>
    </w:p>
    <w:p>
      <w:pPr>
        <w:pStyle w:val="1101"/>
        <w:ind w:firstLine="480"/>
        <w:spacing w:line="400" w:lineRule="exact"/>
        <w:rPr>
          <w:rFonts w:hint="eastAsia" w:ascii="宋体" w:hAnsi="宋体" w:cs="宋体"/>
          <w:sz w:val="24"/>
          <w:highlight w:val="none"/>
        </w:rPr>
      </w:pPr>
      <w:r>
        <w:rPr>
          <w:rFonts w:hint="eastAsia" w:ascii="宋体" w:hAnsi="宋体" w:cs="宋体"/>
          <w:sz w:val="24"/>
          <w:highlight w:val="none"/>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 </w:t>
      </w:r>
      <w:r>
        <w:rPr>
          <w:rFonts w:hint="eastAsia" w:ascii="宋体" w:hAnsi="宋体" w:cs="宋体"/>
          <w:sz w:val="24"/>
          <w:highlight w:val="none"/>
        </w:rPr>
      </w:r>
      <w:r/>
    </w:p>
    <w:p>
      <w:pPr>
        <w:pStyle w:val="1101"/>
        <w:ind w:firstLine="480"/>
        <w:spacing w:line="400" w:lineRule="exact"/>
        <w:rPr>
          <w:rFonts w:hint="eastAsia" w:ascii="宋体" w:hAnsi="宋体" w:cs="宋体"/>
          <w:sz w:val="24"/>
          <w:highlight w:val="none"/>
        </w:rPr>
      </w:pPr>
      <w:r>
        <w:rPr>
          <w:rFonts w:hint="eastAsia" w:ascii="宋体" w:hAnsi="宋体" w:cs="宋体"/>
          <w:sz w:val="24"/>
          <w:highlight w:val="none"/>
        </w:rPr>
        <w:t xml:space="preserve">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 w:val="24"/>
          <w:highlight w:val="none"/>
        </w:rPr>
      </w:r>
      <w:r/>
    </w:p>
    <w:p>
      <w:pPr>
        <w:pStyle w:val="1101"/>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七、对本次招标提出询问，请按以下方式联系。</w:t>
      </w:r>
      <w:bookmarkEnd w:id="26"/>
      <w:r/>
      <w:bookmarkEnd w:id="27"/>
      <w:r/>
      <w:bookmarkEnd w:id="28"/>
      <w:r/>
      <w:bookmarkEnd w:id="29"/>
      <w:r>
        <w:rPr>
          <w:rFonts w:ascii="宋体" w:hAnsi="宋体" w:cs="宋体"/>
          <w:b/>
          <w:bCs/>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1.采购人信息</w:t>
      </w:r>
      <w:r>
        <w:rPr>
          <w:rFonts w:ascii="宋体" w:hAnsi="宋体" w:cs="宋体"/>
          <w:sz w:val="24"/>
          <w:highlight w:val="none"/>
        </w:rPr>
      </w:r>
      <w:r/>
    </w:p>
    <w:p>
      <w:pPr>
        <w:pStyle w:val="1101"/>
        <w:ind w:firstLine="480"/>
        <w:spacing w:line="400" w:lineRule="exact"/>
        <w:rPr>
          <w:rFonts w:hint="eastAsia" w:ascii="宋体" w:hAnsi="宋体" w:cs="宋体"/>
          <w:sz w:val="24"/>
          <w:highlight w:val="none"/>
        </w:rPr>
      </w:pPr>
      <w:r/>
      <w:bookmarkStart w:id="30" w:name="_Toc28359009"/>
      <w:r/>
      <w:bookmarkStart w:id="31" w:name="_Toc28359086"/>
      <w:r>
        <w:rPr>
          <w:rFonts w:hint="eastAsia" w:ascii="宋体" w:hAnsi="宋体" w:cs="宋体"/>
          <w:sz w:val="24"/>
          <w:highlight w:val="none"/>
        </w:rPr>
        <w:t xml:space="preserve">名称：江苏省常州技师学院</w:t>
      </w:r>
      <w:r>
        <w:rPr>
          <w:rFonts w:hint="eastAsia" w:ascii="宋体" w:hAnsi="宋体" w:cs="宋体"/>
          <w:sz w:val="24"/>
          <w:highlight w:val="none"/>
        </w:rPr>
      </w:r>
      <w:r/>
    </w:p>
    <w:p>
      <w:pPr>
        <w:pStyle w:val="1101"/>
        <w:ind w:firstLine="480"/>
        <w:spacing w:line="400" w:lineRule="exact"/>
        <w:rPr>
          <w:rFonts w:hint="eastAsia" w:ascii="宋体" w:hAnsi="宋体" w:cs="宋体"/>
          <w:sz w:val="24"/>
          <w:highlight w:val="none"/>
        </w:rPr>
      </w:pPr>
      <w:r>
        <w:rPr>
          <w:rFonts w:hint="eastAsia" w:ascii="宋体" w:hAnsi="宋体" w:cs="宋体"/>
          <w:sz w:val="24"/>
          <w:highlight w:val="none"/>
        </w:rPr>
        <w:t xml:space="preserve">地址：江苏省常州市新北区嫩江路8号</w:t>
      </w:r>
      <w:r>
        <w:rPr>
          <w:rFonts w:hint="eastAsia" w:ascii="宋体" w:hAnsi="宋体" w:cs="宋体"/>
          <w:sz w:val="24"/>
          <w:highlight w:val="none"/>
        </w:rPr>
      </w:r>
      <w:r/>
    </w:p>
    <w:p>
      <w:pPr>
        <w:pStyle w:val="1101"/>
        <w:ind w:firstLine="480"/>
        <w:spacing w:line="400" w:lineRule="exact"/>
        <w:rPr>
          <w:rFonts w:hint="eastAsia" w:ascii="宋体" w:hAnsi="宋体" w:cs="宋体"/>
          <w:sz w:val="24"/>
          <w:highlight w:val="none"/>
        </w:rPr>
      </w:pPr>
      <w:r>
        <w:rPr>
          <w:rFonts w:hint="eastAsia" w:ascii="宋体" w:hAnsi="宋体" w:cs="宋体"/>
          <w:sz w:val="24"/>
          <w:highlight w:val="none"/>
        </w:rPr>
        <w:t xml:space="preserve">联系方式：姚老师 0519-81162006</w:t>
      </w:r>
      <w:r>
        <w:rPr>
          <w:rFonts w:hint="eastAsia"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2.采购代理机构信息</w:t>
      </w:r>
      <w:bookmarkEnd w:id="30"/>
      <w:r/>
      <w:bookmarkEnd w:id="31"/>
      <w:r>
        <w:rPr>
          <w:rFonts w:ascii="宋体" w:hAnsi="宋体" w:cs="宋体"/>
          <w:sz w:val="24"/>
          <w:highlight w:val="none"/>
        </w:rPr>
      </w:r>
      <w:r/>
    </w:p>
    <w:p>
      <w:pPr>
        <w:pStyle w:val="1101"/>
        <w:ind w:firstLine="480"/>
        <w:spacing w:line="400" w:lineRule="exact"/>
        <w:rPr>
          <w:rFonts w:hint="eastAsia" w:ascii="宋体" w:hAnsi="宋体" w:eastAsia="宋体" w:cs="宋体"/>
          <w:sz w:val="24"/>
          <w:highlight w:val="none"/>
          <w:lang w:eastAsia="zh-CN"/>
        </w:rPr>
      </w:pPr>
      <w:r/>
      <w:bookmarkStart w:id="32" w:name="_Toc28359010"/>
      <w:r/>
      <w:bookmarkStart w:id="33" w:name="_Toc28359087"/>
      <w:r>
        <w:rPr>
          <w:rFonts w:hint="eastAsia" w:ascii="宋体" w:hAnsi="宋体" w:cs="宋体"/>
          <w:sz w:val="24"/>
          <w:highlight w:val="none"/>
        </w:rPr>
        <w:t xml:space="preserve">名称：</w:t>
      </w:r>
      <w:r>
        <w:rPr>
          <w:rFonts w:hint="eastAsia" w:ascii="宋体" w:hAnsi="宋体" w:cs="宋体"/>
          <w:sz w:val="24"/>
          <w:highlight w:val="none"/>
          <w:lang w:eastAsia="zh-CN"/>
        </w:rPr>
        <w:t xml:space="preserve">常州润邦招标代理有限公司</w:t>
      </w:r>
      <w:r>
        <w:rPr>
          <w:rFonts w:hint="eastAsia" w:ascii="宋体" w:hAnsi="宋体" w:eastAsia="宋体" w:cs="宋体"/>
          <w:sz w:val="24"/>
          <w:highlight w:val="none"/>
          <w:lang w:eastAsia="zh-CN"/>
        </w:rPr>
      </w:r>
      <w:r/>
    </w:p>
    <w:p>
      <w:pPr>
        <w:pStyle w:val="1101"/>
        <w:ind w:firstLine="480"/>
        <w:spacing w:line="400" w:lineRule="exact"/>
        <w:rPr>
          <w:rFonts w:hint="eastAsia" w:ascii="宋体" w:hAnsi="宋体" w:eastAsia="宋体" w:cs="宋体"/>
          <w:sz w:val="24"/>
          <w:highlight w:val="none"/>
          <w:lang w:eastAsia="zh-CN"/>
        </w:rPr>
      </w:pPr>
      <w:r>
        <w:rPr>
          <w:rFonts w:hint="eastAsia" w:ascii="宋体" w:hAnsi="宋体" w:cs="宋体"/>
          <w:sz w:val="24"/>
          <w:highlight w:val="none"/>
        </w:rPr>
        <w:t xml:space="preserve">地址：</w:t>
      </w:r>
      <w:r>
        <w:rPr>
          <w:rFonts w:hint="eastAsia" w:ascii="宋体" w:hAnsi="宋体" w:cs="宋体"/>
          <w:sz w:val="24"/>
          <w:highlight w:val="none"/>
          <w:lang w:eastAsia="zh-CN"/>
        </w:rPr>
        <w:t xml:space="preserve">常州市飞龙东路108号-304室（翠园世家商业街三楼）</w:t>
      </w:r>
      <w:r>
        <w:rPr>
          <w:rFonts w:hint="eastAsia" w:ascii="宋体" w:hAnsi="宋体" w:eastAsia="宋体" w:cs="宋体"/>
          <w:sz w:val="24"/>
          <w:highlight w:val="none"/>
          <w:lang w:eastAsia="zh-CN"/>
        </w:rPr>
      </w:r>
      <w:r/>
    </w:p>
    <w:p>
      <w:pPr>
        <w:pStyle w:val="1101"/>
        <w:ind w:firstLine="480"/>
        <w:spacing w:line="400" w:lineRule="exact"/>
        <w:rPr>
          <w:rFonts w:hint="eastAsia" w:ascii="宋体" w:hAnsi="宋体" w:eastAsia="宋体" w:cs="宋体"/>
          <w:sz w:val="24"/>
          <w:highlight w:val="none"/>
          <w:lang w:eastAsia="zh-CN"/>
        </w:rPr>
      </w:pPr>
      <w:r>
        <w:rPr>
          <w:rFonts w:hint="eastAsia" w:ascii="宋体" w:hAnsi="宋体" w:cs="宋体"/>
          <w:sz w:val="24"/>
          <w:highlight w:val="none"/>
        </w:rPr>
        <w:t xml:space="preserve">联系方式：</w:t>
      </w:r>
      <w:r>
        <w:rPr>
          <w:rFonts w:hint="eastAsia" w:ascii="宋体" w:hAnsi="宋体" w:cs="宋体"/>
          <w:sz w:val="24"/>
          <w:highlight w:val="none"/>
          <w:lang w:eastAsia="zh-CN"/>
        </w:rPr>
        <w:t xml:space="preserve">0519-81881991</w:t>
      </w:r>
      <w:r>
        <w:rPr>
          <w:rFonts w:hint="eastAsia" w:ascii="宋体" w:hAnsi="宋体" w:eastAsia="宋体" w:cs="宋体"/>
          <w:sz w:val="24"/>
          <w:highlight w:val="none"/>
          <w:lang w:eastAsia="zh-CN"/>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3.项目联系方式</w:t>
      </w:r>
      <w:bookmarkEnd w:id="32"/>
      <w:r/>
      <w:bookmarkEnd w:id="33"/>
      <w:r>
        <w:rPr>
          <w:rFonts w:ascii="宋体" w:hAnsi="宋体" w:cs="宋体"/>
          <w:sz w:val="24"/>
          <w:highlight w:val="none"/>
        </w:rPr>
      </w:r>
      <w:r/>
    </w:p>
    <w:p>
      <w:pPr>
        <w:pStyle w:val="1101"/>
        <w:ind w:firstLine="480"/>
        <w:spacing w:line="400" w:lineRule="exact"/>
        <w:rPr>
          <w:rFonts w:hint="eastAsia" w:ascii="宋体" w:hAnsi="宋体" w:eastAsia="宋体" w:cs="宋体"/>
          <w:sz w:val="24"/>
          <w:highlight w:val="none"/>
          <w:lang w:eastAsia="zh-CN"/>
        </w:rPr>
      </w:pPr>
      <w:r>
        <w:rPr>
          <w:rFonts w:hint="eastAsia" w:ascii="宋体" w:hAnsi="宋体" w:cs="宋体"/>
          <w:sz w:val="24"/>
          <w:highlight w:val="none"/>
        </w:rPr>
        <w:t xml:space="preserve">项目联系人：</w:t>
      </w:r>
      <w:r>
        <w:rPr>
          <w:rFonts w:hint="eastAsia" w:ascii="宋体" w:hAnsi="宋体" w:cs="宋体"/>
          <w:sz w:val="24"/>
          <w:highlight w:val="none"/>
          <w:lang w:eastAsia="zh-CN"/>
        </w:rPr>
        <w:t xml:space="preserve">赵婷</w:t>
      </w:r>
      <w:r>
        <w:rPr>
          <w:rFonts w:hint="eastAsia" w:ascii="宋体" w:hAnsi="宋体" w:eastAsia="宋体" w:cs="宋体"/>
          <w:sz w:val="24"/>
          <w:highlight w:val="none"/>
          <w:lang w:eastAsia="zh-CN"/>
        </w:rPr>
      </w:r>
      <w:r/>
    </w:p>
    <w:p>
      <w:pPr>
        <w:pStyle w:val="1101"/>
        <w:ind w:firstLine="480"/>
        <w:spacing w:line="400" w:lineRule="exact"/>
        <w:rPr>
          <w:rFonts w:hint="eastAsia" w:ascii="宋体" w:hAnsi="宋体" w:eastAsia="宋体" w:cs="宋体"/>
          <w:sz w:val="24"/>
          <w:highlight w:val="none"/>
          <w:lang w:eastAsia="zh-CN"/>
        </w:rPr>
      </w:pPr>
      <w:r>
        <w:rPr>
          <w:rFonts w:hint="eastAsia" w:ascii="宋体" w:hAnsi="宋体" w:cs="宋体"/>
          <w:sz w:val="24"/>
          <w:highlight w:val="none"/>
        </w:rPr>
        <w:t xml:space="preserve">电话：</w:t>
      </w:r>
      <w:r>
        <w:rPr>
          <w:rFonts w:hint="eastAsia" w:ascii="宋体" w:hAnsi="宋体" w:cs="宋体"/>
          <w:sz w:val="24"/>
          <w:highlight w:val="none"/>
          <w:lang w:eastAsia="zh-CN"/>
        </w:rPr>
        <w:t xml:space="preserve">0519-81881991</w:t>
      </w:r>
      <w:r>
        <w:rPr>
          <w:rFonts w:hint="eastAsia" w:ascii="宋体" w:hAnsi="宋体" w:eastAsia="宋体" w:cs="宋体"/>
          <w:sz w:val="24"/>
          <w:highlight w:val="none"/>
          <w:lang w:eastAsia="zh-CN"/>
        </w:rPr>
      </w:r>
      <w:r/>
    </w:p>
    <w:p>
      <w:pPr>
        <w:pStyle w:val="1101"/>
        <w:jc w:val="center"/>
        <w:spacing w:line="360" w:lineRule="auto"/>
        <w:rPr>
          <w:b/>
          <w:sz w:val="32"/>
          <w:szCs w:val="32"/>
          <w:highlight w:val="none"/>
        </w:rPr>
        <w:outlineLvl w:val="0"/>
      </w:pPr>
      <w:r>
        <w:rPr>
          <w:sz w:val="24"/>
          <w:highlight w:val="none"/>
        </w:rPr>
        <w:br w:type="page" w:clear="all"/>
      </w:r>
      <w:bookmarkStart w:id="34" w:name="_Toc127161488"/>
      <w:r/>
      <w:bookmarkStart w:id="35" w:name="_Toc353825548"/>
      <w:r/>
      <w:bookmarkStart w:id="36" w:name="_Toc265228423"/>
      <w:r/>
      <w:bookmarkStart w:id="37" w:name="_Toc150774783"/>
      <w:r/>
      <w:bookmarkStart w:id="38" w:name="_Toc195842950"/>
      <w:r/>
      <w:bookmarkStart w:id="39" w:name="_Toc305158854"/>
      <w:r/>
      <w:bookmarkStart w:id="40" w:name="_Toc127151777"/>
      <w:r/>
      <w:bookmarkStart w:id="41" w:name="_Toc8972"/>
      <w:r/>
      <w:bookmarkStart w:id="42" w:name="_Toc353873938"/>
      <w:r/>
      <w:bookmarkStart w:id="43" w:name="_Toc226965856"/>
      <w:r/>
      <w:bookmarkStart w:id="44" w:name="_Toc512937850"/>
      <w:r/>
      <w:bookmarkStart w:id="45" w:name="_Toc264969275"/>
      <w:r/>
      <w:bookmarkStart w:id="46" w:name="_Toc305158928"/>
      <w:r>
        <w:rPr>
          <w:b/>
          <w:sz w:val="36"/>
          <w:szCs w:val="36"/>
          <w:highlight w:val="none"/>
        </w:rPr>
        <w:t xml:space="preserve">第二章   投标人须知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Pr>
          <w:b/>
          <w:sz w:val="32"/>
          <w:szCs w:val="32"/>
          <w:highlight w:val="none"/>
        </w:rPr>
      </w:r>
      <w:r/>
    </w:p>
    <w:p>
      <w:pPr>
        <w:pStyle w:val="1103"/>
        <w:spacing w:before="0" w:line="360" w:lineRule="auto"/>
        <w:tabs>
          <w:tab w:val="center" w:pos="4592" w:leader="none"/>
          <w:tab w:val="left" w:pos="7860" w:leader="none"/>
        </w:tabs>
        <w:rPr>
          <w:rFonts w:ascii="Times New Roman" w:hAnsi="Times New Roman" w:eastAsia="宋体"/>
          <w:sz w:val="28"/>
          <w:highlight w:val="none"/>
        </w:rPr>
      </w:pPr>
      <w:r/>
      <w:bookmarkStart w:id="47" w:name="_Toc150774619"/>
      <w:r/>
      <w:bookmarkStart w:id="48" w:name="_Toc151190146"/>
      <w:r/>
      <w:bookmarkStart w:id="49" w:name="_Toc149720812"/>
      <w:r/>
      <w:bookmarkStart w:id="50" w:name="_Toc151193617"/>
      <w:r/>
      <w:bookmarkStart w:id="51" w:name="_Toc164351613"/>
      <w:r/>
      <w:bookmarkStart w:id="52" w:name="_Toc150774724"/>
      <w:r/>
      <w:bookmarkStart w:id="53" w:name="_Toc150509270"/>
      <w:r/>
      <w:bookmarkStart w:id="54" w:name="_Toc127151720"/>
      <w:r/>
      <w:bookmarkStart w:id="55" w:name="_Toc164229214"/>
      <w:r/>
      <w:bookmarkStart w:id="56" w:name="_Toc226309763"/>
      <w:r/>
      <w:bookmarkStart w:id="57" w:name="_Toc226965792"/>
      <w:r/>
      <w:bookmarkStart w:id="58" w:name="_Toc151193761"/>
      <w:r/>
      <w:bookmarkStart w:id="59" w:name="_Toc226965709"/>
      <w:r/>
      <w:bookmarkStart w:id="60" w:name="_Toc127161433"/>
      <w:r/>
      <w:bookmarkStart w:id="61" w:name="_Toc127151519"/>
      <w:r/>
      <w:bookmarkStart w:id="62" w:name="_Toc195842884"/>
      <w:r/>
      <w:bookmarkStart w:id="63" w:name="_Toc150480757"/>
      <w:r/>
      <w:bookmarkStart w:id="64" w:name="_Toc151193907"/>
      <w:r/>
      <w:bookmarkStart w:id="65" w:name="_Toc520356144"/>
      <w:r/>
      <w:bookmarkStart w:id="66" w:name="_Toc151193689"/>
      <w:r/>
      <w:bookmarkStart w:id="67" w:name="_Toc142311021"/>
      <w:r/>
      <w:bookmarkStart w:id="68" w:name="_Toc164608633"/>
      <w:r/>
      <w:bookmarkStart w:id="69" w:name="_Toc164229360"/>
      <w:r/>
      <w:bookmarkStart w:id="70" w:name="_Toc151193833"/>
      <w:r/>
      <w:bookmarkStart w:id="71" w:name="_Toc164608788"/>
      <w:r/>
      <w:bookmarkStart w:id="72" w:name="_Toc226337215"/>
      <w:r>
        <w:rPr>
          <w:rFonts w:ascii="Times New Roman" w:hAnsi="Times New Roman" w:eastAsia="宋体"/>
          <w:sz w:val="28"/>
          <w:highlight w:val="none"/>
        </w:rPr>
        <w:t xml:space="preserve">投标人须知资料表</w:t>
      </w:r>
      <w:r>
        <w:rPr>
          <w:rFonts w:ascii="Times New Roman" w:hAnsi="Times New Roman" w:eastAsia="宋体"/>
          <w:sz w:val="28"/>
          <w:highlight w:val="none"/>
        </w:rPr>
      </w:r>
      <w:r/>
    </w:p>
    <w:p>
      <w:pPr>
        <w:pStyle w:val="1101"/>
        <w:jc w:val="center"/>
        <w:rPr>
          <w:b/>
          <w:sz w:val="28"/>
          <w:szCs w:val="28"/>
          <w:highlight w:val="none"/>
        </w:rPr>
      </w:pPr>
      <w:r>
        <w:rPr>
          <w:b/>
          <w:sz w:val="28"/>
          <w:szCs w:val="28"/>
          <w:highlight w:val="none"/>
        </w:rPr>
      </w:r>
      <w:r/>
    </w:p>
    <w:p>
      <w:pPr>
        <w:pStyle w:val="1101"/>
        <w:ind w:firstLine="482"/>
        <w:spacing w:line="400" w:lineRule="exact"/>
        <w:rPr>
          <w:rFonts w:ascii="宋体" w:hAnsi="宋体" w:cs="宋体"/>
          <w:sz w:val="24"/>
          <w:highlight w:val="none"/>
        </w:rPr>
      </w:pPr>
      <w:r>
        <w:rPr>
          <w:rFonts w:hint="eastAsia" w:ascii="宋体" w:hAnsi="宋体" w:cs="宋体"/>
          <w:sz w:val="24"/>
          <w:highlight w:val="none"/>
        </w:rPr>
        <w:t xml:space="preserve">本表是对投标人须知的具体补充和修改，如有矛盾，均以本资料表为准。</w:t>
      </w:r>
      <w:r>
        <w:rPr>
          <w:rFonts w:ascii="宋体" w:hAnsi="宋体" w:cs="宋体"/>
          <w:sz w:val="24"/>
          <w:highlight w:val="none"/>
        </w:rPr>
      </w:r>
      <w:r/>
    </w:p>
    <w:p>
      <w:pPr>
        <w:pStyle w:val="1101"/>
        <w:ind w:firstLine="482"/>
        <w:spacing w:line="400" w:lineRule="exact"/>
        <w:rPr>
          <w:rFonts w:ascii="宋体" w:hAnsi="宋体" w:cs="宋体"/>
          <w:sz w:val="24"/>
          <w:highlight w:val="none"/>
        </w:rPr>
      </w:pPr>
      <w:r>
        <w:rPr>
          <w:rFonts w:hint="eastAsia" w:ascii="宋体" w:hAnsi="宋体" w:cs="宋体"/>
          <w:sz w:val="24"/>
          <w:highlight w:val="none"/>
        </w:rPr>
        <w:t xml:space="preserve">标记</w:t>
      </w:r>
      <w:r>
        <w:rPr>
          <w:rFonts w:hint="eastAsia" w:ascii="宋体" w:hAnsi="宋体" w:cs="宋体"/>
          <w:color w:val="000000"/>
          <w:sz w:val="24"/>
          <w:highlight w:val="none"/>
        </w:rPr>
        <w:t xml:space="preserve">“</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w:t>
      </w:r>
      <w:r>
        <w:rPr>
          <w:rFonts w:hint="eastAsia" w:ascii="宋体" w:hAnsi="宋体" w:cs="宋体"/>
          <w:sz w:val="24"/>
          <w:highlight w:val="none"/>
        </w:rPr>
        <w:t xml:space="preserve">的选项意为适用于本项目，标记“□”的选项意为不适用于本项目。</w:t>
      </w:r>
      <w:r>
        <w:rPr>
          <w:rFonts w:ascii="宋体" w:hAnsi="宋体" w:cs="宋体"/>
          <w:sz w:val="24"/>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4"/>
        <w:gridCol w:w="1571"/>
        <w:gridCol w:w="6700"/>
      </w:tblGrid>
      <w:tr>
        <w:trPr>
          <w:trHeight w:val="283"/>
          <w:tblHeader/>
        </w:trPr>
        <w:tc>
          <w:tcPr>
            <w:tcW w:w="546" w:type="dxa"/>
            <w:vAlign w:val="center"/>
            <w:textDirection w:val="lrTb"/>
            <w:noWrap w:val="false"/>
          </w:tcPr>
          <w:p>
            <w:pPr>
              <w:pStyle w:val="1101"/>
              <w:jc w:val="center"/>
              <w:rPr>
                <w:rFonts w:ascii="宋体" w:hAnsi="宋体" w:cs="宋体"/>
                <w:b/>
                <w:bCs/>
                <w:sz w:val="24"/>
                <w:highlight w:val="none"/>
              </w:rPr>
            </w:pPr>
            <w:r>
              <w:rPr>
                <w:rFonts w:hint="eastAsia" w:ascii="宋体" w:hAnsi="宋体" w:cs="宋体"/>
                <w:b/>
                <w:sz w:val="24"/>
                <w:highlight w:val="none"/>
              </w:rPr>
              <w:t xml:space="preserve">条款号</w:t>
            </w:r>
            <w:r>
              <w:rPr>
                <w:rFonts w:ascii="宋体" w:hAnsi="宋体" w:cs="宋体"/>
                <w:b/>
                <w:bCs/>
                <w:sz w:val="24"/>
                <w:highlight w:val="none"/>
              </w:rPr>
            </w:r>
            <w:r/>
          </w:p>
        </w:tc>
        <w:tc>
          <w:tcPr>
            <w:tcW w:w="846" w:type="dxa"/>
            <w:vAlign w:val="center"/>
            <w:textDirection w:val="lrTb"/>
            <w:noWrap w:val="false"/>
          </w:tcPr>
          <w:p>
            <w:pPr>
              <w:pStyle w:val="1101"/>
              <w:jc w:val="center"/>
              <w:rPr>
                <w:rFonts w:ascii="宋体" w:hAnsi="宋体" w:cs="宋体"/>
                <w:b/>
                <w:bCs/>
                <w:sz w:val="24"/>
                <w:highlight w:val="none"/>
              </w:rPr>
            </w:pPr>
            <w:r>
              <w:rPr>
                <w:rFonts w:hint="eastAsia" w:ascii="宋体" w:hAnsi="宋体" w:cs="宋体"/>
                <w:b/>
                <w:bCs/>
                <w:sz w:val="24"/>
                <w:highlight w:val="none"/>
              </w:rPr>
              <w:t xml:space="preserve">条目</w:t>
            </w:r>
            <w:r>
              <w:rPr>
                <w:rFonts w:ascii="宋体" w:hAnsi="宋体" w:cs="宋体"/>
                <w:b/>
                <w:bCs/>
                <w:sz w:val="24"/>
                <w:highlight w:val="none"/>
              </w:rPr>
            </w:r>
            <w:r/>
          </w:p>
        </w:tc>
        <w:tc>
          <w:tcPr>
            <w:tcW w:w="3607" w:type="dxa"/>
            <w:vAlign w:val="center"/>
            <w:textDirection w:val="lrTb"/>
            <w:noWrap w:val="false"/>
          </w:tcPr>
          <w:p>
            <w:pPr>
              <w:pStyle w:val="1101"/>
              <w:jc w:val="center"/>
              <w:rPr>
                <w:rFonts w:ascii="宋体" w:hAnsi="宋体" w:cs="宋体"/>
                <w:b/>
                <w:bCs/>
                <w:sz w:val="24"/>
                <w:highlight w:val="none"/>
              </w:rPr>
            </w:pPr>
            <w:r>
              <w:rPr>
                <w:rFonts w:hint="eastAsia" w:ascii="宋体" w:hAnsi="宋体" w:cs="宋体"/>
                <w:b/>
                <w:bCs/>
                <w:sz w:val="24"/>
                <w:highlight w:val="none"/>
              </w:rPr>
              <w:t xml:space="preserve">内容</w:t>
            </w:r>
            <w:r>
              <w:rPr>
                <w:rFonts w:ascii="宋体" w:hAnsi="宋体" w:cs="宋体"/>
                <w:b/>
                <w:bCs/>
                <w:sz w:val="24"/>
                <w:highlight w:val="none"/>
              </w:rPr>
            </w:r>
            <w:r/>
          </w:p>
        </w:tc>
      </w:tr>
      <w:tr>
        <w:trPr>
          <w:trHeight w:val="283"/>
        </w:trPr>
        <w:tc>
          <w:tcPr>
            <w:tcW w:w="546" w:type="dxa"/>
            <w:vAlign w:val="center"/>
            <w:textDirection w:val="lrTb"/>
            <w:noWrap w:val="false"/>
          </w:tcPr>
          <w:p>
            <w:pPr>
              <w:pStyle w:val="1138"/>
              <w:jc w:val="center"/>
              <w:rPr>
                <w:rFonts w:hAnsi="宋体" w:cs="宋体"/>
                <w:sz w:val="24"/>
                <w:szCs w:val="24"/>
                <w:highlight w:val="none"/>
              </w:rPr>
            </w:pPr>
            <w:r>
              <w:rPr>
                <w:rFonts w:hAnsi="宋体" w:cs="宋体"/>
                <w:sz w:val="24"/>
                <w:szCs w:val="24"/>
                <w:highlight w:val="none"/>
              </w:rPr>
              <w:t xml:space="preserve">2.2</w:t>
            </w:r>
            <w:r>
              <w:rPr>
                <w:rFonts w:hAnsi="宋体" w:cs="宋体"/>
                <w:sz w:val="24"/>
                <w:szCs w:val="24"/>
                <w:highlight w:val="none"/>
              </w:rPr>
            </w:r>
            <w:r/>
          </w:p>
        </w:tc>
        <w:tc>
          <w:tcPr>
            <w:tcW w:w="846" w:type="dxa"/>
            <w:vAlign w:val="center"/>
            <w:textDirection w:val="lrTb"/>
            <w:noWrap w:val="false"/>
          </w:tcPr>
          <w:p>
            <w:pPr>
              <w:pStyle w:val="1101"/>
              <w:jc w:val="center"/>
              <w:rPr>
                <w:rFonts w:ascii="宋体" w:hAnsi="宋体" w:cs="宋体"/>
                <w:sz w:val="24"/>
                <w:highlight w:val="none"/>
              </w:rPr>
            </w:pPr>
            <w:r>
              <w:rPr>
                <w:rFonts w:hint="eastAsia" w:ascii="宋体" w:hAnsi="宋体" w:cs="宋体"/>
                <w:sz w:val="24"/>
                <w:highlight w:val="none"/>
              </w:rPr>
              <w:t xml:space="preserve">项目属性</w:t>
            </w:r>
            <w:r>
              <w:rPr>
                <w:rFonts w:ascii="宋体" w:hAnsi="宋体" w:cs="宋体"/>
                <w:sz w:val="24"/>
                <w:highlight w:val="none"/>
              </w:rPr>
            </w:r>
            <w:r/>
          </w:p>
        </w:tc>
        <w:tc>
          <w:tcPr>
            <w:tcW w:w="3607" w:type="dxa"/>
            <w:vAlign w:val="center"/>
            <w:textDirection w:val="lrTb"/>
            <w:noWrap w:val="false"/>
          </w:tcPr>
          <w:p>
            <w:pPr>
              <w:pStyle w:val="1101"/>
              <w:rPr>
                <w:rFonts w:ascii="宋体" w:hAnsi="宋体" w:cs="宋体"/>
                <w:sz w:val="24"/>
                <w:highlight w:val="none"/>
              </w:rPr>
            </w:pPr>
            <w:r>
              <w:rPr>
                <w:rFonts w:hint="eastAsia" w:ascii="宋体" w:hAnsi="宋体" w:cs="宋体"/>
                <w:sz w:val="24"/>
                <w:highlight w:val="none"/>
              </w:rPr>
              <w:t xml:space="preserve">项目属性：</w:t>
            </w:r>
            <w:r>
              <w:rPr>
                <w:rFonts w:ascii="宋体" w:hAnsi="宋体" w:cs="宋体"/>
                <w:sz w:val="24"/>
                <w:highlight w:val="none"/>
              </w:rPr>
            </w:r>
            <w:r/>
          </w:p>
          <w:p>
            <w:pPr>
              <w:pStyle w:val="1101"/>
              <w:rPr>
                <w:rFonts w:ascii="宋体" w:hAnsi="宋体" w:cs="宋体"/>
                <w:sz w:val="24"/>
                <w:highlight w:val="none"/>
              </w:rPr>
            </w:pPr>
            <w:r>
              <w:rPr>
                <w:rFonts w:hint="eastAsia" w:ascii="宋体" w:hAnsi="宋体" w:cs="宋体"/>
                <w:sz w:val="24"/>
                <w:highlight w:val="none"/>
              </w:rPr>
              <w:t xml:space="preserve">□服务</w:t>
            </w:r>
            <w:r>
              <w:rPr>
                <w:rFonts w:ascii="宋体" w:hAnsi="宋体" w:cs="宋体"/>
                <w:sz w:val="24"/>
                <w:highlight w:val="none"/>
              </w:rPr>
            </w:r>
            <w:r/>
          </w:p>
          <w:p>
            <w:pPr>
              <w:pStyle w:val="1101"/>
              <w:rPr>
                <w:rFonts w:ascii="宋体" w:hAnsi="宋体" w:cs="宋体"/>
                <w:sz w:val="24"/>
                <w:highlight w:val="none"/>
                <w:u w:val="single"/>
              </w:rPr>
            </w:pPr>
            <w:r>
              <w:rPr>
                <w:rFonts w:hint="eastAsia" w:ascii="宋体" w:hAnsi="宋体" w:cs="宋体"/>
                <w:b/>
                <w:color w:val="000000"/>
                <w:sz w:val="24"/>
                <w:highlight w:val="none"/>
              </w:rPr>
              <w:t xml:space="preserve">■</w:t>
            </w:r>
            <w:r>
              <w:rPr>
                <w:rFonts w:hint="eastAsia" w:ascii="宋体" w:hAnsi="宋体" w:cs="宋体"/>
                <w:sz w:val="24"/>
                <w:highlight w:val="none"/>
              </w:rPr>
              <w:t xml:space="preserve">货物</w:t>
            </w:r>
            <w:r>
              <w:rPr>
                <w:rFonts w:ascii="宋体" w:hAnsi="宋体" w:cs="宋体"/>
                <w:sz w:val="24"/>
                <w:highlight w:val="none"/>
                <w:u w:val="single"/>
              </w:rPr>
            </w:r>
            <w:r/>
          </w:p>
        </w:tc>
      </w:tr>
      <w:tr>
        <w:trPr>
          <w:trHeight w:val="283"/>
        </w:trPr>
        <w:tc>
          <w:tcPr>
            <w:tcW w:w="546" w:type="dxa"/>
            <w:vAlign w:val="center"/>
            <w:textDirection w:val="lrTb"/>
            <w:noWrap w:val="false"/>
          </w:tcPr>
          <w:p>
            <w:pPr>
              <w:pStyle w:val="1138"/>
              <w:jc w:val="center"/>
              <w:rPr>
                <w:rFonts w:hAnsi="宋体" w:cs="宋体"/>
                <w:sz w:val="24"/>
                <w:szCs w:val="24"/>
                <w:highlight w:val="none"/>
              </w:rPr>
            </w:pPr>
            <w:r>
              <w:rPr>
                <w:rFonts w:hAnsi="宋体" w:cs="宋体"/>
                <w:sz w:val="24"/>
                <w:szCs w:val="24"/>
                <w:highlight w:val="none"/>
              </w:rPr>
              <w:t xml:space="preserve">2.3</w:t>
            </w:r>
            <w:r>
              <w:rPr>
                <w:rFonts w:hAnsi="宋体" w:cs="宋体"/>
                <w:sz w:val="24"/>
                <w:szCs w:val="24"/>
                <w:highlight w:val="none"/>
              </w:rPr>
            </w:r>
            <w:r/>
          </w:p>
        </w:tc>
        <w:tc>
          <w:tcPr>
            <w:tcW w:w="846" w:type="dxa"/>
            <w:vAlign w:val="center"/>
            <w:textDirection w:val="lrTb"/>
            <w:noWrap w:val="false"/>
          </w:tcPr>
          <w:p>
            <w:pPr>
              <w:pStyle w:val="1101"/>
              <w:jc w:val="center"/>
              <w:rPr>
                <w:rFonts w:ascii="宋体" w:hAnsi="宋体" w:cs="宋体"/>
                <w:sz w:val="24"/>
                <w:highlight w:val="none"/>
              </w:rPr>
            </w:pPr>
            <w:r>
              <w:rPr>
                <w:rFonts w:hint="eastAsia" w:ascii="宋体" w:hAnsi="宋体" w:cs="宋体"/>
                <w:sz w:val="24"/>
                <w:highlight w:val="none"/>
              </w:rPr>
              <w:t xml:space="preserve">科研仪器设备</w:t>
            </w:r>
            <w:r>
              <w:rPr>
                <w:rFonts w:ascii="宋体" w:hAnsi="宋体" w:cs="宋体"/>
                <w:sz w:val="24"/>
                <w:highlight w:val="none"/>
              </w:rPr>
            </w:r>
            <w:r/>
          </w:p>
        </w:tc>
        <w:tc>
          <w:tcPr>
            <w:tcW w:w="3607" w:type="dxa"/>
            <w:vAlign w:val="center"/>
            <w:textDirection w:val="lrTb"/>
            <w:noWrap w:val="false"/>
          </w:tcPr>
          <w:p>
            <w:pPr>
              <w:pStyle w:val="1101"/>
              <w:rPr>
                <w:rFonts w:ascii="宋体" w:hAnsi="宋体" w:cs="宋体"/>
                <w:sz w:val="24"/>
                <w:highlight w:val="none"/>
              </w:rPr>
            </w:pPr>
            <w:r>
              <w:rPr>
                <w:rFonts w:hint="eastAsia" w:ascii="宋体" w:hAnsi="宋体" w:cs="宋体"/>
                <w:sz w:val="24"/>
                <w:highlight w:val="none"/>
              </w:rPr>
              <w:t xml:space="preserve">是否属于科研仪器设备采购项目：</w:t>
            </w:r>
            <w:r>
              <w:rPr>
                <w:rFonts w:ascii="宋体" w:hAnsi="宋体" w:cs="宋体"/>
                <w:sz w:val="24"/>
                <w:highlight w:val="none"/>
              </w:rPr>
            </w:r>
            <w:r/>
          </w:p>
          <w:p>
            <w:pPr>
              <w:pStyle w:val="1101"/>
              <w:rPr>
                <w:rFonts w:ascii="宋体" w:hAnsi="宋体" w:cs="宋体"/>
                <w:sz w:val="24"/>
                <w:highlight w:val="none"/>
              </w:rPr>
            </w:pPr>
            <w:r>
              <w:rPr>
                <w:rFonts w:hint="eastAsia" w:ascii="宋体" w:hAnsi="宋体" w:cs="宋体"/>
                <w:sz w:val="24"/>
                <w:highlight w:val="none"/>
              </w:rPr>
              <w:t xml:space="preserve">□是</w:t>
            </w:r>
            <w:r>
              <w:rPr>
                <w:rFonts w:ascii="宋体" w:hAnsi="宋体" w:cs="宋体"/>
                <w:sz w:val="24"/>
                <w:highlight w:val="none"/>
              </w:rPr>
            </w:r>
            <w:r/>
          </w:p>
          <w:p>
            <w:pPr>
              <w:pStyle w:val="1101"/>
              <w:rPr>
                <w:rFonts w:ascii="宋体" w:hAnsi="宋体" w:cs="宋体"/>
                <w:sz w:val="24"/>
                <w:highlight w:val="none"/>
              </w:rPr>
            </w:pPr>
            <w:r>
              <w:rPr>
                <w:rFonts w:hint="eastAsia" w:ascii="宋体" w:hAnsi="宋体" w:cs="宋体"/>
                <w:b/>
                <w:color w:val="000000"/>
                <w:sz w:val="24"/>
                <w:highlight w:val="none"/>
              </w:rPr>
              <w:t xml:space="preserve">■</w:t>
            </w:r>
            <w:r>
              <w:rPr>
                <w:rFonts w:hint="eastAsia" w:ascii="宋体" w:hAnsi="宋体" w:cs="宋体"/>
                <w:sz w:val="24"/>
                <w:highlight w:val="none"/>
              </w:rPr>
              <w:t xml:space="preserve">否</w:t>
            </w:r>
            <w:r>
              <w:rPr>
                <w:rFonts w:ascii="宋体" w:hAnsi="宋体" w:cs="宋体"/>
                <w:sz w:val="24"/>
                <w:highlight w:val="none"/>
              </w:rPr>
            </w:r>
            <w:r/>
          </w:p>
        </w:tc>
      </w:tr>
      <w:tr>
        <w:trPr>
          <w:trHeight w:val="1258"/>
        </w:trPr>
        <w:tc>
          <w:tcPr>
            <w:tcW w:w="546" w:type="dxa"/>
            <w:vAlign w:val="center"/>
            <w:textDirection w:val="lrTb"/>
            <w:noWrap w:val="false"/>
          </w:tcPr>
          <w:p>
            <w:pPr>
              <w:pStyle w:val="1138"/>
              <w:jc w:val="center"/>
              <w:rPr>
                <w:rFonts w:hAnsi="宋体" w:cs="宋体"/>
                <w:sz w:val="24"/>
                <w:szCs w:val="24"/>
                <w:highlight w:val="none"/>
              </w:rPr>
            </w:pPr>
            <w:r>
              <w:rPr>
                <w:rFonts w:hAnsi="宋体" w:cs="宋体"/>
                <w:sz w:val="24"/>
                <w:szCs w:val="24"/>
                <w:highlight w:val="none"/>
              </w:rPr>
              <w:t xml:space="preserve">2.4</w:t>
            </w:r>
            <w:r>
              <w:rPr>
                <w:rFonts w:hAnsi="宋体" w:cs="宋体"/>
                <w:sz w:val="24"/>
                <w:szCs w:val="24"/>
                <w:highlight w:val="none"/>
              </w:rPr>
            </w:r>
            <w:r/>
          </w:p>
        </w:tc>
        <w:tc>
          <w:tcPr>
            <w:tcW w:w="846" w:type="dxa"/>
            <w:vAlign w:val="center"/>
            <w:textDirection w:val="lrTb"/>
            <w:noWrap w:val="false"/>
          </w:tcPr>
          <w:p>
            <w:pPr>
              <w:pStyle w:val="1101"/>
              <w:jc w:val="center"/>
              <w:rPr>
                <w:rFonts w:ascii="宋体" w:hAnsi="宋体" w:cs="宋体"/>
                <w:sz w:val="24"/>
                <w:highlight w:val="none"/>
              </w:rPr>
            </w:pPr>
            <w:r>
              <w:rPr>
                <w:rFonts w:hint="eastAsia" w:ascii="宋体" w:hAnsi="宋体" w:cs="宋体"/>
                <w:sz w:val="24"/>
                <w:highlight w:val="none"/>
              </w:rPr>
              <w:t xml:space="preserve">核心产品</w:t>
            </w:r>
            <w:r>
              <w:rPr>
                <w:rFonts w:ascii="宋体" w:hAnsi="宋体" w:cs="宋体"/>
                <w:sz w:val="24"/>
                <w:highlight w:val="none"/>
              </w:rPr>
            </w:r>
            <w:r/>
          </w:p>
        </w:tc>
        <w:tc>
          <w:tcPr>
            <w:tcW w:w="3607" w:type="dxa"/>
            <w:vAlign w:val="center"/>
            <w:textDirection w:val="lrTb"/>
            <w:noWrap w:val="false"/>
          </w:tcPr>
          <w:p>
            <w:pPr>
              <w:pStyle w:val="1138"/>
              <w:rPr>
                <w:rFonts w:hAnsi="宋体" w:cs="宋体"/>
                <w:sz w:val="24"/>
                <w:szCs w:val="24"/>
                <w:highlight w:val="none"/>
              </w:rPr>
            </w:pPr>
            <w:r>
              <w:rPr>
                <w:rFonts w:hAnsi="宋体" w:cs="宋体"/>
                <w:sz w:val="24"/>
                <w:highlight w:val="none"/>
              </w:rPr>
              <w:t xml:space="preserve">□</w:t>
            </w:r>
            <w:r>
              <w:rPr>
                <w:rFonts w:hAnsi="宋体" w:cs="宋体"/>
                <w:sz w:val="24"/>
                <w:szCs w:val="24"/>
                <w:highlight w:val="none"/>
              </w:rPr>
              <w:t xml:space="preserve">关于核心产品本项目不适用。</w:t>
            </w:r>
            <w:r>
              <w:rPr>
                <w:rFonts w:hAnsi="宋体" w:cs="宋体"/>
                <w:sz w:val="24"/>
                <w:szCs w:val="24"/>
                <w:highlight w:val="none"/>
              </w:rPr>
            </w:r>
            <w:r/>
          </w:p>
          <w:p>
            <w:pPr>
              <w:pStyle w:val="1138"/>
              <w:rPr>
                <w:rFonts w:hAnsi="宋体" w:cs="宋体"/>
                <w:sz w:val="24"/>
                <w:szCs w:val="24"/>
                <w:highlight w:val="none"/>
              </w:rPr>
            </w:pPr>
            <w:r>
              <w:rPr>
                <w:rFonts w:hAnsi="宋体" w:cs="宋体"/>
                <w:sz w:val="24"/>
                <w:highlight w:val="none"/>
              </w:rPr>
              <w:t xml:space="preserve">□</w:t>
            </w:r>
            <w:r>
              <w:rPr>
                <w:rFonts w:hAnsi="宋体" w:cs="宋体"/>
                <w:sz w:val="24"/>
                <w:szCs w:val="24"/>
                <w:highlight w:val="none"/>
              </w:rPr>
              <w:t xml:space="preserve">本项目_/_包为单一产品采购项目。</w:t>
            </w:r>
            <w:r>
              <w:rPr>
                <w:rFonts w:hAnsi="宋体" w:cs="宋体"/>
                <w:sz w:val="24"/>
                <w:szCs w:val="24"/>
                <w:highlight w:val="none"/>
              </w:rPr>
            </w:r>
            <w:r/>
          </w:p>
          <w:p>
            <w:pPr>
              <w:pStyle w:val="1101"/>
              <w:rPr>
                <w:rFonts w:ascii="宋体" w:hAnsi="宋体" w:cs="宋体"/>
                <w:sz w:val="24"/>
                <w:highlight w:val="none"/>
                <w:u w:val="single"/>
              </w:rPr>
            </w:pPr>
            <w:r>
              <w:rPr>
                <w:rFonts w:hAnsi="宋体" w:cs="宋体"/>
                <w:b/>
                <w:color w:val="000000"/>
                <w:sz w:val="24"/>
                <w:highlight w:val="none"/>
              </w:rPr>
              <w:t xml:space="preserve">■</w:t>
            </w:r>
            <w:r>
              <w:rPr>
                <w:rFonts w:hint="eastAsia" w:ascii="宋体" w:hAnsi="宋体" w:cs="宋体"/>
                <w:sz w:val="24"/>
                <w:highlight w:val="none"/>
              </w:rPr>
              <w:t xml:space="preserve">本项目为非单一产品采购项目，核心产品为：</w:t>
            </w:r>
            <w:r>
              <w:rPr>
                <w:rFonts w:hint="eastAsia" w:ascii="宋体" w:hAnsi="宋体" w:cs="宋体"/>
                <w:sz w:val="24"/>
                <w:highlight w:val="none"/>
                <w:u w:val="single"/>
              </w:rPr>
              <w:t xml:space="preserve">机电一体化智能控制系统</w:t>
            </w:r>
            <w:r>
              <w:rPr>
                <w:rFonts w:ascii="宋体" w:hAnsi="宋体" w:cs="宋体"/>
                <w:sz w:val="24"/>
                <w:highlight w:val="none"/>
                <w:u w:val="single"/>
              </w:rPr>
            </w:r>
            <w:r/>
          </w:p>
        </w:tc>
      </w:tr>
      <w:tr>
        <w:trPr>
          <w:trHeight w:val="283"/>
        </w:trPr>
        <w:tc>
          <w:tcPr>
            <w:tcW w:w="546" w:type="dxa"/>
            <w:vAlign w:val="center"/>
            <w:vMerge w:val="restart"/>
            <w:textDirection w:val="lrTb"/>
            <w:noWrap w:val="false"/>
          </w:tcPr>
          <w:p>
            <w:pPr>
              <w:pStyle w:val="1138"/>
              <w:jc w:val="center"/>
              <w:rPr>
                <w:rFonts w:hAnsi="宋体" w:cs="宋体"/>
                <w:sz w:val="24"/>
                <w:szCs w:val="24"/>
                <w:highlight w:val="none"/>
              </w:rPr>
            </w:pPr>
            <w:r>
              <w:rPr>
                <w:rFonts w:hAnsi="宋体" w:cs="宋体"/>
                <w:sz w:val="24"/>
                <w:szCs w:val="24"/>
                <w:highlight w:val="none"/>
              </w:rPr>
              <w:t xml:space="preserve">3.1</w:t>
            </w:r>
            <w:r>
              <w:rPr>
                <w:rFonts w:hAnsi="宋体" w:cs="宋体"/>
                <w:sz w:val="24"/>
                <w:szCs w:val="24"/>
                <w:highlight w:val="none"/>
              </w:rPr>
            </w:r>
            <w:r/>
          </w:p>
        </w:tc>
        <w:tc>
          <w:tcPr>
            <w:tcW w:w="846" w:type="dxa"/>
            <w:vAlign w:val="center"/>
            <w:textDirection w:val="lrTb"/>
            <w:noWrap w:val="false"/>
          </w:tcPr>
          <w:p>
            <w:pPr>
              <w:pStyle w:val="1101"/>
              <w:jc w:val="center"/>
              <w:rPr>
                <w:rFonts w:ascii="宋体" w:hAnsi="宋体" w:cs="宋体"/>
                <w:sz w:val="24"/>
                <w:highlight w:val="none"/>
              </w:rPr>
            </w:pPr>
            <w:r>
              <w:rPr>
                <w:rFonts w:hint="eastAsia" w:ascii="宋体" w:hAnsi="宋体" w:cs="宋体"/>
                <w:sz w:val="24"/>
                <w:highlight w:val="none"/>
              </w:rPr>
              <w:t xml:space="preserve">现场考察</w:t>
            </w:r>
            <w:r>
              <w:rPr>
                <w:rFonts w:ascii="宋体" w:hAnsi="宋体" w:cs="宋体"/>
                <w:sz w:val="24"/>
                <w:highlight w:val="none"/>
              </w:rPr>
            </w:r>
            <w:r/>
          </w:p>
        </w:tc>
        <w:tc>
          <w:tcPr>
            <w:tcW w:w="3607" w:type="dxa"/>
            <w:vAlign w:val="center"/>
            <w:textDirection w:val="lrTb"/>
            <w:noWrap w:val="false"/>
          </w:tcPr>
          <w:p>
            <w:pPr>
              <w:pStyle w:val="1101"/>
              <w:rPr>
                <w:rFonts w:ascii="宋体" w:hAnsi="宋体" w:cs="宋体"/>
                <w:sz w:val="24"/>
                <w:highlight w:val="none"/>
              </w:rPr>
            </w:pPr>
            <w:r>
              <w:rPr>
                <w:rFonts w:hint="eastAsia" w:ascii="宋体" w:hAnsi="宋体" w:cs="宋体"/>
                <w:b/>
                <w:color w:val="000000"/>
                <w:sz w:val="24"/>
                <w:highlight w:val="none"/>
              </w:rPr>
              <w:t xml:space="preserve">■</w:t>
            </w:r>
            <w:r>
              <w:rPr>
                <w:rFonts w:hint="eastAsia" w:ascii="宋体" w:hAnsi="宋体" w:cs="宋体"/>
                <w:sz w:val="24"/>
                <w:highlight w:val="none"/>
              </w:rPr>
              <w:t xml:space="preserve">不组织</w:t>
            </w:r>
            <w:r>
              <w:rPr>
                <w:rFonts w:ascii="宋体" w:hAnsi="宋体" w:cs="宋体"/>
                <w:sz w:val="24"/>
                <w:highlight w:val="none"/>
              </w:rPr>
            </w:r>
            <w:r/>
          </w:p>
          <w:p>
            <w:pPr>
              <w:pStyle w:val="1101"/>
              <w:rPr>
                <w:rFonts w:ascii="宋体" w:hAnsi="宋体" w:cs="宋体"/>
                <w:bCs/>
                <w:sz w:val="24"/>
                <w:highlight w:val="none"/>
              </w:rPr>
            </w:pPr>
            <w:r>
              <w:rPr>
                <w:rFonts w:hint="eastAsia" w:ascii="宋体" w:hAnsi="宋体" w:cs="宋体"/>
                <w:sz w:val="24"/>
                <w:highlight w:val="none"/>
              </w:rPr>
              <w:t xml:space="preserve">□组织，考察时间：__年_月_日_</w:t>
            </w:r>
            <w:r>
              <w:rPr>
                <w:rFonts w:hint="eastAsia" w:ascii="宋体" w:hAnsi="宋体" w:cs="宋体"/>
                <w:bCs/>
                <w:sz w:val="24"/>
                <w:highlight w:val="none"/>
              </w:rPr>
              <w:t xml:space="preserve">点</w:t>
            </w:r>
            <w:r>
              <w:rPr>
                <w:rFonts w:hint="eastAsia" w:ascii="宋体" w:hAnsi="宋体" w:cs="宋体"/>
                <w:sz w:val="24"/>
                <w:highlight w:val="none"/>
              </w:rPr>
              <w:t xml:space="preserve">_</w:t>
            </w:r>
            <w:r>
              <w:rPr>
                <w:rFonts w:hint="eastAsia" w:ascii="宋体" w:hAnsi="宋体" w:cs="宋体"/>
                <w:bCs/>
                <w:sz w:val="24"/>
                <w:highlight w:val="none"/>
              </w:rPr>
              <w:t xml:space="preserve">分</w:t>
            </w:r>
            <w:r>
              <w:rPr>
                <w:rFonts w:ascii="宋体" w:hAnsi="宋体" w:cs="宋体"/>
                <w:bCs/>
                <w:sz w:val="24"/>
                <w:highlight w:val="none"/>
              </w:rPr>
            </w:r>
            <w:r/>
          </w:p>
          <w:p>
            <w:pPr>
              <w:pStyle w:val="1138"/>
              <w:rPr>
                <w:rFonts w:hAnsi="宋体" w:cs="宋体"/>
                <w:sz w:val="24"/>
                <w:szCs w:val="24"/>
                <w:highlight w:val="none"/>
              </w:rPr>
            </w:pPr>
            <w:r>
              <w:rPr>
                <w:rFonts w:hAnsi="宋体" w:cs="宋体"/>
                <w:sz w:val="24"/>
                <w:szCs w:val="24"/>
                <w:highlight w:val="none"/>
              </w:rPr>
              <w:t xml:space="preserve">考察地点：____________。</w:t>
            </w:r>
            <w:r>
              <w:rPr>
                <w:rFonts w:hAnsi="宋体" w:cs="宋体"/>
                <w:sz w:val="24"/>
                <w:szCs w:val="24"/>
                <w:highlight w:val="none"/>
              </w:rPr>
            </w:r>
            <w:r/>
          </w:p>
        </w:tc>
      </w:tr>
      <w:tr>
        <w:trPr>
          <w:trHeight w:val="283"/>
        </w:trPr>
        <w:tc>
          <w:tcPr>
            <w:tcW w:w="546" w:type="dxa"/>
            <w:vAlign w:val="center"/>
            <w:vMerge w:val="continue"/>
            <w:textDirection w:val="lrTb"/>
            <w:noWrap w:val="false"/>
          </w:tcPr>
          <w:p>
            <w:pPr>
              <w:pStyle w:val="1138"/>
              <w:jc w:val="center"/>
              <w:rPr>
                <w:rFonts w:hAnsi="宋体" w:cs="宋体"/>
                <w:sz w:val="24"/>
                <w:szCs w:val="24"/>
                <w:highlight w:val="none"/>
              </w:rPr>
            </w:pPr>
            <w:r>
              <w:rPr>
                <w:rFonts w:hAnsi="宋体" w:cs="宋体"/>
                <w:sz w:val="24"/>
                <w:szCs w:val="24"/>
                <w:highlight w:val="none"/>
              </w:rPr>
            </w:r>
            <w:r/>
          </w:p>
        </w:tc>
        <w:tc>
          <w:tcPr>
            <w:tcW w:w="846" w:type="dxa"/>
            <w:vAlign w:val="center"/>
            <w:textDirection w:val="lrTb"/>
            <w:noWrap w:val="false"/>
          </w:tcPr>
          <w:p>
            <w:pPr>
              <w:pStyle w:val="1101"/>
              <w:jc w:val="center"/>
              <w:rPr>
                <w:rFonts w:ascii="宋体" w:hAnsi="宋体" w:cs="宋体"/>
                <w:sz w:val="24"/>
                <w:highlight w:val="none"/>
              </w:rPr>
            </w:pPr>
            <w:r>
              <w:rPr>
                <w:rFonts w:hint="eastAsia" w:ascii="宋体" w:hAnsi="宋体" w:cs="宋体"/>
                <w:sz w:val="24"/>
                <w:highlight w:val="none"/>
              </w:rPr>
              <w:t xml:space="preserve">开标前答疑会</w:t>
            </w:r>
            <w:r>
              <w:rPr>
                <w:rFonts w:ascii="宋体" w:hAnsi="宋体" w:cs="宋体"/>
                <w:sz w:val="24"/>
                <w:highlight w:val="none"/>
              </w:rPr>
            </w:r>
            <w:r/>
          </w:p>
        </w:tc>
        <w:tc>
          <w:tcPr>
            <w:tcW w:w="3607" w:type="dxa"/>
            <w:vAlign w:val="center"/>
            <w:textDirection w:val="lrTb"/>
            <w:noWrap w:val="false"/>
          </w:tcPr>
          <w:p>
            <w:pPr>
              <w:pStyle w:val="1101"/>
              <w:rPr>
                <w:rFonts w:ascii="宋体" w:hAnsi="宋体" w:cs="宋体"/>
                <w:sz w:val="24"/>
                <w:highlight w:val="none"/>
              </w:rPr>
            </w:pPr>
            <w:r>
              <w:rPr>
                <w:rFonts w:hint="eastAsia" w:ascii="宋体" w:hAnsi="宋体" w:cs="宋体"/>
                <w:b/>
                <w:color w:val="000000"/>
                <w:sz w:val="24"/>
                <w:highlight w:val="none"/>
              </w:rPr>
              <w:t xml:space="preserve">■</w:t>
            </w:r>
            <w:r>
              <w:rPr>
                <w:rFonts w:hint="eastAsia" w:ascii="宋体" w:hAnsi="宋体" w:cs="宋体"/>
                <w:sz w:val="24"/>
                <w:highlight w:val="none"/>
              </w:rPr>
              <w:t xml:space="preserve">不召开</w:t>
            </w:r>
            <w:r>
              <w:rPr>
                <w:rFonts w:ascii="宋体" w:hAnsi="宋体" w:cs="宋体"/>
                <w:sz w:val="24"/>
                <w:highlight w:val="none"/>
              </w:rPr>
            </w:r>
            <w:r/>
          </w:p>
          <w:p>
            <w:pPr>
              <w:pStyle w:val="1101"/>
              <w:rPr>
                <w:rFonts w:ascii="宋体" w:hAnsi="宋体" w:cs="宋体"/>
                <w:sz w:val="24"/>
                <w:highlight w:val="none"/>
              </w:rPr>
            </w:pPr>
            <w:r>
              <w:rPr>
                <w:rFonts w:hint="eastAsia" w:ascii="宋体" w:hAnsi="宋体" w:cs="宋体"/>
                <w:sz w:val="24"/>
                <w:highlight w:val="none"/>
              </w:rPr>
              <w:t xml:space="preserve">□召开，召开时间：__年_月_日_</w:t>
            </w:r>
            <w:r>
              <w:rPr>
                <w:rFonts w:hint="eastAsia" w:ascii="宋体" w:hAnsi="宋体" w:cs="宋体"/>
                <w:bCs/>
                <w:sz w:val="24"/>
                <w:highlight w:val="none"/>
              </w:rPr>
              <w:t xml:space="preserve">点</w:t>
            </w:r>
            <w:r>
              <w:rPr>
                <w:rFonts w:hint="eastAsia" w:ascii="宋体" w:hAnsi="宋体" w:cs="宋体"/>
                <w:sz w:val="24"/>
                <w:highlight w:val="none"/>
              </w:rPr>
              <w:t xml:space="preserve">_</w:t>
            </w:r>
            <w:r>
              <w:rPr>
                <w:rFonts w:hint="eastAsia" w:ascii="宋体" w:hAnsi="宋体" w:cs="宋体"/>
                <w:bCs/>
                <w:sz w:val="24"/>
                <w:highlight w:val="none"/>
              </w:rPr>
              <w:t xml:space="preserve">分</w:t>
            </w:r>
            <w:r>
              <w:rPr>
                <w:rFonts w:ascii="宋体" w:hAnsi="宋体" w:cs="宋体"/>
                <w:sz w:val="24"/>
                <w:highlight w:val="none"/>
              </w:rPr>
            </w:r>
            <w:r/>
          </w:p>
          <w:p>
            <w:pPr>
              <w:pStyle w:val="1101"/>
              <w:rPr>
                <w:rFonts w:ascii="宋体" w:hAnsi="宋体" w:cs="宋体"/>
                <w:sz w:val="24"/>
                <w:highlight w:val="none"/>
              </w:rPr>
            </w:pPr>
            <w:r>
              <w:rPr>
                <w:rFonts w:hint="eastAsia" w:ascii="宋体" w:hAnsi="宋体" w:cs="宋体"/>
                <w:sz w:val="24"/>
                <w:highlight w:val="none"/>
              </w:rPr>
              <w:t xml:space="preserve">召开地点：____________。</w:t>
            </w:r>
            <w:r>
              <w:rPr>
                <w:rFonts w:ascii="宋体" w:hAnsi="宋体" w:cs="宋体"/>
                <w:sz w:val="24"/>
                <w:highlight w:val="none"/>
              </w:rPr>
            </w:r>
            <w:r/>
          </w:p>
        </w:tc>
      </w:tr>
      <w:tr>
        <w:trPr>
          <w:trHeight w:val="283"/>
        </w:trPr>
        <w:tc>
          <w:tcPr>
            <w:tcW w:w="546" w:type="dxa"/>
            <w:vAlign w:val="center"/>
            <w:textDirection w:val="lrTb"/>
            <w:noWrap w:val="false"/>
          </w:tcPr>
          <w:p>
            <w:pPr>
              <w:pStyle w:val="1138"/>
              <w:jc w:val="center"/>
              <w:rPr>
                <w:rFonts w:hAnsi="宋体" w:cs="宋体"/>
                <w:sz w:val="24"/>
                <w:szCs w:val="24"/>
                <w:highlight w:val="none"/>
              </w:rPr>
            </w:pPr>
            <w:r>
              <w:rPr>
                <w:rFonts w:hAnsi="宋体" w:cs="宋体"/>
                <w:sz w:val="24"/>
                <w:szCs w:val="24"/>
                <w:highlight w:val="none"/>
              </w:rPr>
              <w:t xml:space="preserve">4.1</w:t>
            </w:r>
            <w:r>
              <w:rPr>
                <w:rFonts w:hAnsi="宋体" w:cs="宋体"/>
                <w:sz w:val="24"/>
                <w:szCs w:val="24"/>
                <w:highlight w:val="none"/>
              </w:rPr>
            </w:r>
            <w:r/>
          </w:p>
        </w:tc>
        <w:tc>
          <w:tcPr>
            <w:tcW w:w="846" w:type="dxa"/>
            <w:vAlign w:val="center"/>
            <w:textDirection w:val="lrTb"/>
            <w:noWrap w:val="false"/>
          </w:tcPr>
          <w:p>
            <w:pPr>
              <w:pStyle w:val="1101"/>
              <w:jc w:val="center"/>
              <w:rPr>
                <w:rFonts w:ascii="宋体" w:hAnsi="宋体" w:cs="宋体"/>
                <w:sz w:val="24"/>
                <w:highlight w:val="none"/>
              </w:rPr>
            </w:pPr>
            <w:r>
              <w:rPr>
                <w:rFonts w:hint="eastAsia" w:ascii="宋体" w:hAnsi="宋体" w:cs="宋体"/>
                <w:sz w:val="24"/>
                <w:highlight w:val="none"/>
              </w:rPr>
              <w:t xml:space="preserve">样品</w:t>
            </w:r>
            <w:r>
              <w:rPr>
                <w:rFonts w:ascii="宋体" w:hAnsi="宋体" w:cs="宋体"/>
                <w:sz w:val="24"/>
                <w:highlight w:val="none"/>
              </w:rPr>
            </w:r>
            <w:r/>
          </w:p>
        </w:tc>
        <w:tc>
          <w:tcPr>
            <w:tcW w:w="3607" w:type="dxa"/>
            <w:vAlign w:val="center"/>
            <w:textDirection w:val="lrTb"/>
            <w:noWrap w:val="false"/>
          </w:tcPr>
          <w:p>
            <w:pPr>
              <w:pStyle w:val="1101"/>
              <w:rPr>
                <w:rFonts w:ascii="宋体" w:hAnsi="宋体" w:cs="宋体"/>
                <w:sz w:val="24"/>
                <w:highlight w:val="none"/>
              </w:rPr>
            </w:pPr>
            <w:r>
              <w:rPr>
                <w:rFonts w:hint="eastAsia" w:ascii="宋体" w:hAnsi="宋体" w:cs="宋体"/>
                <w:sz w:val="24"/>
                <w:highlight w:val="none"/>
              </w:rPr>
              <w:t xml:space="preserve">投标样品递交：</w:t>
            </w:r>
            <w:r>
              <w:rPr>
                <w:rFonts w:ascii="宋体" w:hAnsi="宋体" w:cs="宋体"/>
                <w:sz w:val="24"/>
                <w:highlight w:val="none"/>
              </w:rPr>
            </w:r>
            <w:r/>
          </w:p>
          <w:p>
            <w:pPr>
              <w:pStyle w:val="1101"/>
              <w:rPr>
                <w:rFonts w:ascii="宋体" w:hAnsi="宋体" w:cs="宋体"/>
                <w:sz w:val="24"/>
                <w:highlight w:val="none"/>
              </w:rPr>
            </w:pPr>
            <w:r>
              <w:rPr>
                <w:rFonts w:hint="eastAsia" w:ascii="宋体" w:hAnsi="宋体" w:cs="宋体"/>
                <w:b/>
                <w:color w:val="000000"/>
                <w:sz w:val="24"/>
                <w:highlight w:val="none"/>
              </w:rPr>
              <w:t xml:space="preserve">■</w:t>
            </w:r>
            <w:r>
              <w:rPr>
                <w:rFonts w:hint="eastAsia" w:ascii="宋体" w:hAnsi="宋体" w:cs="宋体"/>
                <w:sz w:val="24"/>
                <w:highlight w:val="none"/>
              </w:rPr>
              <w:t xml:space="preserve">不需要</w:t>
            </w:r>
            <w:r>
              <w:rPr>
                <w:rFonts w:ascii="宋体" w:hAnsi="宋体" w:cs="宋体"/>
                <w:sz w:val="24"/>
                <w:highlight w:val="none"/>
              </w:rPr>
            </w:r>
            <w:r/>
          </w:p>
          <w:p>
            <w:pPr>
              <w:pStyle w:val="1101"/>
              <w:rPr>
                <w:rFonts w:ascii="宋体" w:hAnsi="宋体" w:cs="宋体"/>
                <w:sz w:val="24"/>
                <w:highlight w:val="none"/>
              </w:rPr>
            </w:pPr>
            <w:r>
              <w:rPr>
                <w:rFonts w:hint="eastAsia" w:ascii="宋体" w:hAnsi="宋体" w:cs="宋体"/>
                <w:sz w:val="24"/>
                <w:highlight w:val="none"/>
              </w:rPr>
              <w:t xml:space="preserve">□需要，具体要求如下：</w:t>
            </w:r>
            <w:r>
              <w:rPr>
                <w:rFonts w:ascii="宋体" w:hAnsi="宋体" w:cs="宋体"/>
                <w:sz w:val="24"/>
                <w:highlight w:val="none"/>
              </w:rPr>
            </w:r>
            <w:r/>
          </w:p>
          <w:p>
            <w:pPr>
              <w:pStyle w:val="1101"/>
              <w:rPr>
                <w:rFonts w:ascii="宋体" w:hAnsi="宋体" w:cs="宋体"/>
                <w:sz w:val="24"/>
                <w:highlight w:val="none"/>
                <w:u w:val="single"/>
              </w:rPr>
            </w:pPr>
            <w:r>
              <w:rPr>
                <w:rFonts w:hint="eastAsia" w:ascii="宋体" w:hAnsi="宋体" w:cs="宋体"/>
                <w:sz w:val="24"/>
                <w:highlight w:val="none"/>
              </w:rPr>
              <w:t xml:space="preserve">（1）样品制作的标准和要求：_________；</w:t>
            </w:r>
            <w:r>
              <w:rPr>
                <w:rFonts w:ascii="宋体" w:hAnsi="宋体" w:cs="宋体"/>
                <w:sz w:val="24"/>
                <w:highlight w:val="none"/>
                <w:u w:val="single"/>
              </w:rPr>
            </w:r>
            <w:r/>
          </w:p>
          <w:p>
            <w:pPr>
              <w:pStyle w:val="1101"/>
              <w:rPr>
                <w:rFonts w:ascii="宋体" w:hAnsi="宋体" w:cs="宋体"/>
                <w:sz w:val="24"/>
                <w:highlight w:val="none"/>
              </w:rPr>
            </w:pPr>
            <w:r>
              <w:rPr>
                <w:rFonts w:hint="eastAsia" w:ascii="宋体" w:hAnsi="宋体" w:cs="宋体"/>
                <w:sz w:val="24"/>
                <w:highlight w:val="none"/>
              </w:rPr>
              <w:t xml:space="preserve">（2）是否需要随样品提交相关检测报告：</w:t>
            </w:r>
            <w:r>
              <w:rPr>
                <w:rFonts w:ascii="宋体" w:hAnsi="宋体" w:cs="宋体"/>
                <w:sz w:val="24"/>
                <w:highlight w:val="none"/>
              </w:rPr>
            </w:r>
            <w:r/>
          </w:p>
          <w:p>
            <w:pPr>
              <w:pStyle w:val="1101"/>
              <w:ind w:firstLine="600"/>
              <w:rPr>
                <w:rFonts w:ascii="宋体" w:hAnsi="宋体" w:cs="宋体"/>
                <w:sz w:val="24"/>
                <w:highlight w:val="none"/>
              </w:rPr>
            </w:pPr>
            <w:r>
              <w:rPr>
                <w:rFonts w:hint="eastAsia" w:ascii="宋体" w:hAnsi="宋体" w:cs="宋体"/>
                <w:sz w:val="24"/>
                <w:highlight w:val="none"/>
              </w:rPr>
              <w:t xml:space="preserve">□不需要</w:t>
            </w:r>
            <w:r>
              <w:rPr>
                <w:rFonts w:ascii="宋体" w:hAnsi="宋体" w:cs="宋体"/>
                <w:sz w:val="24"/>
                <w:highlight w:val="none"/>
              </w:rPr>
            </w:r>
            <w:r/>
          </w:p>
          <w:p>
            <w:pPr>
              <w:pStyle w:val="1101"/>
              <w:ind w:firstLine="600"/>
              <w:rPr>
                <w:rFonts w:ascii="宋体" w:hAnsi="宋体" w:cs="宋体"/>
                <w:sz w:val="24"/>
                <w:highlight w:val="none"/>
              </w:rPr>
            </w:pPr>
            <w:r>
              <w:rPr>
                <w:rFonts w:hint="eastAsia" w:ascii="宋体" w:hAnsi="宋体" w:cs="宋体"/>
                <w:sz w:val="24"/>
                <w:highlight w:val="none"/>
              </w:rPr>
              <w:t xml:space="preserve">□需要</w:t>
            </w:r>
            <w:r>
              <w:rPr>
                <w:rFonts w:ascii="宋体" w:hAnsi="宋体" w:cs="宋体"/>
                <w:sz w:val="24"/>
                <w:highlight w:val="none"/>
              </w:rPr>
            </w:r>
            <w:r/>
          </w:p>
          <w:p>
            <w:pPr>
              <w:pStyle w:val="1101"/>
              <w:rPr>
                <w:rFonts w:ascii="宋体" w:hAnsi="宋体" w:cs="宋体"/>
                <w:sz w:val="24"/>
                <w:highlight w:val="none"/>
              </w:rPr>
            </w:pPr>
            <w:r>
              <w:rPr>
                <w:rFonts w:hint="eastAsia" w:ascii="宋体" w:hAnsi="宋体" w:cs="宋体"/>
                <w:sz w:val="24"/>
                <w:highlight w:val="none"/>
              </w:rPr>
              <w:t xml:space="preserve">（3）样品递交要求：_________；</w:t>
            </w:r>
            <w:r>
              <w:rPr>
                <w:rFonts w:ascii="宋体" w:hAnsi="宋体" w:cs="宋体"/>
                <w:sz w:val="24"/>
                <w:highlight w:val="none"/>
              </w:rPr>
            </w:r>
            <w:r/>
          </w:p>
          <w:p>
            <w:pPr>
              <w:pStyle w:val="1101"/>
              <w:rPr>
                <w:rFonts w:ascii="宋体" w:hAnsi="宋体" w:cs="宋体"/>
                <w:sz w:val="24"/>
                <w:highlight w:val="none"/>
              </w:rPr>
            </w:pPr>
            <w:r>
              <w:rPr>
                <w:rFonts w:hint="eastAsia" w:ascii="宋体" w:hAnsi="宋体" w:cs="宋体"/>
                <w:sz w:val="24"/>
                <w:highlight w:val="none"/>
              </w:rPr>
              <w:t xml:space="preserve">（4）未中标人样品退还：_________；</w:t>
            </w:r>
            <w:r>
              <w:rPr>
                <w:rFonts w:ascii="宋体" w:hAnsi="宋体" w:cs="宋体"/>
                <w:sz w:val="24"/>
                <w:highlight w:val="none"/>
              </w:rPr>
            </w:r>
            <w:r/>
          </w:p>
          <w:p>
            <w:pPr>
              <w:pStyle w:val="1101"/>
              <w:rPr>
                <w:rFonts w:ascii="宋体" w:hAnsi="宋体" w:cs="宋体"/>
                <w:sz w:val="24"/>
                <w:highlight w:val="none"/>
                <w:u w:val="single"/>
              </w:rPr>
            </w:pPr>
            <w:r>
              <w:rPr>
                <w:rFonts w:hint="eastAsia" w:ascii="宋体" w:hAnsi="宋体" w:cs="宋体"/>
                <w:sz w:val="24"/>
                <w:highlight w:val="none"/>
              </w:rPr>
              <w:t xml:space="preserve">（5）中标人样品保管、封存及退还：_________；</w:t>
            </w:r>
            <w:r>
              <w:rPr>
                <w:rFonts w:ascii="宋体" w:hAnsi="宋体" w:cs="宋体"/>
                <w:sz w:val="24"/>
                <w:highlight w:val="none"/>
                <w:u w:val="single"/>
              </w:rPr>
            </w:r>
            <w:r/>
          </w:p>
          <w:p>
            <w:pPr>
              <w:pStyle w:val="1101"/>
              <w:rPr>
                <w:rFonts w:ascii="宋体" w:hAnsi="宋体" w:cs="宋体"/>
                <w:sz w:val="24"/>
                <w:highlight w:val="none"/>
              </w:rPr>
            </w:pPr>
            <w:r>
              <w:rPr>
                <w:rFonts w:hint="eastAsia" w:ascii="宋体" w:hAnsi="宋体" w:cs="宋体"/>
                <w:sz w:val="24"/>
                <w:highlight w:val="none"/>
              </w:rPr>
              <w:t xml:space="preserve">（6）其他要求（如有）：_________。</w:t>
            </w:r>
            <w:r>
              <w:rPr>
                <w:rFonts w:ascii="宋体" w:hAnsi="宋体" w:cs="宋体"/>
                <w:sz w:val="24"/>
                <w:highlight w:val="none"/>
              </w:rPr>
            </w:r>
            <w:r/>
          </w:p>
        </w:tc>
      </w:tr>
      <w:tr>
        <w:trPr>
          <w:trHeight w:val="283"/>
        </w:trPr>
        <w:tc>
          <w:tcPr>
            <w:tcW w:w="546" w:type="dxa"/>
            <w:vAlign w:val="center"/>
            <w:textDirection w:val="lrTb"/>
            <w:noWrap w:val="false"/>
          </w:tcPr>
          <w:p>
            <w:pPr>
              <w:pStyle w:val="1138"/>
              <w:jc w:val="center"/>
              <w:rPr>
                <w:rFonts w:hAnsi="宋体" w:cs="宋体"/>
                <w:sz w:val="24"/>
                <w:szCs w:val="24"/>
                <w:highlight w:val="none"/>
              </w:rPr>
            </w:pPr>
            <w:r>
              <w:rPr>
                <w:rFonts w:hAnsi="宋体" w:cs="宋体"/>
                <w:sz w:val="24"/>
                <w:szCs w:val="24"/>
                <w:highlight w:val="none"/>
              </w:rPr>
              <w:t xml:space="preserve">5.2.5</w:t>
            </w:r>
            <w:r>
              <w:rPr>
                <w:rFonts w:hAnsi="宋体" w:cs="宋体"/>
                <w:sz w:val="24"/>
                <w:szCs w:val="24"/>
                <w:highlight w:val="none"/>
              </w:rPr>
            </w:r>
            <w:r/>
          </w:p>
        </w:tc>
        <w:tc>
          <w:tcPr>
            <w:tcW w:w="846" w:type="dxa"/>
            <w:vAlign w:val="center"/>
            <w:textDirection w:val="lrTb"/>
            <w:noWrap w:val="false"/>
          </w:tcPr>
          <w:p>
            <w:pPr>
              <w:pStyle w:val="1101"/>
              <w:jc w:val="center"/>
              <w:rPr>
                <w:rFonts w:ascii="宋体" w:hAnsi="宋体" w:cs="宋体"/>
                <w:sz w:val="24"/>
                <w:highlight w:val="none"/>
              </w:rPr>
            </w:pPr>
            <w:r>
              <w:rPr>
                <w:rFonts w:hint="eastAsia" w:ascii="宋体" w:hAnsi="宋体" w:cs="宋体"/>
                <w:sz w:val="24"/>
                <w:highlight w:val="none"/>
              </w:rPr>
              <w:t xml:space="preserve">标的所属行业</w:t>
            </w:r>
            <w:r>
              <w:rPr>
                <w:rFonts w:ascii="宋体" w:hAnsi="宋体" w:cs="宋体"/>
                <w:sz w:val="24"/>
                <w:highlight w:val="none"/>
              </w:rPr>
            </w:r>
            <w:r/>
          </w:p>
        </w:tc>
        <w:tc>
          <w:tcPr>
            <w:tcW w:w="3607" w:type="dxa"/>
            <w:vAlign w:val="center"/>
            <w:textDirection w:val="lrTb"/>
            <w:noWrap w:val="false"/>
          </w:tcPr>
          <w:p>
            <w:pPr>
              <w:pStyle w:val="1101"/>
              <w:rPr>
                <w:rFonts w:hint="eastAsia" w:ascii="宋体" w:hAnsi="宋体" w:cs="宋体"/>
                <w:sz w:val="24"/>
                <w:highlight w:val="none"/>
              </w:rPr>
            </w:pPr>
            <w:r>
              <w:rPr>
                <w:rFonts w:hint="eastAsia" w:ascii="宋体" w:hAnsi="宋体" w:cs="宋体"/>
                <w:sz w:val="24"/>
                <w:highlight w:val="none"/>
              </w:rPr>
              <w:t xml:space="preserve">本项目采购标的对应的中小企业划分标准所属行业：</w:t>
            </w:r>
            <w:r>
              <w:rPr>
                <w:rFonts w:hint="eastAsia" w:ascii="宋体" w:hAnsi="宋体" w:cs="宋体"/>
                <w:b/>
                <w:bCs/>
                <w:sz w:val="24"/>
                <w:highlight w:val="none"/>
                <w:u w:val="single"/>
              </w:rPr>
              <w:t xml:space="preserve">工业</w:t>
            </w:r>
            <w:r>
              <w:rPr>
                <w:rFonts w:hint="eastAsia" w:ascii="宋体" w:hAnsi="宋体" w:cs="宋体"/>
                <w:sz w:val="24"/>
                <w:highlight w:val="none"/>
              </w:rPr>
            </w:r>
            <w:r/>
          </w:p>
        </w:tc>
      </w:tr>
      <w:tr>
        <w:trPr>
          <w:trHeight w:val="283"/>
        </w:trPr>
        <w:tc>
          <w:tcPr>
            <w:tcW w:w="546" w:type="dxa"/>
            <w:vAlign w:val="center"/>
            <w:textDirection w:val="lrTb"/>
            <w:noWrap w:val="false"/>
          </w:tcPr>
          <w:p>
            <w:pPr>
              <w:pStyle w:val="1138"/>
              <w:jc w:val="center"/>
              <w:rPr>
                <w:rFonts w:hAnsi="宋体" w:cs="宋体"/>
                <w:sz w:val="24"/>
                <w:szCs w:val="24"/>
                <w:highlight w:val="none"/>
              </w:rPr>
            </w:pPr>
            <w:r>
              <w:rPr>
                <w:rFonts w:hAnsi="宋体" w:cs="宋体"/>
                <w:sz w:val="24"/>
                <w:szCs w:val="24"/>
                <w:highlight w:val="none"/>
              </w:rPr>
              <w:t xml:space="preserve">11.2</w:t>
            </w:r>
            <w:r>
              <w:rPr>
                <w:rFonts w:hAnsi="宋体" w:cs="宋体"/>
                <w:sz w:val="24"/>
                <w:szCs w:val="24"/>
                <w:highlight w:val="none"/>
              </w:rPr>
            </w:r>
            <w:r/>
          </w:p>
        </w:tc>
        <w:tc>
          <w:tcPr>
            <w:tcW w:w="846" w:type="dxa"/>
            <w:vAlign w:val="center"/>
            <w:textDirection w:val="lrTb"/>
            <w:noWrap w:val="false"/>
          </w:tcPr>
          <w:p>
            <w:pPr>
              <w:pStyle w:val="1101"/>
              <w:jc w:val="center"/>
              <w:rPr>
                <w:rFonts w:ascii="宋体" w:hAnsi="宋体" w:cs="宋体"/>
                <w:sz w:val="24"/>
                <w:highlight w:val="none"/>
              </w:rPr>
            </w:pPr>
            <w:r>
              <w:rPr>
                <w:rFonts w:hint="eastAsia" w:ascii="宋体" w:hAnsi="宋体" w:cs="宋体"/>
                <w:sz w:val="24"/>
                <w:highlight w:val="none"/>
              </w:rPr>
              <w:t xml:space="preserve">投标报价</w:t>
            </w:r>
            <w:r>
              <w:rPr>
                <w:rFonts w:ascii="宋体" w:hAnsi="宋体" w:cs="宋体"/>
                <w:sz w:val="24"/>
                <w:highlight w:val="none"/>
              </w:rPr>
            </w:r>
            <w:r/>
          </w:p>
        </w:tc>
        <w:tc>
          <w:tcPr>
            <w:tcW w:w="3607" w:type="dxa"/>
            <w:vAlign w:val="center"/>
            <w:textDirection w:val="lrTb"/>
            <w:noWrap w:val="false"/>
          </w:tcPr>
          <w:p>
            <w:pPr>
              <w:pStyle w:val="1101"/>
              <w:rPr>
                <w:rFonts w:ascii="宋体" w:hAnsi="宋体" w:cs="宋体"/>
                <w:sz w:val="24"/>
                <w:highlight w:val="none"/>
              </w:rPr>
            </w:pPr>
            <w:r>
              <w:rPr>
                <w:rFonts w:hint="eastAsia" w:ascii="宋体" w:hAnsi="宋体" w:cs="宋体"/>
                <w:sz w:val="24"/>
                <w:highlight w:val="none"/>
              </w:rPr>
              <w:t xml:space="preserve">投标报价的特殊规定：</w:t>
            </w:r>
            <w:r>
              <w:rPr>
                <w:rFonts w:ascii="宋体" w:hAnsi="宋体" w:cs="宋体"/>
                <w:sz w:val="24"/>
                <w:highlight w:val="none"/>
              </w:rPr>
            </w:r>
            <w:r/>
          </w:p>
          <w:p>
            <w:pPr>
              <w:pStyle w:val="1101"/>
              <w:rPr>
                <w:rFonts w:ascii="宋体" w:hAnsi="宋体" w:cs="宋体"/>
                <w:sz w:val="24"/>
                <w:highlight w:val="none"/>
              </w:rPr>
            </w:pPr>
            <w:r>
              <w:rPr>
                <w:rFonts w:hint="eastAsia" w:ascii="宋体" w:hAnsi="宋体" w:cs="宋体"/>
                <w:b/>
                <w:color w:val="000000"/>
                <w:sz w:val="24"/>
                <w:highlight w:val="none"/>
              </w:rPr>
              <w:t xml:space="preserve">■</w:t>
            </w:r>
            <w:r>
              <w:rPr>
                <w:rFonts w:hint="eastAsia" w:ascii="宋体" w:hAnsi="宋体" w:cs="宋体"/>
                <w:sz w:val="24"/>
                <w:highlight w:val="none"/>
              </w:rPr>
              <w:t xml:space="preserve">无</w:t>
            </w:r>
            <w:r>
              <w:rPr>
                <w:rFonts w:ascii="宋体" w:hAnsi="宋体" w:cs="宋体"/>
                <w:sz w:val="24"/>
                <w:highlight w:val="none"/>
              </w:rPr>
            </w:r>
            <w:r/>
          </w:p>
          <w:p>
            <w:pPr>
              <w:pStyle w:val="1101"/>
              <w:rPr>
                <w:rFonts w:ascii="宋体" w:hAnsi="宋体" w:cs="宋体"/>
                <w:sz w:val="24"/>
                <w:highlight w:val="none"/>
              </w:rPr>
            </w:pPr>
            <w:r>
              <w:rPr>
                <w:rFonts w:hint="eastAsia" w:ascii="宋体" w:hAnsi="宋体" w:cs="宋体"/>
                <w:sz w:val="24"/>
                <w:highlight w:val="none"/>
              </w:rPr>
              <w:t xml:space="preserve">□有，具体情形：_____。</w:t>
            </w:r>
            <w:r>
              <w:rPr>
                <w:rFonts w:ascii="宋体" w:hAnsi="宋体" w:cs="宋体"/>
                <w:sz w:val="24"/>
                <w:highlight w:val="none"/>
              </w:rPr>
            </w:r>
            <w:r/>
          </w:p>
        </w:tc>
      </w:tr>
      <w:tr>
        <w:trPr>
          <w:trHeight w:val="283"/>
        </w:trPr>
        <w:tc>
          <w:tcPr>
            <w:tcW w:w="546" w:type="dxa"/>
            <w:vAlign w:val="center"/>
            <w:textDirection w:val="lrTb"/>
            <w:noWrap w:val="false"/>
          </w:tcPr>
          <w:p>
            <w:pPr>
              <w:pStyle w:val="1138"/>
              <w:jc w:val="center"/>
              <w:rPr>
                <w:rFonts w:hAnsi="宋体" w:cs="宋体"/>
                <w:sz w:val="24"/>
                <w:szCs w:val="24"/>
                <w:highlight w:val="none"/>
              </w:rPr>
            </w:pPr>
            <w:r>
              <w:rPr>
                <w:rFonts w:hAnsi="宋体" w:cs="宋体"/>
                <w:sz w:val="24"/>
                <w:szCs w:val="24"/>
                <w:highlight w:val="none"/>
              </w:rPr>
              <w:t xml:space="preserve">12</w:t>
            </w:r>
            <w:r>
              <w:rPr>
                <w:rFonts w:hAnsi="宋体" w:cs="宋体"/>
                <w:sz w:val="24"/>
                <w:szCs w:val="24"/>
                <w:highlight w:val="none"/>
              </w:rPr>
            </w:r>
            <w:r/>
          </w:p>
        </w:tc>
        <w:tc>
          <w:tcPr>
            <w:tcW w:w="846" w:type="dxa"/>
            <w:vAlign w:val="center"/>
            <w:textDirection w:val="lrTb"/>
            <w:noWrap w:val="false"/>
          </w:tcPr>
          <w:p>
            <w:pPr>
              <w:pStyle w:val="1101"/>
              <w:jc w:val="center"/>
              <w:rPr>
                <w:rFonts w:ascii="宋体" w:hAnsi="宋体" w:cs="宋体"/>
                <w:sz w:val="24"/>
                <w:highlight w:val="none"/>
              </w:rPr>
            </w:pPr>
            <w:r>
              <w:rPr>
                <w:rFonts w:hint="eastAsia" w:ascii="宋体" w:hAnsi="宋体" w:cs="宋体"/>
                <w:sz w:val="24"/>
                <w:highlight w:val="none"/>
              </w:rPr>
              <w:t xml:space="preserve">投标保证金</w:t>
            </w:r>
            <w:r>
              <w:rPr>
                <w:rFonts w:ascii="宋体" w:hAnsi="宋体" w:cs="宋体"/>
                <w:sz w:val="24"/>
                <w:highlight w:val="none"/>
              </w:rPr>
            </w:r>
            <w:r/>
          </w:p>
        </w:tc>
        <w:tc>
          <w:tcPr>
            <w:tcW w:w="3607" w:type="dxa"/>
            <w:vAlign w:val="center"/>
            <w:textDirection w:val="lrTb"/>
            <w:noWrap w:val="false"/>
          </w:tcPr>
          <w:p>
            <w:pPr>
              <w:pStyle w:val="1101"/>
              <w:rPr>
                <w:rFonts w:ascii="宋体" w:hAnsi="宋体" w:cs="宋体"/>
                <w:sz w:val="24"/>
                <w:highlight w:val="none"/>
              </w:rPr>
            </w:pPr>
            <w:r>
              <w:rPr>
                <w:rFonts w:hint="eastAsia" w:ascii="宋体" w:hAnsi="宋体" w:cs="宋体"/>
                <w:sz w:val="24"/>
                <w:highlight w:val="none"/>
              </w:rPr>
              <w:t xml:space="preserve">免收</w:t>
            </w:r>
            <w:r>
              <w:rPr>
                <w:rFonts w:ascii="宋体" w:hAnsi="宋体" w:cs="宋体"/>
                <w:sz w:val="24"/>
                <w:highlight w:val="none"/>
              </w:rPr>
            </w:r>
            <w:r/>
          </w:p>
        </w:tc>
      </w:tr>
      <w:tr>
        <w:trPr>
          <w:trHeight w:val="283"/>
        </w:trPr>
        <w:tc>
          <w:tcPr>
            <w:tcW w:w="546" w:type="dxa"/>
            <w:vAlign w:val="center"/>
            <w:textDirection w:val="lrTb"/>
            <w:noWrap w:val="false"/>
          </w:tcPr>
          <w:p>
            <w:pPr>
              <w:pStyle w:val="1138"/>
              <w:jc w:val="center"/>
              <w:rPr>
                <w:rFonts w:hAnsi="宋体" w:cs="宋体"/>
                <w:sz w:val="24"/>
                <w:szCs w:val="24"/>
                <w:highlight w:val="none"/>
              </w:rPr>
            </w:pPr>
            <w:r>
              <w:rPr>
                <w:rFonts w:hAnsi="宋体" w:cs="宋体"/>
                <w:sz w:val="24"/>
                <w:szCs w:val="24"/>
                <w:highlight w:val="none"/>
              </w:rPr>
              <w:t xml:space="preserve">13.1</w:t>
            </w:r>
            <w:r>
              <w:rPr>
                <w:rFonts w:hAnsi="宋体" w:cs="宋体"/>
                <w:sz w:val="24"/>
                <w:szCs w:val="24"/>
                <w:highlight w:val="none"/>
              </w:rPr>
            </w:r>
            <w:r/>
          </w:p>
        </w:tc>
        <w:tc>
          <w:tcPr>
            <w:tcW w:w="846" w:type="dxa"/>
            <w:vAlign w:val="center"/>
            <w:textDirection w:val="lrTb"/>
            <w:noWrap w:val="false"/>
          </w:tcPr>
          <w:p>
            <w:pPr>
              <w:pStyle w:val="1101"/>
              <w:jc w:val="center"/>
              <w:rPr>
                <w:rFonts w:ascii="宋体" w:hAnsi="宋体" w:cs="宋体"/>
                <w:sz w:val="24"/>
                <w:highlight w:val="none"/>
              </w:rPr>
            </w:pPr>
            <w:r>
              <w:rPr>
                <w:rFonts w:hint="eastAsia" w:ascii="宋体" w:hAnsi="宋体" w:cs="宋体"/>
                <w:sz w:val="24"/>
                <w:highlight w:val="none"/>
              </w:rPr>
              <w:t xml:space="preserve">投标有效期</w:t>
            </w:r>
            <w:r>
              <w:rPr>
                <w:rFonts w:ascii="宋体" w:hAnsi="宋体" w:cs="宋体"/>
                <w:sz w:val="24"/>
                <w:highlight w:val="none"/>
              </w:rPr>
            </w:r>
            <w:r/>
          </w:p>
        </w:tc>
        <w:tc>
          <w:tcPr>
            <w:tcW w:w="3607" w:type="dxa"/>
            <w:vAlign w:val="center"/>
            <w:textDirection w:val="lrTb"/>
            <w:noWrap w:val="false"/>
          </w:tcPr>
          <w:p>
            <w:pPr>
              <w:pStyle w:val="1101"/>
              <w:rPr>
                <w:rFonts w:ascii="宋体" w:hAnsi="宋体" w:cs="宋体"/>
                <w:sz w:val="24"/>
                <w:highlight w:val="none"/>
              </w:rPr>
            </w:pPr>
            <w:r>
              <w:rPr>
                <w:rFonts w:hint="eastAsia" w:ascii="宋体" w:hAnsi="宋体" w:cs="宋体"/>
                <w:sz w:val="24"/>
                <w:highlight w:val="none"/>
              </w:rPr>
              <w:t xml:space="preserve">自提交投标文件的截止之日起算60日历天。</w:t>
            </w:r>
            <w:r>
              <w:rPr>
                <w:rFonts w:ascii="宋体" w:hAnsi="宋体" w:cs="宋体"/>
                <w:sz w:val="24"/>
                <w:highlight w:val="none"/>
              </w:rPr>
            </w:r>
            <w:r/>
          </w:p>
        </w:tc>
      </w:tr>
      <w:tr>
        <w:trPr>
          <w:trHeight w:val="283"/>
        </w:trPr>
        <w:tc>
          <w:tcPr>
            <w:tcW w:w="546" w:type="dxa"/>
            <w:vAlign w:val="center"/>
            <w:textDirection w:val="lrTb"/>
            <w:noWrap w:val="false"/>
          </w:tcPr>
          <w:p>
            <w:pPr>
              <w:pStyle w:val="1138"/>
              <w:jc w:val="center"/>
              <w:rPr>
                <w:rFonts w:hAnsi="宋体" w:cs="宋体"/>
                <w:sz w:val="24"/>
                <w:szCs w:val="24"/>
                <w:highlight w:val="none"/>
              </w:rPr>
            </w:pPr>
            <w:r>
              <w:rPr>
                <w:rFonts w:hAnsi="宋体" w:cs="宋体"/>
                <w:sz w:val="24"/>
                <w:szCs w:val="24"/>
                <w:highlight w:val="none"/>
              </w:rPr>
              <w:t xml:space="preserve">25.5</w:t>
            </w:r>
            <w:r>
              <w:rPr>
                <w:rFonts w:hAnsi="宋体" w:cs="宋体"/>
                <w:sz w:val="24"/>
                <w:szCs w:val="24"/>
                <w:highlight w:val="none"/>
              </w:rPr>
            </w:r>
            <w:r/>
          </w:p>
        </w:tc>
        <w:tc>
          <w:tcPr>
            <w:tcW w:w="846" w:type="dxa"/>
            <w:vAlign w:val="center"/>
            <w:textDirection w:val="lrTb"/>
            <w:noWrap w:val="false"/>
          </w:tcPr>
          <w:p>
            <w:pPr>
              <w:pStyle w:val="1101"/>
              <w:jc w:val="center"/>
              <w:rPr>
                <w:rFonts w:ascii="宋体" w:hAnsi="宋体" w:cs="宋体"/>
                <w:sz w:val="24"/>
                <w:highlight w:val="none"/>
              </w:rPr>
            </w:pPr>
            <w:r>
              <w:rPr>
                <w:rFonts w:hint="eastAsia" w:ascii="宋体" w:hAnsi="宋体" w:cs="宋体"/>
                <w:sz w:val="24"/>
                <w:highlight w:val="none"/>
              </w:rPr>
              <w:t xml:space="preserve">分包</w:t>
            </w:r>
            <w:r>
              <w:rPr>
                <w:rFonts w:ascii="宋体" w:hAnsi="宋体" w:cs="宋体"/>
                <w:sz w:val="24"/>
                <w:highlight w:val="none"/>
              </w:rPr>
            </w:r>
            <w:r/>
          </w:p>
        </w:tc>
        <w:tc>
          <w:tcPr>
            <w:tcW w:w="3607" w:type="dxa"/>
            <w:vAlign w:val="center"/>
            <w:textDirection w:val="lrTb"/>
            <w:noWrap w:val="false"/>
          </w:tcPr>
          <w:p>
            <w:pPr>
              <w:pStyle w:val="1101"/>
              <w:rPr>
                <w:rFonts w:ascii="宋体" w:hAnsi="宋体" w:cs="宋体"/>
                <w:sz w:val="24"/>
                <w:highlight w:val="none"/>
              </w:rPr>
            </w:pPr>
            <w:r>
              <w:rPr>
                <w:rFonts w:hint="eastAsia" w:ascii="宋体" w:hAnsi="宋体" w:cs="宋体"/>
                <w:sz w:val="24"/>
                <w:highlight w:val="none"/>
              </w:rPr>
              <w:t xml:space="preserve">本项目的非主体、非关键性工作是否允许分包： </w:t>
            </w:r>
            <w:r>
              <w:rPr>
                <w:rFonts w:ascii="宋体" w:hAnsi="宋体" w:cs="宋体"/>
                <w:sz w:val="24"/>
                <w:highlight w:val="none"/>
              </w:rPr>
            </w:r>
            <w:r/>
          </w:p>
          <w:p>
            <w:pPr>
              <w:pStyle w:val="1101"/>
              <w:rPr>
                <w:rFonts w:ascii="宋体" w:hAnsi="宋体" w:cs="宋体"/>
                <w:sz w:val="24"/>
                <w:highlight w:val="none"/>
              </w:rPr>
            </w:pPr>
            <w:r>
              <w:rPr>
                <w:rFonts w:hint="eastAsia" w:ascii="宋体" w:hAnsi="宋体" w:cs="宋体"/>
                <w:b/>
                <w:color w:val="000000"/>
                <w:sz w:val="24"/>
                <w:highlight w:val="none"/>
              </w:rPr>
              <w:t xml:space="preserve">■</w:t>
            </w:r>
            <w:r>
              <w:rPr>
                <w:rFonts w:hint="eastAsia" w:ascii="宋体" w:hAnsi="宋体" w:cs="宋体"/>
                <w:sz w:val="24"/>
                <w:highlight w:val="none"/>
              </w:rPr>
              <w:t xml:space="preserve">不允许</w:t>
            </w:r>
            <w:r>
              <w:rPr>
                <w:rFonts w:ascii="宋体" w:hAnsi="宋体" w:cs="宋体"/>
                <w:sz w:val="24"/>
                <w:highlight w:val="none"/>
              </w:rPr>
            </w:r>
            <w:r/>
          </w:p>
          <w:p>
            <w:pPr>
              <w:pStyle w:val="1101"/>
              <w:rPr>
                <w:rFonts w:ascii="宋体" w:hAnsi="宋体" w:cs="宋体"/>
                <w:sz w:val="24"/>
                <w:highlight w:val="none"/>
              </w:rPr>
            </w:pPr>
            <w:r>
              <w:rPr>
                <w:rFonts w:hint="eastAsia" w:ascii="宋体" w:hAnsi="宋体" w:cs="宋体"/>
                <w:sz w:val="24"/>
                <w:highlight w:val="none"/>
              </w:rPr>
              <w:t xml:space="preserve">□允许，具体要求：</w:t>
            </w:r>
            <w:r>
              <w:rPr>
                <w:rFonts w:ascii="宋体" w:hAnsi="宋体" w:cs="宋体"/>
                <w:sz w:val="24"/>
                <w:highlight w:val="none"/>
              </w:rPr>
            </w:r>
            <w:r/>
          </w:p>
          <w:p>
            <w:pPr>
              <w:pStyle w:val="1101"/>
              <w:rPr>
                <w:rFonts w:ascii="宋体" w:hAnsi="宋体" w:cs="宋体"/>
                <w:sz w:val="24"/>
                <w:highlight w:val="none"/>
              </w:rPr>
            </w:pPr>
            <w:r>
              <w:rPr>
                <w:rFonts w:hint="eastAsia" w:ascii="宋体" w:hAnsi="宋体" w:cs="宋体"/>
                <w:sz w:val="24"/>
                <w:highlight w:val="none"/>
              </w:rPr>
              <w:t xml:space="preserve">（1）可以分包履行的具体内容：_____；</w:t>
            </w:r>
            <w:r>
              <w:rPr>
                <w:rFonts w:ascii="宋体" w:hAnsi="宋体" w:cs="宋体"/>
                <w:sz w:val="24"/>
                <w:highlight w:val="none"/>
              </w:rPr>
            </w:r>
            <w:r/>
          </w:p>
          <w:p>
            <w:pPr>
              <w:pStyle w:val="1101"/>
              <w:rPr>
                <w:rFonts w:ascii="宋体" w:hAnsi="宋体" w:cs="宋体"/>
                <w:sz w:val="24"/>
                <w:highlight w:val="none"/>
              </w:rPr>
            </w:pPr>
            <w:r>
              <w:rPr>
                <w:rFonts w:hint="eastAsia" w:ascii="宋体" w:hAnsi="宋体" w:cs="宋体"/>
                <w:sz w:val="24"/>
                <w:highlight w:val="none"/>
              </w:rPr>
              <w:t xml:space="preserve">（2）允许分包的金额或者比例：_____；</w:t>
            </w:r>
            <w:r>
              <w:rPr>
                <w:rFonts w:ascii="宋体" w:hAnsi="宋体" w:cs="宋体"/>
                <w:sz w:val="24"/>
                <w:highlight w:val="none"/>
              </w:rPr>
            </w:r>
            <w:r/>
          </w:p>
          <w:p>
            <w:pPr>
              <w:pStyle w:val="1101"/>
              <w:rPr>
                <w:rFonts w:ascii="宋体" w:hAnsi="宋体" w:cs="宋体"/>
                <w:sz w:val="24"/>
                <w:highlight w:val="none"/>
                <w:u w:val="single"/>
              </w:rPr>
            </w:pPr>
            <w:r>
              <w:rPr>
                <w:rFonts w:hint="eastAsia" w:ascii="宋体" w:hAnsi="宋体" w:cs="宋体"/>
                <w:sz w:val="24"/>
                <w:highlight w:val="none"/>
              </w:rPr>
              <w:t xml:space="preserve">（3）其他要求：_____。</w:t>
            </w:r>
            <w:r>
              <w:rPr>
                <w:rFonts w:ascii="宋体" w:hAnsi="宋体" w:cs="宋体"/>
                <w:sz w:val="24"/>
                <w:highlight w:val="none"/>
                <w:u w:val="single"/>
              </w:rPr>
            </w:r>
            <w:r/>
          </w:p>
        </w:tc>
      </w:tr>
      <w:tr>
        <w:trPr>
          <w:trHeight w:val="283"/>
        </w:trPr>
        <w:tc>
          <w:tcPr>
            <w:tcW w:w="546" w:type="dxa"/>
            <w:vAlign w:val="center"/>
            <w:textDirection w:val="lrTb"/>
            <w:noWrap w:val="false"/>
          </w:tcPr>
          <w:p>
            <w:pPr>
              <w:pStyle w:val="1138"/>
              <w:jc w:val="center"/>
              <w:rPr>
                <w:rFonts w:hAnsi="宋体" w:cs="宋体"/>
                <w:sz w:val="24"/>
                <w:szCs w:val="24"/>
                <w:highlight w:val="none"/>
              </w:rPr>
            </w:pPr>
            <w:r>
              <w:rPr>
                <w:rFonts w:hAnsi="宋体" w:cs="宋体"/>
                <w:sz w:val="24"/>
                <w:szCs w:val="24"/>
                <w:highlight w:val="none"/>
              </w:rPr>
              <w:t xml:space="preserve">26.1.1</w:t>
            </w:r>
            <w:r>
              <w:rPr>
                <w:rFonts w:hAnsi="宋体" w:cs="宋体"/>
                <w:sz w:val="24"/>
                <w:szCs w:val="24"/>
                <w:highlight w:val="none"/>
              </w:rPr>
            </w:r>
            <w:r/>
          </w:p>
        </w:tc>
        <w:tc>
          <w:tcPr>
            <w:tcW w:w="846" w:type="dxa"/>
            <w:vAlign w:val="center"/>
            <w:textDirection w:val="lrTb"/>
            <w:noWrap w:val="false"/>
          </w:tcPr>
          <w:p>
            <w:pPr>
              <w:pStyle w:val="1101"/>
              <w:jc w:val="center"/>
              <w:rPr>
                <w:rFonts w:ascii="宋体" w:hAnsi="宋体" w:cs="宋体"/>
                <w:sz w:val="24"/>
                <w:highlight w:val="none"/>
              </w:rPr>
            </w:pPr>
            <w:r>
              <w:rPr>
                <w:rFonts w:hint="eastAsia" w:ascii="宋体" w:hAnsi="宋体" w:cs="宋体"/>
                <w:sz w:val="24"/>
                <w:highlight w:val="none"/>
              </w:rPr>
              <w:t xml:space="preserve">询问</w:t>
            </w:r>
            <w:r>
              <w:rPr>
                <w:rFonts w:ascii="宋体" w:hAnsi="宋体" w:cs="宋体"/>
                <w:sz w:val="24"/>
                <w:highlight w:val="none"/>
              </w:rPr>
            </w:r>
            <w:r/>
          </w:p>
        </w:tc>
        <w:tc>
          <w:tcPr>
            <w:tcW w:w="3607" w:type="dxa"/>
            <w:vAlign w:val="center"/>
            <w:textDirection w:val="lrTb"/>
            <w:noWrap w:val="false"/>
          </w:tcPr>
          <w:p>
            <w:pPr>
              <w:pStyle w:val="1101"/>
              <w:rPr>
                <w:rFonts w:ascii="宋体" w:hAnsi="宋体" w:cs="宋体"/>
                <w:sz w:val="24"/>
                <w:highlight w:val="none"/>
              </w:rPr>
            </w:pPr>
            <w:r>
              <w:rPr>
                <w:rFonts w:hint="eastAsia" w:ascii="宋体" w:hAnsi="宋体" w:cs="宋体"/>
                <w:sz w:val="24"/>
                <w:highlight w:val="none"/>
              </w:rPr>
              <w:t xml:space="preserve">询问送达形式：书面形式并加盖公章</w:t>
            </w:r>
            <w:r>
              <w:rPr>
                <w:rFonts w:ascii="宋体" w:hAnsi="宋体" w:cs="宋体"/>
                <w:sz w:val="24"/>
                <w:highlight w:val="none"/>
              </w:rPr>
            </w:r>
            <w:r/>
          </w:p>
        </w:tc>
      </w:tr>
      <w:tr>
        <w:trPr>
          <w:trHeight w:val="283"/>
        </w:trPr>
        <w:tc>
          <w:tcPr>
            <w:tcW w:w="546" w:type="dxa"/>
            <w:vAlign w:val="center"/>
            <w:textDirection w:val="lrTb"/>
            <w:noWrap w:val="false"/>
          </w:tcPr>
          <w:p>
            <w:pPr>
              <w:pStyle w:val="1138"/>
              <w:jc w:val="center"/>
              <w:rPr>
                <w:rFonts w:hAnsi="宋体" w:cs="宋体"/>
                <w:sz w:val="24"/>
                <w:szCs w:val="24"/>
                <w:highlight w:val="none"/>
              </w:rPr>
            </w:pPr>
            <w:r>
              <w:rPr>
                <w:rFonts w:hAnsi="宋体" w:cs="宋体"/>
                <w:sz w:val="24"/>
                <w:szCs w:val="24"/>
                <w:highlight w:val="none"/>
              </w:rPr>
              <w:t xml:space="preserve">26.3</w:t>
            </w:r>
            <w:r>
              <w:rPr>
                <w:rFonts w:hAnsi="宋体" w:cs="宋体"/>
                <w:sz w:val="24"/>
                <w:szCs w:val="24"/>
                <w:highlight w:val="none"/>
              </w:rPr>
            </w:r>
            <w:r/>
          </w:p>
        </w:tc>
        <w:tc>
          <w:tcPr>
            <w:tcW w:w="846" w:type="dxa"/>
            <w:vAlign w:val="center"/>
            <w:textDirection w:val="lrTb"/>
            <w:noWrap w:val="false"/>
          </w:tcPr>
          <w:p>
            <w:pPr>
              <w:pStyle w:val="1101"/>
              <w:jc w:val="center"/>
              <w:rPr>
                <w:rFonts w:ascii="宋体" w:hAnsi="宋体" w:cs="宋体"/>
                <w:sz w:val="24"/>
                <w:highlight w:val="none"/>
              </w:rPr>
            </w:pPr>
            <w:r>
              <w:rPr>
                <w:rFonts w:hint="eastAsia" w:ascii="宋体" w:hAnsi="宋体" w:cs="宋体"/>
                <w:sz w:val="24"/>
                <w:highlight w:val="none"/>
              </w:rPr>
              <w:t xml:space="preserve">联系方式</w:t>
            </w:r>
            <w:r>
              <w:rPr>
                <w:rFonts w:ascii="宋体" w:hAnsi="宋体" w:cs="宋体"/>
                <w:sz w:val="24"/>
                <w:highlight w:val="none"/>
              </w:rPr>
            </w:r>
            <w:r/>
          </w:p>
        </w:tc>
        <w:tc>
          <w:tcPr>
            <w:tcW w:w="3607" w:type="dxa"/>
            <w:vAlign w:val="center"/>
            <w:textDirection w:val="lrTb"/>
            <w:noWrap w:val="false"/>
          </w:tcPr>
          <w:p>
            <w:pPr>
              <w:pStyle w:val="1101"/>
              <w:rPr>
                <w:rFonts w:ascii="宋体" w:hAnsi="宋体" w:cs="宋体"/>
                <w:sz w:val="24"/>
                <w:highlight w:val="none"/>
              </w:rPr>
            </w:pPr>
            <w:r>
              <w:rPr>
                <w:rFonts w:hint="eastAsia" w:ascii="宋体" w:hAnsi="宋体" w:cs="宋体"/>
                <w:sz w:val="24"/>
                <w:highlight w:val="none"/>
              </w:rPr>
              <w:t xml:space="preserve">接收询问和质疑的联系方式</w:t>
            </w:r>
            <w:r>
              <w:rPr>
                <w:rFonts w:ascii="宋体" w:hAnsi="宋体" w:cs="宋体"/>
                <w:sz w:val="24"/>
                <w:highlight w:val="none"/>
              </w:rPr>
            </w:r>
            <w:r/>
          </w:p>
          <w:p>
            <w:pPr>
              <w:pStyle w:val="1101"/>
              <w:rPr>
                <w:rFonts w:ascii="宋体" w:hAnsi="宋体" w:cs="宋体"/>
                <w:sz w:val="24"/>
                <w:highlight w:val="none"/>
              </w:rPr>
            </w:pPr>
            <w:r>
              <w:rPr>
                <w:rFonts w:hint="eastAsia" w:ascii="宋体" w:hAnsi="宋体" w:cs="宋体"/>
                <w:sz w:val="24"/>
                <w:highlight w:val="none"/>
              </w:rPr>
              <w:t xml:space="preserve">联系部门：</w:t>
            </w:r>
            <w:r>
              <w:rPr>
                <w:rFonts w:hint="eastAsia" w:ascii="宋体" w:hAnsi="宋体" w:cs="宋体"/>
                <w:sz w:val="24"/>
                <w:highlight w:val="none"/>
                <w:lang w:eastAsia="zh-CN"/>
              </w:rPr>
              <w:t xml:space="preserve">常州润邦招标代理有限公司</w:t>
            </w:r>
            <w:r>
              <w:rPr>
                <w:rFonts w:hint="eastAsia" w:ascii="宋体" w:hAnsi="宋体" w:cs="宋体"/>
                <w:sz w:val="24"/>
                <w:highlight w:val="none"/>
              </w:rPr>
              <w:t xml:space="preserve">；</w:t>
            </w:r>
            <w:r>
              <w:rPr>
                <w:rFonts w:ascii="宋体" w:hAnsi="宋体" w:cs="宋体"/>
                <w:sz w:val="24"/>
                <w:highlight w:val="none"/>
              </w:rPr>
            </w:r>
            <w:r/>
          </w:p>
          <w:p>
            <w:pPr>
              <w:pStyle w:val="1101"/>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lang w:eastAsia="zh-CN"/>
              </w:rPr>
              <w:t xml:space="preserve">0519-81881991</w:t>
            </w:r>
            <w:r>
              <w:rPr>
                <w:rFonts w:hint="eastAsia" w:ascii="宋体" w:hAnsi="宋体" w:cs="宋体"/>
                <w:sz w:val="24"/>
                <w:highlight w:val="none"/>
              </w:rPr>
              <w:t xml:space="preserve">；</w:t>
            </w:r>
            <w:r>
              <w:rPr>
                <w:rFonts w:ascii="宋体" w:hAnsi="宋体" w:cs="宋体"/>
                <w:sz w:val="24"/>
                <w:highlight w:val="none"/>
              </w:rPr>
            </w:r>
            <w:r/>
          </w:p>
          <w:p>
            <w:pPr>
              <w:pStyle w:val="1101"/>
              <w:rPr>
                <w:rFonts w:hint="eastAsia" w:ascii="宋体" w:hAnsi="宋体" w:eastAsia="宋体" w:cs="宋体"/>
                <w:sz w:val="24"/>
                <w:highlight w:val="none"/>
                <w:lang w:eastAsia="zh-CN"/>
              </w:rPr>
            </w:pPr>
            <w:r>
              <w:rPr>
                <w:rFonts w:hint="eastAsia" w:ascii="宋体" w:hAnsi="宋体" w:cs="宋体"/>
                <w:sz w:val="24"/>
                <w:highlight w:val="none"/>
              </w:rPr>
              <w:t xml:space="preserve">通讯地址：</w:t>
            </w:r>
            <w:r>
              <w:rPr>
                <w:rFonts w:hint="eastAsia" w:ascii="宋体" w:hAnsi="宋体" w:cs="宋体"/>
                <w:sz w:val="24"/>
                <w:highlight w:val="none"/>
                <w:lang w:eastAsia="zh-CN"/>
              </w:rPr>
              <w:t xml:space="preserve">常州市飞龙东路108号-304室（翠园世家商业街三楼）</w:t>
            </w:r>
            <w:r>
              <w:rPr>
                <w:rFonts w:hint="eastAsia" w:ascii="宋体" w:hAnsi="宋体" w:eastAsia="宋体" w:cs="宋体"/>
                <w:sz w:val="24"/>
                <w:highlight w:val="none"/>
                <w:lang w:eastAsia="zh-CN"/>
              </w:rPr>
            </w:r>
            <w:r/>
          </w:p>
        </w:tc>
      </w:tr>
      <w:tr>
        <w:trPr>
          <w:trHeight w:val="283"/>
        </w:trPr>
        <w:tc>
          <w:tcPr>
            <w:tcW w:w="546" w:type="dxa"/>
            <w:vAlign w:val="center"/>
            <w:textDirection w:val="lrTb"/>
            <w:noWrap w:val="false"/>
          </w:tcPr>
          <w:p>
            <w:pPr>
              <w:pStyle w:val="1138"/>
              <w:jc w:val="center"/>
              <w:rPr>
                <w:rFonts w:hAnsi="宋体" w:cs="宋体"/>
                <w:sz w:val="24"/>
                <w:szCs w:val="24"/>
                <w:highlight w:val="none"/>
              </w:rPr>
            </w:pPr>
            <w:r>
              <w:rPr>
                <w:rFonts w:hAnsi="宋体" w:cs="宋体"/>
                <w:sz w:val="24"/>
                <w:szCs w:val="24"/>
                <w:highlight w:val="none"/>
              </w:rPr>
              <w:t xml:space="preserve">27</w:t>
            </w:r>
            <w:r>
              <w:rPr>
                <w:rFonts w:hAnsi="宋体" w:cs="宋体"/>
                <w:sz w:val="24"/>
                <w:szCs w:val="24"/>
                <w:highlight w:val="none"/>
              </w:rPr>
            </w:r>
            <w:r/>
          </w:p>
        </w:tc>
        <w:tc>
          <w:tcPr>
            <w:tcW w:w="846" w:type="dxa"/>
            <w:vAlign w:val="center"/>
            <w:textDirection w:val="lrTb"/>
            <w:noWrap w:val="false"/>
          </w:tcPr>
          <w:p>
            <w:pPr>
              <w:pStyle w:val="1101"/>
              <w:jc w:val="center"/>
              <w:rPr>
                <w:rFonts w:ascii="宋体" w:hAnsi="宋体" w:cs="宋体"/>
                <w:sz w:val="24"/>
                <w:highlight w:val="none"/>
              </w:rPr>
            </w:pPr>
            <w:r>
              <w:rPr>
                <w:rFonts w:hint="eastAsia" w:ascii="宋体" w:hAnsi="宋体" w:cs="宋体"/>
                <w:sz w:val="24"/>
                <w:highlight w:val="none"/>
              </w:rPr>
              <w:t xml:space="preserve">代理费</w:t>
            </w:r>
            <w:r>
              <w:rPr>
                <w:rFonts w:ascii="宋体" w:hAnsi="宋体" w:cs="宋体"/>
                <w:sz w:val="24"/>
                <w:highlight w:val="none"/>
              </w:rPr>
            </w:r>
            <w:r/>
          </w:p>
        </w:tc>
        <w:tc>
          <w:tcPr>
            <w:tcW w:w="3607" w:type="dxa"/>
            <w:vAlign w:val="center"/>
            <w:textDirection w:val="lrTb"/>
            <w:noWrap w:val="false"/>
          </w:tcPr>
          <w:p>
            <w:pPr>
              <w:pStyle w:val="1101"/>
              <w:rPr>
                <w:rFonts w:ascii="宋体" w:hAnsi="宋体" w:cs="宋体"/>
                <w:sz w:val="24"/>
                <w:highlight w:val="none"/>
              </w:rPr>
            </w:pPr>
            <w:r>
              <w:rPr>
                <w:rFonts w:hint="eastAsia" w:ascii="宋体" w:hAnsi="宋体" w:cs="宋体"/>
                <w:sz w:val="24"/>
                <w:highlight w:val="none"/>
              </w:rPr>
              <w:t xml:space="preserve">收费对象：</w:t>
            </w:r>
            <w:r>
              <w:rPr>
                <w:rFonts w:ascii="宋体" w:hAnsi="宋体" w:cs="宋体"/>
                <w:sz w:val="24"/>
                <w:highlight w:val="none"/>
              </w:rPr>
            </w:r>
            <w:r/>
          </w:p>
          <w:p>
            <w:pPr>
              <w:pStyle w:val="1101"/>
              <w:rPr>
                <w:rFonts w:ascii="宋体" w:hAnsi="宋体" w:cs="宋体"/>
                <w:sz w:val="24"/>
                <w:highlight w:val="none"/>
              </w:rPr>
            </w:pPr>
            <w:r>
              <w:rPr>
                <w:rFonts w:hint="eastAsia" w:ascii="宋体" w:hAnsi="宋体" w:cs="宋体"/>
                <w:sz w:val="24"/>
                <w:highlight w:val="none"/>
              </w:rPr>
              <w:t xml:space="preserve">□采购人</w:t>
            </w:r>
            <w:r>
              <w:rPr>
                <w:rFonts w:ascii="宋体" w:hAnsi="宋体" w:cs="宋体"/>
                <w:sz w:val="24"/>
                <w:highlight w:val="none"/>
              </w:rPr>
            </w:r>
            <w:r/>
          </w:p>
          <w:p>
            <w:pPr>
              <w:pStyle w:val="1101"/>
              <w:rPr>
                <w:rFonts w:ascii="宋体" w:hAnsi="宋体" w:cs="宋体"/>
                <w:sz w:val="24"/>
                <w:highlight w:val="none"/>
              </w:rPr>
            </w:pPr>
            <w:r>
              <w:rPr>
                <w:rFonts w:hint="eastAsia" w:ascii="宋体" w:hAnsi="宋体" w:cs="宋体"/>
                <w:b/>
                <w:color w:val="000000"/>
                <w:sz w:val="24"/>
                <w:highlight w:val="none"/>
              </w:rPr>
              <w:t xml:space="preserve">■</w:t>
            </w:r>
            <w:r>
              <w:rPr>
                <w:rFonts w:hint="eastAsia" w:ascii="宋体" w:hAnsi="宋体" w:cs="宋体"/>
                <w:sz w:val="24"/>
                <w:highlight w:val="none"/>
              </w:rPr>
              <w:t xml:space="preserve">中标人</w:t>
            </w:r>
            <w:r>
              <w:rPr>
                <w:rFonts w:ascii="宋体" w:hAnsi="宋体" w:cs="宋体"/>
                <w:sz w:val="24"/>
                <w:highlight w:val="none"/>
              </w:rPr>
            </w:r>
            <w:r/>
          </w:p>
          <w:p>
            <w:pPr>
              <w:pStyle w:val="1101"/>
              <w:rPr>
                <w:rFonts w:ascii="宋体" w:hAnsi="宋体" w:cs="宋体"/>
                <w:sz w:val="24"/>
                <w:highlight w:val="none"/>
              </w:rPr>
            </w:pPr>
            <w:r>
              <w:rPr>
                <w:rFonts w:hint="eastAsia" w:ascii="宋体" w:hAnsi="宋体" w:cs="宋体"/>
                <w:sz w:val="24"/>
                <w:highlight w:val="none"/>
              </w:rPr>
              <w:t xml:space="preserve">收费标准：以中标金额为基数，收费比例按差额定率累进法计算，100万元以下部分0.6%，100万元（含）-500万元部分0.44%。代理服务费计算不足2500元的，按2500元收取；</w:t>
            </w:r>
            <w:r>
              <w:rPr>
                <w:rFonts w:ascii="宋体" w:hAnsi="宋体" w:cs="宋体"/>
                <w:sz w:val="24"/>
                <w:highlight w:val="none"/>
              </w:rPr>
            </w:r>
            <w:r/>
          </w:p>
          <w:p>
            <w:pPr>
              <w:pStyle w:val="1101"/>
              <w:rPr>
                <w:rFonts w:ascii="宋体" w:hAnsi="宋体" w:cs="宋体"/>
                <w:sz w:val="24"/>
                <w:highlight w:val="none"/>
              </w:rPr>
            </w:pPr>
            <w:r>
              <w:rPr>
                <w:rFonts w:hint="eastAsia" w:ascii="宋体" w:hAnsi="宋体" w:cs="宋体"/>
                <w:sz w:val="24"/>
                <w:highlight w:val="none"/>
              </w:rPr>
              <w:t xml:space="preserve">缴纳时间：中标人领取中标通知书前须向采购代理机构足额缴纳采购代理服务费。</w:t>
            </w:r>
            <w:r>
              <w:rPr>
                <w:rFonts w:ascii="宋体" w:hAnsi="宋体" w:cs="宋体"/>
                <w:sz w:val="24"/>
                <w:highlight w:val="none"/>
              </w:rPr>
            </w:r>
            <w:r/>
          </w:p>
        </w:tc>
      </w:tr>
      <w:tr>
        <w:trPr>
          <w:trHeight w:val="283"/>
        </w:trPr>
        <w:tc>
          <w:tcPr>
            <w:tcW w:w="546" w:type="dxa"/>
            <w:vAlign w:val="center"/>
            <w:textDirection w:val="lrTb"/>
            <w:noWrap w:val="false"/>
          </w:tcPr>
          <w:p>
            <w:pPr>
              <w:pStyle w:val="1138"/>
              <w:jc w:val="center"/>
              <w:rPr>
                <w:rFonts w:hAnsi="宋体" w:cs="宋体"/>
                <w:sz w:val="24"/>
                <w:szCs w:val="24"/>
                <w:highlight w:val="none"/>
              </w:rPr>
            </w:pPr>
            <w:r>
              <w:rPr>
                <w:rFonts w:hAnsi="宋体" w:cs="宋体"/>
                <w:sz w:val="24"/>
                <w:szCs w:val="24"/>
                <w:highlight w:val="none"/>
              </w:rPr>
              <w:t xml:space="preserve">28</w:t>
            </w:r>
            <w:r>
              <w:rPr>
                <w:rFonts w:hAnsi="宋体" w:cs="宋体"/>
                <w:sz w:val="24"/>
                <w:szCs w:val="24"/>
                <w:highlight w:val="none"/>
              </w:rPr>
            </w:r>
            <w:r/>
          </w:p>
        </w:tc>
        <w:tc>
          <w:tcPr>
            <w:tcW w:w="846" w:type="dxa"/>
            <w:vAlign w:val="center"/>
            <w:textDirection w:val="lrTb"/>
            <w:noWrap w:val="false"/>
          </w:tcPr>
          <w:p>
            <w:pPr>
              <w:pStyle w:val="1101"/>
              <w:jc w:val="center"/>
              <w:rPr>
                <w:rFonts w:hint="eastAsia" w:ascii="宋体" w:hAnsi="宋体" w:cs="宋体"/>
                <w:sz w:val="24"/>
                <w:highlight w:val="none"/>
              </w:rPr>
            </w:pPr>
            <w:r>
              <w:rPr>
                <w:rFonts w:hint="eastAsia" w:ascii="宋体" w:hAnsi="宋体"/>
                <w:sz w:val="24"/>
                <w:highlight w:val="none"/>
              </w:rPr>
              <w:t xml:space="preserve">纸质中标（成交）文件</w:t>
            </w:r>
            <w:r>
              <w:rPr>
                <w:rFonts w:hint="eastAsia" w:ascii="宋体" w:hAnsi="宋体" w:cs="宋体"/>
                <w:sz w:val="24"/>
                <w:highlight w:val="none"/>
              </w:rPr>
            </w:r>
            <w:r/>
          </w:p>
        </w:tc>
        <w:tc>
          <w:tcPr>
            <w:tcW w:w="3607" w:type="dxa"/>
            <w:vAlign w:val="center"/>
            <w:textDirection w:val="lrTb"/>
            <w:noWrap w:val="false"/>
          </w:tcPr>
          <w:p>
            <w:pPr>
              <w:pStyle w:val="1101"/>
              <w:rPr>
                <w:rFonts w:hint="eastAsia" w:ascii="宋体" w:hAnsi="宋体" w:cs="宋体"/>
                <w:sz w:val="24"/>
                <w:highlight w:val="none"/>
              </w:rPr>
            </w:pPr>
            <w:r>
              <w:rPr>
                <w:rFonts w:hint="eastAsia"/>
                <w:sz w:val="24"/>
                <w:highlight w:val="none"/>
              </w:rPr>
              <w:t xml:space="preserve">中标（成交）单位在签订合同前需递交与电子投标文件内容一致的纸质投标文件三份（需打印清晰，标注目录及页码），作为项目归档使用。（递交方式可采用邮寄或现场送达，采购人贰份，招标代理公司壹份，联系方式见《第一章 投标邀请》）</w:t>
            </w:r>
            <w:r>
              <w:rPr>
                <w:rFonts w:hint="eastAsia" w:ascii="宋体" w:hAnsi="宋体" w:cs="宋体"/>
                <w:sz w:val="24"/>
                <w:highlight w:val="none"/>
              </w:rPr>
            </w:r>
            <w:r/>
          </w:p>
        </w:tc>
      </w:tr>
    </w:tbl>
    <w:p>
      <w:pPr>
        <w:pStyle w:val="1101"/>
        <w:jc w:val="both"/>
        <w:spacing w:line="360" w:lineRule="auto"/>
        <w:tabs>
          <w:tab w:val="left" w:pos="5580" w:leader="none"/>
        </w:tabs>
        <w:rPr>
          <w:sz w:val="24"/>
          <w:highlight w:val="none"/>
        </w:rPr>
        <w:sectPr>
          <w:headerReference w:type="first" r:id="rId12"/>
          <w:footerReference w:type="default" r:id="rId17"/>
          <w:footerReference w:type="first" r:id="rId18"/>
          <w:footnotePr/>
          <w:endnotePr/>
          <w:type w:val="nextColumn"/>
          <w:pgSz w:w="11907" w:h="16840" w:orient="portrait"/>
          <w:pgMar w:top="1440" w:right="1417" w:bottom="1440" w:left="1417" w:header="851" w:footer="850" w:gutter="0"/>
          <w:pgNumType w:start="1"/>
          <w:cols w:num="1" w:sep="0" w:space="1701" w:equalWidth="1"/>
          <w:docGrid w:linePitch="360"/>
          <w:titlePg/>
        </w:sectPr>
      </w:pPr>
      <w:r>
        <w:rPr>
          <w:sz w:val="24"/>
          <w:highlight w:val="none"/>
        </w:rPr>
        <w:br w:type="page" w:clear="all"/>
      </w:r>
      <w:r/>
    </w:p>
    <w:p>
      <w:pPr>
        <w:pStyle w:val="1101"/>
        <w:jc w:val="center"/>
        <w:spacing w:before="240" w:after="240"/>
        <w:rPr>
          <w:b/>
          <w:sz w:val="28"/>
          <w:szCs w:val="28"/>
          <w:highlight w:val="none"/>
        </w:rPr>
      </w:pPr>
      <w:r/>
      <w:bookmarkStart w:id="73" w:name="_Toc353873932"/>
      <w:r/>
      <w:bookmarkStart w:id="74" w:name="_Toc353825542"/>
      <w:r/>
      <w:bookmarkStart w:id="75" w:name="_Toc226337213"/>
      <w:r/>
      <w:bookmarkStart w:id="76" w:name="_Toc265228355"/>
      <w:r/>
      <w:bookmarkStart w:id="77" w:name="_Toc305158785"/>
      <w:r/>
      <w:bookmarkStart w:id="78" w:name="_Toc226965790"/>
      <w:r/>
      <w:bookmarkStart w:id="79" w:name="_Toc142311019"/>
      <w:r/>
      <w:bookmarkStart w:id="80" w:name="_Toc150774722"/>
      <w:r/>
      <w:bookmarkStart w:id="81" w:name="_Toc150480755"/>
      <w:r/>
      <w:bookmarkStart w:id="82" w:name="_Toc353873662"/>
      <w:r/>
      <w:bookmarkStart w:id="83" w:name="_Toc264969207"/>
      <w:r/>
      <w:bookmarkStart w:id="84" w:name="_Toc195842882"/>
      <w:r/>
      <w:bookmarkStart w:id="85" w:name="_Toc127151517"/>
      <w:r/>
      <w:bookmarkStart w:id="86" w:name="_Toc305158859"/>
      <w:r>
        <w:rPr>
          <w:b/>
          <w:sz w:val="28"/>
          <w:szCs w:val="28"/>
          <w:highlight w:val="none"/>
        </w:rPr>
        <w:t xml:space="preserve">投标人须知</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Pr>
          <w:b/>
          <w:sz w:val="28"/>
          <w:szCs w:val="28"/>
          <w:highlight w:val="none"/>
        </w:rPr>
      </w:r>
      <w:r/>
    </w:p>
    <w:p>
      <w:pPr>
        <w:pStyle w:val="1103"/>
        <w:spacing w:before="0" w:line="360" w:lineRule="auto"/>
        <w:tabs>
          <w:tab w:val="center" w:pos="4592" w:leader="none"/>
          <w:tab w:val="left" w:pos="7860" w:leader="none"/>
        </w:tabs>
        <w:rPr>
          <w:rFonts w:ascii="Times New Roman" w:hAnsi="Times New Roman" w:eastAsia="宋体"/>
          <w:sz w:val="28"/>
          <w:highlight w:val="none"/>
        </w:rPr>
      </w:pPr>
      <w:r/>
      <w:bookmarkStart w:id="87" w:name="_Toc226337214"/>
      <w:r/>
      <w:bookmarkStart w:id="88" w:name="_Toc226965791"/>
      <w:r/>
      <w:bookmarkStart w:id="89" w:name="_Toc226309762"/>
      <w:r/>
      <w:bookmarkStart w:id="90" w:name="_Toc150480756"/>
      <w:r/>
      <w:bookmarkStart w:id="91" w:name="_Toc151193616"/>
      <w:r/>
      <w:bookmarkStart w:id="92" w:name="_Toc305158860"/>
      <w:r/>
      <w:bookmarkStart w:id="93" w:name="_Toc142311020"/>
      <w:r/>
      <w:bookmarkStart w:id="94" w:name="_Toc151190145"/>
      <w:r/>
      <w:bookmarkStart w:id="95" w:name="_Toc226965708"/>
      <w:r/>
      <w:bookmarkStart w:id="96" w:name="_Toc195842883"/>
      <w:r/>
      <w:bookmarkStart w:id="97" w:name="_Toc151193832"/>
      <w:r/>
      <w:bookmarkStart w:id="98" w:name="_Toc151193906"/>
      <w:r/>
      <w:bookmarkStart w:id="99" w:name="_Toc150774723"/>
      <w:r/>
      <w:bookmarkStart w:id="100" w:name="_Toc150774618"/>
      <w:r/>
      <w:bookmarkStart w:id="101" w:name="_Toc265228356"/>
      <w:r/>
      <w:bookmarkStart w:id="102" w:name="_Toc264969208"/>
      <w:r/>
      <w:bookmarkStart w:id="103" w:name="_Toc305158786"/>
      <w:r/>
      <w:bookmarkStart w:id="104" w:name="_Toc150509269"/>
      <w:r/>
      <w:bookmarkStart w:id="105" w:name="_Toc151193688"/>
      <w:r/>
      <w:bookmarkStart w:id="106" w:name="_Toc151193760"/>
      <w:r/>
      <w:bookmarkStart w:id="107" w:name="_Toc127151518"/>
      <w:r/>
      <w:bookmarkStart w:id="108" w:name="_Toc520356143"/>
      <w:r>
        <w:rPr>
          <w:rFonts w:ascii="Times New Roman" w:hAnsi="Times New Roman" w:eastAsia="宋体"/>
          <w:sz w:val="28"/>
          <w:highlight w:val="none"/>
        </w:rPr>
        <w:t xml:space="preserve">一   说  明</w:t>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Pr>
          <w:rFonts w:ascii="Times New Roman" w:hAnsi="Times New Roman" w:eastAsia="宋体"/>
          <w:sz w:val="28"/>
          <w:highlight w:val="none"/>
        </w:rPr>
      </w:r>
      <w:r/>
    </w:p>
    <w:p>
      <w:pPr>
        <w:pStyle w:val="1101"/>
        <w:numPr>
          <w:ilvl w:val="0"/>
          <w:numId w:val="8"/>
        </w:numPr>
        <w:ind w:left="0" w:firstLine="480"/>
        <w:spacing w:line="400" w:lineRule="exact"/>
        <w:tabs>
          <w:tab w:val="left" w:pos="360" w:leader="none"/>
          <w:tab w:val="left" w:pos="900" w:leader="none"/>
        </w:tabs>
        <w:rPr>
          <w:rFonts w:ascii="宋体" w:hAnsi="宋体" w:cs="宋体"/>
          <w:sz w:val="24"/>
          <w:highlight w:val="none"/>
        </w:rPr>
      </w:pPr>
      <w:r/>
      <w:bookmarkStart w:id="109" w:name="_Toc264969209"/>
      <w:r/>
      <w:bookmarkStart w:id="110" w:name="_Toc305158861"/>
      <w:r/>
      <w:bookmarkStart w:id="111" w:name="_Toc305158787"/>
      <w:r/>
      <w:bookmarkStart w:id="112" w:name="_Toc265228357"/>
      <w:r>
        <w:rPr>
          <w:rFonts w:hint="eastAsia" w:ascii="宋体" w:hAnsi="宋体" w:cs="宋体"/>
          <w:sz w:val="24"/>
          <w:highlight w:val="none"/>
        </w:rPr>
        <w:t xml:space="preserve">采购人、采购代理机构、投标人</w:t>
      </w:r>
      <w:bookmarkEnd w:id="109"/>
      <w:r/>
      <w:bookmarkEnd w:id="110"/>
      <w:r/>
      <w:bookmarkEnd w:id="111"/>
      <w:r/>
      <w:bookmarkEnd w:id="112"/>
      <w:r>
        <w:rPr>
          <w:rFonts w:hint="eastAsia" w:ascii="宋体" w:hAnsi="宋体" w:cs="宋体"/>
          <w:sz w:val="24"/>
          <w:highlight w:val="none"/>
        </w:rPr>
        <w:t xml:space="preserve">、联合体</w:t>
      </w:r>
      <w:r>
        <w:rPr>
          <w:rFonts w:ascii="宋体" w:hAnsi="宋体" w:cs="宋体"/>
          <w:sz w:val="24"/>
          <w:highlight w:val="none"/>
        </w:rPr>
      </w:r>
      <w:r/>
    </w:p>
    <w:p>
      <w:pPr>
        <w:pStyle w:val="1101"/>
        <w:numPr>
          <w:ilvl w:val="1"/>
          <w:numId w:val="8"/>
        </w:numPr>
        <w:ind w:firstLine="480"/>
        <w:spacing w:line="400" w:lineRule="exact"/>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采购人、采购代理机构：指依法进行政府采购的国家机关、事业单位、团体组织，及其委托的采购代理机构。本项目采购人、采购代理机构见第一章《投标邀请》。</w:t>
      </w:r>
      <w:r>
        <w:rPr>
          <w:rFonts w:ascii="宋体" w:hAnsi="宋体" w:cs="宋体"/>
          <w:sz w:val="24"/>
          <w:highlight w:val="none"/>
        </w:rPr>
      </w:r>
      <w:r/>
    </w:p>
    <w:p>
      <w:pPr>
        <w:pStyle w:val="1101"/>
        <w:numPr>
          <w:ilvl w:val="1"/>
          <w:numId w:val="8"/>
        </w:numPr>
        <w:ind w:firstLine="480"/>
        <w:spacing w:line="400" w:lineRule="exact"/>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投标人（也称“供应商”、“申请人”）：指向采购人提供货物、工程或者服务的法人、其他组织或者自然人。</w:t>
      </w:r>
      <w:r>
        <w:rPr>
          <w:rFonts w:ascii="宋体" w:hAnsi="宋体" w:cs="宋体"/>
          <w:sz w:val="24"/>
          <w:highlight w:val="none"/>
        </w:rPr>
      </w:r>
      <w:r/>
    </w:p>
    <w:p>
      <w:pPr>
        <w:pStyle w:val="1101"/>
        <w:numPr>
          <w:ilvl w:val="1"/>
          <w:numId w:val="8"/>
        </w:numPr>
        <w:ind w:firstLine="480"/>
        <w:spacing w:line="400" w:lineRule="exact"/>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联合体：指两个以上的自然人、法人或者其他组织组成一个联合体，以一个供应商的身份共同参加政府采购。</w:t>
      </w:r>
      <w:r>
        <w:rPr>
          <w:rFonts w:ascii="宋体" w:hAnsi="宋体" w:cs="宋体"/>
          <w:sz w:val="24"/>
          <w:highlight w:val="none"/>
        </w:rPr>
      </w:r>
      <w:r/>
    </w:p>
    <w:p>
      <w:pPr>
        <w:pStyle w:val="1101"/>
        <w:numPr>
          <w:ilvl w:val="0"/>
          <w:numId w:val="8"/>
        </w:numPr>
        <w:ind w:left="0" w:firstLine="480"/>
        <w:spacing w:line="400" w:lineRule="exact"/>
        <w:tabs>
          <w:tab w:val="left" w:pos="360" w:leader="none"/>
          <w:tab w:val="left" w:pos="900" w:leader="none"/>
        </w:tabs>
        <w:rPr>
          <w:rFonts w:ascii="宋体" w:hAnsi="宋体" w:cs="宋体"/>
          <w:sz w:val="24"/>
          <w:highlight w:val="none"/>
        </w:rPr>
      </w:pPr>
      <w:r/>
      <w:bookmarkStart w:id="113" w:name="_Toc226965710"/>
      <w:r/>
      <w:bookmarkStart w:id="114" w:name="_Toc151190147"/>
      <w:r/>
      <w:bookmarkStart w:id="115" w:name="_Toc151193762"/>
      <w:r/>
      <w:bookmarkStart w:id="116" w:name="_Toc226965793"/>
      <w:r/>
      <w:bookmarkStart w:id="117" w:name="_Toc164351614"/>
      <w:r/>
      <w:bookmarkStart w:id="118" w:name="_Toc151193690"/>
      <w:r/>
      <w:bookmarkStart w:id="119" w:name="_Toc151193908"/>
      <w:r/>
      <w:bookmarkStart w:id="120" w:name="_Toc164608789"/>
      <w:r/>
      <w:bookmarkStart w:id="121" w:name="_Toc127161434"/>
      <w:r/>
      <w:bookmarkStart w:id="122" w:name="_Toc226309764"/>
      <w:r/>
      <w:bookmarkStart w:id="123" w:name="_Toc142311022"/>
      <w:r/>
      <w:bookmarkStart w:id="124" w:name="_Toc127151721"/>
      <w:r/>
      <w:bookmarkStart w:id="125" w:name="_Toc264969210"/>
      <w:r/>
      <w:bookmarkStart w:id="126" w:name="_Toc305158788"/>
      <w:r/>
      <w:bookmarkStart w:id="127" w:name="_Toc164229215"/>
      <w:r/>
      <w:bookmarkStart w:id="128" w:name="_Toc226337216"/>
      <w:r/>
      <w:bookmarkStart w:id="129" w:name="_Toc151193618"/>
      <w:r/>
      <w:bookmarkStart w:id="130" w:name="_Toc150774725"/>
      <w:r/>
      <w:bookmarkStart w:id="131" w:name="_Toc149720813"/>
      <w:r/>
      <w:bookmarkStart w:id="132" w:name="_Toc195842885"/>
      <w:r/>
      <w:bookmarkStart w:id="133" w:name="_Toc265228358"/>
      <w:r/>
      <w:bookmarkStart w:id="134" w:name="_Toc150774620"/>
      <w:r/>
      <w:bookmarkStart w:id="135" w:name="_Toc150480758"/>
      <w:r/>
      <w:bookmarkStart w:id="136" w:name="_Toc164608634"/>
      <w:r/>
      <w:bookmarkStart w:id="137" w:name="_Toc164229361"/>
      <w:r/>
      <w:bookmarkStart w:id="138" w:name="_Toc127151520"/>
      <w:r/>
      <w:bookmarkStart w:id="139" w:name="_Toc150509271"/>
      <w:r/>
      <w:bookmarkStart w:id="140" w:name="_Toc305158862"/>
      <w:r/>
      <w:bookmarkStart w:id="141" w:name="_Toc151193834"/>
      <w:r>
        <w:rPr>
          <w:rFonts w:hint="eastAsia" w:ascii="宋体" w:hAnsi="宋体" w:cs="宋体"/>
          <w:sz w:val="24"/>
          <w:highlight w:val="none"/>
        </w:rPr>
        <w:t xml:space="preserve">资金来源</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Pr>
          <w:rFonts w:hint="eastAsia" w:ascii="宋体" w:hAnsi="宋体" w:cs="宋体"/>
          <w:sz w:val="24"/>
          <w:highlight w:val="none"/>
        </w:rPr>
        <w:t xml:space="preserve">、项目属性、科研仪器设备采购、核心产品</w:t>
      </w:r>
      <w:r>
        <w:rPr>
          <w:rFonts w:ascii="宋体" w:hAnsi="宋体" w:cs="宋体"/>
          <w:sz w:val="24"/>
          <w:highlight w:val="none"/>
        </w:rPr>
      </w:r>
      <w:r/>
    </w:p>
    <w:p>
      <w:pPr>
        <w:pStyle w:val="1101"/>
        <w:numPr>
          <w:ilvl w:val="1"/>
          <w:numId w:val="8"/>
        </w:num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资金来源为财政性资金和/或本项目采购中无法与财政性资金分割的非财政性资金。</w:t>
      </w:r>
      <w:r>
        <w:rPr>
          <w:rFonts w:ascii="宋体" w:hAnsi="宋体" w:cs="宋体"/>
          <w:sz w:val="24"/>
          <w:highlight w:val="none"/>
        </w:rPr>
      </w:r>
      <w:r/>
    </w:p>
    <w:p>
      <w:pPr>
        <w:pStyle w:val="1101"/>
        <w:numPr>
          <w:ilvl w:val="1"/>
          <w:numId w:val="8"/>
        </w:num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项目属性见《投标人须知资料表》。</w:t>
      </w:r>
      <w:r>
        <w:rPr>
          <w:rFonts w:ascii="宋体" w:hAnsi="宋体" w:cs="宋体"/>
          <w:sz w:val="24"/>
          <w:highlight w:val="none"/>
        </w:rPr>
      </w:r>
      <w:r/>
    </w:p>
    <w:p>
      <w:pPr>
        <w:pStyle w:val="1101"/>
        <w:numPr>
          <w:ilvl w:val="1"/>
          <w:numId w:val="8"/>
        </w:num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是否属于科研仪器设备采购见《投标人须知资料表》。</w:t>
      </w:r>
      <w:r>
        <w:rPr>
          <w:rFonts w:ascii="宋体" w:hAnsi="宋体" w:cs="宋体"/>
          <w:sz w:val="24"/>
          <w:highlight w:val="none"/>
        </w:rPr>
      </w:r>
      <w:r/>
    </w:p>
    <w:p>
      <w:pPr>
        <w:pStyle w:val="1101"/>
        <w:numPr>
          <w:ilvl w:val="1"/>
          <w:numId w:val="8"/>
        </w:numPr>
        <w:ind w:firstLine="480"/>
        <w:spacing w:line="400" w:lineRule="exact"/>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核心产品见《投标人须知资料表》。</w:t>
      </w:r>
      <w:r>
        <w:rPr>
          <w:rFonts w:ascii="宋体" w:hAnsi="宋体" w:cs="宋体"/>
          <w:sz w:val="24"/>
          <w:highlight w:val="none"/>
        </w:rPr>
      </w:r>
      <w:r/>
    </w:p>
    <w:p>
      <w:pPr>
        <w:pStyle w:val="1101"/>
        <w:numPr>
          <w:ilvl w:val="0"/>
          <w:numId w:val="8"/>
        </w:numPr>
        <w:ind w:left="0" w:firstLine="480"/>
        <w:spacing w:line="400" w:lineRule="exact"/>
        <w:tabs>
          <w:tab w:val="left" w:pos="360" w:leader="none"/>
          <w:tab w:val="left" w:pos="900" w:leader="none"/>
        </w:tabs>
        <w:rPr>
          <w:rFonts w:ascii="宋体" w:hAnsi="宋体" w:cs="宋体"/>
          <w:sz w:val="24"/>
          <w:highlight w:val="none"/>
        </w:rPr>
      </w:pPr>
      <w:r>
        <w:rPr>
          <w:rFonts w:hint="eastAsia" w:ascii="宋体" w:hAnsi="宋体" w:cs="宋体"/>
          <w:sz w:val="24"/>
          <w:highlight w:val="none"/>
        </w:rPr>
        <w:t xml:space="preserve">现场考察、开标前答疑会</w:t>
      </w:r>
      <w:r>
        <w:rPr>
          <w:rFonts w:ascii="宋体" w:hAnsi="宋体" w:cs="宋体"/>
          <w:sz w:val="24"/>
          <w:highlight w:val="none"/>
        </w:rPr>
      </w:r>
      <w:r/>
    </w:p>
    <w:p>
      <w:pPr>
        <w:pStyle w:val="1101"/>
        <w:numPr>
          <w:ilvl w:val="1"/>
          <w:numId w:val="8"/>
        </w:num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若《投标人须知资料表》中规定了组织现场考察、召开开标前答疑会，则投标人应按要求在规定的时间和地点参加。</w:t>
      </w:r>
      <w:bookmarkStart w:id="142" w:name="_Toc151193910"/>
      <w:r/>
      <w:bookmarkStart w:id="143" w:name="_Toc151193764"/>
      <w:r/>
      <w:bookmarkStart w:id="144" w:name="_Toc195842887"/>
      <w:r/>
      <w:bookmarkStart w:id="145" w:name="_Toc150509273"/>
      <w:r/>
      <w:bookmarkStart w:id="146" w:name="_Toc265228360"/>
      <w:r/>
      <w:bookmarkStart w:id="147" w:name="_Toc264969212"/>
      <w:r/>
      <w:bookmarkStart w:id="148" w:name="_Toc305158864"/>
      <w:r/>
      <w:bookmarkStart w:id="149" w:name="_Toc150480760"/>
      <w:r/>
      <w:bookmarkStart w:id="150" w:name="_Toc150774622"/>
      <w:r/>
      <w:bookmarkStart w:id="151" w:name="_Toc151193836"/>
      <w:r/>
      <w:bookmarkStart w:id="152" w:name="_Toc226965712"/>
      <w:r/>
      <w:bookmarkStart w:id="153" w:name="_Toc520356146"/>
      <w:r/>
      <w:bookmarkStart w:id="154" w:name="_Toc226965795"/>
      <w:r/>
      <w:bookmarkStart w:id="155" w:name="_Toc150774727"/>
      <w:r/>
      <w:bookmarkStart w:id="156" w:name="_Toc151193620"/>
      <w:r/>
      <w:bookmarkStart w:id="157" w:name="_Toc151193692"/>
      <w:r/>
      <w:bookmarkStart w:id="158" w:name="_Toc151190149"/>
      <w:r/>
      <w:bookmarkStart w:id="159" w:name="_Toc305158790"/>
      <w:r/>
      <w:bookmarkStart w:id="160" w:name="_Toc226309766"/>
      <w:r/>
      <w:bookmarkStart w:id="161" w:name="_Toc226337218"/>
      <w:r/>
      <w:bookmarkStart w:id="162" w:name="_Toc127151522"/>
      <w:r/>
      <w:bookmarkStart w:id="163" w:name="_Toc142311024"/>
      <w:r>
        <w:rPr>
          <w:rFonts w:ascii="宋体" w:hAnsi="宋体" w:cs="宋体"/>
          <w:sz w:val="24"/>
          <w:highlight w:val="none"/>
        </w:rPr>
      </w:r>
      <w:r/>
    </w:p>
    <w:p>
      <w:pPr>
        <w:pStyle w:val="1101"/>
        <w:numPr>
          <w:ilvl w:val="1"/>
          <w:numId w:val="8"/>
        </w:num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ascii="宋体" w:hAnsi="宋体" w:cs="宋体"/>
          <w:sz w:val="24"/>
          <w:highlight w:val="none"/>
        </w:rPr>
      </w:r>
      <w:r/>
    </w:p>
    <w:p>
      <w:pPr>
        <w:pStyle w:val="1101"/>
        <w:numPr>
          <w:ilvl w:val="0"/>
          <w:numId w:val="8"/>
        </w:numPr>
        <w:ind w:left="0" w:firstLine="480"/>
        <w:spacing w:line="400" w:lineRule="exact"/>
        <w:tabs>
          <w:tab w:val="left" w:pos="360" w:leader="none"/>
          <w:tab w:val="left" w:pos="900" w:leader="none"/>
        </w:tabs>
        <w:rPr>
          <w:rFonts w:ascii="宋体" w:hAnsi="宋体" w:cs="宋体"/>
          <w:sz w:val="24"/>
          <w:highlight w:val="none"/>
        </w:rPr>
      </w:pPr>
      <w:r>
        <w:rPr>
          <w:rFonts w:hint="eastAsia" w:ascii="宋体" w:hAnsi="宋体" w:cs="宋体"/>
          <w:sz w:val="24"/>
          <w:highlight w:val="none"/>
        </w:rPr>
        <w:t xml:space="preserve">样品</w:t>
      </w:r>
      <w:r>
        <w:rPr>
          <w:rFonts w:ascii="宋体" w:hAnsi="宋体" w:cs="宋体"/>
          <w:sz w:val="24"/>
          <w:highlight w:val="none"/>
        </w:rPr>
      </w:r>
      <w:r/>
    </w:p>
    <w:p>
      <w:pPr>
        <w:pStyle w:val="1101"/>
        <w:numPr>
          <w:ilvl w:val="1"/>
          <w:numId w:val="8"/>
        </w:num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本项目是否要求投标人提供样品，以及样品制作的标准和要求、是否需要随样品提交相关检测报告、样品的递交与退还等要求见《投标人须知资料表》。</w:t>
      </w:r>
      <w:r>
        <w:rPr>
          <w:rFonts w:ascii="宋体" w:hAnsi="宋体" w:cs="宋体"/>
          <w:sz w:val="24"/>
          <w:highlight w:val="none"/>
        </w:rPr>
      </w:r>
      <w:r/>
    </w:p>
    <w:p>
      <w:pPr>
        <w:pStyle w:val="1101"/>
        <w:numPr>
          <w:ilvl w:val="1"/>
          <w:numId w:val="8"/>
        </w:num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样品的评审方法以及评审标准等内容见第四章《评标方法和评标标准》。</w:t>
      </w:r>
      <w:r>
        <w:rPr>
          <w:rFonts w:ascii="宋体" w:hAnsi="宋体" w:cs="宋体"/>
          <w:sz w:val="24"/>
          <w:highlight w:val="none"/>
        </w:rPr>
      </w:r>
      <w:r/>
    </w:p>
    <w:p>
      <w:pPr>
        <w:pStyle w:val="1101"/>
        <w:numPr>
          <w:ilvl w:val="0"/>
          <w:numId w:val="8"/>
        </w:numPr>
        <w:ind w:left="0" w:firstLine="480"/>
        <w:spacing w:line="400" w:lineRule="exact"/>
        <w:tabs>
          <w:tab w:val="left" w:pos="360" w:leader="none"/>
          <w:tab w:val="left" w:pos="900" w:leader="none"/>
        </w:tabs>
        <w:rPr>
          <w:rFonts w:ascii="宋体" w:hAnsi="宋体" w:cs="宋体"/>
          <w:sz w:val="24"/>
          <w:highlight w:val="none"/>
        </w:rPr>
      </w:pPr>
      <w:r>
        <w:rPr>
          <w:rFonts w:hint="eastAsia" w:ascii="宋体" w:hAnsi="宋体" w:cs="宋体"/>
          <w:sz w:val="24"/>
          <w:highlight w:val="none"/>
        </w:rPr>
        <w:t xml:space="preserve">政府采购政策（包括但不限于下列具体政策要求）</w:t>
      </w:r>
      <w:r>
        <w:rPr>
          <w:rFonts w:ascii="宋体" w:hAnsi="宋体" w:cs="宋体"/>
          <w:sz w:val="24"/>
          <w:highlight w:val="none"/>
        </w:rPr>
      </w:r>
      <w:r/>
    </w:p>
    <w:p>
      <w:pPr>
        <w:pStyle w:val="1101"/>
        <w:numPr>
          <w:ilvl w:val="1"/>
          <w:numId w:val="8"/>
        </w:num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进口产品</w:t>
      </w:r>
      <w:r>
        <w:rPr>
          <w:rFonts w:ascii="宋体" w:hAnsi="宋体" w:cs="宋体"/>
          <w:sz w:val="24"/>
          <w:highlight w:val="none"/>
        </w:rPr>
      </w:r>
      <w:r/>
    </w:p>
    <w:p>
      <w:pPr>
        <w:pStyle w:val="1101"/>
        <w:numPr>
          <w:ilvl w:val="2"/>
          <w:numId w:val="8"/>
        </w:numPr>
        <w:ind w:firstLine="480"/>
        <w:spacing w:line="400" w:lineRule="exact"/>
        <w:tabs>
          <w:tab w:val="left" w:pos="2014" w:leader="none"/>
        </w:tabs>
        <w:rPr>
          <w:rFonts w:ascii="宋体" w:hAnsi="宋体" w:cs="宋体"/>
          <w:sz w:val="24"/>
          <w:highlight w:val="none"/>
        </w:rPr>
      </w:pPr>
      <w:r>
        <w:rPr>
          <w:rFonts w:hint="eastAsia" w:ascii="宋体" w:hAnsi="宋体" w:cs="宋体"/>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sz w:val="24"/>
          <w:highlight w:val="none"/>
        </w:rPr>
      </w:r>
      <w:r/>
    </w:p>
    <w:p>
      <w:pPr>
        <w:pStyle w:val="1101"/>
        <w:numPr>
          <w:ilvl w:val="1"/>
          <w:numId w:val="8"/>
        </w:num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中小企业、监狱企业及残疾人福利性单位</w:t>
      </w:r>
      <w:r>
        <w:rPr>
          <w:rFonts w:ascii="宋体" w:hAnsi="宋体" w:cs="宋体"/>
          <w:sz w:val="24"/>
          <w:highlight w:val="none"/>
        </w:rPr>
      </w:r>
      <w:r/>
    </w:p>
    <w:p>
      <w:pPr>
        <w:pStyle w:val="1101"/>
        <w:numPr>
          <w:ilvl w:val="2"/>
          <w:numId w:val="8"/>
        </w:numPr>
        <w:ind w:firstLine="480"/>
        <w:spacing w:line="400" w:lineRule="exact"/>
        <w:rPr>
          <w:rFonts w:ascii="宋体" w:hAnsi="宋体" w:cs="宋体"/>
          <w:vanish/>
          <w:color w:val="000000"/>
          <w:sz w:val="24"/>
          <w:highlight w:val="none"/>
        </w:rPr>
      </w:pPr>
      <w:r>
        <w:rPr>
          <w:rFonts w:hint="eastAsia" w:ascii="宋体" w:hAnsi="宋体" w:cs="宋体"/>
          <w:sz w:val="24"/>
          <w:highlight w:val="none"/>
        </w:rPr>
        <w:t xml:space="preserve">中小企业定义：</w:t>
      </w:r>
      <w:r>
        <w:rPr>
          <w:rFonts w:ascii="宋体" w:hAnsi="宋体" w:cs="宋体"/>
          <w:vanish/>
          <w:color w:val="000000"/>
          <w:sz w:val="24"/>
          <w:highlight w:val="none"/>
        </w:rPr>
      </w:r>
      <w:r/>
    </w:p>
    <w:p>
      <w:pPr>
        <w:pStyle w:val="1169"/>
        <w:rPr>
          <w:highlight w:val="none"/>
        </w:rPr>
      </w:pPr>
      <w:r>
        <w:rPr>
          <w:highlight w:val="none"/>
        </w:rPr>
      </w:r>
      <w:r/>
    </w:p>
    <w:p>
      <w:pPr>
        <w:pStyle w:val="1101"/>
        <w:ind w:firstLine="480"/>
        <w:spacing w:line="40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5.2.1.1中小企业是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s="宋体"/>
          <w:color w:val="000000"/>
          <w:sz w:val="24"/>
          <w:highlight w:val="none"/>
        </w:rPr>
      </w:r>
      <w:r/>
    </w:p>
    <w:p>
      <w:pPr>
        <w:pStyle w:val="1101"/>
        <w:ind w:firstLine="480"/>
        <w:spacing w:line="40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sz w:val="24"/>
          <w:highlight w:val="none"/>
        </w:rPr>
        <w:t xml:space="preserve">5.2.1.2供应商提供的货物、工程或者服务符合下列情形的，享受中小企业扶持政策：</w:t>
      </w:r>
      <w:r>
        <w:rPr>
          <w:rFonts w:ascii="宋体" w:hAnsi="宋体" w:cs="宋体"/>
          <w:color w:val="000000"/>
          <w:sz w:val="24"/>
          <w:highlight w:val="none"/>
        </w:rPr>
      </w:r>
      <w:r/>
    </w:p>
    <w:p>
      <w:pPr>
        <w:pStyle w:val="1101"/>
        <w:ind w:firstLine="480"/>
        <w:spacing w:line="400" w:lineRule="exact"/>
        <w:tabs>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ascii="宋体" w:hAnsi="宋体" w:cs="宋体"/>
          <w:color w:val="000000"/>
          <w:sz w:val="24"/>
          <w:highlight w:val="none"/>
        </w:rPr>
      </w:r>
      <w:r/>
    </w:p>
    <w:p>
      <w:pPr>
        <w:pStyle w:val="1101"/>
        <w:ind w:firstLine="480"/>
        <w:spacing w:line="400" w:lineRule="exact"/>
        <w:tabs>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ascii="宋体" w:hAnsi="宋体" w:cs="宋体"/>
          <w:color w:val="000000"/>
          <w:sz w:val="24"/>
          <w:highlight w:val="none"/>
        </w:rPr>
      </w:r>
      <w:r/>
    </w:p>
    <w:p>
      <w:pPr>
        <w:pStyle w:val="1101"/>
        <w:ind w:firstLine="480"/>
        <w:spacing w:line="400" w:lineRule="exact"/>
        <w:tabs>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ascii="宋体" w:hAnsi="宋体" w:cs="宋体"/>
          <w:color w:val="000000"/>
          <w:sz w:val="24"/>
          <w:highlight w:val="none"/>
        </w:rPr>
      </w:r>
      <w:r/>
    </w:p>
    <w:p>
      <w:pPr>
        <w:pStyle w:val="1101"/>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5.2.1.3在货物采购项目中，供应商提供的货物既有中小企业制造货物，也有大型企业制造货物的，不享受中小企业扶持政策。</w:t>
      </w:r>
      <w:r>
        <w:rPr>
          <w:rFonts w:ascii="宋体" w:hAnsi="宋体" w:cs="宋体"/>
          <w:sz w:val="24"/>
          <w:highlight w:val="none"/>
        </w:rPr>
      </w:r>
      <w:r/>
    </w:p>
    <w:p>
      <w:pPr>
        <w:pStyle w:val="1101"/>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color w:val="000000"/>
          <w:sz w:val="24"/>
          <w:highlight w:val="none"/>
        </w:rPr>
        <w:t xml:space="preserve">5.2.1.4以联合体形式参加政府采购活动，联合体各方均为中小企业的，联合体视同中小企业。其中，联合体各方均为小微企业的，联合体视同小微企业。</w:t>
      </w:r>
      <w:r>
        <w:rPr>
          <w:rFonts w:ascii="宋体" w:hAnsi="宋体" w:cs="宋体"/>
          <w:sz w:val="24"/>
          <w:highlight w:val="none"/>
        </w:rPr>
      </w:r>
      <w:r/>
    </w:p>
    <w:p>
      <w:pPr>
        <w:pStyle w:val="1101"/>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sz w:val="24"/>
          <w:highlight w:val="none"/>
        </w:rPr>
      </w:r>
      <w:r/>
    </w:p>
    <w:p>
      <w:pPr>
        <w:pStyle w:val="1101"/>
        <w:numPr>
          <w:ilvl w:val="2"/>
          <w:numId w:val="8"/>
        </w:numPr>
        <w:ind w:firstLine="480"/>
        <w:spacing w:line="400" w:lineRule="exact"/>
        <w:rPr>
          <w:rFonts w:ascii="宋体" w:hAnsi="宋体" w:cs="宋体"/>
          <w:vanish/>
          <w:color w:val="000000"/>
          <w:sz w:val="24"/>
          <w:highlight w:val="none"/>
        </w:rPr>
      </w:pPr>
      <w:r>
        <w:rPr>
          <w:rFonts w:hint="eastAsia" w:ascii="宋体" w:hAnsi="宋体" w:cs="宋体"/>
          <w:sz w:val="24"/>
          <w:highlight w:val="none"/>
        </w:rPr>
        <w:t xml:space="preserve">残疾人福利单位定义：享受政府采购支持政策的残疾人福利性单位应当同时满足以下条件：</w:t>
      </w:r>
      <w:r>
        <w:rPr>
          <w:rFonts w:ascii="宋体" w:hAnsi="宋体" w:cs="宋体"/>
          <w:vanish/>
          <w:color w:val="000000"/>
          <w:sz w:val="24"/>
          <w:highlight w:val="none"/>
        </w:rPr>
      </w:r>
      <w:r/>
    </w:p>
    <w:p>
      <w:pPr>
        <w:pStyle w:val="1101"/>
        <w:ind w:firstLine="480"/>
        <w:spacing w:line="40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5.2.3.1安置的残疾人占本单位在职职工人数的比例不低于25%（含25%），并且安置的残疾人人数不少于10 人（含10 人）；</w:t>
      </w:r>
      <w:r>
        <w:rPr>
          <w:rFonts w:ascii="宋体" w:hAnsi="宋体" w:cs="宋体"/>
          <w:color w:val="000000"/>
          <w:sz w:val="24"/>
          <w:highlight w:val="none"/>
        </w:rPr>
      </w:r>
      <w:r/>
    </w:p>
    <w:p>
      <w:pPr>
        <w:pStyle w:val="1101"/>
        <w:ind w:firstLine="480"/>
        <w:spacing w:line="40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w:t>
      </w:r>
      <w:r>
        <w:rPr>
          <w:rFonts w:hint="eastAsia" w:ascii="宋体" w:hAnsi="宋体" w:cs="宋体"/>
          <w:sz w:val="24"/>
          <w:highlight w:val="none"/>
        </w:rPr>
        <w:t xml:space="preserve">2依法与安置的每位残疾人签订了一年以上（含一年）的劳动合同或服务协议；</w:t>
      </w:r>
      <w:r>
        <w:rPr>
          <w:rFonts w:ascii="宋体" w:hAnsi="宋体" w:cs="宋体"/>
          <w:color w:val="000000"/>
          <w:sz w:val="24"/>
          <w:highlight w:val="none"/>
        </w:rPr>
      </w:r>
      <w:r/>
    </w:p>
    <w:p>
      <w:pPr>
        <w:pStyle w:val="1101"/>
        <w:ind w:firstLine="480"/>
        <w:spacing w:line="40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w:t>
      </w:r>
      <w:r>
        <w:rPr>
          <w:rFonts w:hint="eastAsia" w:ascii="宋体" w:hAnsi="宋体" w:cs="宋体"/>
          <w:sz w:val="24"/>
          <w:highlight w:val="none"/>
        </w:rPr>
        <w:t xml:space="preserve">3为安置的每位残疾人按月足额缴纳了基本养老保险、基本医疗保险、失业保险、工伤保险和生育保险等社会保险费；</w:t>
      </w:r>
      <w:r>
        <w:rPr>
          <w:rFonts w:ascii="宋体" w:hAnsi="宋体" w:cs="宋体"/>
          <w:color w:val="000000"/>
          <w:sz w:val="24"/>
          <w:highlight w:val="none"/>
        </w:rPr>
      </w:r>
      <w:r/>
    </w:p>
    <w:p>
      <w:pPr>
        <w:pStyle w:val="1101"/>
        <w:ind w:firstLine="480"/>
        <w:spacing w:line="40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w:t>
      </w:r>
      <w:r>
        <w:rPr>
          <w:rFonts w:hint="eastAsia" w:ascii="宋体" w:hAnsi="宋体" w:cs="宋体"/>
          <w:sz w:val="24"/>
          <w:highlight w:val="none"/>
        </w:rPr>
        <w:t xml:space="preserve">4通过银行等金融机构向安置的每位残疾人，按月支付了不低于单位所在区县适用的经省级人民政府批准的月最低工资标准的工资；</w:t>
      </w:r>
      <w:r>
        <w:rPr>
          <w:rFonts w:ascii="宋体" w:hAnsi="宋体" w:cs="宋体"/>
          <w:color w:val="000000"/>
          <w:sz w:val="24"/>
          <w:highlight w:val="none"/>
        </w:rPr>
      </w:r>
      <w:r/>
    </w:p>
    <w:p>
      <w:pPr>
        <w:pStyle w:val="1101"/>
        <w:ind w:firstLine="480"/>
        <w:spacing w:line="40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w:t>
      </w:r>
      <w:r>
        <w:rPr>
          <w:rFonts w:hint="eastAsia" w:ascii="宋体" w:hAnsi="宋体" w:cs="宋体"/>
          <w:sz w:val="24"/>
          <w:highlight w:val="none"/>
        </w:rPr>
        <w:t xml:space="preserve">5提供本单位制造的货物、承担的工程或者服务（以下简称产品），或者提供其他残疾人福利性单位制造的货物（不包括使用非残疾人福利性单位注册商标的货物）；</w:t>
      </w:r>
      <w:r>
        <w:rPr>
          <w:rFonts w:ascii="宋体" w:hAnsi="宋体" w:cs="宋体"/>
          <w:color w:val="000000"/>
          <w:sz w:val="24"/>
          <w:highlight w:val="none"/>
        </w:rPr>
      </w:r>
      <w:r/>
    </w:p>
    <w:p>
      <w:pPr>
        <w:pStyle w:val="1101"/>
        <w:ind w:firstLine="480"/>
        <w:spacing w:line="40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w:t>
      </w:r>
      <w:r>
        <w:rPr>
          <w:rFonts w:hint="eastAsia" w:ascii="宋体" w:hAnsi="宋体" w:cs="宋体"/>
          <w:sz w:val="24"/>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s="宋体"/>
          <w:color w:val="000000"/>
          <w:sz w:val="24"/>
          <w:highlight w:val="none"/>
        </w:rPr>
      </w:r>
      <w:r/>
    </w:p>
    <w:p>
      <w:pPr>
        <w:pStyle w:val="1101"/>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本项目是否专门面向中小企业预留采购份额见第一章《投标邀请》。</w:t>
      </w:r>
      <w:r>
        <w:rPr>
          <w:rFonts w:ascii="宋体" w:hAnsi="宋体" w:cs="宋体"/>
          <w:sz w:val="24"/>
          <w:highlight w:val="none"/>
        </w:rPr>
      </w:r>
      <w:r/>
    </w:p>
    <w:p>
      <w:pPr>
        <w:pStyle w:val="1101"/>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采购标的对应的中小企业划分标准所属行业见《投标人须知资料表》。</w:t>
      </w:r>
      <w:r>
        <w:rPr>
          <w:rFonts w:ascii="宋体" w:hAnsi="宋体" w:cs="宋体"/>
          <w:sz w:val="24"/>
          <w:highlight w:val="none"/>
        </w:rPr>
      </w:r>
      <w:r/>
    </w:p>
    <w:p>
      <w:pPr>
        <w:pStyle w:val="1101"/>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小微企业价格评审优惠的政策调整：见第四章《评标方法和评标标准》。</w:t>
      </w:r>
      <w:r>
        <w:rPr>
          <w:rFonts w:ascii="宋体" w:hAnsi="宋体" w:cs="宋体"/>
          <w:sz w:val="24"/>
          <w:highlight w:val="none"/>
        </w:rPr>
      </w:r>
      <w:r/>
    </w:p>
    <w:p>
      <w:pPr>
        <w:pStyle w:val="1101"/>
        <w:numPr>
          <w:ilvl w:val="1"/>
          <w:numId w:val="8"/>
        </w:num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政府采购节能产品、环境标志产品</w:t>
      </w:r>
      <w:r>
        <w:rPr>
          <w:rFonts w:ascii="宋体" w:hAnsi="宋体" w:cs="宋体"/>
          <w:sz w:val="24"/>
          <w:highlight w:val="none"/>
        </w:rPr>
      </w:r>
      <w:r/>
    </w:p>
    <w:p>
      <w:pPr>
        <w:pStyle w:val="1101"/>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cs="宋体"/>
          <w:sz w:val="24"/>
          <w:highlight w:val="none"/>
        </w:rPr>
      </w:r>
      <w:r/>
    </w:p>
    <w:p>
      <w:pPr>
        <w:pStyle w:val="1101"/>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cs="宋体"/>
          <w:sz w:val="24"/>
          <w:highlight w:val="none"/>
        </w:rPr>
      </w:r>
      <w:r/>
    </w:p>
    <w:p>
      <w:pPr>
        <w:pStyle w:val="1101"/>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highlight w:val="none"/>
        </w:rPr>
        <w:t xml:space="preserve">否则</w:t>
      </w:r>
      <w:r>
        <w:rPr>
          <w:rFonts w:hint="eastAsia" w:ascii="宋体" w:hAnsi="宋体" w:cs="宋体"/>
          <w:b/>
          <w:sz w:val="24"/>
          <w:highlight w:val="none"/>
        </w:rPr>
        <w:t xml:space="preserve">投标无效</w:t>
      </w:r>
      <w:r>
        <w:rPr>
          <w:rFonts w:hint="eastAsia" w:ascii="宋体" w:hAnsi="宋体" w:cs="宋体"/>
          <w:sz w:val="24"/>
          <w:highlight w:val="none"/>
        </w:rPr>
        <w:t xml:space="preserve">；</w:t>
      </w:r>
      <w:r>
        <w:rPr>
          <w:rFonts w:ascii="宋体" w:hAnsi="宋体" w:cs="宋体"/>
          <w:sz w:val="24"/>
          <w:highlight w:val="none"/>
        </w:rPr>
      </w:r>
      <w:r/>
    </w:p>
    <w:p>
      <w:pPr>
        <w:pStyle w:val="1101"/>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非政府强制采购的节能产品或环境标志产品，依据品目清单和认证证书实施政府优先采购。优先采购的具体规定见第四章《评标方法和评标标准》（如涉及）。</w:t>
      </w:r>
      <w:r>
        <w:rPr>
          <w:rFonts w:ascii="宋体" w:hAnsi="宋体" w:cs="宋体"/>
          <w:sz w:val="24"/>
          <w:highlight w:val="none"/>
        </w:rPr>
      </w:r>
      <w:r/>
    </w:p>
    <w:p>
      <w:pPr>
        <w:pStyle w:val="1101"/>
        <w:numPr>
          <w:ilvl w:val="2"/>
          <w:numId w:val="8"/>
        </w:numPr>
        <w:ind w:firstLine="480"/>
        <w:spacing w:line="400" w:lineRule="exact"/>
        <w:tabs>
          <w:tab w:val="left" w:pos="2014" w:leader="none"/>
        </w:tabs>
        <w:rPr>
          <w:rFonts w:ascii="宋体" w:hAnsi="宋体" w:cs="宋体"/>
          <w:sz w:val="24"/>
          <w:highlight w:val="none"/>
        </w:rPr>
      </w:pPr>
      <w:r>
        <w:rPr>
          <w:rFonts w:hint="eastAsia" w:ascii="宋体" w:hAnsi="宋体" w:cs="宋体"/>
          <w:sz w:val="24"/>
          <w:highlight w:val="none"/>
        </w:rPr>
        <w:t xml:space="preserve">依据《关于印发〈商品包装政府采购需求标准（试行）〉、〈快递包装政府采购需求标准（试行）〉的通知》（财办库〔2020〕123号）文件精神，采购人在招标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rPr>
          <w:rFonts w:ascii="宋体" w:hAnsi="宋体" w:cs="宋体"/>
          <w:sz w:val="24"/>
          <w:highlight w:val="none"/>
        </w:rPr>
      </w:r>
      <w:r/>
    </w:p>
    <w:p>
      <w:pPr>
        <w:pStyle w:val="1101"/>
        <w:numPr>
          <w:ilvl w:val="1"/>
          <w:numId w:val="8"/>
        </w:num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支持乡村产业振兴管理</w:t>
      </w:r>
      <w:r>
        <w:rPr>
          <w:rFonts w:ascii="宋体" w:hAnsi="宋体" w:cs="宋体"/>
          <w:sz w:val="24"/>
          <w:highlight w:val="none"/>
        </w:rPr>
      </w:r>
      <w:r/>
    </w:p>
    <w:p>
      <w:pPr>
        <w:pStyle w:val="1101"/>
        <w:numPr>
          <w:ilvl w:val="2"/>
          <w:numId w:val="8"/>
        </w:numPr>
        <w:ind w:firstLine="480"/>
        <w:spacing w:line="400" w:lineRule="exact"/>
        <w:tabs>
          <w:tab w:val="left" w:pos="2014" w:leader="none"/>
        </w:tabs>
        <w:rPr>
          <w:rFonts w:ascii="宋体" w:hAnsi="宋体" w:cs="宋体"/>
          <w:sz w:val="24"/>
          <w:highlight w:val="none"/>
        </w:rPr>
      </w:pPr>
      <w:r>
        <w:rPr>
          <w:rFonts w:hint="eastAsia" w:ascii="宋体" w:hAnsi="宋体" w:cs="宋体"/>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cs="宋体"/>
          <w:sz w:val="24"/>
          <w:highlight w:val="none"/>
        </w:rPr>
      </w:r>
      <w:r/>
    </w:p>
    <w:p>
      <w:pPr>
        <w:pStyle w:val="1101"/>
        <w:numPr>
          <w:ilvl w:val="1"/>
          <w:numId w:val="8"/>
        </w:num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正版软件</w:t>
      </w:r>
      <w:r>
        <w:rPr>
          <w:rFonts w:ascii="宋体" w:hAnsi="宋体" w:cs="宋体"/>
          <w:sz w:val="24"/>
          <w:highlight w:val="none"/>
        </w:rPr>
      </w:r>
      <w:r/>
    </w:p>
    <w:p>
      <w:pPr>
        <w:pStyle w:val="1101"/>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highlight w:val="none"/>
        </w:rPr>
        <w:t xml:space="preserve">否则</w:t>
      </w:r>
      <w:r>
        <w:rPr>
          <w:rFonts w:hint="eastAsia" w:ascii="宋体" w:hAnsi="宋体" w:cs="宋体"/>
          <w:b/>
          <w:sz w:val="24"/>
          <w:highlight w:val="none"/>
        </w:rPr>
        <w:t xml:space="preserve">投标无效</w:t>
      </w:r>
      <w:r>
        <w:rPr>
          <w:rFonts w:hint="eastAsia" w:ascii="宋体" w:hAnsi="宋体" w:cs="宋体"/>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cs="宋体"/>
          <w:sz w:val="24"/>
          <w:highlight w:val="none"/>
        </w:rPr>
      </w:r>
      <w:r/>
    </w:p>
    <w:p>
      <w:pPr>
        <w:pStyle w:val="1101"/>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cs="宋体"/>
          <w:sz w:val="24"/>
          <w:highlight w:val="none"/>
        </w:rPr>
      </w:r>
      <w:r/>
    </w:p>
    <w:p>
      <w:pPr>
        <w:pStyle w:val="1101"/>
        <w:numPr>
          <w:ilvl w:val="1"/>
          <w:numId w:val="8"/>
        </w:num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政府采购创新产品政策</w:t>
      </w:r>
      <w:r>
        <w:rPr>
          <w:rFonts w:ascii="宋体" w:hAnsi="宋体" w:cs="宋体"/>
          <w:sz w:val="24"/>
          <w:highlight w:val="none"/>
        </w:rPr>
      </w:r>
      <w:r/>
    </w:p>
    <w:p>
      <w:pPr>
        <w:pStyle w:val="1101"/>
        <w:numPr>
          <w:ilvl w:val="2"/>
          <w:numId w:val="8"/>
        </w:numPr>
        <w:ind w:firstLine="480"/>
        <w:spacing w:line="400" w:lineRule="exact"/>
        <w:tabs>
          <w:tab w:val="left" w:pos="2014" w:leader="none"/>
        </w:tabs>
        <w:rPr>
          <w:rFonts w:ascii="宋体" w:hAnsi="宋体" w:cs="宋体"/>
          <w:sz w:val="24"/>
          <w:highlight w:val="none"/>
        </w:rPr>
      </w:pPr>
      <w:r>
        <w:rPr>
          <w:rFonts w:hint="eastAsia" w:ascii="宋体" w:hAnsi="宋体" w:cs="宋体"/>
          <w:sz w:val="24"/>
          <w:highlight w:val="none"/>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cs="宋体"/>
          <w:sz w:val="24"/>
          <w:highlight w:val="none"/>
        </w:rPr>
      </w:r>
      <w:r/>
    </w:p>
    <w:p>
      <w:pPr>
        <w:pStyle w:val="1101"/>
        <w:numPr>
          <w:ilvl w:val="1"/>
          <w:numId w:val="8"/>
        </w:numPr>
        <w:ind w:firstLine="480"/>
        <w:spacing w:line="400" w:lineRule="exact"/>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 绿色采购政策</w:t>
      </w:r>
      <w:r>
        <w:rPr>
          <w:rFonts w:hint="eastAsia" w:ascii="宋体" w:hAnsi="宋体" w:cs="宋体"/>
          <w:sz w:val="24"/>
          <w:highlight w:val="none"/>
        </w:rPr>
      </w:r>
      <w:r/>
    </w:p>
    <w:p>
      <w:pPr>
        <w:pStyle w:val="1101"/>
        <w:numPr>
          <w:ilvl w:val="2"/>
          <w:numId w:val="8"/>
        </w:numPr>
        <w:ind w:firstLine="480"/>
        <w:spacing w:line="400" w:lineRule="exact"/>
        <w:tabs>
          <w:tab w:val="left" w:pos="2014" w:leader="none"/>
        </w:tabs>
        <w:rPr>
          <w:rFonts w:hint="eastAsia" w:ascii="宋体" w:hAnsi="宋体" w:cs="宋体"/>
          <w:sz w:val="24"/>
          <w:highlight w:val="none"/>
        </w:rPr>
      </w:pPr>
      <w:r>
        <w:rPr>
          <w:rFonts w:hint="eastAsia" w:ascii="宋体" w:hAnsi="宋体" w:cs="宋体"/>
          <w:sz w:val="24"/>
          <w:highlight w:val="none"/>
        </w:rPr>
        <w:t xml:space="preserve">绿色数据中心政策 </w:t>
      </w:r>
      <w:r>
        <w:rPr>
          <w:rFonts w:hint="eastAsia" w:ascii="宋体" w:hAnsi="宋体" w:cs="宋体"/>
          <w:sz w:val="24"/>
          <w:highlight w:val="none"/>
        </w:rPr>
      </w:r>
      <w:r/>
    </w:p>
    <w:p>
      <w:pPr>
        <w:pStyle w:val="1101"/>
        <w:ind w:firstLine="480"/>
        <w:spacing w:line="400" w:lineRule="exact"/>
        <w:rPr>
          <w:rFonts w:ascii="宋体" w:hAnsi="宋体"/>
          <w:sz w:val="24"/>
          <w:highlight w:val="none"/>
        </w:rPr>
      </w:pPr>
      <w:r>
        <w:rPr>
          <w:rFonts w:hint="eastAsia" w:ascii="宋体" w:hAnsi="宋体" w:cs="宋体"/>
          <w:sz w:val="24"/>
          <w:highlight w:val="none"/>
        </w:rPr>
        <w:t xml:space="preserve">依据《绿色数据中心政府采购需求标准（试行）》（财办库〔2023〕7 号）</w:t>
      </w:r>
      <w:r>
        <w:rPr>
          <w:rFonts w:hint="eastAsia" w:ascii="宋体" w:hAnsi="宋体"/>
          <w:sz w:val="24"/>
          <w:highlight w:val="none"/>
        </w:rPr>
        <w:t xml:space="preserve">文件精神，采购</w:t>
      </w:r>
      <w:r>
        <w:rPr>
          <w:rFonts w:hint="eastAsia" w:ascii="宋体" w:hAnsi="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highlight w:val="none"/>
        </w:rPr>
      </w:r>
      <w:r/>
    </w:p>
    <w:p>
      <w:pPr>
        <w:pStyle w:val="1101"/>
        <w:numPr>
          <w:ilvl w:val="2"/>
          <w:numId w:val="8"/>
        </w:numPr>
        <w:ind w:firstLine="480"/>
        <w:spacing w:line="400" w:lineRule="exact"/>
        <w:tabs>
          <w:tab w:val="left" w:pos="2014" w:leader="none"/>
        </w:tabs>
        <w:rPr>
          <w:rFonts w:hint="eastAsia" w:ascii="宋体" w:hAnsi="宋体" w:cs="宋体"/>
          <w:sz w:val="24"/>
          <w:highlight w:val="none"/>
        </w:rPr>
      </w:pPr>
      <w:r>
        <w:rPr>
          <w:rFonts w:hint="eastAsia" w:ascii="宋体" w:hAnsi="宋体" w:cs="宋体"/>
          <w:sz w:val="24"/>
          <w:highlight w:val="none"/>
        </w:rPr>
        <w:t xml:space="preserve">推广应用绿色建材</w:t>
      </w:r>
      <w:r>
        <w:rPr>
          <w:rFonts w:hint="eastAsia" w:ascii="宋体" w:hAnsi="宋体" w:cs="宋体"/>
          <w:sz w:val="24"/>
          <w:highlight w:val="none"/>
        </w:rPr>
      </w:r>
      <w:r/>
    </w:p>
    <w:p>
      <w:pPr>
        <w:pStyle w:val="1101"/>
        <w:ind w:firstLine="480"/>
        <w:spacing w:line="400" w:lineRule="exact"/>
        <w:rPr>
          <w:rFonts w:ascii="宋体" w:hAnsi="宋体"/>
          <w:sz w:val="24"/>
          <w:highlight w:val="none"/>
        </w:rPr>
      </w:pPr>
      <w:r>
        <w:rPr>
          <w:rFonts w:hint="eastAsia" w:ascii="宋体" w:hAnsi="宋体"/>
          <w:sz w:val="24"/>
          <w:highlight w:val="none"/>
        </w:rPr>
        <w:t xml:space="preserve">采购人实施政府采购工程项目，要按照《常州市政府采购支持绿色建材促进建筑品质提升试点工作方案》（</w:t>
      </w:r>
      <w:r>
        <w:rPr>
          <w:rFonts w:hint="eastAsia"/>
          <w:sz w:val="24"/>
          <w:highlight w:val="none"/>
        </w:rPr>
        <w:t xml:space="preserve">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 号</w:t>
      </w:r>
      <w:r>
        <w:rPr>
          <w:rFonts w:hint="eastAsia" w:ascii="宋体" w:hAnsi="宋体"/>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 号</w:t>
      </w:r>
      <w:r>
        <w:rPr>
          <w:rFonts w:hint="eastAsia" w:ascii="宋体" w:hAnsi="宋体"/>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 号</w:t>
      </w:r>
      <w:r>
        <w:rPr>
          <w:rFonts w:hint="eastAsia" w:ascii="宋体" w:hAnsi="宋体"/>
          <w:sz w:val="24"/>
          <w:highlight w:val="none"/>
        </w:rPr>
        <w:t xml:space="preserve">）,依据相关需求标准确定采购需求，在招标文件和采购合同中载明具体需求、履约验收条款和违约责任。</w:t>
      </w:r>
      <w:r>
        <w:rPr>
          <w:rFonts w:ascii="宋体" w:hAnsi="宋体"/>
          <w:sz w:val="24"/>
          <w:highlight w:val="none"/>
        </w:rPr>
      </w:r>
      <w:r/>
    </w:p>
    <w:p>
      <w:pPr>
        <w:pStyle w:val="1101"/>
        <w:numPr>
          <w:ilvl w:val="2"/>
          <w:numId w:val="8"/>
        </w:numPr>
        <w:ind w:firstLine="480"/>
        <w:spacing w:line="400" w:lineRule="exact"/>
        <w:tabs>
          <w:tab w:val="left" w:pos="2014" w:leader="none"/>
        </w:tabs>
        <w:rPr>
          <w:rFonts w:hint="eastAsia" w:ascii="宋体" w:hAnsi="宋体" w:cs="宋体"/>
          <w:sz w:val="24"/>
          <w:highlight w:val="none"/>
        </w:rPr>
      </w:pPr>
      <w:r>
        <w:rPr>
          <w:rFonts w:hint="eastAsia" w:ascii="宋体" w:hAnsi="宋体" w:cs="宋体"/>
          <w:sz w:val="24"/>
          <w:highlight w:val="none"/>
        </w:rPr>
        <w:t xml:space="preserve">优先使用低挥发性有机化合物产品</w:t>
      </w:r>
      <w:r>
        <w:rPr>
          <w:rFonts w:hint="eastAsia" w:ascii="宋体" w:hAnsi="宋体" w:cs="宋体"/>
          <w:sz w:val="24"/>
          <w:highlight w:val="none"/>
        </w:rPr>
      </w:r>
      <w:r/>
    </w:p>
    <w:p>
      <w:pPr>
        <w:pStyle w:val="1101"/>
        <w:ind w:firstLine="480"/>
        <w:spacing w:line="400" w:lineRule="exact"/>
        <w:rPr>
          <w:rFonts w:hint="eastAsia" w:ascii="宋体" w:hAnsi="宋体"/>
          <w:sz w:val="24"/>
          <w:highlight w:val="none"/>
        </w:rPr>
      </w:pPr>
      <w:r>
        <w:rPr>
          <w:rFonts w:hint="eastAsia" w:ascii="宋体" w:hAnsi="宋体" w:cs="宋体"/>
          <w:sz w:val="24"/>
          <w:highlight w:val="none"/>
        </w:rPr>
        <w:t xml:space="preserve">采购人要落实挥发性有机化合物（VOCs）治理要求，若本项目中涉及涂</w:t>
      </w:r>
      <w:r>
        <w:rPr>
          <w:rFonts w:hint="eastAsia" w:ascii="宋体" w:hAnsi="宋体"/>
          <w:sz w:val="24"/>
          <w:highlight w:val="none"/>
        </w:rPr>
        <w:t xml:space="preserve">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r>
        <w:rPr>
          <w:rFonts w:hint="eastAsia" w:ascii="宋体" w:hAnsi="宋体"/>
          <w:sz w:val="24"/>
          <w:highlight w:val="none"/>
        </w:rPr>
      </w:r>
      <w:r/>
    </w:p>
    <w:p>
      <w:pPr>
        <w:pStyle w:val="1101"/>
        <w:numPr>
          <w:ilvl w:val="0"/>
          <w:numId w:val="8"/>
        </w:numPr>
        <w:ind w:left="0" w:firstLine="480"/>
        <w:spacing w:line="400" w:lineRule="exact"/>
        <w:tabs>
          <w:tab w:val="left" w:pos="360" w:leader="none"/>
          <w:tab w:val="left" w:pos="900" w:leader="none"/>
        </w:tabs>
        <w:rPr>
          <w:rFonts w:ascii="宋体" w:hAnsi="宋体" w:cs="宋体"/>
          <w:sz w:val="24"/>
          <w:highlight w:val="none"/>
        </w:rPr>
      </w:pPr>
      <w:r>
        <w:rPr>
          <w:rFonts w:hint="eastAsia" w:ascii="宋体" w:hAnsi="宋体" w:cs="宋体"/>
          <w:sz w:val="24"/>
          <w:highlight w:val="none"/>
        </w:rPr>
        <w:t xml:space="preserve">投标费用</w:t>
      </w:r>
      <w:r>
        <w:rPr>
          <w:rFonts w:ascii="宋体" w:hAnsi="宋体" w:cs="宋体"/>
          <w:sz w:val="24"/>
          <w:highlight w:val="none"/>
        </w:rPr>
      </w:r>
      <w:r/>
    </w:p>
    <w:p>
      <w:pPr>
        <w:pStyle w:val="1101"/>
        <w:numPr>
          <w:ilvl w:val="1"/>
          <w:numId w:val="8"/>
        </w:num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投标人应自行承担所有与准备和参加投标有关的费用，无论投标的结果如何，采购人或采购代理机构在任何情况下均无承担这些费用的义务和责任。</w:t>
      </w:r>
      <w:r>
        <w:rPr>
          <w:rFonts w:ascii="宋体" w:hAnsi="宋体" w:cs="宋体"/>
          <w:sz w:val="24"/>
          <w:highlight w:val="none"/>
        </w:rPr>
      </w:r>
      <w:r/>
    </w:p>
    <w:p>
      <w:pPr>
        <w:pStyle w:val="1101"/>
        <w:rPr>
          <w:highlight w:val="none"/>
        </w:rPr>
      </w:pPr>
      <w:r>
        <w:rPr>
          <w:highlight w:val="none"/>
        </w:rPr>
      </w:r>
      <w:r/>
    </w:p>
    <w:p>
      <w:pPr>
        <w:pStyle w:val="1103"/>
        <w:spacing w:before="0" w:line="400" w:lineRule="exact"/>
        <w:rPr>
          <w:rFonts w:ascii="Times New Roman" w:hAnsi="Times New Roman" w:eastAsia="宋体"/>
          <w:sz w:val="28"/>
          <w:highlight w:val="none"/>
        </w:rPr>
      </w:pPr>
      <w:r/>
      <w:bookmarkStart w:id="164" w:name="_1.8_计量单位"/>
      <w:r/>
      <w:bookmarkEnd w:id="164"/>
      <w:r>
        <w:rPr>
          <w:rFonts w:ascii="Times New Roman" w:hAnsi="Times New Roman" w:eastAsia="宋体"/>
          <w:sz w:val="28"/>
          <w:highlight w:val="none"/>
        </w:rPr>
        <w:t xml:space="preserve">二   招标文件</w:t>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Pr>
          <w:rFonts w:ascii="Times New Roman" w:hAnsi="Times New Roman" w:eastAsia="宋体"/>
          <w:sz w:val="28"/>
          <w:highlight w:val="none"/>
        </w:rPr>
      </w:r>
      <w:r/>
    </w:p>
    <w:p>
      <w:pPr>
        <w:pStyle w:val="1101"/>
        <w:ind w:firstLine="480"/>
        <w:spacing w:line="400" w:lineRule="exact"/>
        <w:rPr>
          <w:rFonts w:ascii="宋体" w:hAnsi="宋体" w:cs="宋体"/>
          <w:sz w:val="24"/>
          <w:highlight w:val="none"/>
        </w:rPr>
      </w:pPr>
      <w:r/>
      <w:bookmarkStart w:id="165" w:name="_Toc151193840"/>
      <w:r/>
      <w:bookmarkStart w:id="166" w:name="_Toc151193768"/>
      <w:r/>
      <w:bookmarkStart w:id="167" w:name="_Toc151193696"/>
      <w:r/>
      <w:bookmarkStart w:id="168" w:name="_Toc151190153"/>
      <w:r/>
      <w:bookmarkStart w:id="169" w:name="_Toc226965799"/>
      <w:r/>
      <w:bookmarkStart w:id="170" w:name="_Toc151193624"/>
      <w:r/>
      <w:bookmarkStart w:id="171" w:name="_Toc226965716"/>
      <w:r/>
      <w:bookmarkStart w:id="172" w:name="_Toc195842891"/>
      <w:r/>
      <w:bookmarkStart w:id="173" w:name="_Toc151193914"/>
      <w:r/>
      <w:bookmarkStart w:id="174" w:name="_Toc150774626"/>
      <w:r/>
      <w:bookmarkStart w:id="175" w:name="_Toc264969216"/>
      <w:r/>
      <w:bookmarkStart w:id="176" w:name="_Toc265228364"/>
      <w:r/>
      <w:bookmarkStart w:id="177" w:name="_Toc305158794"/>
      <w:r/>
      <w:bookmarkStart w:id="178" w:name="_Toc150774731"/>
      <w:r/>
      <w:bookmarkStart w:id="179" w:name="_Toc142311028"/>
      <w:r/>
      <w:bookmarkStart w:id="180" w:name="_Toc305158868"/>
      <w:r/>
      <w:bookmarkStart w:id="181" w:name="_Toc150509277"/>
      <w:r/>
      <w:bookmarkStart w:id="182" w:name="_Toc127151526"/>
      <w:r/>
      <w:bookmarkStart w:id="183" w:name="_Toc520356150"/>
      <w:r/>
      <w:bookmarkStart w:id="184" w:name="_Toc226337222"/>
      <w:r/>
      <w:bookmarkStart w:id="185" w:name="_Toc516367020"/>
      <w:r/>
      <w:bookmarkStart w:id="186" w:name="_Toc226309770"/>
      <w:r/>
      <w:bookmarkStart w:id="187" w:name="_Toc150480764"/>
      <w:r>
        <w:rPr>
          <w:rFonts w:hint="eastAsia" w:ascii="宋体" w:hAnsi="宋体" w:cs="宋体"/>
          <w:sz w:val="24"/>
          <w:highlight w:val="none"/>
        </w:rPr>
        <w:t xml:space="preserve">7招标文件构成</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7.1招标文件包括以下部分：</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第一章  投标邀请</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第二章  投标人须知</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第三章  资格审查</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第四章  评标程序、评标方法和评标标准</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第五章  采购需求</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第六章  拟签订的合同文本</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第七章  投标文件格式</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7.2投标人应认真阅读招标文件的全部内容。投标人应按照招标文件要求提交投标文件并保证所提供的全部资料的真实性，并对招标文件做出实质性响应，否则投标无效。</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8对招标文件的澄清或修改</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8.1采购人或采购代理机构对已发出的招标文件进行必要澄清或者修改的，将在原公告发布媒体上以发布更正公告的形式通知所有获取招标文件的潜在投标人。</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ascii="宋体" w:hAnsi="宋体" w:cs="宋体"/>
          <w:sz w:val="24"/>
          <w:highlight w:val="none"/>
        </w:rPr>
      </w:r>
      <w:r/>
    </w:p>
    <w:p>
      <w:pPr>
        <w:pStyle w:val="1101"/>
        <w:ind w:firstLine="560"/>
        <w:spacing w:line="400" w:lineRule="exact"/>
        <w:tabs>
          <w:tab w:val="left" w:pos="1080" w:leader="none"/>
          <w:tab w:val="left" w:pos="1561" w:leader="none"/>
        </w:tabs>
        <w:rPr>
          <w:sz w:val="28"/>
          <w:highlight w:val="none"/>
        </w:rPr>
      </w:pPr>
      <w:r>
        <w:rPr>
          <w:sz w:val="28"/>
          <w:highlight w:val="none"/>
        </w:rPr>
      </w:r>
      <w:r/>
    </w:p>
    <w:p>
      <w:pPr>
        <w:pStyle w:val="1103"/>
        <w:spacing w:before="0" w:line="400" w:lineRule="exact"/>
        <w:rPr>
          <w:rFonts w:ascii="Times New Roman" w:hAnsi="Times New Roman" w:eastAsia="宋体"/>
          <w:sz w:val="28"/>
          <w:highlight w:val="none"/>
        </w:rPr>
      </w:pPr>
      <w:r>
        <w:rPr>
          <w:rFonts w:ascii="Times New Roman" w:hAnsi="Times New Roman" w:eastAsia="宋体"/>
          <w:sz w:val="28"/>
          <w:highlight w:val="none"/>
        </w:rPr>
        <w:t xml:space="preserve">三   投标文件</w:t>
      </w:r>
      <w:bookmarkEnd w:id="185"/>
      <w:r>
        <w:rPr>
          <w:rFonts w:ascii="Times New Roman" w:hAnsi="Times New Roman" w:eastAsia="宋体"/>
          <w:sz w:val="28"/>
          <w:highlight w:val="none"/>
        </w:rPr>
        <w:t xml:space="preserve">的编制</w:t>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6"/>
      <w:r/>
      <w:bookmarkEnd w:id="187"/>
      <w:r>
        <w:rPr>
          <w:rFonts w:ascii="Times New Roman" w:hAnsi="Times New Roman" w:eastAsia="宋体"/>
          <w:sz w:val="28"/>
          <w:highlight w:val="none"/>
        </w:rPr>
      </w:r>
      <w:r/>
    </w:p>
    <w:p>
      <w:pPr>
        <w:pStyle w:val="1101"/>
        <w:ind w:firstLine="480"/>
        <w:spacing w:line="400" w:lineRule="exact"/>
        <w:rPr>
          <w:rFonts w:ascii="宋体" w:hAnsi="宋体" w:cs="宋体"/>
          <w:sz w:val="24"/>
          <w:highlight w:val="none"/>
        </w:rPr>
      </w:pPr>
      <w:r/>
      <w:bookmarkStart w:id="188" w:name="_Toc150480772"/>
      <w:r/>
      <w:bookmarkStart w:id="189" w:name="_Toc265228372"/>
      <w:r/>
      <w:bookmarkStart w:id="190" w:name="_Toc195842899"/>
      <w:r/>
      <w:bookmarkStart w:id="191" w:name="_Toc151193922"/>
      <w:r/>
      <w:bookmarkStart w:id="192" w:name="_Toc226337230"/>
      <w:r/>
      <w:bookmarkStart w:id="193" w:name="_Toc151190161"/>
      <w:r/>
      <w:bookmarkStart w:id="194" w:name="_Toc226965724"/>
      <w:r/>
      <w:bookmarkStart w:id="195" w:name="_Toc151193776"/>
      <w:r/>
      <w:bookmarkStart w:id="196" w:name="_Toc151193632"/>
      <w:r/>
      <w:bookmarkStart w:id="197" w:name="_Toc151193704"/>
      <w:r/>
      <w:bookmarkStart w:id="198" w:name="_Toc142311036"/>
      <w:r/>
      <w:bookmarkStart w:id="199" w:name="_Toc127151534"/>
      <w:r/>
      <w:bookmarkStart w:id="200" w:name="_Toc264969224"/>
      <w:r/>
      <w:bookmarkStart w:id="201" w:name="_Toc305158802"/>
      <w:r/>
      <w:bookmarkStart w:id="202" w:name="_Toc226309778"/>
      <w:r/>
      <w:bookmarkStart w:id="203" w:name="_Toc151193848"/>
      <w:r/>
      <w:bookmarkStart w:id="204" w:name="_Toc305158876"/>
      <w:r/>
      <w:bookmarkStart w:id="205" w:name="_Toc150774634"/>
      <w:r/>
      <w:bookmarkStart w:id="206" w:name="_Toc150509285"/>
      <w:r/>
      <w:bookmarkStart w:id="207" w:name="_Toc520356159"/>
      <w:r/>
      <w:bookmarkStart w:id="208" w:name="_Toc150774739"/>
      <w:r/>
      <w:bookmarkStart w:id="209" w:name="_Toc226965807"/>
      <w:r>
        <w:rPr>
          <w:rFonts w:hint="eastAsia" w:ascii="宋体" w:hAnsi="宋体" w:cs="宋体"/>
          <w:sz w:val="24"/>
          <w:highlight w:val="none"/>
        </w:rPr>
        <w:t xml:space="preserve">9投标范围、投标文件中计量单位的使用及投标语言</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无效投标。</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9.2除招标文件有特殊要求外，本项目投标所使用的计量单位，应采用中华人民共和国法定计量单位。</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10投标文件构成</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10.1投标人应当按照招标文件的要求编制投标文件。投标文件应由《资格证明文件》、《商务技术文件》两部分构成。投标文件的部分格式要求，见第七章《投标文件格式》。</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10.2对于招标文件中标记了“</w:t>
      </w:r>
      <w:r>
        <w:rPr>
          <w:rFonts w:hint="eastAsia" w:ascii="宋体" w:hAnsi="宋体" w:cs="宋体"/>
          <w:b/>
          <w:bCs/>
          <w:sz w:val="24"/>
          <w:highlight w:val="none"/>
        </w:rPr>
        <w:t xml:space="preserve">实质性格式</w:t>
      </w:r>
      <w:r>
        <w:rPr>
          <w:rFonts w:hint="eastAsia" w:ascii="宋体" w:hAnsi="宋体" w:cs="宋体"/>
          <w:sz w:val="24"/>
          <w:highlight w:val="none"/>
        </w:rPr>
        <w:t xml:space="preserve">”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10.3第四章《评标程序、评标方法和评标标准》中涉及的证明文件。</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10.5投标人认为应附的其他材料。</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11投标报价</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11.1所有投标均以人民币报价。</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11.2投标人的报价应包括为完成本项目所发生的一切费用和税费，招标人将不再支付报价以外的任何费用。投标人的报价应包括但不限于下列内容，《投标人须知资料表》中有特殊规定的，从其规定。</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11.2.2按照招标文件要求完成本项目的全部相关服务费用。 </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11.3采购人不得向供应商索要或者接受其给予的赠品、回扣或者与采购无关的其他商品、服务。</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11.4投标人不能提供任何有选择性或可调整的报价，否则其投标无效。</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12投标保证金</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根据江苏省和常州市的相关文件规定，免收投标保证金。</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13投标有效期</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13.1投标文件应在本招标文件《投标人须知资料表》中规定的投标有效期内保持有效，投标有效期少于招标文件规定期限的，其投标无效。</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14投标文件的签署、加盖公章</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14.2招标文件要求加盖公章的内容，一般通过投标文件编制工具加盖电子签章。</w:t>
      </w:r>
      <w:r>
        <w:rPr>
          <w:rFonts w:ascii="宋体" w:hAnsi="宋体" w:cs="宋体"/>
          <w:sz w:val="24"/>
          <w:highlight w:val="none"/>
        </w:rPr>
      </w:r>
      <w:r/>
    </w:p>
    <w:p>
      <w:pPr>
        <w:pStyle w:val="1101"/>
        <w:rPr>
          <w:highlight w:val="none"/>
        </w:rPr>
      </w:pPr>
      <w:r>
        <w:rPr>
          <w:highlight w:val="none"/>
        </w:rPr>
      </w:r>
      <w:r/>
    </w:p>
    <w:p>
      <w:pPr>
        <w:pStyle w:val="1103"/>
        <w:spacing w:before="0" w:line="400" w:lineRule="exact"/>
        <w:rPr>
          <w:rFonts w:ascii="Times New Roman" w:hAnsi="Times New Roman" w:eastAsia="宋体"/>
          <w:sz w:val="28"/>
          <w:highlight w:val="none"/>
        </w:rPr>
      </w:pPr>
      <w:r>
        <w:rPr>
          <w:rFonts w:ascii="Times New Roman" w:hAnsi="Times New Roman" w:eastAsia="宋体"/>
          <w:sz w:val="28"/>
          <w:highlight w:val="none"/>
        </w:rPr>
        <w:t xml:space="preserve">四   投标文件的提交</w:t>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rPr>
          <w:rFonts w:ascii="Times New Roman" w:hAnsi="Times New Roman" w:eastAsia="宋体"/>
          <w:sz w:val="28"/>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15投标文件的提交</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15.1本项目使用“苏采云”政府采购一体化平台。投标人根据招标文件及“苏采云”政府采购一体化平台供应商操作手册要求编制、生成并提交电子投标文件。</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15.2采购人及采购代理机构拒绝接受通过“苏采云”政府采购一体化平台以外任何形式提交的投标文件。</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16投标截止时间</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16.1投标人应在招标文件要求提交投标文件截止时间前，将电子投标文件提交至“苏采云”政府采购一体化平台。</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17投标文件的修改与撤回</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17.1投标截止时间前，投标人可以通过“苏采云”政府采购一体化平台对所提交的投标文件进行补充、修改或者撤回。</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17.2投标人对投标文件的补充、修改的内容应当按照招标文件要求签署、加盖公章，作为投标文件的组成部分</w:t>
      </w:r>
      <w:r>
        <w:rPr>
          <w:rFonts w:ascii="宋体" w:hAnsi="宋体" w:cs="宋体"/>
          <w:sz w:val="24"/>
          <w:highlight w:val="none"/>
        </w:rPr>
      </w:r>
      <w:r/>
    </w:p>
    <w:p>
      <w:pPr>
        <w:pStyle w:val="1101"/>
        <w:ind w:firstLine="480"/>
        <w:spacing w:line="400" w:lineRule="exact"/>
        <w:rPr>
          <w:sz w:val="24"/>
          <w:highlight w:val="none"/>
        </w:rPr>
      </w:pPr>
      <w:r>
        <w:rPr>
          <w:sz w:val="24"/>
          <w:highlight w:val="none"/>
        </w:rPr>
      </w:r>
      <w:r/>
    </w:p>
    <w:p>
      <w:pPr>
        <w:pStyle w:val="1103"/>
        <w:spacing w:before="0" w:line="400" w:lineRule="exact"/>
        <w:rPr>
          <w:rFonts w:ascii="Times New Roman" w:hAnsi="Times New Roman" w:eastAsia="宋体"/>
          <w:sz w:val="28"/>
          <w:highlight w:val="none"/>
        </w:rPr>
      </w:pPr>
      <w:r/>
      <w:bookmarkStart w:id="210" w:name="_Toc150774638"/>
      <w:r/>
      <w:bookmarkStart w:id="211" w:name="_Toc226965728"/>
      <w:r/>
      <w:bookmarkStart w:id="212" w:name="_Toc151190165"/>
      <w:r/>
      <w:bookmarkStart w:id="213" w:name="_Toc150774743"/>
      <w:r/>
      <w:bookmarkStart w:id="214" w:name="_Toc226337234"/>
      <w:r/>
      <w:bookmarkStart w:id="215" w:name="_Toc151193852"/>
      <w:r/>
      <w:bookmarkStart w:id="216" w:name="_Toc150480776"/>
      <w:r/>
      <w:bookmarkStart w:id="217" w:name="_Toc226965811"/>
      <w:r/>
      <w:bookmarkStart w:id="218" w:name="_Toc264969228"/>
      <w:r/>
      <w:bookmarkStart w:id="219" w:name="_Toc150509289"/>
      <w:r/>
      <w:bookmarkStart w:id="220" w:name="_Toc195842903"/>
      <w:r/>
      <w:bookmarkStart w:id="221" w:name="_Toc265228376"/>
      <w:r/>
      <w:bookmarkStart w:id="222" w:name="_Toc305158806"/>
      <w:r/>
      <w:bookmarkStart w:id="223" w:name="_Toc142311040"/>
      <w:r/>
      <w:bookmarkStart w:id="224" w:name="_Toc520356163"/>
      <w:r/>
      <w:bookmarkStart w:id="225" w:name="_Toc151193708"/>
      <w:r/>
      <w:bookmarkStart w:id="226" w:name="_Toc151193926"/>
      <w:r/>
      <w:bookmarkStart w:id="227" w:name="_Toc127151538"/>
      <w:r/>
      <w:bookmarkStart w:id="228" w:name="_Toc151193636"/>
      <w:r/>
      <w:bookmarkStart w:id="229" w:name="_Toc305158880"/>
      <w:r/>
      <w:bookmarkStart w:id="230" w:name="_Toc226309782"/>
      <w:r/>
      <w:bookmarkStart w:id="231" w:name="_Toc151193780"/>
      <w:r>
        <w:rPr>
          <w:rFonts w:ascii="Times New Roman" w:hAnsi="Times New Roman" w:eastAsia="宋体"/>
          <w:sz w:val="28"/>
          <w:highlight w:val="none"/>
        </w:rPr>
        <w:t xml:space="preserve">五   开标、资格审查及评标</w:t>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rPr>
          <w:rFonts w:ascii="Times New Roman" w:hAnsi="Times New Roman" w:eastAsia="宋体"/>
          <w:sz w:val="28"/>
          <w:highlight w:val="none"/>
        </w:rPr>
      </w:r>
      <w:r/>
    </w:p>
    <w:p>
      <w:pPr>
        <w:pStyle w:val="1101"/>
        <w:ind w:firstLine="480"/>
        <w:spacing w:line="400" w:lineRule="exact"/>
        <w:rPr>
          <w:rFonts w:ascii="宋体" w:hAnsi="宋体" w:cs="宋体"/>
          <w:sz w:val="24"/>
          <w:highlight w:val="none"/>
        </w:rPr>
      </w:pPr>
      <w:r/>
      <w:bookmarkStart w:id="232" w:name="_Toc520356169"/>
      <w:r>
        <w:rPr>
          <w:rFonts w:hint="eastAsia" w:ascii="宋体" w:hAnsi="宋体" w:cs="宋体"/>
          <w:sz w:val="24"/>
          <w:highlight w:val="none"/>
        </w:rPr>
        <w:t xml:space="preserve">18开标</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18.1采购人或采购代理机构将按招标文件的规定，在投标截止时间的同一时间和招标文件预先确定的地点组织开标。</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18.2本项目开标采用不见面招投标模式，使用“苏采云”政府采购一体化平台在线进行开标。投标人应在规定的时间内对投标文件进行解密，因非系统原因导致的解密失败，视为投标无效。</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18.3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18.4投标人代表对开标过程和开标记录有疑义，以及认为采购人、采购代理机构相关工作人员有需要回避的情形的，应当场通过一体化系统提出询问或者回避申请。采购人、采购代理机构对投标人代表提出的询问或者回避申请将及时处理。</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18.5投标人不足3家的，不予开标。</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18.8如果在采购活动过程中出现以下情形，导致“苏采云”政府采购一体化平台系统无法正常运行，或者无法保证本项目采购活动的公平、公正和安全时，代理机构可以延缓或者暂停采购活动，情况严重的可以终止采购活动：</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1)平台系统发生故障而无法登录访问的；</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2)平台系统应用或数据库出现错误，不能进行正常操作的；</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3)平台系统发现严重安全漏洞，有潜在泄密危险的；</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4)病毒发作导致平台系统不能进行正常操作的；</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5)其他无法保证本次采购活动的公平、公正和安全的情况。</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19资格审查</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19.1见第三章《资格审查》。</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20评标委员会</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20.1评标委员会根据政府采购有关规定和本次招标采购项目的特点进行组建，并负责具体评标事务，独立履行职责。</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20.2评审专家须符合相关规定。依法自行选定评审专家的，采购人和采购代理机构将查询有关信用记录，对具有行贿、受贿、欺诈等不良信用记录的人员，拒绝其参与政府采购活动。</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21评标程序、评标方法和评标标准</w:t>
      </w:r>
      <w:r>
        <w:rPr>
          <w:rFonts w:ascii="宋体" w:hAnsi="宋体" w:cs="宋体"/>
          <w:sz w:val="24"/>
          <w:highlight w:val="none"/>
        </w:rPr>
      </w:r>
      <w:r/>
    </w:p>
    <w:p>
      <w:pPr>
        <w:pStyle w:val="1101"/>
        <w:ind w:firstLine="480"/>
        <w:spacing w:line="400" w:lineRule="exact"/>
        <w:rPr>
          <w:sz w:val="24"/>
          <w:highlight w:val="none"/>
        </w:rPr>
      </w:pPr>
      <w:r>
        <w:rPr>
          <w:rFonts w:hint="eastAsia" w:ascii="宋体" w:hAnsi="宋体" w:cs="宋体"/>
          <w:sz w:val="24"/>
          <w:highlight w:val="none"/>
        </w:rPr>
        <w:t xml:space="preserve">21.1见第四章《评标程序、评标方法和评标标准》。</w:t>
      </w:r>
      <w:r>
        <w:rPr>
          <w:sz w:val="24"/>
          <w:highlight w:val="none"/>
        </w:rPr>
      </w:r>
      <w:r/>
    </w:p>
    <w:p>
      <w:pPr>
        <w:pStyle w:val="1101"/>
        <w:ind w:left="1080"/>
        <w:spacing w:line="400" w:lineRule="exact"/>
        <w:tabs>
          <w:tab w:val="left" w:pos="360" w:leader="none"/>
          <w:tab w:val="left" w:pos="1080" w:leader="none"/>
        </w:tabs>
        <w:rPr>
          <w:sz w:val="24"/>
          <w:highlight w:val="none"/>
        </w:rPr>
      </w:pPr>
      <w:r>
        <w:rPr>
          <w:sz w:val="24"/>
          <w:highlight w:val="none"/>
        </w:rPr>
      </w:r>
      <w:r/>
    </w:p>
    <w:p>
      <w:pPr>
        <w:pStyle w:val="1103"/>
        <w:spacing w:before="0" w:line="400" w:lineRule="exact"/>
        <w:rPr>
          <w:rFonts w:ascii="Times New Roman" w:hAnsi="Times New Roman" w:eastAsia="宋体"/>
          <w:sz w:val="28"/>
          <w:highlight w:val="none"/>
        </w:rPr>
      </w:pPr>
      <w:r/>
      <w:bookmarkStart w:id="233" w:name="_Toc150774645"/>
      <w:r/>
      <w:bookmarkStart w:id="234" w:name="_Toc226965735"/>
      <w:r/>
      <w:bookmarkStart w:id="235" w:name="_Toc305158887"/>
      <w:r/>
      <w:bookmarkStart w:id="236" w:name="_Toc151193643"/>
      <w:r/>
      <w:bookmarkStart w:id="237" w:name="_Toc151193715"/>
      <w:r/>
      <w:bookmarkStart w:id="238" w:name="_Toc195842910"/>
      <w:r/>
      <w:bookmarkStart w:id="239" w:name="_Toc150480783"/>
      <w:r/>
      <w:bookmarkStart w:id="240" w:name="_Toc127151545"/>
      <w:r/>
      <w:bookmarkStart w:id="241" w:name="_Toc305158813"/>
      <w:r/>
      <w:bookmarkStart w:id="242" w:name="_Toc265228383"/>
      <w:r/>
      <w:bookmarkStart w:id="243" w:name="_Toc151190172"/>
      <w:r/>
      <w:bookmarkStart w:id="244" w:name="_Toc151193859"/>
      <w:r/>
      <w:bookmarkStart w:id="245" w:name="_Toc142311047"/>
      <w:r/>
      <w:bookmarkStart w:id="246" w:name="_Toc264969235"/>
      <w:r/>
      <w:bookmarkStart w:id="247" w:name="_Toc150509296"/>
      <w:r/>
      <w:bookmarkStart w:id="248" w:name="_Toc226965818"/>
      <w:r/>
      <w:bookmarkStart w:id="249" w:name="_Toc151193787"/>
      <w:r/>
      <w:bookmarkStart w:id="250" w:name="_Toc226337241"/>
      <w:r/>
      <w:bookmarkStart w:id="251" w:name="_Toc150774750"/>
      <w:r/>
      <w:bookmarkStart w:id="252" w:name="_Toc151193933"/>
      <w:r/>
      <w:bookmarkStart w:id="253" w:name="_Toc226309789"/>
      <w:r>
        <w:rPr>
          <w:rFonts w:ascii="Times New Roman" w:hAnsi="Times New Roman" w:eastAsia="宋体"/>
          <w:sz w:val="28"/>
          <w:highlight w:val="none"/>
        </w:rPr>
        <w:t xml:space="preserve">六   </w:t>
      </w:r>
      <w:bookmarkEnd w:id="232"/>
      <w:r>
        <w:rPr>
          <w:rFonts w:ascii="Times New Roman" w:hAnsi="Times New Roman" w:eastAsia="宋体"/>
          <w:sz w:val="28"/>
          <w:highlight w:val="none"/>
        </w:rPr>
        <w:t xml:space="preserve">确定中标</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Start w:id="254" w:name="_Toc150774647"/>
      <w:r/>
      <w:bookmarkStart w:id="255" w:name="_Toc127151748"/>
      <w:r/>
      <w:bookmarkStart w:id="256" w:name="_Toc151193935"/>
      <w:r/>
      <w:bookmarkStart w:id="257" w:name="_Toc164229388"/>
      <w:r/>
      <w:bookmarkStart w:id="258" w:name="_Toc142311049"/>
      <w:r/>
      <w:bookmarkStart w:id="259" w:name="_Toc151193717"/>
      <w:r/>
      <w:bookmarkStart w:id="260" w:name="_Toc305158889"/>
      <w:r/>
      <w:bookmarkStart w:id="261" w:name="_Toc226965737"/>
      <w:r/>
      <w:bookmarkStart w:id="262" w:name="_Toc127161461"/>
      <w:r/>
      <w:bookmarkStart w:id="263" w:name="_Toc195842912"/>
      <w:r/>
      <w:bookmarkStart w:id="264" w:name="_Toc151193645"/>
      <w:r/>
      <w:bookmarkStart w:id="265" w:name="_Toc226309791"/>
      <w:r/>
      <w:bookmarkStart w:id="266" w:name="_Toc151190174"/>
      <w:r/>
      <w:bookmarkStart w:id="267" w:name="_Toc265228385"/>
      <w:r/>
      <w:bookmarkStart w:id="268" w:name="_Toc127151547"/>
      <w:r/>
      <w:bookmarkStart w:id="269" w:name="_Toc264969237"/>
      <w:r/>
      <w:bookmarkStart w:id="270" w:name="_Toc164229242"/>
      <w:r/>
      <w:bookmarkStart w:id="271" w:name="_Toc164608661"/>
      <w:r/>
      <w:bookmarkStart w:id="272" w:name="_Toc305158815"/>
      <w:r/>
      <w:bookmarkStart w:id="273" w:name="_Toc150509298"/>
      <w:r/>
      <w:bookmarkStart w:id="274" w:name="_Toc151193861"/>
      <w:r/>
      <w:bookmarkStart w:id="275" w:name="_Toc151193789"/>
      <w:r/>
      <w:bookmarkStart w:id="276" w:name="_Toc164608816"/>
      <w:r/>
      <w:bookmarkStart w:id="277" w:name="_Toc226337243"/>
      <w:r/>
      <w:bookmarkStart w:id="278" w:name="_Toc149720840"/>
      <w:r/>
      <w:bookmarkStart w:id="279" w:name="_Toc226965820"/>
      <w:r/>
      <w:bookmarkStart w:id="280" w:name="_Toc150774752"/>
      <w:r/>
      <w:bookmarkStart w:id="281" w:name="_Toc164351641"/>
      <w:r/>
      <w:bookmarkStart w:id="282" w:name="_Toc150480785"/>
      <w:r>
        <w:rPr>
          <w:rFonts w:ascii="Times New Roman" w:hAnsi="Times New Roman" w:eastAsia="宋体"/>
          <w:sz w:val="28"/>
          <w:highlight w:val="none"/>
        </w:rPr>
      </w:r>
      <w:r/>
    </w:p>
    <w:p>
      <w:pPr>
        <w:pStyle w:val="1101"/>
        <w:ind w:firstLine="480"/>
        <w:spacing w:line="400" w:lineRule="exact"/>
        <w:rPr>
          <w:rFonts w:ascii="宋体" w:hAnsi="宋体" w:cs="宋体"/>
          <w:sz w:val="24"/>
          <w:highlight w:val="none"/>
        </w:rPr>
      </w:pPr>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Pr>
          <w:rFonts w:hint="eastAsia" w:ascii="宋体" w:hAnsi="宋体" w:cs="宋体"/>
          <w:sz w:val="24"/>
          <w:highlight w:val="none"/>
        </w:rPr>
        <w:t xml:space="preserve">22确定中标人</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22.1采购人将在评标报告确定的中标候选人名单中按顺序确定中标人，中标候选人并列的，由采购人依法确定。</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23中标公告与中标通知书</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23.1采购人或采购代理机构自中标人确定之日起2个工作日内，在常州市政府采购网公告中标结果，同时向中标人发出中标通知书，中标公告期限为1个工作日。</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23.2中标通知书对采购人和中标供应商均具有法律效力。中标通知书发出后，采购人改变中标结果的，或者中标供应商放弃中标项目的，应当依法承担法律责任。</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24废标</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24.1在招标采购中，出现下列情形之一的，应予废标：</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24.1.1符合专业条件的供应商或者对招标文件作实质响应的供应商不足三家的；</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24.1.2出现影响采购公正的违法、违规行为的；</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24.1.3投标人的报价均超过了采购预算，采购人不能支付的；</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24.1.4因重大变故，采购任务取消的。</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24.1.5平台系统出现序号18.8中所述情形，情况严重且影响采购活动公平、公正性的。</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24.2废标后，采购人将废标理由通知所有投标人。</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25签订合同</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25.1中标人、采购人应当自中标通知书发出之日起30日内，按照招标文件和中标人投标文件的规定签订书面合同。所签订的合同不得对招标文件确定的事项和中标人投标文件作实质性修改。</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25.2中标人拒绝与采购人签订合同的，采购人可以按照评标报告推荐的中标候选人名单排序，确定下一候选人为中标人，也可以重新开展政府采购活动。</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25.3联合体中标的，联合体各方应当共同与采购人签订合同，就中标项目向采购人承担连带责任。</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25.4政府采购合同不能转包。</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26询问与质疑</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26.1询问</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26.1.1投标人对政府采购活动事项有疑问的，可依法提出询问，并按《投标人须知资料表》载明的形式送达采购人或采购代理机构。</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26.1.2采购人或采购代理机构对供应商依法提出的询问，在3个工作日内作出答复，但答复的内容不得涉及商业秘密。</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26.2质疑</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26.2.1投标人认为招标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26.2.2招标文件中采购需求以及相关部分（第四章、第五章以及投标人资格要求）由采购人负责制定和管理，对该部分内容有询问或者质疑的，投标人应当向采购人书面提出，由采购人负责接收和回复。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26.2.3质疑函须使用财政部制定的范本文件。（下载网址：http://gKs.mof.gov.cn/ztztz/zhengfucaigouguanli/201802/t20180201_2804589.htm）</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26.2.4投标人为自然人的，应当由本人签字；投标人为法人或者其他组织的，应当由法定代表人、主要负责人，或者其授权代表签字或者加盖公章，并加盖公章。</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26.2.5投标人应在法定质疑期内一次性提出针对同一采购程序环节的质疑，法定质疑期内针对同一采购程序环节再次提出的质疑，采购人、采购代理机构有权不予答复。</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26.3接收询问和质疑的联系部门、联系电话和通讯地址见《投标人须知资料表》。</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27代理费</w:t>
      </w:r>
      <w:r>
        <w:rPr>
          <w:rFonts w:ascii="宋体" w:hAnsi="宋体" w:cs="宋体"/>
          <w:sz w:val="24"/>
          <w:highlight w:val="none"/>
        </w:rPr>
      </w:r>
      <w:r/>
    </w:p>
    <w:p>
      <w:pPr>
        <w:pStyle w:val="1101"/>
        <w:ind w:firstLine="480"/>
        <w:spacing w:line="400" w:lineRule="exact"/>
        <w:rPr>
          <w:rFonts w:ascii="宋体" w:hAnsi="宋体" w:cs="宋体"/>
          <w:sz w:val="24"/>
          <w:highlight w:val="none"/>
        </w:rPr>
      </w:pPr>
      <w:r>
        <w:rPr>
          <w:rFonts w:hint="eastAsia" w:ascii="宋体" w:hAnsi="宋体" w:cs="宋体"/>
          <w:sz w:val="24"/>
          <w:highlight w:val="none"/>
        </w:rPr>
        <w:t xml:space="preserve">27.1收费对象、收费标准及缴纳时间见《投标人须知资料表》。由中标人支付的，中标人须一次性向采购代理机构缴纳代理费，投标报价应包含代理费用。</w:t>
      </w:r>
      <w:r>
        <w:rPr>
          <w:rFonts w:ascii="宋体" w:hAnsi="宋体" w:cs="宋体"/>
          <w:sz w:val="24"/>
          <w:highlight w:val="none"/>
        </w:rPr>
      </w:r>
      <w:r/>
    </w:p>
    <w:p>
      <w:pPr>
        <w:pStyle w:val="1101"/>
        <w:ind w:left="360"/>
        <w:spacing w:line="360" w:lineRule="auto"/>
        <w:tabs>
          <w:tab w:val="left" w:pos="360" w:leader="none"/>
          <w:tab w:val="left" w:pos="1080" w:leader="none"/>
        </w:tabs>
        <w:rPr>
          <w:sz w:val="24"/>
          <w:highlight w:val="none"/>
        </w:rPr>
      </w:pPr>
      <w:r>
        <w:rPr>
          <w:sz w:val="24"/>
          <w:highlight w:val="none"/>
        </w:rPr>
      </w:r>
      <w:r/>
    </w:p>
    <w:p>
      <w:pPr>
        <w:pStyle w:val="1101"/>
        <w:jc w:val="center"/>
        <w:spacing w:line="360" w:lineRule="auto"/>
        <w:rPr>
          <w:b/>
          <w:sz w:val="36"/>
          <w:szCs w:val="36"/>
          <w:highlight w:val="none"/>
        </w:rPr>
        <w:outlineLvl w:val="0"/>
      </w:pPr>
      <w:r/>
      <w:bookmarkStart w:id="283" w:name="_Toc142311056"/>
      <w:r/>
      <w:bookmarkStart w:id="284" w:name="_Toc305158822"/>
      <w:r/>
      <w:bookmarkStart w:id="285" w:name="_Toc353825544"/>
      <w:r/>
      <w:bookmarkStart w:id="286" w:name="_Toc226965827"/>
      <w:r/>
      <w:bookmarkStart w:id="287" w:name="_Toc353873934"/>
      <w:r/>
      <w:bookmarkStart w:id="288" w:name="_Toc305158896"/>
      <w:r/>
      <w:bookmarkStart w:id="289" w:name="_Toc353873664"/>
      <w:r/>
      <w:bookmarkStart w:id="290" w:name="_Toc265228392"/>
      <w:r/>
      <w:bookmarkStart w:id="291" w:name="_Toc264969244"/>
      <w:r/>
      <w:bookmarkStart w:id="292" w:name="_Toc150774759"/>
      <w:r/>
      <w:bookmarkStart w:id="293" w:name="_Toc226337250"/>
      <w:r/>
      <w:bookmarkStart w:id="294" w:name="_Toc127151554"/>
      <w:r/>
      <w:bookmarkStart w:id="295" w:name="_Toc150480792"/>
      <w:r>
        <w:rPr>
          <w:sz w:val="24"/>
          <w:highlight w:val="none"/>
        </w:rPr>
        <w:br w:type="page" w:clear="all"/>
      </w:r>
      <w:bookmarkStart w:id="296" w:name="_Toc2283"/>
      <w:r>
        <w:rPr>
          <w:b/>
          <w:sz w:val="36"/>
          <w:szCs w:val="36"/>
          <w:highlight w:val="none"/>
        </w:rPr>
        <w:t xml:space="preserve">第三章   </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rPr>
          <w:b/>
          <w:sz w:val="36"/>
          <w:szCs w:val="36"/>
          <w:highlight w:val="none"/>
        </w:rPr>
        <w:t xml:space="preserve">资格审查</w:t>
      </w:r>
      <w:bookmarkEnd w:id="296"/>
      <w:r/>
      <w:bookmarkStart w:id="297" w:name="_Toc487900382"/>
      <w:r>
        <w:rPr>
          <w:b/>
          <w:sz w:val="36"/>
          <w:szCs w:val="36"/>
          <w:highlight w:val="none"/>
        </w:rPr>
      </w:r>
      <w:r/>
    </w:p>
    <w:p>
      <w:pPr>
        <w:pStyle w:val="1101"/>
        <w:jc w:val="center"/>
        <w:spacing w:line="400" w:lineRule="exact"/>
        <w:tabs>
          <w:tab w:val="left" w:pos="360" w:leader="none"/>
          <w:tab w:val="left" w:pos="900" w:leader="none"/>
        </w:tabs>
        <w:rPr>
          <w:b/>
          <w:sz w:val="24"/>
          <w:highlight w:val="none"/>
        </w:rPr>
        <w:outlineLvl w:val="1"/>
      </w:pPr>
      <w:r/>
      <w:bookmarkStart w:id="298" w:name="_Toc99301422"/>
      <w:r>
        <w:rPr>
          <w:b/>
          <w:sz w:val="24"/>
          <w:highlight w:val="none"/>
        </w:rPr>
        <w:t xml:space="preserve">一、资格审查程序</w:t>
      </w:r>
      <w:bookmarkEnd w:id="298"/>
      <w:r>
        <w:rPr>
          <w:b/>
          <w:sz w:val="24"/>
          <w:highlight w:val="none"/>
        </w:rPr>
      </w:r>
      <w:r/>
    </w:p>
    <w:p>
      <w:pPr>
        <w:pStyle w:val="1101"/>
        <w:numPr>
          <w:ilvl w:val="0"/>
          <w:numId w:val="9"/>
        </w:numPr>
        <w:ind w:left="0" w:firstLine="480"/>
        <w:spacing w:line="400" w:lineRule="exact"/>
        <w:tabs>
          <w:tab w:val="left" w:pos="426" w:leader="none"/>
          <w:tab w:val="left" w:pos="851" w:leader="none"/>
        </w:tabs>
        <w:rPr>
          <w:rFonts w:ascii="宋体" w:hAnsi="宋体" w:cs="宋体"/>
          <w:sz w:val="24"/>
          <w:highlight w:val="none"/>
        </w:rPr>
        <w:outlineLvl w:val="1"/>
      </w:pPr>
      <w:r>
        <w:rPr>
          <w:rFonts w:hint="eastAsia" w:ascii="宋体" w:hAnsi="宋体" w:cs="宋体"/>
          <w:sz w:val="24"/>
          <w:highlight w:val="none"/>
        </w:rPr>
        <w:t xml:space="preserve">开标结束后，采购人将根据《资格审查要求》中的规定，对投标人进行资格审查，并形成资格审查结果。</w:t>
      </w:r>
      <w:r>
        <w:rPr>
          <w:rFonts w:ascii="宋体" w:hAnsi="宋体" w:cs="宋体"/>
          <w:sz w:val="24"/>
          <w:highlight w:val="none"/>
        </w:rPr>
      </w:r>
      <w:r/>
    </w:p>
    <w:p>
      <w:pPr>
        <w:pStyle w:val="1101"/>
        <w:numPr>
          <w:ilvl w:val="0"/>
          <w:numId w:val="9"/>
        </w:numPr>
        <w:ind w:left="0" w:firstLine="480"/>
        <w:spacing w:line="400" w:lineRule="exact"/>
        <w:tabs>
          <w:tab w:val="left" w:pos="426" w:leader="none"/>
          <w:tab w:val="left" w:pos="851" w:leader="none"/>
        </w:tabs>
        <w:rPr>
          <w:rFonts w:ascii="宋体" w:hAnsi="宋体" w:cs="宋体"/>
          <w:sz w:val="24"/>
          <w:highlight w:val="none"/>
        </w:rPr>
        <w:outlineLvl w:val="1"/>
      </w:pPr>
      <w:r>
        <w:rPr>
          <w:rFonts w:hint="eastAsia" w:ascii="宋体" w:hAnsi="宋体" w:cs="宋体"/>
          <w:sz w:val="24"/>
          <w:highlight w:val="none"/>
        </w:rPr>
        <w:t xml:space="preserve">《资格审查要求》中对格式有要求的，除招标文件另有规定外，均为“实质性格式”文件。</w:t>
      </w:r>
      <w:r>
        <w:rPr>
          <w:rFonts w:ascii="宋体" w:hAnsi="宋体" w:cs="宋体"/>
          <w:sz w:val="24"/>
          <w:highlight w:val="none"/>
        </w:rPr>
      </w:r>
      <w:r/>
    </w:p>
    <w:p>
      <w:pPr>
        <w:pStyle w:val="1101"/>
        <w:numPr>
          <w:ilvl w:val="0"/>
          <w:numId w:val="9"/>
        </w:numPr>
        <w:ind w:left="0" w:firstLine="480"/>
        <w:spacing w:line="400" w:lineRule="exact"/>
        <w:tabs>
          <w:tab w:val="left" w:pos="426" w:leader="none"/>
          <w:tab w:val="left" w:pos="851" w:leader="none"/>
        </w:tabs>
        <w:rPr>
          <w:rFonts w:ascii="宋体" w:hAnsi="宋体" w:cs="宋体"/>
          <w:sz w:val="24"/>
          <w:highlight w:val="none"/>
        </w:rPr>
        <w:outlineLvl w:val="1"/>
      </w:pPr>
      <w:r>
        <w:rPr>
          <w:rFonts w:hint="eastAsia" w:ascii="宋体" w:hAnsi="宋体" w:cs="宋体"/>
          <w:sz w:val="24"/>
          <w:highlight w:val="none"/>
        </w:rPr>
        <w:t xml:space="preserve">投标人《资格证明文件》有任何一项不符合《资格审查要求》的，资格审查不合格，其</w:t>
      </w:r>
      <w:r>
        <w:rPr>
          <w:rFonts w:hint="eastAsia" w:ascii="宋体" w:hAnsi="宋体" w:cs="宋体"/>
          <w:b/>
          <w:sz w:val="24"/>
          <w:highlight w:val="none"/>
        </w:rPr>
        <w:t xml:space="preserve">投标无效</w:t>
      </w:r>
      <w:r>
        <w:rPr>
          <w:rFonts w:hint="eastAsia" w:ascii="宋体" w:hAnsi="宋体" w:cs="宋体"/>
          <w:sz w:val="24"/>
          <w:highlight w:val="none"/>
        </w:rPr>
        <w:t xml:space="preserve">。</w:t>
      </w:r>
      <w:r>
        <w:rPr>
          <w:rFonts w:ascii="宋体" w:hAnsi="宋体" w:cs="宋体"/>
          <w:sz w:val="24"/>
          <w:highlight w:val="none"/>
        </w:rPr>
      </w:r>
      <w:r/>
    </w:p>
    <w:p>
      <w:pPr>
        <w:pStyle w:val="1101"/>
        <w:numPr>
          <w:ilvl w:val="0"/>
          <w:numId w:val="9"/>
        </w:numPr>
        <w:ind w:left="0" w:firstLine="480"/>
        <w:spacing w:line="400" w:lineRule="exact"/>
        <w:tabs>
          <w:tab w:val="left" w:pos="426" w:leader="none"/>
          <w:tab w:val="left" w:pos="851" w:leader="none"/>
        </w:tabs>
        <w:rPr>
          <w:sz w:val="24"/>
          <w:highlight w:val="none"/>
        </w:rPr>
        <w:outlineLvl w:val="1"/>
      </w:pPr>
      <w:r>
        <w:rPr>
          <w:rFonts w:hint="eastAsia" w:ascii="宋体" w:hAnsi="宋体" w:cs="宋体"/>
          <w:sz w:val="24"/>
          <w:highlight w:val="none"/>
        </w:rPr>
        <w:t xml:space="preserve">资格审查合格的投标人不足3家的，不进行评标。</w:t>
      </w:r>
      <w:r>
        <w:rPr>
          <w:sz w:val="24"/>
          <w:highlight w:val="none"/>
        </w:rPr>
      </w:r>
      <w:r/>
    </w:p>
    <w:p>
      <w:pPr>
        <w:pStyle w:val="1101"/>
        <w:jc w:val="center"/>
        <w:spacing w:line="400" w:lineRule="exact"/>
        <w:tabs>
          <w:tab w:val="left" w:pos="360" w:leader="none"/>
          <w:tab w:val="left" w:pos="900" w:leader="none"/>
        </w:tabs>
        <w:rPr>
          <w:b/>
          <w:sz w:val="24"/>
          <w:highlight w:val="none"/>
        </w:rPr>
        <w:outlineLvl w:val="1"/>
      </w:pPr>
      <w:r>
        <w:rPr>
          <w:b/>
          <w:sz w:val="24"/>
          <w:highlight w:val="none"/>
        </w:rPr>
        <w:t xml:space="preserve">二、资格审查要求</w:t>
      </w:r>
      <w:r>
        <w:rPr>
          <w:b/>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3"/>
        <w:gridCol w:w="4712"/>
        <w:gridCol w:w="1748"/>
      </w:tblGrid>
      <w:tr>
        <w:trPr>
          <w:cantSplit/>
          <w:trHeight w:val="468"/>
          <w:tblHeader/>
        </w:trPr>
        <w:tc>
          <w:tcPr>
            <w:tcW w:w="455" w:type="dxa"/>
            <w:vAlign w:val="center"/>
            <w:textDirection w:val="lrTb"/>
            <w:noWrap w:val="false"/>
          </w:tcPr>
          <w:p>
            <w:pPr>
              <w:pStyle w:val="1101"/>
              <w:jc w:val="center"/>
              <w:tabs>
                <w:tab w:val="left" w:pos="1080" w:leader="none"/>
              </w:tabs>
              <w:rPr>
                <w:rFonts w:ascii="宋体" w:hAnsi="宋体" w:cs="宋体"/>
                <w:b/>
                <w:sz w:val="24"/>
                <w:highlight w:val="none"/>
              </w:rPr>
            </w:pPr>
            <w:r/>
            <w:bookmarkStart w:id="299" w:name="_Hlt487972895"/>
            <w:r/>
            <w:bookmarkEnd w:id="299"/>
            <w:r>
              <w:rPr>
                <w:rFonts w:hint="eastAsia" w:ascii="宋体" w:hAnsi="宋体" w:cs="宋体"/>
                <w:b/>
                <w:sz w:val="24"/>
                <w:highlight w:val="none"/>
              </w:rPr>
              <w:t xml:space="preserve">序号</w:t>
            </w:r>
            <w:r>
              <w:rPr>
                <w:rFonts w:ascii="宋体" w:hAnsi="宋体" w:cs="宋体"/>
                <w:b/>
                <w:sz w:val="24"/>
                <w:highlight w:val="none"/>
              </w:rPr>
            </w:r>
            <w:r/>
          </w:p>
        </w:tc>
        <w:tc>
          <w:tcPr>
            <w:tcW w:w="1067" w:type="dxa"/>
            <w:vAlign w:val="center"/>
            <w:textDirection w:val="lrTb"/>
            <w:noWrap w:val="false"/>
          </w:tcPr>
          <w:p>
            <w:pPr>
              <w:pStyle w:val="1101"/>
              <w:jc w:val="center"/>
              <w:tabs>
                <w:tab w:val="left" w:pos="1080" w:leader="none"/>
              </w:tabs>
              <w:rPr>
                <w:rFonts w:ascii="宋体" w:hAnsi="宋体" w:cs="宋体"/>
                <w:b/>
                <w:sz w:val="24"/>
                <w:highlight w:val="none"/>
              </w:rPr>
            </w:pPr>
            <w:r>
              <w:rPr>
                <w:rFonts w:hint="eastAsia" w:ascii="宋体" w:hAnsi="宋体" w:cs="宋体"/>
                <w:b/>
                <w:sz w:val="24"/>
                <w:highlight w:val="none"/>
              </w:rPr>
              <w:t xml:space="preserve">审查因素</w:t>
            </w:r>
            <w:r>
              <w:rPr>
                <w:rFonts w:ascii="宋体" w:hAnsi="宋体" w:cs="宋体"/>
                <w:b/>
                <w:sz w:val="24"/>
                <w:highlight w:val="none"/>
              </w:rPr>
            </w:r>
            <w:r/>
          </w:p>
        </w:tc>
        <w:tc>
          <w:tcPr>
            <w:tcW w:w="2536" w:type="dxa"/>
            <w:vAlign w:val="center"/>
            <w:textDirection w:val="lrTb"/>
            <w:noWrap w:val="false"/>
          </w:tcPr>
          <w:p>
            <w:pPr>
              <w:pStyle w:val="1101"/>
              <w:jc w:val="center"/>
              <w:tabs>
                <w:tab w:val="left" w:pos="1080" w:leader="none"/>
              </w:tabs>
              <w:rPr>
                <w:rFonts w:ascii="宋体" w:hAnsi="宋体" w:cs="宋体"/>
                <w:b/>
                <w:sz w:val="24"/>
                <w:highlight w:val="none"/>
              </w:rPr>
            </w:pPr>
            <w:r>
              <w:rPr>
                <w:rFonts w:hint="eastAsia" w:ascii="宋体" w:hAnsi="宋体" w:cs="宋体"/>
                <w:b/>
                <w:sz w:val="24"/>
                <w:highlight w:val="none"/>
              </w:rPr>
              <w:t xml:space="preserve">审查内容</w:t>
            </w:r>
            <w:r>
              <w:rPr>
                <w:rFonts w:ascii="宋体" w:hAnsi="宋体" w:cs="宋体"/>
                <w:b/>
                <w:sz w:val="24"/>
                <w:highlight w:val="none"/>
              </w:rPr>
            </w:r>
            <w:r/>
          </w:p>
        </w:tc>
        <w:tc>
          <w:tcPr>
            <w:tcW w:w="940" w:type="dxa"/>
            <w:vAlign w:val="center"/>
            <w:textDirection w:val="lrTb"/>
            <w:noWrap w:val="false"/>
          </w:tcPr>
          <w:p>
            <w:pPr>
              <w:pStyle w:val="1101"/>
              <w:jc w:val="center"/>
              <w:tabs>
                <w:tab w:val="left" w:pos="1080" w:leader="none"/>
              </w:tabs>
              <w:rPr>
                <w:rFonts w:ascii="宋体" w:hAnsi="宋体" w:cs="宋体"/>
                <w:b/>
                <w:sz w:val="24"/>
                <w:highlight w:val="none"/>
              </w:rPr>
            </w:pPr>
            <w:r>
              <w:rPr>
                <w:rFonts w:hint="eastAsia" w:ascii="宋体" w:hAnsi="宋体" w:cs="宋体"/>
                <w:b/>
                <w:sz w:val="24"/>
                <w:highlight w:val="none"/>
              </w:rPr>
              <w:t xml:space="preserve">格式要求</w:t>
            </w:r>
            <w:r>
              <w:rPr>
                <w:rFonts w:ascii="宋体" w:hAnsi="宋体" w:cs="宋体"/>
                <w:b/>
                <w:sz w:val="24"/>
                <w:highlight w:val="none"/>
              </w:rPr>
            </w:r>
            <w:r/>
          </w:p>
        </w:tc>
      </w:tr>
      <w:tr>
        <w:trPr>
          <w:cantSplit/>
          <w:trHeight w:val="468"/>
        </w:trPr>
        <w:tc>
          <w:tcPr>
            <w:tcW w:w="455" w:type="dxa"/>
            <w:vAlign w:val="center"/>
            <w:textDirection w:val="lrTb"/>
            <w:noWrap w:val="false"/>
          </w:tcPr>
          <w:p>
            <w:pPr>
              <w:pStyle w:val="1101"/>
              <w:jc w:val="center"/>
              <w:tabs>
                <w:tab w:val="left" w:pos="1080" w:leader="none"/>
              </w:tabs>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r>
            <w:r/>
          </w:p>
        </w:tc>
        <w:tc>
          <w:tcPr>
            <w:tcW w:w="1067" w:type="dxa"/>
            <w:vAlign w:val="center"/>
            <w:textDirection w:val="lrTb"/>
            <w:noWrap w:val="false"/>
          </w:tcPr>
          <w:p>
            <w:pPr>
              <w:pStyle w:val="1101"/>
              <w:jc w:val="center"/>
              <w:tabs>
                <w:tab w:val="left" w:pos="1080" w:leader="none"/>
              </w:tabs>
              <w:rPr>
                <w:rFonts w:ascii="宋体" w:hAnsi="宋体" w:cs="宋体"/>
                <w:sz w:val="24"/>
                <w:highlight w:val="none"/>
              </w:rPr>
            </w:pPr>
            <w:r>
              <w:rPr>
                <w:rFonts w:hint="eastAsia" w:ascii="宋体" w:hAnsi="宋体" w:cs="宋体"/>
                <w:sz w:val="24"/>
                <w:highlight w:val="none"/>
              </w:rPr>
              <w:t xml:space="preserve">满足《中华人民共和国政府采购法》第二十二条规定及法律法规的其他规定</w:t>
            </w:r>
            <w:r>
              <w:rPr>
                <w:rFonts w:ascii="宋体" w:hAnsi="宋体" w:cs="宋体"/>
                <w:sz w:val="24"/>
                <w:highlight w:val="none"/>
              </w:rPr>
            </w:r>
            <w:r/>
          </w:p>
        </w:tc>
        <w:tc>
          <w:tcPr>
            <w:tcW w:w="2536" w:type="dxa"/>
            <w:vAlign w:val="center"/>
            <w:textDirection w:val="lrTb"/>
            <w:noWrap w:val="false"/>
          </w:tcPr>
          <w:p>
            <w:pPr>
              <w:pStyle w:val="1101"/>
              <w:tabs>
                <w:tab w:val="left" w:pos="1080" w:leader="none"/>
              </w:tabs>
              <w:rPr>
                <w:rFonts w:ascii="宋体" w:hAnsi="宋体" w:cs="宋体"/>
                <w:sz w:val="24"/>
                <w:highlight w:val="none"/>
              </w:rPr>
            </w:pPr>
            <w:r>
              <w:rPr>
                <w:rFonts w:hint="eastAsia" w:ascii="宋体" w:hAnsi="宋体" w:cs="宋体"/>
                <w:sz w:val="24"/>
                <w:highlight w:val="none"/>
              </w:rPr>
              <w:t xml:space="preserve">具体规定见第一章《投标邀请》</w:t>
            </w:r>
            <w:r>
              <w:rPr>
                <w:rFonts w:ascii="宋体" w:hAnsi="宋体" w:cs="宋体"/>
                <w:sz w:val="24"/>
                <w:highlight w:val="none"/>
              </w:rPr>
            </w:r>
            <w:r/>
          </w:p>
        </w:tc>
        <w:tc>
          <w:tcPr>
            <w:tcW w:w="940" w:type="dxa"/>
            <w:vAlign w:val="center"/>
            <w:textDirection w:val="lrTb"/>
            <w:noWrap w:val="false"/>
          </w:tcPr>
          <w:p>
            <w:pPr>
              <w:pStyle w:val="1101"/>
              <w:tabs>
                <w:tab w:val="left" w:pos="1080" w:leader="none"/>
              </w:tabs>
              <w:rPr>
                <w:rFonts w:ascii="宋体" w:hAnsi="宋体" w:cs="宋体"/>
                <w:sz w:val="24"/>
                <w:highlight w:val="none"/>
              </w:rPr>
            </w:pPr>
            <w:r>
              <w:rPr>
                <w:rFonts w:ascii="宋体" w:hAnsi="宋体" w:cs="宋体"/>
                <w:sz w:val="24"/>
                <w:highlight w:val="none"/>
              </w:rPr>
            </w:r>
            <w:r/>
          </w:p>
        </w:tc>
      </w:tr>
      <w:tr>
        <w:trPr>
          <w:cantSplit/>
          <w:trHeight w:val="468"/>
        </w:trPr>
        <w:tc>
          <w:tcPr>
            <w:tcW w:w="455" w:type="dxa"/>
            <w:vAlign w:val="center"/>
            <w:textDirection w:val="lrTb"/>
            <w:noWrap w:val="false"/>
          </w:tcPr>
          <w:p>
            <w:pPr>
              <w:pStyle w:val="1101"/>
              <w:jc w:val="center"/>
              <w:tabs>
                <w:tab w:val="left" w:pos="1080" w:leader="none"/>
              </w:tabs>
              <w:rPr>
                <w:rFonts w:ascii="宋体" w:hAnsi="宋体" w:cs="宋体"/>
                <w:sz w:val="24"/>
                <w:highlight w:val="none"/>
              </w:rPr>
            </w:pPr>
            <w:r>
              <w:rPr>
                <w:rFonts w:hint="eastAsia" w:ascii="宋体" w:hAnsi="宋体" w:cs="宋体"/>
                <w:sz w:val="24"/>
                <w:highlight w:val="none"/>
              </w:rPr>
              <w:t xml:space="preserve">1-1</w:t>
            </w:r>
            <w:r>
              <w:rPr>
                <w:rFonts w:ascii="宋体" w:hAnsi="宋体" w:cs="宋体"/>
                <w:sz w:val="24"/>
                <w:highlight w:val="none"/>
              </w:rPr>
            </w:r>
            <w:r/>
          </w:p>
        </w:tc>
        <w:tc>
          <w:tcPr>
            <w:tcW w:w="1067" w:type="dxa"/>
            <w:vAlign w:val="center"/>
            <w:textDirection w:val="lrTb"/>
            <w:noWrap w:val="false"/>
          </w:tcPr>
          <w:p>
            <w:pPr>
              <w:pStyle w:val="1101"/>
              <w:jc w:val="center"/>
              <w:tabs>
                <w:tab w:val="left" w:pos="1080" w:leader="none"/>
              </w:tabs>
              <w:rPr>
                <w:rFonts w:ascii="宋体" w:hAnsi="宋体" w:cs="宋体"/>
                <w:sz w:val="24"/>
                <w:highlight w:val="none"/>
              </w:rPr>
            </w:pPr>
            <w:r>
              <w:rPr>
                <w:rFonts w:hint="eastAsia" w:ascii="宋体" w:hAnsi="宋体" w:cs="宋体"/>
                <w:sz w:val="24"/>
                <w:highlight w:val="none"/>
              </w:rPr>
              <w:t xml:space="preserve">投标人资格声明函</w:t>
            </w:r>
            <w:r>
              <w:rPr>
                <w:rFonts w:ascii="宋体" w:hAnsi="宋体" w:cs="宋体"/>
                <w:sz w:val="24"/>
                <w:highlight w:val="none"/>
              </w:rPr>
            </w:r>
            <w:r/>
          </w:p>
        </w:tc>
        <w:tc>
          <w:tcPr>
            <w:tcW w:w="2536" w:type="dxa"/>
            <w:vAlign w:val="center"/>
            <w:textDirection w:val="lrTb"/>
            <w:noWrap w:val="false"/>
          </w:tcPr>
          <w:p>
            <w:pPr>
              <w:pStyle w:val="1101"/>
              <w:tabs>
                <w:tab w:val="left" w:pos="1080" w:leader="none"/>
              </w:tabs>
              <w:rPr>
                <w:rFonts w:ascii="宋体" w:hAnsi="宋体" w:cs="宋体"/>
                <w:sz w:val="24"/>
                <w:highlight w:val="none"/>
              </w:rPr>
            </w:pPr>
            <w:r>
              <w:rPr>
                <w:rFonts w:hint="eastAsia" w:ascii="宋体" w:hAnsi="宋体" w:cs="宋体"/>
                <w:sz w:val="24"/>
                <w:highlight w:val="none"/>
              </w:rPr>
              <w:t xml:space="preserve">提供了符合招标文件要求的《投标人资格声明函》。</w:t>
            </w:r>
            <w:r>
              <w:rPr>
                <w:rFonts w:ascii="宋体" w:hAnsi="宋体" w:cs="宋体"/>
                <w:sz w:val="24"/>
                <w:highlight w:val="none"/>
              </w:rPr>
            </w:r>
            <w:r/>
          </w:p>
        </w:tc>
        <w:tc>
          <w:tcPr>
            <w:tcW w:w="940" w:type="dxa"/>
            <w:vAlign w:val="center"/>
            <w:textDirection w:val="lrTb"/>
            <w:noWrap w:val="false"/>
          </w:tcPr>
          <w:p>
            <w:pPr>
              <w:pStyle w:val="1101"/>
              <w:tabs>
                <w:tab w:val="left" w:pos="1080" w:leader="none"/>
              </w:tabs>
              <w:rPr>
                <w:rFonts w:ascii="宋体" w:hAnsi="宋体" w:cs="宋体"/>
                <w:sz w:val="24"/>
                <w:highlight w:val="none"/>
              </w:rPr>
            </w:pPr>
            <w:r>
              <w:rPr>
                <w:rFonts w:hint="eastAsia" w:ascii="宋体" w:hAnsi="宋体" w:cs="宋体"/>
                <w:sz w:val="24"/>
                <w:highlight w:val="none"/>
              </w:rPr>
              <w:t xml:space="preserve">格式见《投标文件格式》</w:t>
            </w:r>
            <w:r>
              <w:rPr>
                <w:rFonts w:ascii="宋体" w:hAnsi="宋体" w:cs="宋体"/>
                <w:sz w:val="24"/>
                <w:highlight w:val="none"/>
              </w:rPr>
            </w:r>
            <w:r/>
          </w:p>
        </w:tc>
      </w:tr>
      <w:tr>
        <w:trPr>
          <w:cantSplit/>
          <w:trHeight w:val="468"/>
        </w:trPr>
        <w:tc>
          <w:tcPr>
            <w:tcW w:w="455" w:type="dxa"/>
            <w:vAlign w:val="center"/>
            <w:textDirection w:val="lrTb"/>
            <w:noWrap w:val="false"/>
          </w:tcPr>
          <w:p>
            <w:pPr>
              <w:pStyle w:val="1101"/>
              <w:jc w:val="center"/>
              <w:tabs>
                <w:tab w:val="left" w:pos="1080" w:leader="none"/>
              </w:tabs>
              <w:rPr>
                <w:rFonts w:ascii="宋体" w:hAnsi="宋体" w:cs="宋体"/>
                <w:sz w:val="24"/>
                <w:highlight w:val="none"/>
              </w:rPr>
            </w:pPr>
            <w:r>
              <w:rPr>
                <w:rFonts w:hint="eastAsia" w:ascii="宋体" w:hAnsi="宋体" w:cs="宋体"/>
                <w:sz w:val="24"/>
                <w:highlight w:val="none"/>
              </w:rPr>
              <w:t xml:space="preserve">1-2</w:t>
            </w:r>
            <w:r>
              <w:rPr>
                <w:rFonts w:ascii="宋体" w:hAnsi="宋体" w:cs="宋体"/>
                <w:sz w:val="24"/>
                <w:highlight w:val="none"/>
              </w:rPr>
            </w:r>
            <w:r/>
          </w:p>
        </w:tc>
        <w:tc>
          <w:tcPr>
            <w:tcW w:w="1067" w:type="dxa"/>
            <w:vAlign w:val="center"/>
            <w:textDirection w:val="lrTb"/>
            <w:noWrap w:val="false"/>
          </w:tcPr>
          <w:p>
            <w:pPr>
              <w:pStyle w:val="1101"/>
              <w:jc w:val="center"/>
              <w:tabs>
                <w:tab w:val="left" w:pos="1080" w:leader="none"/>
              </w:tabs>
              <w:rPr>
                <w:rFonts w:ascii="宋体" w:hAnsi="宋体" w:cs="宋体"/>
                <w:sz w:val="24"/>
                <w:highlight w:val="none"/>
              </w:rPr>
            </w:pPr>
            <w:r>
              <w:rPr>
                <w:rFonts w:hint="eastAsia" w:ascii="宋体" w:hAnsi="宋体" w:cs="宋体"/>
                <w:sz w:val="24"/>
                <w:highlight w:val="none"/>
              </w:rPr>
              <w:t xml:space="preserve">投标人信用记录</w:t>
            </w:r>
            <w:r>
              <w:rPr>
                <w:rFonts w:ascii="宋体" w:hAnsi="宋体" w:cs="宋体"/>
                <w:sz w:val="24"/>
                <w:highlight w:val="none"/>
              </w:rPr>
            </w:r>
            <w:r/>
          </w:p>
        </w:tc>
        <w:tc>
          <w:tcPr>
            <w:tcW w:w="2536" w:type="dxa"/>
            <w:vAlign w:val="center"/>
            <w:textDirection w:val="lrTb"/>
            <w:noWrap w:val="false"/>
          </w:tcPr>
          <w:p>
            <w:pPr>
              <w:pStyle w:val="1101"/>
              <w:tabs>
                <w:tab w:val="left" w:pos="1080" w:leader="none"/>
              </w:tabs>
              <w:rPr>
                <w:rFonts w:ascii="宋体" w:hAnsi="宋体" w:cs="宋体"/>
                <w:sz w:val="24"/>
                <w:highlight w:val="none"/>
              </w:rPr>
            </w:pPr>
            <w:r>
              <w:rPr>
                <w:rFonts w:hint="eastAsia" w:ascii="宋体" w:hAnsi="宋体" w:cs="宋体"/>
                <w:sz w:val="24"/>
                <w:highlight w:val="none"/>
              </w:rPr>
              <w:t xml:space="preserve">查询渠道：信用中国网站和中国政府采购网（www.creditchina.gov.cn、</w:t>
            </w:r>
            <w:r>
              <w:rPr>
                <w:rFonts w:ascii="宋体" w:hAnsi="宋体" w:cs="宋体"/>
                <w:sz w:val="24"/>
                <w:highlight w:val="none"/>
              </w:rPr>
            </w:r>
            <w:r/>
          </w:p>
          <w:p>
            <w:pPr>
              <w:pStyle w:val="1101"/>
              <w:tabs>
                <w:tab w:val="left" w:pos="1080" w:leader="none"/>
              </w:tabs>
              <w:rPr>
                <w:highlight w:val="none"/>
              </w:rPr>
            </w:pPr>
            <w:r>
              <w:rPr>
                <w:rFonts w:hint="eastAsia" w:ascii="宋体" w:hAnsi="宋体" w:cs="宋体"/>
                <w:sz w:val="24"/>
                <w:highlight w:val="none"/>
              </w:rPr>
              <w:t xml:space="preserve">www.ccgp.gov.cn）；</w:t>
            </w:r>
            <w:r>
              <w:rPr>
                <w:highlight w:val="none"/>
              </w:rPr>
            </w:r>
            <w:r/>
          </w:p>
          <w:p>
            <w:pPr>
              <w:pStyle w:val="1101"/>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截止时点：投标截止时间以后、资格审查阶段采购人或采购代理机构的实际查询时间；</w:t>
            </w:r>
            <w:r>
              <w:rPr>
                <w:rFonts w:ascii="宋体" w:hAnsi="宋体" w:cs="宋体"/>
                <w:sz w:val="24"/>
                <w:highlight w:val="none"/>
              </w:rPr>
            </w:r>
            <w:r/>
          </w:p>
          <w:p>
            <w:pPr>
              <w:pStyle w:val="1101"/>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信用信息查询记录和证据留存具体方式：查询结果网页打印页作为查询记录和证据，与其他招标文件一并保存；</w:t>
            </w:r>
            <w:r>
              <w:rPr>
                <w:rFonts w:ascii="宋体" w:hAnsi="宋体" w:cs="宋体"/>
                <w:sz w:val="24"/>
                <w:highlight w:val="none"/>
              </w:rPr>
            </w:r>
            <w:r/>
          </w:p>
          <w:p>
            <w:pPr>
              <w:pStyle w:val="1101"/>
              <w:tabs>
                <w:tab w:val="left" w:pos="1080" w:leader="none"/>
              </w:tabs>
              <w:rPr>
                <w:rFonts w:ascii="宋体" w:hAnsi="宋体" w:cs="宋体"/>
                <w:sz w:val="24"/>
                <w:highlight w:val="none"/>
              </w:rPr>
            </w:pPr>
            <w:r>
              <w:rPr>
                <w:rFonts w:hint="eastAsia" w:ascii="宋体" w:hAnsi="宋体" w:cs="宋体"/>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highlight w:val="none"/>
              </w:rPr>
              <w:t xml:space="preserve">投标无效</w:t>
            </w:r>
            <w:r>
              <w:rPr>
                <w:rFonts w:hint="eastAsia" w:ascii="宋体" w:hAnsi="宋体" w:cs="宋体"/>
                <w:sz w:val="24"/>
                <w:highlight w:val="none"/>
              </w:rPr>
              <w:t xml:space="preserve">。联合体形式投标的，联合体成员存在不良信用记录，视同联合体存在不良信用记录。</w:t>
            </w:r>
            <w:r>
              <w:rPr>
                <w:rFonts w:ascii="宋体" w:hAnsi="宋体" w:cs="宋体"/>
                <w:sz w:val="24"/>
                <w:highlight w:val="none"/>
              </w:rPr>
            </w:r>
            <w:r/>
          </w:p>
        </w:tc>
        <w:tc>
          <w:tcPr>
            <w:tcW w:w="940" w:type="dxa"/>
            <w:vAlign w:val="center"/>
            <w:textDirection w:val="lrTb"/>
            <w:noWrap w:val="false"/>
          </w:tcPr>
          <w:p>
            <w:pPr>
              <w:pStyle w:val="1101"/>
              <w:tabs>
                <w:tab w:val="left" w:pos="1080" w:leader="none"/>
              </w:tabs>
              <w:rPr>
                <w:rFonts w:ascii="宋体" w:hAnsi="宋体" w:cs="宋体"/>
                <w:sz w:val="24"/>
                <w:highlight w:val="none"/>
              </w:rPr>
            </w:pPr>
            <w:r>
              <w:rPr>
                <w:rFonts w:hint="eastAsia" w:ascii="宋体" w:hAnsi="宋体" w:cs="宋体"/>
                <w:sz w:val="24"/>
                <w:highlight w:val="none"/>
              </w:rPr>
              <w:t xml:space="preserve">无须投标人提供，由采购人查询。</w:t>
            </w:r>
            <w:r>
              <w:rPr>
                <w:rFonts w:ascii="宋体" w:hAnsi="宋体" w:cs="宋体"/>
                <w:sz w:val="24"/>
                <w:highlight w:val="none"/>
              </w:rPr>
            </w:r>
            <w:r/>
          </w:p>
        </w:tc>
      </w:tr>
      <w:tr>
        <w:trPr>
          <w:cantSplit/>
          <w:trHeight w:val="468"/>
        </w:trPr>
        <w:tc>
          <w:tcPr>
            <w:tcW w:w="455" w:type="dxa"/>
            <w:vAlign w:val="center"/>
            <w:textDirection w:val="lrTb"/>
            <w:noWrap w:val="false"/>
          </w:tcPr>
          <w:p>
            <w:pPr>
              <w:pStyle w:val="1101"/>
              <w:jc w:val="center"/>
              <w:tabs>
                <w:tab w:val="left" w:pos="1080" w:leader="none"/>
              </w:tabs>
              <w:rPr>
                <w:rFonts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r>
            <w:r/>
          </w:p>
        </w:tc>
        <w:tc>
          <w:tcPr>
            <w:tcW w:w="1067" w:type="dxa"/>
            <w:vAlign w:val="center"/>
            <w:textDirection w:val="lrTb"/>
            <w:noWrap w:val="false"/>
          </w:tcPr>
          <w:p>
            <w:pPr>
              <w:pStyle w:val="1101"/>
              <w:jc w:val="center"/>
              <w:tabs>
                <w:tab w:val="left" w:pos="1080" w:leader="none"/>
              </w:tabs>
              <w:rPr>
                <w:rFonts w:ascii="宋体" w:hAnsi="宋体" w:cs="宋体"/>
                <w:sz w:val="24"/>
                <w:highlight w:val="none"/>
              </w:rPr>
            </w:pPr>
            <w:r>
              <w:rPr>
                <w:rFonts w:hint="eastAsia" w:ascii="宋体" w:hAnsi="宋体" w:cs="宋体"/>
                <w:sz w:val="24"/>
                <w:highlight w:val="none"/>
              </w:rPr>
              <w:t xml:space="preserve">落实政府采购政策需满足的资格要求</w:t>
            </w:r>
            <w:r>
              <w:rPr>
                <w:rFonts w:ascii="宋体" w:hAnsi="宋体" w:cs="宋体"/>
                <w:sz w:val="24"/>
                <w:highlight w:val="none"/>
              </w:rPr>
            </w:r>
            <w:r/>
          </w:p>
        </w:tc>
        <w:tc>
          <w:tcPr>
            <w:tcW w:w="2536" w:type="dxa"/>
            <w:vAlign w:val="center"/>
            <w:textDirection w:val="lrTb"/>
            <w:noWrap w:val="false"/>
          </w:tcPr>
          <w:p>
            <w:pPr>
              <w:pStyle w:val="1101"/>
              <w:tabs>
                <w:tab w:val="left" w:pos="1080" w:leader="none"/>
              </w:tabs>
              <w:rPr>
                <w:rFonts w:ascii="宋体" w:hAnsi="宋体" w:cs="宋体"/>
                <w:sz w:val="24"/>
                <w:highlight w:val="none"/>
              </w:rPr>
            </w:pPr>
            <w:r>
              <w:rPr>
                <w:rFonts w:hint="eastAsia" w:ascii="宋体" w:hAnsi="宋体" w:cs="宋体"/>
                <w:sz w:val="24"/>
                <w:highlight w:val="none"/>
              </w:rPr>
              <w:t xml:space="preserve">具体要求见第一章《投标邀请》</w:t>
            </w:r>
            <w:r>
              <w:rPr>
                <w:rFonts w:ascii="宋体" w:hAnsi="宋体" w:cs="宋体"/>
                <w:sz w:val="24"/>
                <w:highlight w:val="none"/>
              </w:rPr>
            </w:r>
            <w:r/>
          </w:p>
        </w:tc>
        <w:tc>
          <w:tcPr>
            <w:tcW w:w="940" w:type="dxa"/>
            <w:vAlign w:val="center"/>
            <w:textDirection w:val="lrTb"/>
            <w:noWrap w:val="false"/>
          </w:tcPr>
          <w:p>
            <w:pPr>
              <w:pStyle w:val="1101"/>
              <w:tabs>
                <w:tab w:val="left" w:pos="1080" w:leader="none"/>
              </w:tabs>
              <w:rPr>
                <w:rFonts w:ascii="宋体" w:hAnsi="宋体" w:cs="宋体"/>
                <w:sz w:val="24"/>
                <w:highlight w:val="none"/>
              </w:rPr>
            </w:pPr>
            <w:r>
              <w:rPr>
                <w:rFonts w:ascii="宋体" w:hAnsi="宋体" w:cs="宋体"/>
                <w:sz w:val="24"/>
                <w:highlight w:val="none"/>
              </w:rPr>
            </w:r>
            <w:r/>
          </w:p>
        </w:tc>
      </w:tr>
      <w:tr>
        <w:trPr>
          <w:cantSplit/>
          <w:trHeight w:val="468"/>
        </w:trPr>
        <w:tc>
          <w:tcPr>
            <w:tcW w:w="455" w:type="dxa"/>
            <w:vAlign w:val="center"/>
            <w:textDirection w:val="lrTb"/>
            <w:noWrap w:val="false"/>
          </w:tcPr>
          <w:p>
            <w:pPr>
              <w:pStyle w:val="1101"/>
              <w:jc w:val="center"/>
              <w:tabs>
                <w:tab w:val="left" w:pos="1080" w:leader="none"/>
              </w:tabs>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2-1</w:t>
            </w:r>
            <w:r>
              <w:rPr>
                <w:rFonts w:ascii="宋体" w:hAnsi="宋体" w:eastAsia="宋体" w:cs="宋体"/>
                <w:sz w:val="24"/>
                <w:highlight w:val="none"/>
                <w:lang w:val="en-US" w:eastAsia="zh-CN"/>
              </w:rPr>
            </w:r>
            <w:r/>
          </w:p>
        </w:tc>
        <w:tc>
          <w:tcPr>
            <w:tcW w:w="1067" w:type="dxa"/>
            <w:vAlign w:val="center"/>
            <w:textDirection w:val="lrTb"/>
            <w:noWrap w:val="false"/>
          </w:tcPr>
          <w:p>
            <w:pPr>
              <w:pStyle w:val="1101"/>
              <w:tabs>
                <w:tab w:val="left" w:pos="1080" w:leader="none"/>
              </w:tabs>
              <w:rPr>
                <w:rFonts w:hint="eastAsia"/>
                <w:sz w:val="24"/>
                <w:szCs w:val="24"/>
                <w:highlight w:val="none"/>
                <w:lang w:val="en-US" w:eastAsia="zh-CN" w:bidi="ar-SA"/>
              </w:rPr>
            </w:pPr>
            <w:r>
              <w:rPr>
                <w:sz w:val="24"/>
                <w:highlight w:val="none"/>
              </w:rPr>
              <w:t xml:space="preserve">中小企业声明函</w:t>
            </w:r>
            <w:r>
              <w:rPr>
                <w:rFonts w:hint="eastAsia"/>
                <w:sz w:val="24"/>
                <w:szCs w:val="24"/>
                <w:highlight w:val="none"/>
                <w:lang w:val="en-US" w:eastAsia="zh-CN" w:bidi="ar-SA"/>
              </w:rPr>
            </w:r>
            <w:r/>
          </w:p>
        </w:tc>
        <w:tc>
          <w:tcPr>
            <w:tcW w:w="2536" w:type="dxa"/>
            <w:vAlign w:val="center"/>
            <w:textDirection w:val="lrTb"/>
            <w:noWrap w:val="false"/>
          </w:tcPr>
          <w:p>
            <w:pPr>
              <w:pStyle w:val="1101"/>
              <w:tabs>
                <w:tab w:val="left" w:pos="1080" w:leader="none"/>
              </w:tabs>
              <w:rPr>
                <w:sz w:val="24"/>
                <w:highlight w:val="none"/>
              </w:rPr>
            </w:pPr>
            <w:r>
              <w:rPr>
                <w:rFonts w:hint="eastAsia"/>
                <w:sz w:val="24"/>
                <w:highlight w:val="none"/>
              </w:rPr>
              <w:t xml:space="preserve">1、投标人单独投标的，应提供中小企业声明函；如为监狱企业或</w:t>
            </w:r>
            <w:r>
              <w:rPr>
                <w:sz w:val="24"/>
                <w:highlight w:val="none"/>
              </w:rPr>
              <w:t xml:space="preserve">残疾人福利性单位</w:t>
            </w:r>
            <w:r>
              <w:rPr>
                <w:rFonts w:hint="eastAsia"/>
                <w:sz w:val="24"/>
                <w:highlight w:val="none"/>
              </w:rPr>
              <w:t xml:space="preserve">，不必提供中小企业声明函，但须按注1或注2要求提供证明材料。</w:t>
            </w:r>
            <w:r>
              <w:rPr>
                <w:sz w:val="24"/>
                <w:highlight w:val="none"/>
              </w:rPr>
            </w:r>
            <w:r/>
          </w:p>
          <w:p>
            <w:pPr>
              <w:pStyle w:val="1101"/>
              <w:tabs>
                <w:tab w:val="left" w:pos="1080" w:leader="none"/>
              </w:tabs>
              <w:rPr>
                <w:sz w:val="24"/>
                <w:highlight w:val="none"/>
              </w:rPr>
            </w:pPr>
            <w:r>
              <w:rPr>
                <w:rFonts w:hint="eastAsia"/>
                <w:sz w:val="24"/>
                <w:highlight w:val="none"/>
              </w:rPr>
              <w:t xml:space="preserve">2、如招标文件</w:t>
            </w:r>
            <w:r>
              <w:rPr>
                <w:sz w:val="24"/>
                <w:highlight w:val="none"/>
              </w:rPr>
              <w:t xml:space="preserve">要求以联合体形式参加或者要求合同分包的，</w:t>
            </w:r>
            <w:r>
              <w:rPr>
                <w:rFonts w:hint="eastAsia"/>
                <w:sz w:val="24"/>
                <w:highlight w:val="none"/>
              </w:rPr>
              <w:t xml:space="preserve">且投标人为联合体或拟进行合同分包的，则</w:t>
            </w:r>
            <w:r>
              <w:rPr>
                <w:sz w:val="24"/>
                <w:highlight w:val="none"/>
              </w:rPr>
              <w:t xml:space="preserve">联合体中的中小企业、签订分包意向协议的中小企业具体情况须在《中小企业声明函》中如实填报。</w:t>
            </w:r>
            <w:r>
              <w:rPr>
                <w:rFonts w:hint="eastAsia"/>
                <w:sz w:val="24"/>
                <w:highlight w:val="none"/>
              </w:rPr>
              <w:t xml:space="preserve">上述中小企业如为监狱企业或</w:t>
            </w:r>
            <w:r>
              <w:rPr>
                <w:sz w:val="24"/>
                <w:highlight w:val="none"/>
              </w:rPr>
              <w:t xml:space="preserve">残疾人福利性单位</w:t>
            </w:r>
            <w:r>
              <w:rPr>
                <w:rFonts w:hint="eastAsia"/>
                <w:sz w:val="24"/>
                <w:highlight w:val="none"/>
              </w:rPr>
              <w:t xml:space="preserve">应在声明函中如实列明单位性质，并按注1或注2要求提供证明材料。</w:t>
            </w:r>
            <w:r>
              <w:rPr>
                <w:sz w:val="24"/>
                <w:highlight w:val="none"/>
              </w:rPr>
            </w:r>
            <w:r/>
          </w:p>
          <w:p>
            <w:pPr>
              <w:pStyle w:val="1101"/>
              <w:tabs>
                <w:tab w:val="left" w:pos="1080" w:leader="none"/>
              </w:tabs>
              <w:rPr>
                <w:sz w:val="24"/>
                <w:highlight w:val="none"/>
              </w:rPr>
            </w:pPr>
            <w:r>
              <w:rPr>
                <w:sz w:val="24"/>
                <w:highlight w:val="none"/>
              </w:rPr>
            </w:r>
            <w:r/>
          </w:p>
          <w:p>
            <w:pPr>
              <w:pStyle w:val="1101"/>
              <w:tabs>
                <w:tab w:val="left" w:pos="1080" w:leader="none"/>
              </w:tabs>
              <w:rPr>
                <w:sz w:val="24"/>
                <w:highlight w:val="none"/>
              </w:rPr>
            </w:pPr>
            <w:r>
              <w:rPr>
                <w:rFonts w:hint="eastAsia"/>
                <w:sz w:val="24"/>
                <w:highlight w:val="none"/>
              </w:rPr>
              <w:t xml:space="preserve">注1：</w:t>
            </w:r>
            <w:r>
              <w:rPr>
                <w:sz w:val="24"/>
                <w:highlight w:val="none"/>
              </w:rPr>
              <w:t xml:space="preserve">监狱企业须提供由省级以上监狱管理局（常州市含教育矫治局）、戒毒管理局（含新疆生产建设兵团）出具的属于监狱企业的证明文件。</w:t>
            </w:r>
            <w:r>
              <w:rPr>
                <w:sz w:val="24"/>
                <w:highlight w:val="none"/>
              </w:rPr>
            </w:r>
            <w:r/>
          </w:p>
          <w:p>
            <w:pPr>
              <w:pStyle w:val="1101"/>
              <w:tabs>
                <w:tab w:val="left" w:pos="1080" w:leader="none"/>
              </w:tabs>
              <w:rPr>
                <w:rFonts w:hint="eastAsia"/>
                <w:sz w:val="24"/>
                <w:szCs w:val="24"/>
                <w:highlight w:val="none"/>
                <w:lang w:val="en-US" w:eastAsia="zh-CN" w:bidi="ar-SA"/>
              </w:rPr>
            </w:pPr>
            <w:r>
              <w:rPr>
                <w:rFonts w:hint="eastAsia"/>
                <w:sz w:val="24"/>
                <w:highlight w:val="none"/>
              </w:rPr>
              <w:t xml:space="preserve">注2：</w:t>
            </w:r>
            <w:r>
              <w:rPr>
                <w:sz w:val="24"/>
                <w:highlight w:val="none"/>
              </w:rPr>
              <w:t xml:space="preserve">残疾人福利性单位须按招标文件要求提供《残疾人福利性单位声明函》。</w:t>
            </w:r>
            <w:r>
              <w:rPr>
                <w:rFonts w:hint="eastAsia"/>
                <w:sz w:val="24"/>
                <w:szCs w:val="24"/>
                <w:highlight w:val="none"/>
                <w:lang w:val="en-US" w:eastAsia="zh-CN" w:bidi="ar-SA"/>
              </w:rPr>
            </w:r>
            <w:r/>
          </w:p>
        </w:tc>
        <w:tc>
          <w:tcPr>
            <w:tcW w:w="940" w:type="dxa"/>
            <w:vAlign w:val="center"/>
            <w:textDirection w:val="lrTb"/>
            <w:noWrap w:val="false"/>
          </w:tcPr>
          <w:p>
            <w:pPr>
              <w:pStyle w:val="1101"/>
              <w:tabs>
                <w:tab w:val="left" w:pos="1080" w:leader="none"/>
              </w:tabs>
              <w:rPr>
                <w:sz w:val="24"/>
                <w:szCs w:val="24"/>
                <w:highlight w:val="none"/>
                <w:lang w:val="en-US" w:eastAsia="zh-CN" w:bidi="ar-SA"/>
              </w:rPr>
            </w:pPr>
            <w:r>
              <w:rPr>
                <w:sz w:val="24"/>
                <w:highlight w:val="none"/>
              </w:rPr>
              <w:t xml:space="preserve">格式见《投标文件格式》</w:t>
            </w:r>
            <w:r>
              <w:rPr>
                <w:sz w:val="24"/>
                <w:szCs w:val="24"/>
                <w:highlight w:val="none"/>
                <w:lang w:val="en-US" w:eastAsia="zh-CN" w:bidi="ar-SA"/>
              </w:rPr>
            </w:r>
            <w:r/>
          </w:p>
        </w:tc>
      </w:tr>
      <w:tr>
        <w:trPr>
          <w:cantSplit/>
          <w:trHeight w:val="468"/>
        </w:trPr>
        <w:tc>
          <w:tcPr>
            <w:tcW w:w="455" w:type="dxa"/>
            <w:vAlign w:val="center"/>
            <w:textDirection w:val="lrTb"/>
            <w:noWrap w:val="false"/>
          </w:tcPr>
          <w:p>
            <w:pPr>
              <w:pStyle w:val="1101"/>
              <w:jc w:val="center"/>
              <w:tabs>
                <w:tab w:val="left" w:pos="1080" w:leader="none"/>
              </w:tabs>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r>
            <w:r/>
          </w:p>
        </w:tc>
        <w:tc>
          <w:tcPr>
            <w:tcW w:w="1067" w:type="dxa"/>
            <w:vAlign w:val="center"/>
            <w:textDirection w:val="lrTb"/>
            <w:noWrap w:val="false"/>
          </w:tcPr>
          <w:p>
            <w:pPr>
              <w:pStyle w:val="1101"/>
              <w:jc w:val="center"/>
              <w:tabs>
                <w:tab w:val="left" w:pos="1080" w:leader="none"/>
              </w:tabs>
              <w:rPr>
                <w:rFonts w:ascii="宋体" w:hAnsi="宋体" w:cs="宋体"/>
                <w:sz w:val="24"/>
                <w:highlight w:val="none"/>
              </w:rPr>
            </w:pPr>
            <w:r>
              <w:rPr>
                <w:rFonts w:hint="eastAsia" w:ascii="宋体" w:hAnsi="宋体" w:cs="宋体"/>
                <w:sz w:val="24"/>
                <w:highlight w:val="none"/>
              </w:rPr>
              <w:t xml:space="preserve">本项目的特定资格要求</w:t>
            </w:r>
            <w:r>
              <w:rPr>
                <w:rFonts w:ascii="宋体" w:hAnsi="宋体" w:cs="宋体"/>
                <w:sz w:val="24"/>
                <w:highlight w:val="none"/>
              </w:rPr>
            </w:r>
            <w:r/>
          </w:p>
        </w:tc>
        <w:tc>
          <w:tcPr>
            <w:tcW w:w="2536" w:type="dxa"/>
            <w:vAlign w:val="center"/>
            <w:textDirection w:val="lrTb"/>
            <w:noWrap w:val="false"/>
          </w:tcPr>
          <w:p>
            <w:pPr>
              <w:pStyle w:val="1101"/>
              <w:tabs>
                <w:tab w:val="left" w:pos="1080" w:leader="none"/>
              </w:tabs>
              <w:rPr>
                <w:rFonts w:ascii="宋体" w:hAnsi="宋体" w:cs="宋体"/>
                <w:sz w:val="24"/>
                <w:highlight w:val="none"/>
              </w:rPr>
            </w:pPr>
            <w:r>
              <w:rPr>
                <w:rFonts w:hint="eastAsia" w:ascii="宋体" w:hAnsi="宋体" w:cs="宋体"/>
                <w:sz w:val="24"/>
                <w:highlight w:val="none"/>
              </w:rPr>
              <w:t xml:space="preserve">如有，见第一章《投标邀请》</w:t>
            </w:r>
            <w:r>
              <w:rPr>
                <w:rFonts w:ascii="宋体" w:hAnsi="宋体" w:cs="宋体"/>
                <w:sz w:val="24"/>
                <w:highlight w:val="none"/>
              </w:rPr>
            </w:r>
            <w:r/>
          </w:p>
        </w:tc>
        <w:tc>
          <w:tcPr>
            <w:tcW w:w="940" w:type="dxa"/>
            <w:vAlign w:val="center"/>
            <w:textDirection w:val="lrTb"/>
            <w:noWrap w:val="false"/>
          </w:tcPr>
          <w:p>
            <w:pPr>
              <w:pStyle w:val="1101"/>
              <w:jc w:val="center"/>
              <w:tabs>
                <w:tab w:val="left" w:pos="1080" w:leader="none"/>
              </w:tabs>
              <w:rPr>
                <w:rFonts w:ascii="宋体" w:hAnsi="宋体" w:cs="宋体"/>
                <w:sz w:val="24"/>
                <w:highlight w:val="none"/>
              </w:rPr>
            </w:pPr>
            <w:r>
              <w:rPr>
                <w:rFonts w:ascii="宋体" w:hAnsi="宋体" w:cs="宋体"/>
                <w:sz w:val="24"/>
                <w:highlight w:val="none"/>
              </w:rPr>
            </w:r>
            <w:r/>
          </w:p>
        </w:tc>
      </w:tr>
      <w:tr>
        <w:trPr>
          <w:cantSplit/>
          <w:trHeight w:val="460"/>
        </w:trPr>
        <w:tc>
          <w:tcPr>
            <w:tcW w:w="455" w:type="dxa"/>
            <w:vAlign w:val="center"/>
            <w:textDirection w:val="lrTb"/>
            <w:noWrap w:val="false"/>
          </w:tcPr>
          <w:p>
            <w:pPr>
              <w:pStyle w:val="1101"/>
              <w:jc w:val="center"/>
              <w:tabs>
                <w:tab w:val="left" w:pos="1080" w:leader="none"/>
              </w:tabs>
              <w:rPr>
                <w:rFonts w:ascii="宋体" w:hAnsi="宋体" w:cs="宋体"/>
                <w:sz w:val="24"/>
                <w:highlight w:val="none"/>
              </w:rPr>
            </w:pPr>
            <w:r/>
            <w:bookmarkStart w:id="300" w:name="_Toc127151779"/>
            <w:r/>
            <w:bookmarkStart w:id="301" w:name="_Toc353825550"/>
            <w:r/>
            <w:bookmarkStart w:id="302" w:name="_Toc353873940"/>
            <w:r/>
            <w:bookmarkStart w:id="303" w:name="_Toc127161490"/>
            <w:r/>
            <w:bookmarkStart w:id="304" w:name="_Toc226965858"/>
            <w:r>
              <w:rPr>
                <w:rFonts w:hint="eastAsia" w:ascii="宋体" w:hAnsi="宋体" w:cs="宋体"/>
                <w:sz w:val="24"/>
                <w:highlight w:val="none"/>
              </w:rPr>
              <w:t xml:space="preserve">4</w:t>
            </w:r>
            <w:r>
              <w:rPr>
                <w:rFonts w:ascii="宋体" w:hAnsi="宋体" w:cs="宋体"/>
                <w:sz w:val="24"/>
                <w:highlight w:val="none"/>
              </w:rPr>
            </w:r>
            <w:r/>
          </w:p>
        </w:tc>
        <w:tc>
          <w:tcPr>
            <w:tcW w:w="1067" w:type="dxa"/>
            <w:vAlign w:val="center"/>
            <w:textDirection w:val="lrTb"/>
            <w:noWrap w:val="false"/>
          </w:tcPr>
          <w:p>
            <w:pPr>
              <w:pStyle w:val="1101"/>
              <w:jc w:val="center"/>
              <w:tabs>
                <w:tab w:val="left" w:pos="1080" w:leader="none"/>
              </w:tabs>
              <w:rPr>
                <w:rFonts w:ascii="宋体" w:hAnsi="宋体" w:cs="宋体"/>
                <w:sz w:val="24"/>
                <w:highlight w:val="none"/>
              </w:rPr>
            </w:pPr>
            <w:r>
              <w:rPr>
                <w:rFonts w:hint="eastAsia" w:ascii="宋体" w:hAnsi="宋体" w:cs="宋体"/>
                <w:sz w:val="24"/>
                <w:highlight w:val="none"/>
              </w:rPr>
              <w:t xml:space="preserve">营业执照</w:t>
            </w:r>
            <w:r>
              <w:rPr>
                <w:rFonts w:ascii="宋体" w:hAnsi="宋体" w:cs="宋体"/>
                <w:sz w:val="24"/>
                <w:highlight w:val="none"/>
              </w:rPr>
            </w:r>
            <w:r/>
          </w:p>
        </w:tc>
        <w:tc>
          <w:tcPr>
            <w:tcW w:w="2536" w:type="dxa"/>
            <w:vAlign w:val="center"/>
            <w:textDirection w:val="lrTb"/>
            <w:noWrap w:val="false"/>
          </w:tcPr>
          <w:p>
            <w:pPr>
              <w:pStyle w:val="1101"/>
              <w:tabs>
                <w:tab w:val="left" w:pos="1080" w:leader="none"/>
              </w:tabs>
              <w:rPr>
                <w:rFonts w:ascii="宋体" w:hAnsi="宋体" w:cs="宋体"/>
                <w:color w:val="000000"/>
                <w:sz w:val="24"/>
                <w:highlight w:val="none"/>
              </w:rPr>
            </w:pPr>
            <w:r>
              <w:rPr>
                <w:rFonts w:hint="eastAsia" w:ascii="宋体" w:hAnsi="宋体" w:cs="宋体"/>
                <w:sz w:val="24"/>
                <w:highlight w:val="none"/>
              </w:rPr>
              <w:t xml:space="preserve">有效期内的营业执照</w:t>
            </w:r>
            <w:r>
              <w:rPr>
                <w:rFonts w:ascii="宋体" w:hAnsi="宋体" w:cs="宋体"/>
                <w:color w:val="000000"/>
                <w:sz w:val="24"/>
                <w:highlight w:val="none"/>
              </w:rPr>
            </w:r>
            <w:r/>
          </w:p>
        </w:tc>
        <w:tc>
          <w:tcPr>
            <w:tcW w:w="940" w:type="dxa"/>
            <w:vAlign w:val="center"/>
            <w:textDirection w:val="lrTb"/>
            <w:noWrap w:val="false"/>
          </w:tcPr>
          <w:p>
            <w:pPr>
              <w:pStyle w:val="1101"/>
              <w:jc w:val="center"/>
              <w:tabs>
                <w:tab w:val="left" w:pos="1080" w:leader="none"/>
              </w:tabs>
              <w:rPr>
                <w:rFonts w:ascii="宋体" w:hAnsi="宋体" w:cs="宋体"/>
                <w:sz w:val="24"/>
                <w:highlight w:val="none"/>
              </w:rPr>
            </w:pPr>
            <w:r>
              <w:rPr>
                <w:sz w:val="24"/>
                <w:highlight w:val="none"/>
              </w:rPr>
              <w:t xml:space="preserve">提供证明文件的电子件或电子证照</w:t>
            </w:r>
            <w:r>
              <w:rPr>
                <w:rFonts w:hint="eastAsia"/>
                <w:sz w:val="24"/>
                <w:highlight w:val="none"/>
              </w:rPr>
              <w:t xml:space="preserve">并</w:t>
            </w:r>
            <w:r>
              <w:rPr>
                <w:rFonts w:hint="eastAsia" w:ascii="宋体" w:hAnsi="宋体" w:cs="宋体"/>
                <w:sz w:val="24"/>
                <w:highlight w:val="none"/>
              </w:rPr>
              <w:t xml:space="preserve">加盖投标人公章</w:t>
            </w:r>
            <w:r>
              <w:rPr>
                <w:rFonts w:ascii="宋体" w:hAnsi="宋体" w:cs="宋体"/>
                <w:sz w:val="24"/>
                <w:highlight w:val="none"/>
              </w:rPr>
            </w:r>
            <w:r/>
          </w:p>
        </w:tc>
      </w:tr>
    </w:tbl>
    <w:p>
      <w:pPr>
        <w:pStyle w:val="1101"/>
        <w:jc w:val="left"/>
        <w:widowControl/>
        <w:rPr>
          <w:sz w:val="24"/>
          <w:highlight w:val="none"/>
        </w:rPr>
      </w:pPr>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297"/>
      <w:r>
        <w:rPr>
          <w:sz w:val="24"/>
          <w:highlight w:val="none"/>
        </w:rPr>
        <w:br w:type="page" w:clear="all"/>
      </w:r>
      <w:r>
        <w:rPr>
          <w:sz w:val="24"/>
          <w:highlight w:val="none"/>
        </w:rPr>
      </w:r>
      <w:r/>
    </w:p>
    <w:p>
      <w:pPr>
        <w:pStyle w:val="1101"/>
        <w:jc w:val="center"/>
        <w:spacing w:line="360" w:lineRule="auto"/>
        <w:rPr>
          <w:b/>
          <w:sz w:val="36"/>
          <w:szCs w:val="36"/>
          <w:highlight w:val="none"/>
        </w:rPr>
        <w:outlineLvl w:val="0"/>
      </w:pPr>
      <w:r/>
      <w:bookmarkStart w:id="305" w:name="_Toc9995"/>
      <w:r>
        <w:rPr>
          <w:b/>
          <w:sz w:val="36"/>
          <w:szCs w:val="36"/>
          <w:highlight w:val="none"/>
        </w:rPr>
        <w:t xml:space="preserve">第四章   </w:t>
      </w:r>
      <w:bookmarkEnd w:id="300"/>
      <w:r/>
      <w:bookmarkEnd w:id="301"/>
      <w:r/>
      <w:bookmarkEnd w:id="302"/>
      <w:r/>
      <w:bookmarkEnd w:id="303"/>
      <w:r/>
      <w:bookmarkEnd w:id="304"/>
      <w:r/>
      <w:bookmarkStart w:id="306" w:name="_Hlt164229061"/>
      <w:r/>
      <w:bookmarkEnd w:id="306"/>
      <w:r>
        <w:rPr>
          <w:b/>
          <w:sz w:val="36"/>
          <w:szCs w:val="36"/>
          <w:highlight w:val="none"/>
        </w:rPr>
        <w:t xml:space="preserve">评标程序、评标方法和评标标准</w:t>
      </w:r>
      <w:bookmarkEnd w:id="305"/>
      <w:r>
        <w:rPr>
          <w:b/>
          <w:sz w:val="36"/>
          <w:szCs w:val="36"/>
          <w:highlight w:val="none"/>
        </w:rPr>
      </w:r>
      <w:r/>
    </w:p>
    <w:p>
      <w:pPr>
        <w:pStyle w:val="1101"/>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rPr>
          <w:b/>
          <w:highlight w:val="none"/>
        </w:rPr>
      </w:r>
      <w:r/>
    </w:p>
    <w:p>
      <w:pPr>
        <w:pStyle w:val="1101"/>
        <w:numPr>
          <w:ilvl w:val="0"/>
          <w:numId w:val="10"/>
        </w:numPr>
        <w:ind w:left="0" w:firstLine="480"/>
        <w:spacing w:line="400" w:lineRule="exact"/>
        <w:tabs>
          <w:tab w:val="left" w:pos="360" w:leader="none"/>
          <w:tab w:val="left" w:pos="900" w:leader="none"/>
        </w:tabs>
        <w:rPr>
          <w:rFonts w:ascii="宋体" w:hAnsi="宋体" w:cs="宋体"/>
          <w:sz w:val="24"/>
          <w:highlight w:val="none"/>
        </w:rPr>
      </w:pPr>
      <w:r/>
      <w:bookmarkStart w:id="307" w:name="_Toc151193711"/>
      <w:r/>
      <w:bookmarkStart w:id="308" w:name="_Toc265228379"/>
      <w:r/>
      <w:bookmarkStart w:id="309" w:name="_Toc226965814"/>
      <w:r/>
      <w:bookmarkStart w:id="310" w:name="_Toc151193639"/>
      <w:r/>
      <w:bookmarkStart w:id="311" w:name="_Toc164608655"/>
      <w:r/>
      <w:bookmarkStart w:id="312" w:name="_Toc164608810"/>
      <w:r/>
      <w:bookmarkStart w:id="313" w:name="_Toc305158883"/>
      <w:r/>
      <w:bookmarkStart w:id="314" w:name="_Toc150509292"/>
      <w:r/>
      <w:bookmarkStart w:id="315" w:name="_Toc151190168"/>
      <w:r/>
      <w:bookmarkStart w:id="316" w:name="_Toc164229236"/>
      <w:r/>
      <w:bookmarkStart w:id="317" w:name="_Toc150774746"/>
      <w:r/>
      <w:bookmarkStart w:id="318" w:name="_Toc150480779"/>
      <w:r/>
      <w:bookmarkStart w:id="319" w:name="_Toc226309785"/>
      <w:r/>
      <w:bookmarkStart w:id="320" w:name="_Toc127151541"/>
      <w:r/>
      <w:bookmarkStart w:id="321" w:name="_Toc149720834"/>
      <w:r/>
      <w:bookmarkStart w:id="322" w:name="_Toc150774641"/>
      <w:r/>
      <w:bookmarkStart w:id="323" w:name="_Toc151193929"/>
      <w:r/>
      <w:bookmarkStart w:id="324" w:name="_Toc127151742"/>
      <w:r/>
      <w:bookmarkStart w:id="325" w:name="_Toc164351635"/>
      <w:r/>
      <w:bookmarkStart w:id="326" w:name="_Toc195842906"/>
      <w:r/>
      <w:bookmarkStart w:id="327" w:name="_Toc151193855"/>
      <w:r/>
      <w:bookmarkStart w:id="328" w:name="_Toc226965731"/>
      <w:r/>
      <w:bookmarkStart w:id="329" w:name="_Toc151193783"/>
      <w:r/>
      <w:bookmarkStart w:id="330" w:name="_Toc164229382"/>
      <w:r/>
      <w:bookmarkStart w:id="331" w:name="_Toc264969231"/>
      <w:r/>
      <w:bookmarkStart w:id="332" w:name="_Toc305158809"/>
      <w:r/>
      <w:bookmarkStart w:id="333" w:name="_Toc127161455"/>
      <w:r/>
      <w:bookmarkStart w:id="334" w:name="_Toc226337237"/>
      <w:r/>
      <w:bookmarkStart w:id="335" w:name="_Toc142311043"/>
      <w:r/>
      <w:bookmarkStart w:id="336" w:name="_Toc353873935"/>
      <w:r/>
      <w:bookmarkStart w:id="337" w:name="_Toc353825551"/>
      <w:r/>
      <w:bookmarkStart w:id="338" w:name="_Toc353873941"/>
      <w:r/>
      <w:bookmarkStart w:id="339" w:name="_Toc150774760"/>
      <w:r/>
      <w:bookmarkStart w:id="340" w:name="_Toc264969245"/>
      <w:r/>
      <w:bookmarkStart w:id="341" w:name="_Toc265228393"/>
      <w:r/>
      <w:bookmarkStart w:id="342" w:name="_Toc305158897"/>
      <w:r/>
      <w:bookmarkStart w:id="343" w:name="_Toc226965828"/>
      <w:r/>
      <w:bookmarkStart w:id="344" w:name="_Toc226337251"/>
      <w:r/>
      <w:bookmarkStart w:id="345" w:name="_Toc353825545"/>
      <w:r/>
      <w:bookmarkStart w:id="346" w:name="_Toc195842920"/>
      <w:r/>
      <w:bookmarkStart w:id="347" w:name="_Toc142311057"/>
      <w:r/>
      <w:bookmarkStart w:id="348" w:name="_Toc150480793"/>
      <w:r/>
      <w:bookmarkStart w:id="349" w:name="_Toc127151555"/>
      <w:r/>
      <w:bookmarkStart w:id="350" w:name="_Toc305158823"/>
      <w:r/>
      <w:bookmarkStart w:id="351" w:name="_Toc353873665"/>
      <w:r>
        <w:rPr>
          <w:rFonts w:hint="eastAsia" w:ascii="宋体" w:hAnsi="宋体" w:cs="宋体"/>
          <w:sz w:val="24"/>
          <w:highlight w:val="none"/>
        </w:rPr>
        <w:t xml:space="preserve">投标文件的符合性审查</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Pr>
          <w:rFonts w:ascii="宋体" w:hAnsi="宋体" w:cs="宋体"/>
          <w:sz w:val="24"/>
          <w:highlight w:val="none"/>
        </w:rPr>
      </w:r>
      <w:r/>
    </w:p>
    <w:p>
      <w:pPr>
        <w:pStyle w:val="1101"/>
        <w:numPr>
          <w:ilvl w:val="1"/>
          <w:numId w:val="10"/>
        </w:numPr>
        <w:ind w:left="0" w:firstLine="480"/>
        <w:spacing w:line="400" w:lineRule="exact"/>
        <w:tabs>
          <w:tab w:val="left" w:pos="1080" w:leader="none"/>
          <w:tab w:val="left" w:pos="1589" w:leader="none"/>
        </w:tabs>
        <w:rPr>
          <w:rFonts w:ascii="宋体" w:hAnsi="宋体" w:cs="宋体"/>
          <w:sz w:val="24"/>
          <w:highlight w:val="none"/>
        </w:rPr>
      </w:pPr>
      <w:r>
        <w:rPr>
          <w:rFonts w:hint="eastAsia" w:ascii="宋体" w:hAnsi="宋体" w:cs="宋体"/>
          <w:sz w:val="24"/>
          <w:highlight w:val="none"/>
        </w:rPr>
        <w:t xml:space="preserve">评标委员会对资格审查合格的投标人的投标文件进行符合性审查，以确定其是否满足招标文件的实质性要求。</w:t>
      </w:r>
      <w:bookmarkStart w:id="352" w:name="_Toc520356167"/>
      <w:r>
        <w:rPr>
          <w:rFonts w:ascii="宋体" w:hAnsi="宋体" w:cs="宋体"/>
          <w:sz w:val="24"/>
          <w:highlight w:val="none"/>
        </w:rPr>
      </w:r>
      <w:r/>
    </w:p>
    <w:p>
      <w:pPr>
        <w:pStyle w:val="1101"/>
        <w:numPr>
          <w:ilvl w:val="1"/>
          <w:numId w:val="10"/>
        </w:numPr>
        <w:ind w:left="0" w:firstLine="480"/>
        <w:spacing w:line="400" w:lineRule="exact"/>
        <w:tabs>
          <w:tab w:val="left" w:pos="1080" w:leader="none"/>
          <w:tab w:val="left" w:pos="1589" w:leader="none"/>
        </w:tabs>
        <w:rPr>
          <w:rFonts w:ascii="宋体" w:hAnsi="宋体" w:cs="宋体"/>
          <w:sz w:val="24"/>
          <w:highlight w:val="none"/>
        </w:rPr>
      </w:pPr>
      <w:r>
        <w:rPr>
          <w:rFonts w:hint="eastAsia" w:ascii="宋体" w:hAnsi="宋体" w:cs="宋体"/>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352"/>
      <w:r>
        <w:rPr>
          <w:rFonts w:hint="eastAsia" w:ascii="宋体" w:hAnsi="宋体" w:cs="宋体"/>
          <w:sz w:val="24"/>
          <w:highlight w:val="none"/>
        </w:rPr>
        <w:t xml:space="preserve">要求的，</w:t>
      </w:r>
      <w:r>
        <w:rPr>
          <w:rFonts w:hint="eastAsia" w:ascii="宋体" w:hAnsi="宋体" w:cs="宋体"/>
          <w:b/>
          <w:sz w:val="24"/>
          <w:highlight w:val="none"/>
        </w:rPr>
        <w:t xml:space="preserve">投标无效</w:t>
      </w:r>
      <w:r>
        <w:rPr>
          <w:rFonts w:hint="eastAsia" w:ascii="宋体" w:hAnsi="宋体" w:cs="宋体"/>
          <w:sz w:val="24"/>
          <w:highlight w:val="none"/>
        </w:rPr>
        <w:t xml:space="preserve">。</w:t>
      </w:r>
      <w:r>
        <w:rPr>
          <w:rFonts w:ascii="宋体" w:hAnsi="宋体" w:cs="宋体"/>
          <w:sz w:val="24"/>
          <w:highlight w:val="none"/>
        </w:rPr>
      </w:r>
      <w:r/>
    </w:p>
    <w:p>
      <w:pPr>
        <w:pStyle w:val="1101"/>
        <w:ind w:hanging="357"/>
        <w:jc w:val="center"/>
        <w:spacing w:line="360" w:lineRule="auto"/>
        <w:tabs>
          <w:tab w:val="left" w:pos="900" w:leader="none"/>
          <w:tab w:val="left" w:pos="1080" w:leader="none"/>
          <w:tab w:val="left" w:pos="1589" w:leader="none"/>
        </w:tabs>
        <w:rPr>
          <w:b/>
          <w:sz w:val="24"/>
          <w:highlight w:val="none"/>
        </w:rPr>
      </w:pPr>
      <w:r>
        <w:rPr>
          <w:b/>
          <w:sz w:val="24"/>
          <w:highlight w:val="none"/>
        </w:rPr>
        <w:t xml:space="preserve">符合性审查</w:t>
      </w:r>
      <w:r>
        <w:rPr>
          <w:rFonts w:hint="eastAsia"/>
          <w:b/>
          <w:sz w:val="24"/>
          <w:highlight w:val="none"/>
        </w:rPr>
        <w:t xml:space="preserve">要求</w:t>
      </w:r>
      <w:r>
        <w:rPr>
          <w:b/>
          <w:sz w:val="24"/>
          <w:highlight w:val="none"/>
        </w:rPr>
      </w:r>
      <w:r/>
    </w:p>
    <w:tbl>
      <w:tblPr>
        <w:tblW w:w="515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9"/>
        <w:gridCol w:w="1831"/>
        <w:gridCol w:w="6863"/>
      </w:tblGrid>
      <w:tr>
        <w:trPr>
          <w:trHeight w:val="283"/>
          <w:tblHeader/>
        </w:trPr>
        <w:tc>
          <w:tcPr>
            <w:tcW w:w="459" w:type="dxa"/>
            <w:vAlign w:val="center"/>
            <w:textDirection w:val="lrTb"/>
            <w:noWrap w:val="false"/>
          </w:tcPr>
          <w:p>
            <w:pPr>
              <w:pStyle w:val="1101"/>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序号</w:t>
            </w:r>
            <w:r>
              <w:rPr>
                <w:rFonts w:ascii="宋体" w:hAnsi="宋体" w:cs="宋体"/>
                <w:b/>
                <w:color w:val="000000"/>
                <w:sz w:val="24"/>
                <w:highlight w:val="none"/>
              </w:rPr>
            </w:r>
            <w:r/>
          </w:p>
        </w:tc>
        <w:tc>
          <w:tcPr>
            <w:tcW w:w="956" w:type="dxa"/>
            <w:vAlign w:val="center"/>
            <w:textDirection w:val="lrTb"/>
            <w:noWrap w:val="false"/>
          </w:tcPr>
          <w:p>
            <w:pPr>
              <w:pStyle w:val="1101"/>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审查因素</w:t>
            </w:r>
            <w:r>
              <w:rPr>
                <w:rFonts w:ascii="宋体" w:hAnsi="宋体" w:cs="宋体"/>
                <w:b/>
                <w:color w:val="000000"/>
                <w:sz w:val="24"/>
                <w:highlight w:val="none"/>
              </w:rPr>
            </w:r>
            <w:r/>
          </w:p>
        </w:tc>
        <w:tc>
          <w:tcPr>
            <w:tcW w:w="3584" w:type="dxa"/>
            <w:vAlign w:val="center"/>
            <w:textDirection w:val="lrTb"/>
            <w:noWrap w:val="false"/>
          </w:tcPr>
          <w:p>
            <w:pPr>
              <w:pStyle w:val="1101"/>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审查内容</w:t>
            </w:r>
            <w:r>
              <w:rPr>
                <w:rFonts w:ascii="宋体" w:hAnsi="宋体" w:cs="宋体"/>
                <w:b/>
                <w:color w:val="000000"/>
                <w:sz w:val="24"/>
                <w:highlight w:val="none"/>
              </w:rPr>
            </w:r>
            <w:r/>
          </w:p>
        </w:tc>
      </w:tr>
      <w:tr>
        <w:trPr>
          <w:trHeight w:val="283"/>
        </w:trPr>
        <w:tc>
          <w:tcPr>
            <w:tcW w:w="459" w:type="dxa"/>
            <w:vAlign w:val="center"/>
            <w:textDirection w:val="lrTb"/>
            <w:noWrap w:val="false"/>
          </w:tcPr>
          <w:p>
            <w:pPr>
              <w:pStyle w:val="1101"/>
              <w:jc w:val="center"/>
              <w:widowControl/>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956" w:type="dxa"/>
            <w:vAlign w:val="center"/>
            <w:textDirection w:val="lrTb"/>
            <w:noWrap w:val="false"/>
          </w:tcPr>
          <w:p>
            <w:pPr>
              <w:pStyle w:val="1101"/>
              <w:jc w:val="center"/>
              <w:widowControl/>
              <w:rPr>
                <w:rFonts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法定代表人资格证明书（或授权委托书）和政府采购供应商信用承诺书</w:t>
            </w:r>
            <w:r>
              <w:rPr>
                <w:rFonts w:ascii="宋体" w:hAnsi="宋体" w:cs="宋体"/>
                <w:color w:val="000000"/>
                <w:sz w:val="24"/>
                <w:highlight w:val="none"/>
              </w:rPr>
            </w:r>
            <w:r/>
          </w:p>
        </w:tc>
        <w:tc>
          <w:tcPr>
            <w:tcW w:w="3584" w:type="dxa"/>
            <w:vAlign w:val="center"/>
            <w:textDirection w:val="lrTb"/>
            <w:noWrap w:val="false"/>
          </w:tcPr>
          <w:p>
            <w:pPr>
              <w:pStyle w:val="1101"/>
              <w:widowControl/>
              <w:rPr>
                <w:rFonts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法定代表人资格证明书（或授权委托书）和政府采购供应商信用承诺书</w:t>
            </w:r>
            <w:r>
              <w:rPr>
                <w:rFonts w:hint="eastAsia" w:ascii="宋体" w:hAnsi="宋体" w:cs="宋体"/>
                <w:color w:val="000000"/>
                <w:sz w:val="24"/>
                <w:highlight w:val="none"/>
              </w:rPr>
              <w:t xml:space="preserve">；</w:t>
            </w:r>
            <w:r>
              <w:rPr>
                <w:rFonts w:ascii="宋体" w:hAnsi="宋体"/>
                <w:b/>
                <w:bCs/>
                <w:sz w:val="24"/>
                <w:highlight w:val="none"/>
              </w:rPr>
              <w:t xml:space="preserve">格式见《投标文件格式》</w:t>
            </w:r>
            <w:r>
              <w:rPr>
                <w:rFonts w:ascii="宋体" w:hAnsi="宋体" w:cs="宋体"/>
                <w:color w:val="000000"/>
                <w:sz w:val="24"/>
                <w:highlight w:val="none"/>
              </w:rPr>
            </w:r>
            <w:r/>
          </w:p>
        </w:tc>
      </w:tr>
      <w:tr>
        <w:trPr>
          <w:trHeight w:val="283"/>
        </w:trPr>
        <w:tc>
          <w:tcPr>
            <w:tcW w:w="459" w:type="dxa"/>
            <w:vAlign w:val="center"/>
            <w:textDirection w:val="lrTb"/>
            <w:noWrap w:val="false"/>
          </w:tcPr>
          <w:p>
            <w:pPr>
              <w:pStyle w:val="1101"/>
              <w:jc w:val="center"/>
              <w:widowControl/>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956" w:type="dxa"/>
            <w:vAlign w:val="center"/>
            <w:textDirection w:val="lrTb"/>
            <w:noWrap w:val="false"/>
          </w:tcPr>
          <w:p>
            <w:pPr>
              <w:pStyle w:val="1101"/>
              <w:jc w:val="center"/>
              <w:widowControl/>
              <w:rPr>
                <w:rFonts w:ascii="宋体" w:hAnsi="宋体" w:cs="宋体"/>
                <w:color w:val="000000"/>
                <w:sz w:val="24"/>
                <w:highlight w:val="none"/>
              </w:rPr>
            </w:pPr>
            <w:r>
              <w:rPr>
                <w:rFonts w:hint="eastAsia" w:ascii="宋体" w:hAnsi="宋体" w:cs="宋体"/>
                <w:color w:val="000000"/>
                <w:sz w:val="24"/>
                <w:highlight w:val="none"/>
              </w:rPr>
              <w:t xml:space="preserve">投标完整性</w:t>
            </w:r>
            <w:r>
              <w:rPr>
                <w:rFonts w:ascii="宋体" w:hAnsi="宋体" w:cs="宋体"/>
                <w:color w:val="000000"/>
                <w:sz w:val="24"/>
                <w:highlight w:val="none"/>
              </w:rPr>
            </w:r>
            <w:r/>
          </w:p>
        </w:tc>
        <w:tc>
          <w:tcPr>
            <w:tcW w:w="3584" w:type="dxa"/>
            <w:vAlign w:val="center"/>
            <w:textDirection w:val="lrTb"/>
            <w:noWrap w:val="false"/>
          </w:tcPr>
          <w:p>
            <w:pPr>
              <w:pStyle w:val="1101"/>
              <w:widowControl/>
              <w:rPr>
                <w:rFonts w:ascii="宋体" w:hAnsi="宋体" w:cs="宋体"/>
                <w:color w:val="000000"/>
                <w:sz w:val="24"/>
                <w:highlight w:val="none"/>
              </w:rPr>
            </w:pPr>
            <w:r>
              <w:rPr>
                <w:rFonts w:hint="eastAsia" w:ascii="宋体" w:hAnsi="宋体" w:cs="宋体"/>
                <w:sz w:val="24"/>
                <w:highlight w:val="none"/>
              </w:rPr>
              <w:t xml:space="preserve">未将一个采购包中的内容拆开投标；</w:t>
            </w:r>
            <w:r>
              <w:rPr>
                <w:rFonts w:hint="eastAsia" w:ascii="宋体" w:hAnsi="宋体"/>
                <w:b/>
                <w:bCs/>
                <w:sz w:val="24"/>
                <w:highlight w:val="none"/>
              </w:rPr>
              <w:t xml:space="preserve">（由评委审查，无需投标人提供材料）</w:t>
            </w:r>
            <w:r>
              <w:rPr>
                <w:rFonts w:ascii="宋体" w:hAnsi="宋体" w:cs="宋体"/>
                <w:color w:val="000000"/>
                <w:sz w:val="24"/>
                <w:highlight w:val="none"/>
              </w:rPr>
            </w:r>
            <w:r/>
          </w:p>
        </w:tc>
      </w:tr>
      <w:tr>
        <w:trPr>
          <w:trHeight w:val="714"/>
        </w:trPr>
        <w:tc>
          <w:tcPr>
            <w:tcW w:w="459" w:type="dxa"/>
            <w:vAlign w:val="center"/>
            <w:textDirection w:val="lrTb"/>
            <w:noWrap w:val="false"/>
          </w:tcPr>
          <w:p>
            <w:pPr>
              <w:pStyle w:val="1101"/>
              <w:jc w:val="center"/>
              <w:widowControl/>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956" w:type="dxa"/>
            <w:vAlign w:val="center"/>
            <w:textDirection w:val="lrTb"/>
            <w:noWrap w:val="false"/>
          </w:tcPr>
          <w:p>
            <w:pPr>
              <w:pStyle w:val="1101"/>
              <w:jc w:val="center"/>
              <w:widowControl/>
              <w:rPr>
                <w:rFonts w:ascii="宋体" w:hAnsi="宋体" w:cs="宋体"/>
                <w:color w:val="000000"/>
                <w:sz w:val="24"/>
                <w:highlight w:val="none"/>
              </w:rPr>
            </w:pPr>
            <w:r>
              <w:rPr>
                <w:rFonts w:hint="eastAsia" w:ascii="宋体" w:hAnsi="宋体" w:cs="宋体"/>
                <w:color w:val="000000"/>
                <w:sz w:val="24"/>
                <w:highlight w:val="none"/>
              </w:rPr>
              <w:t xml:space="preserve">投标报价</w:t>
            </w:r>
            <w:r>
              <w:rPr>
                <w:rFonts w:ascii="宋体" w:hAnsi="宋体" w:cs="宋体"/>
                <w:color w:val="000000"/>
                <w:sz w:val="24"/>
                <w:highlight w:val="none"/>
              </w:rPr>
            </w:r>
            <w:r/>
          </w:p>
        </w:tc>
        <w:tc>
          <w:tcPr>
            <w:tcW w:w="3584" w:type="dxa"/>
            <w:vAlign w:val="center"/>
            <w:textDirection w:val="lrTb"/>
            <w:noWrap w:val="false"/>
          </w:tcPr>
          <w:p>
            <w:pPr>
              <w:pStyle w:val="1101"/>
              <w:widowControl/>
              <w:rPr>
                <w:rFonts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w:t>
            </w:r>
            <w:r>
              <w:rPr>
                <w:rFonts w:hint="eastAsia" w:ascii="宋体" w:hAnsi="宋体"/>
                <w:b/>
                <w:bCs/>
                <w:sz w:val="24"/>
                <w:highlight w:val="none"/>
              </w:rPr>
              <w:t xml:space="preserve">提供</w:t>
            </w:r>
            <w:r>
              <w:rPr>
                <w:rFonts w:ascii="宋体" w:hAnsi="宋体"/>
                <w:b/>
                <w:bCs/>
                <w:sz w:val="24"/>
                <w:highlight w:val="none"/>
              </w:rPr>
              <w:t xml:space="preserve">《</w:t>
            </w:r>
            <w:r>
              <w:rPr>
                <w:rFonts w:hint="eastAsia" w:ascii="宋体" w:hAnsi="宋体"/>
                <w:b/>
                <w:bCs/>
                <w:sz w:val="24"/>
                <w:highlight w:val="none"/>
              </w:rPr>
              <w:t xml:space="preserve">开标一览表</w:t>
            </w:r>
            <w:r>
              <w:rPr>
                <w:rFonts w:ascii="宋体" w:hAnsi="宋体"/>
                <w:b/>
                <w:bCs/>
                <w:sz w:val="24"/>
                <w:highlight w:val="none"/>
              </w:rPr>
              <w:t xml:space="preserve">》</w:t>
            </w:r>
            <w:r>
              <w:rPr>
                <w:rFonts w:hint="eastAsia" w:ascii="宋体" w:hAnsi="宋体"/>
                <w:b/>
                <w:bCs/>
                <w:sz w:val="24"/>
                <w:highlight w:val="none"/>
              </w:rPr>
              <w:t xml:space="preserve">、《投标分项报价表》，</w:t>
            </w:r>
            <w:r>
              <w:rPr>
                <w:rFonts w:hint="eastAsia" w:ascii="宋体" w:hAnsi="宋体"/>
                <w:b/>
                <w:bCs/>
                <w:color w:val="000000"/>
                <w:sz w:val="24"/>
                <w:highlight w:val="none"/>
              </w:rPr>
              <w:t xml:space="preserve">格式见</w:t>
            </w:r>
            <w:r>
              <w:rPr>
                <w:rFonts w:ascii="宋体" w:hAnsi="宋体"/>
                <w:b/>
                <w:bCs/>
                <w:sz w:val="24"/>
                <w:highlight w:val="none"/>
              </w:rPr>
              <w:t xml:space="preserve">《投标文件格式》</w:t>
            </w:r>
            <w:r>
              <w:rPr>
                <w:rFonts w:hint="eastAsia" w:ascii="宋体" w:hAnsi="宋体" w:cs="宋体"/>
                <w:b/>
                <w:bCs/>
                <w:color w:val="000000"/>
                <w:sz w:val="24"/>
                <w:highlight w:val="none"/>
              </w:rPr>
              <w:t xml:space="preserve">）</w:t>
            </w:r>
            <w:r>
              <w:rPr>
                <w:rFonts w:ascii="宋体" w:hAnsi="宋体" w:cs="宋体"/>
                <w:color w:val="000000"/>
                <w:sz w:val="24"/>
                <w:highlight w:val="none"/>
              </w:rPr>
            </w:r>
            <w:r/>
          </w:p>
        </w:tc>
      </w:tr>
      <w:tr>
        <w:trPr>
          <w:trHeight w:val="283"/>
        </w:trPr>
        <w:tc>
          <w:tcPr>
            <w:tcW w:w="459" w:type="dxa"/>
            <w:vAlign w:val="center"/>
            <w:textDirection w:val="lrTb"/>
            <w:noWrap w:val="false"/>
          </w:tcPr>
          <w:p>
            <w:pPr>
              <w:pStyle w:val="1101"/>
              <w:jc w:val="center"/>
              <w:widowControl/>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W w:w="956" w:type="dxa"/>
            <w:vAlign w:val="center"/>
            <w:textDirection w:val="lrTb"/>
            <w:noWrap w:val="false"/>
          </w:tcPr>
          <w:p>
            <w:pPr>
              <w:pStyle w:val="1101"/>
              <w:jc w:val="center"/>
              <w:widowControl/>
              <w:rPr>
                <w:rFonts w:ascii="宋体" w:hAnsi="宋体" w:cs="宋体"/>
                <w:color w:val="000000"/>
                <w:sz w:val="24"/>
                <w:highlight w:val="none"/>
              </w:rPr>
            </w:pPr>
            <w:r>
              <w:rPr>
                <w:rFonts w:hint="eastAsia" w:ascii="宋体" w:hAnsi="宋体" w:cs="宋体"/>
                <w:color w:val="000000"/>
                <w:sz w:val="24"/>
                <w:highlight w:val="none"/>
              </w:rPr>
              <w:t xml:space="preserve">报价唯一性</w:t>
            </w:r>
            <w:r>
              <w:rPr>
                <w:rFonts w:ascii="宋体" w:hAnsi="宋体" w:cs="宋体"/>
                <w:color w:val="000000"/>
                <w:sz w:val="24"/>
                <w:highlight w:val="none"/>
              </w:rPr>
            </w:r>
            <w:r/>
          </w:p>
        </w:tc>
        <w:tc>
          <w:tcPr>
            <w:tcW w:w="3584" w:type="dxa"/>
            <w:vAlign w:val="center"/>
            <w:textDirection w:val="lrTb"/>
            <w:noWrap w:val="false"/>
          </w:tcPr>
          <w:p>
            <w:pPr>
              <w:pStyle w:val="1101"/>
              <w:widowControl/>
              <w:rPr>
                <w:rFonts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b/>
                <w:bCs/>
                <w:sz w:val="24"/>
                <w:highlight w:val="none"/>
              </w:rPr>
              <w:t xml:space="preserve">（由评委审查，无需投标人提供材料）</w:t>
            </w:r>
            <w:r>
              <w:rPr>
                <w:rFonts w:ascii="宋体" w:hAnsi="宋体" w:cs="宋体"/>
                <w:color w:val="000000"/>
                <w:sz w:val="24"/>
                <w:highlight w:val="none"/>
              </w:rPr>
            </w:r>
            <w:r/>
          </w:p>
        </w:tc>
      </w:tr>
      <w:tr>
        <w:trPr>
          <w:trHeight w:val="628"/>
        </w:trPr>
        <w:tc>
          <w:tcPr>
            <w:tcW w:w="459" w:type="dxa"/>
            <w:vAlign w:val="center"/>
            <w:textDirection w:val="lrTb"/>
            <w:noWrap w:val="false"/>
          </w:tcPr>
          <w:p>
            <w:pPr>
              <w:pStyle w:val="1101"/>
              <w:jc w:val="center"/>
              <w:widowControl/>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W w:w="956" w:type="dxa"/>
            <w:vAlign w:val="center"/>
            <w:textDirection w:val="lrTb"/>
            <w:noWrap w:val="false"/>
          </w:tcPr>
          <w:p>
            <w:pPr>
              <w:pStyle w:val="1101"/>
              <w:jc w:val="center"/>
              <w:widowControl/>
              <w:rPr>
                <w:rFonts w:ascii="宋体" w:hAnsi="宋体" w:cs="宋体"/>
                <w:color w:val="000000"/>
                <w:sz w:val="24"/>
                <w:highlight w:val="none"/>
              </w:rPr>
            </w:pPr>
            <w:r>
              <w:rPr>
                <w:rFonts w:hint="eastAsia" w:ascii="宋体" w:hAnsi="宋体" w:cs="宋体"/>
                <w:color w:val="000000"/>
                <w:sz w:val="24"/>
                <w:highlight w:val="none"/>
              </w:rPr>
              <w:t xml:space="preserve">投标有效期</w:t>
            </w:r>
            <w:r>
              <w:rPr>
                <w:rFonts w:ascii="宋体" w:hAnsi="宋体" w:cs="宋体"/>
                <w:color w:val="000000"/>
                <w:sz w:val="24"/>
                <w:highlight w:val="none"/>
              </w:rPr>
            </w:r>
            <w:r/>
          </w:p>
        </w:tc>
        <w:tc>
          <w:tcPr>
            <w:tcW w:w="3584" w:type="dxa"/>
            <w:vAlign w:val="center"/>
            <w:textDirection w:val="lrTb"/>
            <w:noWrap w:val="false"/>
          </w:tcPr>
          <w:p>
            <w:pPr>
              <w:pStyle w:val="1101"/>
              <w:widowControl/>
              <w:rPr>
                <w:rFonts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b/>
                <w:bCs/>
                <w:sz w:val="24"/>
                <w:highlight w:val="none"/>
              </w:rPr>
              <w:t xml:space="preserve">（由评委审查，无需投标人提供材料）</w:t>
            </w:r>
            <w:r>
              <w:rPr>
                <w:rFonts w:ascii="宋体" w:hAnsi="宋体" w:cs="宋体"/>
                <w:color w:val="000000"/>
                <w:sz w:val="24"/>
                <w:highlight w:val="none"/>
              </w:rPr>
            </w:r>
            <w:r/>
          </w:p>
        </w:tc>
      </w:tr>
      <w:tr>
        <w:trPr>
          <w:trHeight w:val="283"/>
        </w:trPr>
        <w:tc>
          <w:tcPr>
            <w:tcW w:w="459" w:type="dxa"/>
            <w:vAlign w:val="center"/>
            <w:textDirection w:val="lrTb"/>
            <w:noWrap w:val="false"/>
          </w:tcPr>
          <w:p>
            <w:pPr>
              <w:pStyle w:val="1101"/>
              <w:jc w:val="center"/>
              <w:widowControl/>
              <w:rPr>
                <w:rFonts w:ascii="宋体" w:hAnsi="宋体" w:cs="宋体"/>
                <w:color w:val="000000"/>
                <w:sz w:val="24"/>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r>
            <w:r/>
          </w:p>
        </w:tc>
        <w:tc>
          <w:tcPr>
            <w:tcW w:w="956" w:type="dxa"/>
            <w:vAlign w:val="center"/>
            <w:textDirection w:val="lrTb"/>
            <w:noWrap w:val="false"/>
          </w:tcPr>
          <w:p>
            <w:pPr>
              <w:pStyle w:val="1101"/>
              <w:jc w:val="center"/>
              <w:widowControl/>
              <w:rPr>
                <w:rFonts w:ascii="宋体" w:hAnsi="宋体" w:cs="宋体"/>
                <w:color w:val="000000"/>
                <w:sz w:val="24"/>
                <w:highlight w:val="none"/>
              </w:rPr>
            </w:pPr>
            <w:r>
              <w:rPr>
                <w:rFonts w:hint="eastAsia" w:ascii="宋体" w:hAnsi="宋体" w:cs="宋体"/>
                <w:color w:val="000000"/>
                <w:sz w:val="24"/>
                <w:highlight w:val="none"/>
              </w:rPr>
              <w:t xml:space="preserve">签署、加盖公章</w:t>
            </w:r>
            <w:r>
              <w:rPr>
                <w:rFonts w:ascii="宋体" w:hAnsi="宋体" w:cs="宋体"/>
                <w:color w:val="000000"/>
                <w:sz w:val="24"/>
                <w:highlight w:val="none"/>
              </w:rPr>
            </w:r>
            <w:r/>
          </w:p>
        </w:tc>
        <w:tc>
          <w:tcPr>
            <w:tcW w:w="3584" w:type="dxa"/>
            <w:vAlign w:val="center"/>
            <w:textDirection w:val="lrTb"/>
            <w:noWrap w:val="false"/>
          </w:tcPr>
          <w:p>
            <w:pPr>
              <w:pStyle w:val="1101"/>
              <w:widowControl/>
              <w:rPr>
                <w:rFonts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b/>
                <w:bCs/>
                <w:sz w:val="24"/>
                <w:highlight w:val="none"/>
              </w:rPr>
              <w:t xml:space="preserve">（由评委审查，无需投标人提供材料）</w:t>
            </w:r>
            <w:r>
              <w:rPr>
                <w:rFonts w:ascii="宋体" w:hAnsi="宋体" w:cs="宋体"/>
                <w:color w:val="000000"/>
                <w:sz w:val="24"/>
                <w:highlight w:val="none"/>
              </w:rPr>
            </w:r>
            <w:r/>
          </w:p>
        </w:tc>
      </w:tr>
      <w:tr>
        <w:trPr>
          <w:trHeight w:val="283"/>
        </w:trPr>
        <w:tc>
          <w:tcPr>
            <w:tcW w:w="459" w:type="dxa"/>
            <w:vAlign w:val="center"/>
            <w:textDirection w:val="lrTb"/>
            <w:noWrap w:val="false"/>
          </w:tcPr>
          <w:p>
            <w:pPr>
              <w:pStyle w:val="1101"/>
              <w:jc w:val="center"/>
              <w:widowControl/>
              <w:rPr>
                <w:rFonts w:ascii="宋体" w:hAnsi="宋体" w:cs="宋体"/>
                <w:color w:val="000000"/>
                <w:sz w:val="24"/>
                <w:highlight w:val="none"/>
              </w:rPr>
            </w:pPr>
            <w:r>
              <w:rPr>
                <w:rFonts w:hint="eastAsia" w:ascii="宋体" w:hAnsi="宋体" w:cs="宋体"/>
                <w:color w:val="000000"/>
                <w:sz w:val="24"/>
                <w:highlight w:val="none"/>
              </w:rPr>
              <w:t xml:space="preserve">7</w:t>
            </w:r>
            <w:r>
              <w:rPr>
                <w:rFonts w:ascii="宋体" w:hAnsi="宋体" w:cs="宋体"/>
                <w:color w:val="000000"/>
                <w:sz w:val="24"/>
                <w:highlight w:val="none"/>
              </w:rPr>
            </w:r>
            <w:r/>
          </w:p>
        </w:tc>
        <w:tc>
          <w:tcPr>
            <w:tcW w:w="956" w:type="dxa"/>
            <w:vAlign w:val="center"/>
            <w:textDirection w:val="lrTb"/>
            <w:noWrap w:val="false"/>
          </w:tcPr>
          <w:p>
            <w:pPr>
              <w:pStyle w:val="1101"/>
              <w:jc w:val="center"/>
              <w:widowControl/>
              <w:rPr>
                <w:rFonts w:ascii="宋体" w:hAnsi="宋体" w:cs="宋体"/>
                <w:color w:val="000000"/>
                <w:sz w:val="24"/>
                <w:highlight w:val="none"/>
              </w:rPr>
            </w:pPr>
            <w:r>
              <w:rPr>
                <w:rFonts w:hint="eastAsia" w:ascii="宋体" w:hAnsi="宋体" w:cs="宋体"/>
                <w:color w:val="000000"/>
                <w:sz w:val="24"/>
                <w:highlight w:val="none"/>
              </w:rPr>
              <w:t xml:space="preserve">实质性格式</w:t>
            </w:r>
            <w:r>
              <w:rPr>
                <w:rFonts w:ascii="宋体" w:hAnsi="宋体" w:cs="宋体"/>
                <w:color w:val="000000"/>
                <w:sz w:val="24"/>
                <w:highlight w:val="none"/>
              </w:rPr>
            </w:r>
            <w:r/>
          </w:p>
        </w:tc>
        <w:tc>
          <w:tcPr>
            <w:tcW w:w="3584" w:type="dxa"/>
            <w:vAlign w:val="center"/>
            <w:textDirection w:val="lrTb"/>
            <w:noWrap w:val="false"/>
          </w:tcPr>
          <w:p>
            <w:pPr>
              <w:pStyle w:val="1101"/>
              <w:widowControl/>
              <w:rPr>
                <w:rFonts w:ascii="宋体" w:hAnsi="宋体" w:cs="宋体"/>
                <w:color w:val="000000"/>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rPr>
                <w:rFonts w:hint="eastAsia"/>
                <w:b/>
                <w:bCs/>
                <w:sz w:val="24"/>
                <w:highlight w:val="none"/>
              </w:rPr>
              <w:t xml:space="preserve">（</w:t>
            </w:r>
            <w:r>
              <w:rPr>
                <w:rFonts w:hint="eastAsia" w:ascii="宋体" w:hAnsi="宋体"/>
                <w:b/>
                <w:bCs/>
                <w:sz w:val="24"/>
                <w:highlight w:val="none"/>
              </w:rPr>
              <w:t xml:space="preserve">除前面已提供的实质性格式文件以外，还需提供：投标供应商管理关系或控股关系信息情况表，合同条款偏离表，采购需求偏离表；</w:t>
            </w:r>
            <w:r>
              <w:rPr>
                <w:rFonts w:ascii="宋体" w:hAnsi="宋体"/>
                <w:b/>
                <w:bCs/>
                <w:sz w:val="24"/>
                <w:highlight w:val="none"/>
              </w:rPr>
              <w:t xml:space="preserve">格式见《投标文件格式》</w:t>
            </w:r>
            <w:r>
              <w:rPr>
                <w:rFonts w:hint="eastAsia"/>
                <w:b/>
                <w:bCs/>
                <w:sz w:val="24"/>
                <w:highlight w:val="none"/>
              </w:rPr>
              <w:t xml:space="preserve">）</w:t>
            </w:r>
            <w:r>
              <w:rPr>
                <w:rFonts w:ascii="宋体" w:hAnsi="宋体" w:cs="宋体"/>
                <w:color w:val="000000"/>
                <w:sz w:val="24"/>
                <w:highlight w:val="none"/>
              </w:rPr>
            </w:r>
            <w:r/>
          </w:p>
        </w:tc>
      </w:tr>
      <w:tr>
        <w:trPr>
          <w:trHeight w:val="283"/>
        </w:trPr>
        <w:tc>
          <w:tcPr>
            <w:tcW w:w="459" w:type="dxa"/>
            <w:vAlign w:val="center"/>
            <w:textDirection w:val="lrTb"/>
            <w:noWrap w:val="false"/>
          </w:tcPr>
          <w:p>
            <w:pPr>
              <w:pStyle w:val="1101"/>
              <w:jc w:val="center"/>
              <w:widowControl/>
              <w:rPr>
                <w:rFonts w:ascii="宋体" w:hAnsi="宋体" w:cs="宋体"/>
                <w:color w:val="000000"/>
                <w:sz w:val="24"/>
                <w:highlight w:val="none"/>
              </w:rPr>
            </w:pPr>
            <w:r>
              <w:rPr>
                <w:rFonts w:hint="eastAsia" w:ascii="宋体" w:hAnsi="宋体" w:cs="宋体"/>
                <w:color w:val="000000"/>
                <w:sz w:val="24"/>
                <w:highlight w:val="none"/>
              </w:rPr>
              <w:t xml:space="preserve">8</w:t>
            </w:r>
            <w:r>
              <w:rPr>
                <w:rFonts w:ascii="宋体" w:hAnsi="宋体" w:cs="宋体"/>
                <w:color w:val="000000"/>
                <w:sz w:val="24"/>
                <w:highlight w:val="none"/>
              </w:rPr>
            </w:r>
            <w:r/>
          </w:p>
        </w:tc>
        <w:tc>
          <w:tcPr>
            <w:tcW w:w="956" w:type="dxa"/>
            <w:vAlign w:val="center"/>
            <w:textDirection w:val="lrTb"/>
            <w:noWrap w:val="false"/>
          </w:tcPr>
          <w:p>
            <w:pPr>
              <w:pStyle w:val="1101"/>
              <w:jc w:val="center"/>
              <w:widowControl/>
              <w:rPr>
                <w:rFonts w:ascii="宋体" w:hAnsi="宋体" w:cs="宋体"/>
                <w:color w:val="000000"/>
                <w:sz w:val="24"/>
                <w:highlight w:val="none"/>
              </w:rPr>
            </w:pPr>
            <w:r>
              <w:rPr>
                <w:rFonts w:hint="eastAsia" w:ascii="宋体" w:hAnsi="宋体" w:cs="宋体"/>
                <w:color w:val="000000"/>
                <w:sz w:val="24"/>
                <w:highlight w:val="none"/>
              </w:rPr>
              <w:t xml:space="preserve">★号条款响应</w:t>
            </w:r>
            <w:r>
              <w:rPr>
                <w:rFonts w:ascii="宋体" w:hAnsi="宋体" w:cs="宋体"/>
                <w:color w:val="000000"/>
                <w:sz w:val="24"/>
                <w:highlight w:val="none"/>
              </w:rPr>
            </w:r>
            <w:r/>
          </w:p>
        </w:tc>
        <w:tc>
          <w:tcPr>
            <w:tcW w:w="3584" w:type="dxa"/>
            <w:vAlign w:val="center"/>
            <w:textDirection w:val="lrTb"/>
            <w:noWrap w:val="false"/>
          </w:tcPr>
          <w:p>
            <w:pPr>
              <w:pStyle w:val="1101"/>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投标文件满足招标文件</w:t>
            </w:r>
            <w:r>
              <w:rPr>
                <w:rFonts w:hint="eastAsia" w:ascii="宋体" w:hAnsi="宋体" w:cs="宋体"/>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b/>
                <w:color w:val="000000"/>
                <w:sz w:val="24"/>
                <w:highlight w:val="none"/>
              </w:rPr>
              <w:t xml:space="preserve">根据文件列出的★号条款，按照序号逐项提供相关证明材料</w:t>
            </w:r>
            <w:r>
              <w:rPr>
                <w:rFonts w:hint="eastAsia" w:ascii="宋体" w:hAnsi="宋体"/>
                <w:b/>
                <w:color w:val="000000"/>
                <w:sz w:val="24"/>
                <w:highlight w:val="none"/>
                <w:lang w:eastAsia="zh-CN"/>
              </w:rPr>
              <w:t xml:space="preserve">（</w:t>
            </w:r>
            <w:r>
              <w:rPr>
                <w:rFonts w:hint="eastAsia" w:ascii="宋体" w:hAnsi="宋体"/>
                <w:b/>
                <w:color w:val="000000"/>
                <w:sz w:val="24"/>
                <w:highlight w:val="none"/>
                <w:lang w:val="en-US" w:eastAsia="zh-CN"/>
              </w:rPr>
              <w:t xml:space="preserve">共6条</w:t>
            </w:r>
            <w:r>
              <w:rPr>
                <w:rFonts w:hint="eastAsia" w:ascii="宋体" w:hAnsi="宋体"/>
                <w:b/>
                <w:color w:val="000000"/>
                <w:sz w:val="24"/>
                <w:highlight w:val="none"/>
                <w:lang w:eastAsia="zh-CN"/>
              </w:rPr>
              <w:t xml:space="preserve">）。</w:t>
            </w:r>
            <w:r>
              <w:rPr>
                <w:rFonts w:ascii="宋体" w:hAnsi="宋体" w:eastAsia="宋体" w:cs="宋体"/>
                <w:color w:val="000000"/>
                <w:sz w:val="24"/>
                <w:highlight w:val="none"/>
                <w:lang w:val="en-US" w:eastAsia="zh-CN"/>
              </w:rPr>
            </w:r>
            <w:r/>
          </w:p>
        </w:tc>
      </w:tr>
      <w:tr>
        <w:trPr>
          <w:trHeight w:val="378"/>
        </w:trPr>
        <w:tc>
          <w:tcPr>
            <w:tcW w:w="459" w:type="dxa"/>
            <w:vAlign w:val="center"/>
            <w:textDirection w:val="lrTb"/>
            <w:noWrap w:val="false"/>
          </w:tcPr>
          <w:p>
            <w:pPr>
              <w:pStyle w:val="1101"/>
              <w:jc w:val="center"/>
              <w:widowControl/>
              <w:rPr>
                <w:rFonts w:ascii="宋体" w:hAnsi="宋体" w:cs="宋体"/>
                <w:color w:val="000000"/>
                <w:sz w:val="24"/>
                <w:highlight w:val="none"/>
              </w:rPr>
            </w:pPr>
            <w:r>
              <w:rPr>
                <w:rFonts w:hint="eastAsia" w:ascii="宋体" w:hAnsi="宋体" w:cs="宋体"/>
                <w:color w:val="000000"/>
                <w:sz w:val="24"/>
                <w:highlight w:val="none"/>
              </w:rPr>
              <w:t xml:space="preserve">9</w:t>
            </w:r>
            <w:r>
              <w:rPr>
                <w:rFonts w:ascii="宋体" w:hAnsi="宋体" w:cs="宋体"/>
                <w:color w:val="000000"/>
                <w:sz w:val="24"/>
                <w:highlight w:val="none"/>
              </w:rPr>
            </w:r>
            <w:r/>
          </w:p>
        </w:tc>
        <w:tc>
          <w:tcPr>
            <w:tcW w:w="956" w:type="dxa"/>
            <w:vAlign w:val="center"/>
            <w:textDirection w:val="lrTb"/>
            <w:noWrap w:val="false"/>
          </w:tcPr>
          <w:p>
            <w:pPr>
              <w:pStyle w:val="1101"/>
              <w:jc w:val="center"/>
              <w:widowControl/>
              <w:rPr>
                <w:rFonts w:ascii="宋体" w:hAnsi="宋体" w:cs="宋体"/>
                <w:color w:val="000000"/>
                <w:sz w:val="24"/>
                <w:highlight w:val="none"/>
              </w:rPr>
            </w:pPr>
            <w:r>
              <w:rPr>
                <w:rFonts w:hint="eastAsia" w:ascii="宋体" w:hAnsi="宋体" w:cs="宋体"/>
                <w:color w:val="000000"/>
                <w:sz w:val="24"/>
                <w:highlight w:val="none"/>
              </w:rPr>
              <w:t xml:space="preserve">报价的修正（如有）</w:t>
            </w:r>
            <w:r>
              <w:rPr>
                <w:rFonts w:ascii="宋体" w:hAnsi="宋体" w:cs="宋体"/>
                <w:color w:val="000000"/>
                <w:sz w:val="24"/>
                <w:highlight w:val="none"/>
              </w:rPr>
            </w:r>
            <w:r/>
          </w:p>
        </w:tc>
        <w:tc>
          <w:tcPr>
            <w:tcW w:w="3584" w:type="dxa"/>
            <w:vAlign w:val="center"/>
            <w:textDirection w:val="lrTb"/>
            <w:noWrap w:val="false"/>
          </w:tcPr>
          <w:p>
            <w:pPr>
              <w:pStyle w:val="1101"/>
              <w:widowControl/>
              <w:rPr>
                <w:rFonts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ascii="宋体" w:hAnsi="宋体" w:cs="宋体"/>
                <w:color w:val="000000"/>
                <w:sz w:val="24"/>
                <w:highlight w:val="none"/>
              </w:rPr>
            </w:r>
            <w:r/>
          </w:p>
        </w:tc>
      </w:tr>
      <w:tr>
        <w:trPr>
          <w:trHeight w:val="357"/>
        </w:trPr>
        <w:tc>
          <w:tcPr>
            <w:tcW w:w="459" w:type="dxa"/>
            <w:vAlign w:val="center"/>
            <w:textDirection w:val="lrTb"/>
            <w:noWrap w:val="false"/>
          </w:tcPr>
          <w:p>
            <w:pPr>
              <w:pStyle w:val="1101"/>
              <w:jc w:val="center"/>
              <w:widowControl/>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r>
            <w:r/>
          </w:p>
        </w:tc>
        <w:tc>
          <w:tcPr>
            <w:tcW w:w="956" w:type="dxa"/>
            <w:vAlign w:val="center"/>
            <w:textDirection w:val="lrTb"/>
            <w:noWrap w:val="false"/>
          </w:tcPr>
          <w:p>
            <w:pPr>
              <w:pStyle w:val="1101"/>
              <w:jc w:val="center"/>
              <w:widowControl/>
              <w:rPr>
                <w:rFonts w:ascii="宋体" w:hAnsi="宋体" w:cs="宋体"/>
                <w:color w:val="000000"/>
                <w:sz w:val="24"/>
                <w:highlight w:val="none"/>
              </w:rPr>
            </w:pPr>
            <w:r>
              <w:rPr>
                <w:rFonts w:hint="eastAsia" w:ascii="宋体" w:hAnsi="宋体" w:cs="宋体"/>
                <w:color w:val="000000"/>
                <w:sz w:val="24"/>
                <w:highlight w:val="none"/>
              </w:rPr>
              <w:t xml:space="preserve">报价合理性</w:t>
            </w:r>
            <w:r>
              <w:rPr>
                <w:rFonts w:ascii="宋体" w:hAnsi="宋体" w:cs="宋体"/>
                <w:color w:val="000000"/>
                <w:sz w:val="24"/>
                <w:highlight w:val="none"/>
              </w:rPr>
            </w:r>
            <w:r/>
          </w:p>
        </w:tc>
        <w:tc>
          <w:tcPr>
            <w:tcW w:w="3584" w:type="dxa"/>
            <w:vAlign w:val="center"/>
            <w:textDirection w:val="lrTb"/>
            <w:noWrap w:val="false"/>
          </w:tcPr>
          <w:p>
            <w:pPr>
              <w:pStyle w:val="1101"/>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01"/>
              <w:rPr>
                <w:rFonts w:ascii="宋体" w:hAnsi="宋体" w:cs="宋体"/>
                <w:b/>
                <w:bCs/>
                <w:sz w:val="24"/>
                <w:highlight w:val="none"/>
              </w:rPr>
            </w:pPr>
            <w:r>
              <w:rPr>
                <w:rFonts w:hint="eastAsia" w:ascii="宋体" w:hAnsi="宋体" w:cs="宋体"/>
                <w:b/>
                <w:bCs/>
                <w:sz w:val="24"/>
                <w:highlight w:val="none"/>
              </w:rPr>
              <w:t xml:space="preserve">    评审中出现下列情形之一的，评审委员会应当启动异常低价投标（响应）审查程序：</w:t>
            </w:r>
            <w:r>
              <w:rPr>
                <w:rFonts w:ascii="宋体" w:hAnsi="宋体" w:cs="宋体"/>
                <w:b/>
                <w:bCs/>
                <w:sz w:val="24"/>
                <w:highlight w:val="none"/>
              </w:rPr>
            </w:r>
            <w:r/>
          </w:p>
          <w:p>
            <w:pPr>
              <w:pStyle w:val="1101"/>
              <w:ind w:firstLine="482"/>
              <w:rPr>
                <w:rFonts w:ascii="宋体" w:hAnsi="宋体" w:cs="宋体"/>
                <w:b/>
                <w:bCs/>
                <w:sz w:val="24"/>
                <w:highlight w:val="none"/>
              </w:rPr>
            </w:pPr>
            <w:r>
              <w:rPr>
                <w:rFonts w:hint="eastAsia" w:ascii="宋体" w:hAnsi="宋体" w:cs="宋体"/>
                <w:b/>
                <w:bCs/>
                <w:sz w:val="24"/>
                <w:highlight w:val="none"/>
              </w:rPr>
              <w:t xml:space="preserve">1.投标（响应）报价低于全部通过符合性审查供应商投标（响应）报价平均值65%的，即投标（响应）报价&lt;全部通过符合性审查供应商投标（响应）报价平均值×65%；</w:t>
            </w:r>
            <w:r>
              <w:rPr>
                <w:rFonts w:ascii="宋体" w:hAnsi="宋体" w:cs="宋体"/>
                <w:b/>
                <w:bCs/>
                <w:sz w:val="24"/>
                <w:highlight w:val="none"/>
              </w:rPr>
            </w:r>
            <w:r/>
          </w:p>
          <w:p>
            <w:pPr>
              <w:pStyle w:val="1101"/>
              <w:ind w:firstLine="482"/>
              <w:rPr>
                <w:rFonts w:ascii="宋体" w:hAnsi="宋体" w:cs="宋体"/>
                <w:b/>
                <w:bCs/>
                <w:sz w:val="24"/>
                <w:highlight w:val="none"/>
              </w:rPr>
            </w:pPr>
            <w:r>
              <w:rPr>
                <w:rFonts w:hint="eastAsia" w:ascii="宋体" w:hAnsi="宋体" w:cs="宋体"/>
                <w:b/>
                <w:bCs/>
                <w:sz w:val="24"/>
                <w:highlight w:val="none"/>
              </w:rPr>
              <w:t xml:space="preserve">2.投标（响应）报价低于通过符合性审查的次低报价供应商投标（响应）报价65%的，即投标（响应）报价&lt;通过符合性审查的次低报价供应商投标（响应）报价×65%；</w:t>
            </w:r>
            <w:r>
              <w:rPr>
                <w:rFonts w:ascii="宋体" w:hAnsi="宋体" w:cs="宋体"/>
                <w:b/>
                <w:bCs/>
                <w:sz w:val="24"/>
                <w:highlight w:val="none"/>
              </w:rPr>
            </w:r>
            <w:r/>
          </w:p>
          <w:p>
            <w:pPr>
              <w:pStyle w:val="1101"/>
              <w:ind w:firstLine="482"/>
              <w:rPr>
                <w:rFonts w:ascii="宋体" w:hAnsi="宋体" w:cs="宋体"/>
                <w:b/>
                <w:bCs/>
                <w:sz w:val="24"/>
                <w:highlight w:val="none"/>
              </w:rPr>
            </w:pPr>
            <w:r>
              <w:rPr>
                <w:rFonts w:hint="eastAsia" w:ascii="宋体" w:hAnsi="宋体" w:cs="宋体"/>
                <w:b/>
                <w:bCs/>
                <w:sz w:val="24"/>
                <w:highlight w:val="none"/>
              </w:rPr>
              <w:t xml:space="preserve">3.投标（响应）报价低于采购项目最高限价65%的，即投标（响应）报价&lt;采购项目最高限价×65%；</w:t>
            </w:r>
            <w:r>
              <w:rPr>
                <w:rFonts w:ascii="宋体" w:hAnsi="宋体" w:cs="宋体"/>
                <w:b/>
                <w:bCs/>
                <w:sz w:val="24"/>
                <w:highlight w:val="none"/>
              </w:rPr>
            </w:r>
            <w:r/>
          </w:p>
          <w:p>
            <w:pPr>
              <w:pStyle w:val="1101"/>
              <w:ind w:firstLine="482"/>
              <w:rPr>
                <w:rFonts w:ascii="宋体" w:hAnsi="宋体" w:cs="宋体"/>
                <w:b/>
                <w:bCs/>
                <w:sz w:val="24"/>
                <w:highlight w:val="none"/>
              </w:rPr>
            </w:pPr>
            <w:r>
              <w:rPr>
                <w:rFonts w:hint="eastAsia" w:ascii="宋体" w:hAnsi="宋体" w:cs="宋体"/>
                <w:b/>
                <w:bCs/>
                <w:sz w:val="24"/>
                <w:highlight w:val="none"/>
              </w:rPr>
              <w:t xml:space="preserve">4.评审委员会基于专业判断，认为供应商报价过低，有可能影响产品质量或者不能诚信履约的其他情形。</w:t>
            </w:r>
            <w:r>
              <w:rPr>
                <w:rFonts w:ascii="宋体" w:hAnsi="宋体" w:cs="宋体"/>
                <w:b/>
                <w:bCs/>
                <w:sz w:val="24"/>
                <w:highlight w:val="none"/>
              </w:rPr>
            </w:r>
            <w:r/>
          </w:p>
          <w:p>
            <w:pPr>
              <w:pStyle w:val="1101"/>
              <w:ind w:firstLine="482"/>
              <w:rPr>
                <w:rFonts w:ascii="宋体" w:hAnsi="宋体" w:cs="宋体"/>
                <w:b/>
                <w:bCs/>
                <w:sz w:val="24"/>
                <w:highlight w:val="none"/>
              </w:rPr>
            </w:pPr>
            <w:r>
              <w:rPr>
                <w:rFonts w:hint="eastAsia" w:ascii="宋体" w:hAnsi="宋体" w:cs="宋体"/>
                <w:b/>
                <w:bCs/>
                <w:sz w:val="24"/>
                <w:highlight w:val="none"/>
              </w:rPr>
              <w:t xml:space="preserve">相关法律法规对供应商报价有规定的，从其规定。</w:t>
            </w:r>
            <w:r>
              <w:rPr>
                <w:rFonts w:ascii="宋体" w:hAnsi="宋体" w:cs="宋体"/>
                <w:b/>
                <w:bCs/>
                <w:sz w:val="24"/>
                <w:highlight w:val="none"/>
              </w:rPr>
            </w:r>
            <w:r/>
          </w:p>
          <w:p>
            <w:pPr>
              <w:pStyle w:val="1101"/>
              <w:ind w:firstLine="480"/>
              <w:rPr>
                <w:rFonts w:ascii="宋体" w:hAnsi="宋体" w:cs="宋体"/>
                <w:sz w:val="24"/>
                <w:highlight w:val="none"/>
              </w:rPr>
            </w:pPr>
            <w:r>
              <w:rPr>
                <w:rFonts w:hint="eastAsia" w:ascii="宋体" w:hAnsi="宋体" w:cs="宋体"/>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sz w:val="24"/>
                <w:highlight w:val="none"/>
              </w:rPr>
            </w:r>
            <w:r/>
          </w:p>
          <w:p>
            <w:pPr>
              <w:pStyle w:val="1101"/>
              <w:ind w:firstLine="480"/>
              <w:rPr>
                <w:rFonts w:ascii="宋体" w:hAnsi="宋体" w:cs="宋体"/>
                <w:sz w:val="24"/>
                <w:highlight w:val="none"/>
              </w:rPr>
            </w:pPr>
            <w:r>
              <w:rPr>
                <w:rFonts w:hint="eastAsia" w:ascii="宋体" w:hAnsi="宋体" w:cs="宋体"/>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cs="宋体"/>
                <w:b/>
                <w:bCs/>
                <w:sz w:val="24"/>
                <w:highlight w:val="none"/>
                <w:u w:val="single"/>
              </w:rPr>
              <w:t xml:space="preserve">无效投标（响应）</w:t>
            </w:r>
            <w:r>
              <w:rPr>
                <w:rFonts w:hint="eastAsia" w:ascii="宋体" w:hAnsi="宋体" w:cs="宋体"/>
                <w:sz w:val="24"/>
                <w:highlight w:val="none"/>
              </w:rPr>
              <w:t xml:space="preserve">处理。</w:t>
            </w:r>
            <w:r>
              <w:rPr>
                <w:rFonts w:ascii="宋体" w:hAnsi="宋体" w:cs="宋体"/>
                <w:sz w:val="24"/>
                <w:highlight w:val="none"/>
              </w:rPr>
            </w:r>
            <w:r/>
          </w:p>
          <w:p>
            <w:pPr>
              <w:pStyle w:val="1101"/>
              <w:ind w:firstLine="480"/>
              <w:rPr>
                <w:rFonts w:ascii="宋体" w:hAnsi="宋体" w:cs="宋体"/>
                <w:sz w:val="24"/>
                <w:highlight w:val="none"/>
              </w:rPr>
            </w:pPr>
            <w:r>
              <w:rPr>
                <w:rFonts w:hint="eastAsia" w:ascii="宋体" w:hAnsi="宋体" w:cs="宋体"/>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宋体"/>
                <w:sz w:val="24"/>
                <w:highlight w:val="none"/>
              </w:rPr>
            </w:r>
            <w:r/>
          </w:p>
          <w:p>
            <w:pPr>
              <w:pStyle w:val="1101"/>
              <w:ind w:firstLine="482"/>
              <w:rPr>
                <w:rFonts w:ascii="宋体" w:hAnsi="宋体" w:cs="宋体"/>
                <w:color w:val="000000"/>
                <w:sz w:val="24"/>
                <w:highlight w:val="none"/>
              </w:rPr>
            </w:pPr>
            <w:r>
              <w:rPr>
                <w:rFonts w:hint="eastAsia" w:ascii="宋体" w:hAnsi="宋体" w:cs="宋体"/>
                <w:b/>
                <w:bCs/>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color w:val="000000"/>
                <w:sz w:val="24"/>
                <w:highlight w:val="none"/>
              </w:rPr>
            </w:r>
            <w:r/>
          </w:p>
        </w:tc>
      </w:tr>
      <w:tr>
        <w:trPr>
          <w:trHeight w:val="285"/>
        </w:trPr>
        <w:tc>
          <w:tcPr>
            <w:tcW w:w="459" w:type="dxa"/>
            <w:vAlign w:val="center"/>
            <w:textDirection w:val="lrTb"/>
            <w:noWrap w:val="false"/>
          </w:tcPr>
          <w:p>
            <w:pPr>
              <w:pStyle w:val="1101"/>
              <w:jc w:val="center"/>
              <w:widowControl/>
              <w:rPr>
                <w:rFonts w:ascii="宋体" w:hAnsi="宋体" w:cs="宋体"/>
                <w:color w:val="000000"/>
                <w:sz w:val="24"/>
                <w:highlight w:val="none"/>
              </w:rPr>
            </w:pPr>
            <w:r>
              <w:rPr>
                <w:rFonts w:hint="eastAsia" w:ascii="宋体" w:hAnsi="宋体" w:cs="宋体"/>
                <w:color w:val="000000"/>
                <w:sz w:val="24"/>
                <w:highlight w:val="none"/>
              </w:rPr>
              <w:t xml:space="preserve">11</w:t>
            </w:r>
            <w:r>
              <w:rPr>
                <w:rFonts w:ascii="宋体" w:hAnsi="宋体" w:cs="宋体"/>
                <w:color w:val="000000"/>
                <w:sz w:val="24"/>
                <w:highlight w:val="none"/>
              </w:rPr>
            </w:r>
            <w:r/>
          </w:p>
        </w:tc>
        <w:tc>
          <w:tcPr>
            <w:tcW w:w="956" w:type="dxa"/>
            <w:vAlign w:val="center"/>
            <w:textDirection w:val="lrTb"/>
            <w:noWrap w:val="false"/>
          </w:tcPr>
          <w:p>
            <w:pPr>
              <w:pStyle w:val="1101"/>
              <w:jc w:val="center"/>
              <w:widowControl/>
              <w:rPr>
                <w:rFonts w:ascii="宋体" w:hAnsi="宋体" w:cs="宋体"/>
                <w:color w:val="000000"/>
                <w:sz w:val="24"/>
                <w:highlight w:val="none"/>
              </w:rPr>
            </w:pPr>
            <w:r>
              <w:rPr>
                <w:rFonts w:hint="eastAsia" w:ascii="宋体" w:hAnsi="宋体" w:cs="宋体"/>
                <w:color w:val="000000"/>
                <w:sz w:val="24"/>
                <w:highlight w:val="none"/>
              </w:rPr>
              <w:t xml:space="preserve">进口产品</w:t>
            </w:r>
            <w:r>
              <w:rPr>
                <w:rFonts w:ascii="宋体" w:hAnsi="宋体" w:cs="宋体"/>
                <w:color w:val="000000"/>
                <w:sz w:val="24"/>
                <w:highlight w:val="none"/>
              </w:rPr>
            </w:r>
            <w:r/>
          </w:p>
        </w:tc>
        <w:tc>
          <w:tcPr>
            <w:tcW w:w="3584" w:type="dxa"/>
            <w:vAlign w:val="center"/>
            <w:textDirection w:val="lrTb"/>
            <w:noWrap w:val="false"/>
          </w:tcPr>
          <w:p>
            <w:pPr>
              <w:pStyle w:val="1101"/>
              <w:widowControl/>
              <w:rPr>
                <w:rFonts w:ascii="宋体" w:hAnsi="宋体" w:cs="宋体"/>
                <w:color w:val="000000"/>
                <w:sz w:val="24"/>
                <w:highlight w:val="none"/>
              </w:rPr>
            </w:pPr>
            <w:r>
              <w:rPr>
                <w:rFonts w:hint="eastAsia" w:ascii="宋体" w:hAnsi="宋体" w:cs="宋体"/>
                <w:sz w:val="24"/>
                <w:highlight w:val="none"/>
              </w:rPr>
              <w:t xml:space="preserve">招标文件不接受进口产品投标</w:t>
            </w:r>
            <w:r>
              <w:rPr>
                <w:rFonts w:ascii="宋体" w:hAnsi="宋体" w:cs="宋体"/>
                <w:color w:val="000000"/>
                <w:sz w:val="24"/>
                <w:highlight w:val="none"/>
              </w:rPr>
            </w:r>
            <w:r/>
          </w:p>
        </w:tc>
      </w:tr>
      <w:tr>
        <w:trPr>
          <w:trHeight w:val="283"/>
        </w:trPr>
        <w:tc>
          <w:tcPr>
            <w:tcW w:w="459" w:type="dxa"/>
            <w:vAlign w:val="center"/>
            <w:textDirection w:val="lrTb"/>
            <w:noWrap w:val="false"/>
          </w:tcPr>
          <w:p>
            <w:pPr>
              <w:pStyle w:val="1101"/>
              <w:jc w:val="center"/>
              <w:widowControl/>
              <w:rPr>
                <w:rFonts w:ascii="宋体" w:hAnsi="宋体" w:cs="宋体"/>
                <w:color w:val="000000"/>
                <w:sz w:val="24"/>
                <w:highlight w:val="none"/>
              </w:rPr>
            </w:pPr>
            <w:r>
              <w:rPr>
                <w:rFonts w:hint="eastAsia" w:ascii="宋体" w:hAnsi="宋体" w:cs="宋体"/>
                <w:color w:val="000000"/>
                <w:sz w:val="24"/>
                <w:highlight w:val="none"/>
              </w:rPr>
              <w:t xml:space="preserve">12</w:t>
            </w:r>
            <w:r>
              <w:rPr>
                <w:rFonts w:ascii="宋体" w:hAnsi="宋体" w:cs="宋体"/>
                <w:color w:val="000000"/>
                <w:sz w:val="24"/>
                <w:highlight w:val="none"/>
              </w:rPr>
            </w:r>
            <w:r/>
          </w:p>
        </w:tc>
        <w:tc>
          <w:tcPr>
            <w:tcW w:w="956" w:type="dxa"/>
            <w:vAlign w:val="center"/>
            <w:textDirection w:val="lrTb"/>
            <w:noWrap w:val="false"/>
          </w:tcPr>
          <w:p>
            <w:pPr>
              <w:pStyle w:val="1101"/>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ascii="宋体" w:hAnsi="宋体" w:cs="宋体"/>
                <w:color w:val="000000"/>
                <w:sz w:val="24"/>
                <w:highlight w:val="none"/>
              </w:rPr>
            </w:r>
            <w:r/>
          </w:p>
        </w:tc>
        <w:tc>
          <w:tcPr>
            <w:tcW w:w="3584" w:type="dxa"/>
            <w:vAlign w:val="center"/>
            <w:textDirection w:val="lrTb"/>
            <w:noWrap w:val="false"/>
          </w:tcPr>
          <w:p>
            <w:pPr>
              <w:pStyle w:val="1101"/>
              <w:jc w:val="left"/>
              <w:widowControl/>
              <w:rPr>
                <w:color w:val="000000"/>
                <w:sz w:val="24"/>
                <w:highlight w:val="none"/>
              </w:rPr>
            </w:pPr>
            <w:r>
              <w:rPr>
                <w:color w:val="000000"/>
                <w:sz w:val="24"/>
                <w:highlight w:val="none"/>
              </w:rPr>
              <w:t xml:space="preserve">国家有关部门对投标人的投标产品有强制性规定或要求的（如相应技术、安全、节能和环保等），</w:t>
            </w:r>
            <w:r>
              <w:rPr>
                <w:rFonts w:hint="eastAsia" w:ascii="宋体" w:hAnsi="宋体"/>
                <w:b/>
                <w:color w:val="000000"/>
                <w:sz w:val="24"/>
                <w:highlight w:val="none"/>
              </w:rPr>
              <w:t xml:space="preserve">如有下列情形的，</w:t>
            </w:r>
            <w:r>
              <w:rPr>
                <w:rFonts w:ascii="宋体" w:hAnsi="宋体"/>
                <w:b/>
                <w:color w:val="000000"/>
                <w:sz w:val="24"/>
                <w:highlight w:val="none"/>
              </w:rPr>
              <w:t xml:space="preserve">投标人的投标产品</w:t>
            </w:r>
            <w:r>
              <w:rPr>
                <w:rFonts w:hint="eastAsia" w:ascii="宋体" w:hAnsi="宋体"/>
                <w:b/>
                <w:color w:val="000000"/>
                <w:sz w:val="24"/>
                <w:highlight w:val="none"/>
              </w:rPr>
              <w:t xml:space="preserve">应</w:t>
            </w:r>
            <w:r>
              <w:rPr>
                <w:rFonts w:ascii="宋体" w:hAnsi="宋体"/>
                <w:b/>
                <w:color w:val="000000"/>
                <w:sz w:val="24"/>
                <w:highlight w:val="none"/>
              </w:rPr>
              <w:t xml:space="preserve">符合相应规定或要求</w:t>
            </w:r>
            <w:r>
              <w:rPr>
                <w:rFonts w:hint="eastAsia" w:ascii="宋体" w:hAnsi="宋体"/>
                <w:b/>
                <w:color w:val="000000"/>
                <w:sz w:val="24"/>
                <w:highlight w:val="none"/>
              </w:rPr>
              <w:t xml:space="preserve">，并提供证明文件电子件</w:t>
            </w:r>
            <w:r>
              <w:rPr>
                <w:rFonts w:hint="eastAsia"/>
                <w:color w:val="000000"/>
                <w:sz w:val="24"/>
                <w:highlight w:val="none"/>
              </w:rPr>
              <w:t xml:space="preserve">：</w:t>
            </w:r>
            <w:r>
              <w:rPr>
                <w:color w:val="000000"/>
                <w:sz w:val="24"/>
                <w:highlight w:val="none"/>
              </w:rPr>
            </w:r>
            <w:r/>
          </w:p>
          <w:p>
            <w:pPr>
              <w:pStyle w:val="1101"/>
              <w:widowControl/>
              <w:rPr>
                <w:rFonts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ascii="宋体" w:hAnsi="宋体" w:cs="宋体"/>
                <w:color w:val="000000"/>
                <w:sz w:val="24"/>
                <w:highlight w:val="none"/>
              </w:rPr>
            </w:r>
            <w:r/>
          </w:p>
          <w:p>
            <w:pPr>
              <w:pStyle w:val="1101"/>
              <w:widowControl/>
              <w:rPr>
                <w:rFonts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ascii="宋体" w:hAnsi="宋体" w:cs="宋体"/>
                <w:color w:val="000000"/>
                <w:sz w:val="24"/>
                <w:highlight w:val="none"/>
              </w:rPr>
            </w:r>
            <w:r/>
          </w:p>
          <w:p>
            <w:pPr>
              <w:pStyle w:val="1101"/>
              <w:widowControl/>
              <w:rPr>
                <w:rFonts w:ascii="宋体" w:hAnsi="宋体" w:cs="宋体"/>
                <w:color w:val="000000"/>
                <w:sz w:val="24"/>
                <w:highlight w:val="none"/>
              </w:rPr>
            </w:pPr>
            <w:r>
              <w:rPr>
                <w:rFonts w:hint="eastAsia" w:ascii="宋体" w:hAnsi="宋体" w:cs="宋体"/>
                <w:sz w:val="24"/>
                <w:highlight w:val="none"/>
              </w:rPr>
              <w:t xml:space="preserve">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ascii="宋体" w:hAnsi="宋体" w:cs="宋体"/>
                <w:color w:val="000000"/>
                <w:sz w:val="24"/>
                <w:highlight w:val="none"/>
              </w:rPr>
            </w:r>
            <w:r/>
          </w:p>
        </w:tc>
      </w:tr>
      <w:tr>
        <w:trPr>
          <w:trHeight w:val="283"/>
        </w:trPr>
        <w:tc>
          <w:tcPr>
            <w:tcW w:w="459" w:type="dxa"/>
            <w:vAlign w:val="center"/>
            <w:textDirection w:val="lrTb"/>
            <w:noWrap w:val="false"/>
          </w:tcPr>
          <w:p>
            <w:pPr>
              <w:pStyle w:val="1101"/>
              <w:jc w:val="center"/>
              <w:widowControl/>
              <w:rPr>
                <w:rFonts w:ascii="宋体" w:hAnsi="宋体" w:cs="宋体"/>
                <w:color w:val="000000"/>
                <w:sz w:val="24"/>
                <w:highlight w:val="none"/>
              </w:rPr>
            </w:pPr>
            <w:r>
              <w:rPr>
                <w:rFonts w:hint="eastAsia" w:ascii="宋体" w:hAnsi="宋体" w:cs="宋体"/>
                <w:color w:val="000000"/>
                <w:sz w:val="24"/>
                <w:highlight w:val="none"/>
              </w:rPr>
              <w:t xml:space="preserve">13</w:t>
            </w:r>
            <w:r>
              <w:rPr>
                <w:rFonts w:ascii="宋体" w:hAnsi="宋体" w:cs="宋体"/>
                <w:color w:val="000000"/>
                <w:sz w:val="24"/>
                <w:highlight w:val="none"/>
              </w:rPr>
            </w:r>
            <w:r/>
          </w:p>
        </w:tc>
        <w:tc>
          <w:tcPr>
            <w:tcW w:w="956" w:type="dxa"/>
            <w:vAlign w:val="center"/>
            <w:textDirection w:val="lrTb"/>
            <w:noWrap w:val="false"/>
          </w:tcPr>
          <w:p>
            <w:pPr>
              <w:pStyle w:val="1101"/>
              <w:jc w:val="center"/>
              <w:widowControl/>
              <w:rPr>
                <w:rFonts w:ascii="宋体" w:hAnsi="宋体" w:cs="宋体"/>
                <w:color w:val="000000"/>
                <w:sz w:val="24"/>
                <w:highlight w:val="none"/>
              </w:rPr>
            </w:pPr>
            <w:r>
              <w:rPr>
                <w:rFonts w:hint="eastAsia" w:ascii="宋体" w:hAnsi="宋体" w:cs="宋体"/>
                <w:color w:val="000000"/>
                <w:sz w:val="24"/>
                <w:highlight w:val="none"/>
              </w:rPr>
              <w:t xml:space="preserve">公平竞争</w:t>
            </w:r>
            <w:r>
              <w:rPr>
                <w:rFonts w:ascii="宋体" w:hAnsi="宋体" w:cs="宋体"/>
                <w:color w:val="000000"/>
                <w:sz w:val="24"/>
                <w:highlight w:val="none"/>
              </w:rPr>
            </w:r>
            <w:r/>
          </w:p>
        </w:tc>
        <w:tc>
          <w:tcPr>
            <w:tcW w:w="3584" w:type="dxa"/>
            <w:vAlign w:val="center"/>
            <w:textDirection w:val="lrTb"/>
            <w:noWrap w:val="false"/>
          </w:tcPr>
          <w:p>
            <w:pPr>
              <w:pStyle w:val="1101"/>
              <w:widowControl/>
              <w:rPr>
                <w:rFonts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b/>
                <w:bCs/>
                <w:sz w:val="24"/>
                <w:highlight w:val="none"/>
              </w:rPr>
              <w:t xml:space="preserve">（由评委审查，无需投标人提供材料）</w:t>
            </w:r>
            <w:r>
              <w:rPr>
                <w:rFonts w:ascii="宋体" w:hAnsi="宋体" w:cs="宋体"/>
                <w:color w:val="000000"/>
                <w:sz w:val="24"/>
                <w:highlight w:val="none"/>
              </w:rPr>
            </w:r>
            <w:r/>
          </w:p>
        </w:tc>
      </w:tr>
      <w:tr>
        <w:trPr>
          <w:trHeight w:val="283"/>
        </w:trPr>
        <w:tc>
          <w:tcPr>
            <w:tcW w:w="459" w:type="dxa"/>
            <w:vAlign w:val="center"/>
            <w:textDirection w:val="lrTb"/>
            <w:noWrap w:val="false"/>
          </w:tcPr>
          <w:p>
            <w:pPr>
              <w:pStyle w:val="1101"/>
              <w:jc w:val="center"/>
              <w:widowControl/>
              <w:rPr>
                <w:rFonts w:ascii="宋体" w:hAnsi="宋体" w:cs="宋体"/>
                <w:color w:val="000000"/>
                <w:sz w:val="24"/>
                <w:highlight w:val="none"/>
              </w:rPr>
            </w:pPr>
            <w:r>
              <w:rPr>
                <w:rFonts w:hint="eastAsia" w:ascii="宋体" w:hAnsi="宋体" w:cs="宋体"/>
                <w:color w:val="000000"/>
                <w:sz w:val="24"/>
                <w:highlight w:val="none"/>
              </w:rPr>
              <w:t xml:space="preserve">14</w:t>
            </w:r>
            <w:r>
              <w:rPr>
                <w:rFonts w:ascii="宋体" w:hAnsi="宋体" w:cs="宋体"/>
                <w:color w:val="000000"/>
                <w:sz w:val="24"/>
                <w:highlight w:val="none"/>
              </w:rPr>
            </w:r>
            <w:r/>
          </w:p>
        </w:tc>
        <w:tc>
          <w:tcPr>
            <w:tcW w:w="956" w:type="dxa"/>
            <w:vAlign w:val="center"/>
            <w:textDirection w:val="lrTb"/>
            <w:noWrap w:val="false"/>
          </w:tcPr>
          <w:p>
            <w:pPr>
              <w:pStyle w:val="1101"/>
              <w:jc w:val="center"/>
              <w:widowControl/>
              <w:rPr>
                <w:rFonts w:ascii="宋体" w:hAnsi="宋体" w:cs="宋体"/>
                <w:color w:val="000000"/>
                <w:sz w:val="24"/>
                <w:highlight w:val="none"/>
              </w:rPr>
            </w:pPr>
            <w:r>
              <w:rPr>
                <w:rFonts w:hint="eastAsia" w:ascii="宋体" w:hAnsi="宋体" w:cs="宋体"/>
                <w:color w:val="000000"/>
                <w:sz w:val="24"/>
                <w:highlight w:val="none"/>
              </w:rPr>
              <w:t xml:space="preserve">串通投标</w:t>
            </w:r>
            <w:r>
              <w:rPr>
                <w:rFonts w:ascii="宋体" w:hAnsi="宋体" w:cs="宋体"/>
                <w:color w:val="000000"/>
                <w:sz w:val="24"/>
                <w:highlight w:val="none"/>
              </w:rPr>
            </w:r>
            <w:r/>
          </w:p>
        </w:tc>
        <w:tc>
          <w:tcPr>
            <w:tcW w:w="3584" w:type="dxa"/>
            <w:vAlign w:val="center"/>
            <w:textDirection w:val="lrTb"/>
            <w:noWrap w:val="false"/>
          </w:tcPr>
          <w:p>
            <w:pPr>
              <w:pStyle w:val="1101"/>
              <w:widowControl/>
              <w:rPr>
                <w:rFonts w:ascii="宋体" w:hAnsi="宋体" w:cs="宋体"/>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t xml:space="preserve">；</w:t>
            </w:r>
            <w:r>
              <w:rPr>
                <w:rFonts w:hint="eastAsia" w:ascii="宋体" w:hAnsi="宋体"/>
                <w:b/>
                <w:bCs/>
                <w:sz w:val="24"/>
                <w:highlight w:val="none"/>
              </w:rPr>
              <w:t xml:space="preserve">（由评委审查，无需投标人提供材料）</w:t>
            </w:r>
            <w:r>
              <w:rPr>
                <w:rFonts w:ascii="宋体" w:hAnsi="宋体" w:cs="宋体"/>
                <w:color w:val="000000"/>
                <w:sz w:val="24"/>
                <w:highlight w:val="none"/>
              </w:rPr>
            </w:r>
            <w:r/>
          </w:p>
        </w:tc>
      </w:tr>
      <w:tr>
        <w:trPr>
          <w:trHeight w:val="283"/>
        </w:trPr>
        <w:tc>
          <w:tcPr>
            <w:tcW w:w="459" w:type="dxa"/>
            <w:vAlign w:val="center"/>
            <w:textDirection w:val="lrTb"/>
            <w:noWrap w:val="false"/>
          </w:tcPr>
          <w:p>
            <w:pPr>
              <w:pStyle w:val="1101"/>
              <w:jc w:val="center"/>
              <w:widowControl/>
              <w:rPr>
                <w:rFonts w:ascii="宋体" w:hAnsi="宋体" w:cs="宋体"/>
                <w:color w:val="000000"/>
                <w:sz w:val="24"/>
                <w:highlight w:val="none"/>
              </w:rPr>
            </w:pPr>
            <w:r>
              <w:rPr>
                <w:rFonts w:hint="eastAsia" w:ascii="宋体" w:hAnsi="宋体" w:cs="宋体"/>
                <w:color w:val="000000"/>
                <w:sz w:val="24"/>
                <w:highlight w:val="none"/>
              </w:rPr>
              <w:t xml:space="preserve">15</w:t>
            </w:r>
            <w:r>
              <w:rPr>
                <w:rFonts w:ascii="宋体" w:hAnsi="宋体" w:cs="宋体"/>
                <w:color w:val="000000"/>
                <w:sz w:val="24"/>
                <w:highlight w:val="none"/>
              </w:rPr>
            </w:r>
            <w:r/>
          </w:p>
        </w:tc>
        <w:tc>
          <w:tcPr>
            <w:tcW w:w="956" w:type="dxa"/>
            <w:vAlign w:val="center"/>
            <w:textDirection w:val="lrTb"/>
            <w:noWrap w:val="false"/>
          </w:tcPr>
          <w:p>
            <w:pPr>
              <w:pStyle w:val="1101"/>
              <w:jc w:val="center"/>
              <w:widowControl/>
              <w:rPr>
                <w:rFonts w:ascii="宋体" w:hAnsi="宋体" w:cs="宋体"/>
                <w:color w:val="000000"/>
                <w:sz w:val="24"/>
                <w:highlight w:val="none"/>
              </w:rPr>
            </w:pPr>
            <w:r>
              <w:rPr>
                <w:rFonts w:hint="eastAsia" w:ascii="宋体" w:hAnsi="宋体" w:cs="宋体"/>
                <w:color w:val="000000"/>
                <w:sz w:val="24"/>
                <w:highlight w:val="none"/>
              </w:rPr>
              <w:t xml:space="preserve">附加条件</w:t>
            </w:r>
            <w:r>
              <w:rPr>
                <w:rFonts w:ascii="宋体" w:hAnsi="宋体" w:cs="宋体"/>
                <w:color w:val="000000"/>
                <w:sz w:val="24"/>
                <w:highlight w:val="none"/>
              </w:rPr>
            </w:r>
            <w:r/>
          </w:p>
        </w:tc>
        <w:tc>
          <w:tcPr>
            <w:tcW w:w="3584" w:type="dxa"/>
            <w:vAlign w:val="center"/>
            <w:textDirection w:val="lrTb"/>
            <w:noWrap w:val="false"/>
          </w:tcPr>
          <w:p>
            <w:pPr>
              <w:pStyle w:val="1101"/>
              <w:widowControl/>
              <w:rPr>
                <w:rFonts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b/>
                <w:bCs/>
                <w:sz w:val="24"/>
                <w:highlight w:val="none"/>
              </w:rPr>
              <w:t xml:space="preserve">（由评委审查，无需投标人提供材料）</w:t>
            </w:r>
            <w:r>
              <w:rPr>
                <w:rFonts w:ascii="宋体" w:hAnsi="宋体" w:cs="宋体"/>
                <w:color w:val="000000"/>
                <w:sz w:val="24"/>
                <w:highlight w:val="none"/>
              </w:rPr>
            </w:r>
            <w:r/>
          </w:p>
        </w:tc>
      </w:tr>
      <w:tr>
        <w:trPr>
          <w:trHeight w:val="283"/>
        </w:trPr>
        <w:tc>
          <w:tcPr>
            <w:tcW w:w="459" w:type="dxa"/>
            <w:vAlign w:val="center"/>
            <w:textDirection w:val="lrTb"/>
            <w:noWrap w:val="false"/>
          </w:tcPr>
          <w:p>
            <w:pPr>
              <w:pStyle w:val="1101"/>
              <w:jc w:val="center"/>
              <w:widowControl/>
              <w:rPr>
                <w:rFonts w:ascii="宋体" w:hAnsi="宋体" w:cs="宋体"/>
                <w:color w:val="000000"/>
                <w:sz w:val="24"/>
                <w:highlight w:val="none"/>
              </w:rPr>
            </w:pPr>
            <w:r>
              <w:rPr>
                <w:rFonts w:hint="eastAsia" w:ascii="宋体" w:hAnsi="宋体" w:cs="宋体"/>
                <w:color w:val="000000"/>
                <w:sz w:val="24"/>
                <w:highlight w:val="none"/>
              </w:rPr>
              <w:t xml:space="preserve">16</w:t>
            </w:r>
            <w:r>
              <w:rPr>
                <w:rFonts w:ascii="宋体" w:hAnsi="宋体" w:cs="宋体"/>
                <w:color w:val="000000"/>
                <w:sz w:val="24"/>
                <w:highlight w:val="none"/>
              </w:rPr>
            </w:r>
            <w:r/>
          </w:p>
        </w:tc>
        <w:tc>
          <w:tcPr>
            <w:tcW w:w="956" w:type="dxa"/>
            <w:vAlign w:val="center"/>
            <w:textDirection w:val="lrTb"/>
            <w:noWrap w:val="false"/>
          </w:tcPr>
          <w:p>
            <w:pPr>
              <w:pStyle w:val="1101"/>
              <w:jc w:val="center"/>
              <w:widowControl/>
              <w:rPr>
                <w:rFonts w:ascii="宋体" w:hAnsi="宋体" w:cs="宋体"/>
                <w:color w:val="000000"/>
                <w:sz w:val="24"/>
                <w:highlight w:val="none"/>
              </w:rPr>
            </w:pPr>
            <w:r>
              <w:rPr>
                <w:rFonts w:hint="eastAsia" w:ascii="宋体" w:hAnsi="宋体" w:cs="宋体"/>
                <w:color w:val="000000"/>
                <w:sz w:val="24"/>
                <w:highlight w:val="none"/>
              </w:rPr>
              <w:t xml:space="preserve">其他无效情形</w:t>
            </w:r>
            <w:r>
              <w:rPr>
                <w:rFonts w:ascii="宋体" w:hAnsi="宋体" w:cs="宋体"/>
                <w:color w:val="000000"/>
                <w:sz w:val="24"/>
                <w:highlight w:val="none"/>
              </w:rPr>
            </w:r>
            <w:r/>
          </w:p>
        </w:tc>
        <w:tc>
          <w:tcPr>
            <w:tcW w:w="3584" w:type="dxa"/>
            <w:vAlign w:val="center"/>
            <w:textDirection w:val="lrTb"/>
            <w:noWrap w:val="false"/>
          </w:tcPr>
          <w:p>
            <w:pPr>
              <w:pStyle w:val="1101"/>
              <w:widowControl/>
              <w:rPr>
                <w:rFonts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b/>
                <w:bCs/>
                <w:sz w:val="24"/>
                <w:highlight w:val="none"/>
              </w:rPr>
              <w:t xml:space="preserve">（由评委审查，无需投标人提供材料）</w:t>
            </w:r>
            <w:r>
              <w:rPr>
                <w:rFonts w:ascii="宋体" w:hAnsi="宋体" w:cs="宋体"/>
                <w:color w:val="000000"/>
                <w:sz w:val="24"/>
                <w:highlight w:val="none"/>
              </w:rPr>
            </w:r>
            <w:r/>
          </w:p>
        </w:tc>
      </w:tr>
    </w:tbl>
    <w:p>
      <w:pPr>
        <w:pStyle w:val="1101"/>
        <w:numPr>
          <w:ilvl w:val="0"/>
          <w:numId w:val="10"/>
        </w:numPr>
        <w:ind w:left="0" w:firstLine="480"/>
        <w:spacing w:line="400" w:lineRule="exact"/>
        <w:tabs>
          <w:tab w:val="left" w:pos="360" w:leader="none"/>
          <w:tab w:val="left" w:pos="900" w:leader="none"/>
        </w:tabs>
        <w:rPr>
          <w:rFonts w:ascii="宋体" w:hAnsi="宋体" w:cs="宋体"/>
          <w:sz w:val="24"/>
          <w:highlight w:val="none"/>
        </w:rPr>
      </w:pPr>
      <w:r>
        <w:rPr>
          <w:rFonts w:hint="eastAsia" w:ascii="宋体" w:hAnsi="宋体" w:cs="宋体"/>
          <w:sz w:val="24"/>
          <w:highlight w:val="none"/>
        </w:rPr>
        <w:t xml:space="preserve">投标文件有关事项的澄清或者说明</w:t>
      </w:r>
      <w:r>
        <w:rPr>
          <w:rFonts w:ascii="宋体" w:hAnsi="宋体" w:cs="宋体"/>
          <w:sz w:val="24"/>
          <w:highlight w:val="none"/>
        </w:rPr>
      </w:r>
      <w:r/>
    </w:p>
    <w:p>
      <w:pPr>
        <w:pStyle w:val="1101"/>
        <w:numPr>
          <w:ilvl w:val="1"/>
          <w:numId w:val="10"/>
        </w:numPr>
        <w:ind w:left="0" w:firstLine="480"/>
        <w:spacing w:line="400" w:lineRule="exact"/>
        <w:tabs>
          <w:tab w:val="left" w:pos="1080" w:leader="none"/>
          <w:tab w:val="left" w:pos="1589" w:leader="none"/>
        </w:tabs>
        <w:rPr>
          <w:rFonts w:ascii="宋体" w:hAnsi="宋体" w:cs="宋体"/>
          <w:sz w:val="24"/>
          <w:highlight w:val="none"/>
        </w:rPr>
      </w:pPr>
      <w:r>
        <w:rPr>
          <w:rFonts w:hint="eastAsia" w:ascii="宋体" w:hAnsi="宋体" w:cs="宋体"/>
          <w:sz w:val="24"/>
          <w:highlight w:val="none"/>
        </w:rPr>
        <w:t xml:space="preserve">评标过程中，评标委员会以书面形式要求投标人对其投标文件中含义不明确、同类问题表述不一致或者有明显文字和计算错误的内容，作出必要的澄清、说明或者补正。投标人澄清、说明或者补正不得超出投标文件的范围或者改变投标文件的实质性内容，并由投标人法定代表人或授权代表签署。澄清文件将作为投标文件内容的一部分。</w:t>
      </w:r>
      <w:r>
        <w:rPr>
          <w:rFonts w:ascii="宋体" w:hAnsi="宋体" w:cs="宋体"/>
          <w:sz w:val="24"/>
          <w:highlight w:val="none"/>
        </w:rPr>
      </w:r>
      <w:r/>
    </w:p>
    <w:p>
      <w:pPr>
        <w:pStyle w:val="1101"/>
        <w:numPr>
          <w:ilvl w:val="1"/>
          <w:numId w:val="10"/>
        </w:numPr>
        <w:ind w:left="0" w:firstLine="480"/>
        <w:spacing w:line="400" w:lineRule="exact"/>
        <w:tabs>
          <w:tab w:val="left" w:pos="1080" w:leader="none"/>
          <w:tab w:val="left" w:pos="1589" w:leader="none"/>
        </w:tabs>
        <w:rPr>
          <w:rFonts w:ascii="宋体" w:hAnsi="宋体" w:cs="宋体"/>
          <w:sz w:val="24"/>
          <w:highlight w:val="none"/>
        </w:rPr>
      </w:pPr>
      <w:r>
        <w:rPr>
          <w:rFonts w:hint="eastAsia" w:ascii="宋体" w:hAnsi="宋体" w:cs="宋体"/>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highlight w:val="none"/>
        </w:rPr>
        <w:t xml:space="preserve">无效投标处理</w:t>
      </w:r>
      <w:r>
        <w:rPr>
          <w:rFonts w:hint="eastAsia" w:ascii="宋体" w:hAnsi="宋体" w:cs="宋体"/>
          <w:sz w:val="24"/>
          <w:highlight w:val="none"/>
        </w:rPr>
        <w:t xml:space="preserve">。</w:t>
      </w:r>
      <w:r>
        <w:rPr>
          <w:rFonts w:ascii="宋体" w:hAnsi="宋体" w:cs="宋体"/>
          <w:sz w:val="24"/>
          <w:highlight w:val="none"/>
        </w:rPr>
      </w:r>
      <w:r/>
    </w:p>
    <w:p>
      <w:pPr>
        <w:pStyle w:val="1101"/>
        <w:numPr>
          <w:ilvl w:val="1"/>
          <w:numId w:val="10"/>
        </w:numPr>
        <w:ind w:left="0" w:firstLine="480"/>
        <w:spacing w:line="400" w:lineRule="exact"/>
        <w:tabs>
          <w:tab w:val="left" w:pos="1080" w:leader="none"/>
          <w:tab w:val="left" w:pos="1589" w:leader="none"/>
        </w:tabs>
        <w:rPr>
          <w:rFonts w:ascii="宋体" w:hAnsi="宋体" w:cs="宋体"/>
          <w:sz w:val="24"/>
          <w:highlight w:val="none"/>
        </w:rPr>
      </w:pPr>
      <w:r>
        <w:rPr>
          <w:rFonts w:hint="eastAsia" w:ascii="宋体" w:hAnsi="宋体" w:cs="宋体"/>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highlight w:val="none"/>
        </w:rPr>
        <w:t xml:space="preserve">投标无效</w:t>
      </w:r>
      <w:r>
        <w:rPr>
          <w:rFonts w:hint="eastAsia" w:ascii="宋体" w:hAnsi="宋体" w:cs="宋体"/>
          <w:sz w:val="24"/>
          <w:highlight w:val="none"/>
        </w:rPr>
        <w:t xml:space="preserve">。</w:t>
      </w:r>
      <w:r>
        <w:rPr>
          <w:rFonts w:ascii="宋体" w:hAnsi="宋体" w:cs="宋体"/>
          <w:sz w:val="24"/>
          <w:highlight w:val="none"/>
        </w:rPr>
      </w:r>
      <w:r/>
    </w:p>
    <w:p>
      <w:pPr>
        <w:pStyle w:val="1101"/>
        <w:numPr>
          <w:ilvl w:val="1"/>
          <w:numId w:val="10"/>
        </w:numPr>
        <w:ind w:left="0" w:firstLine="480"/>
        <w:spacing w:line="400" w:lineRule="exact"/>
        <w:tabs>
          <w:tab w:val="left" w:pos="1080" w:leader="none"/>
          <w:tab w:val="left" w:pos="1589" w:leader="none"/>
        </w:tabs>
        <w:rPr>
          <w:rFonts w:ascii="宋体" w:hAnsi="宋体" w:cs="宋体"/>
          <w:sz w:val="24"/>
          <w:highlight w:val="none"/>
        </w:rPr>
      </w:pPr>
      <w:r>
        <w:rPr>
          <w:rFonts w:hint="eastAsia" w:ascii="宋体" w:hAnsi="宋体" w:cs="宋体"/>
          <w:sz w:val="24"/>
          <w:highlight w:val="none"/>
        </w:rPr>
        <w:t xml:space="preserve">投标文件报价出现前后不一致的，按照下列规定修正：</w:t>
      </w:r>
      <w:r>
        <w:rPr>
          <w:rFonts w:ascii="宋体" w:hAnsi="宋体" w:cs="宋体"/>
          <w:sz w:val="24"/>
          <w:highlight w:val="none"/>
        </w:rPr>
      </w:r>
      <w:r/>
    </w:p>
    <w:p>
      <w:pPr>
        <w:pStyle w:val="1101"/>
        <w:numPr>
          <w:ilvl w:val="2"/>
          <w:numId w:val="10"/>
        </w:numPr>
        <w:ind w:firstLine="480"/>
        <w:spacing w:line="400" w:lineRule="exact"/>
        <w:tabs>
          <w:tab w:val="left" w:pos="1080" w:leader="none"/>
          <w:tab w:val="left" w:pos="1589" w:leader="none"/>
          <w:tab w:val="left" w:pos="2035" w:leader="none"/>
          <w:tab w:val="left" w:pos="2114" w:leader="none"/>
        </w:tabs>
        <w:rPr>
          <w:rFonts w:ascii="宋体" w:hAnsi="宋体" w:cs="宋体"/>
          <w:sz w:val="24"/>
          <w:highlight w:val="none"/>
        </w:rPr>
      </w:pPr>
      <w:r>
        <w:rPr>
          <w:rFonts w:hint="eastAsia" w:ascii="宋体" w:hAnsi="宋体" w:cs="宋体"/>
          <w:sz w:val="24"/>
          <w:highlight w:val="none"/>
        </w:rPr>
        <w:t xml:space="preserve">招标文件对于报价修正是否另有规定：</w:t>
      </w:r>
      <w:r>
        <w:rPr>
          <w:rFonts w:ascii="宋体" w:hAnsi="宋体" w:cs="宋体"/>
          <w:sz w:val="24"/>
          <w:highlight w:val="none"/>
        </w:rPr>
      </w:r>
      <w:r/>
    </w:p>
    <w:p>
      <w:pPr>
        <w:pStyle w:val="1101"/>
        <w:ind w:firstLine="480"/>
        <w:spacing w:line="400" w:lineRule="exact"/>
        <w:tabs>
          <w:tab w:val="left" w:pos="1080" w:leader="none"/>
          <w:tab w:val="left" w:pos="1589" w:leader="none"/>
          <w:tab w:val="left" w:pos="2035" w:leader="none"/>
          <w:tab w:val="left" w:pos="2114" w:leader="none"/>
        </w:tabs>
        <w:rPr>
          <w:rFonts w:ascii="宋体" w:hAnsi="宋体" w:cs="宋体"/>
          <w:sz w:val="24"/>
          <w:highlight w:val="none"/>
          <w:u w:val="single"/>
        </w:rPr>
      </w:pPr>
      <w:r>
        <w:rPr>
          <w:rFonts w:hint="eastAsia" w:ascii="宋体" w:hAnsi="宋体" w:cs="宋体"/>
          <w:sz w:val="24"/>
          <w:highlight w:val="none"/>
        </w:rPr>
        <w:t xml:space="preserve">□有，具体规定为：______________</w:t>
      </w:r>
      <w:r>
        <w:rPr>
          <w:rFonts w:ascii="宋体" w:hAnsi="宋体" w:cs="宋体"/>
          <w:sz w:val="24"/>
          <w:highlight w:val="none"/>
          <w:u w:val="single"/>
        </w:rPr>
      </w:r>
      <w:r/>
    </w:p>
    <w:p>
      <w:pPr>
        <w:pStyle w:val="1101"/>
        <w:ind w:firstLine="480"/>
        <w:spacing w:line="400" w:lineRule="exact"/>
        <w:tabs>
          <w:tab w:val="left" w:pos="1080" w:leader="none"/>
          <w:tab w:val="left" w:pos="1589" w:leader="none"/>
          <w:tab w:val="left" w:pos="2035" w:leader="none"/>
          <w:tab w:val="left" w:pos="2114" w:leader="none"/>
        </w:tabs>
        <w:rPr>
          <w:rFonts w:ascii="宋体" w:hAnsi="宋体" w:cs="宋体"/>
          <w:sz w:val="24"/>
          <w:highlight w:val="none"/>
        </w:rPr>
      </w:pPr>
      <w:r>
        <w:rPr>
          <w:rFonts w:hint="eastAsia" w:ascii="宋体" w:hAnsi="宋体" w:cs="宋体"/>
          <w:sz w:val="24"/>
          <w:highlight w:val="none"/>
        </w:rPr>
        <w:t xml:space="preserve">■无，按下述2.4.2-2.4.7项规定修正。</w:t>
      </w:r>
      <w:r>
        <w:rPr>
          <w:rFonts w:ascii="宋体" w:hAnsi="宋体" w:cs="宋体"/>
          <w:sz w:val="24"/>
          <w:highlight w:val="none"/>
        </w:rPr>
      </w:r>
      <w:r/>
    </w:p>
    <w:p>
      <w:pPr>
        <w:pStyle w:val="1101"/>
        <w:numPr>
          <w:ilvl w:val="2"/>
          <w:numId w:val="10"/>
        </w:numPr>
        <w:ind w:firstLine="480"/>
        <w:spacing w:line="400" w:lineRule="exact"/>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ascii="宋体" w:hAnsi="宋体" w:cs="宋体"/>
          <w:color w:val="000000"/>
          <w:sz w:val="24"/>
          <w:highlight w:val="none"/>
        </w:rPr>
      </w:r>
      <w:r/>
    </w:p>
    <w:p>
      <w:pPr>
        <w:pStyle w:val="1101"/>
        <w:numPr>
          <w:ilvl w:val="2"/>
          <w:numId w:val="10"/>
        </w:numPr>
        <w:ind w:firstLine="480"/>
        <w:spacing w:line="400" w:lineRule="exact"/>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ascii="宋体" w:hAnsi="宋体" w:cs="宋体"/>
          <w:color w:val="000000"/>
          <w:sz w:val="24"/>
          <w:highlight w:val="none"/>
        </w:rPr>
      </w:r>
      <w:r/>
    </w:p>
    <w:p>
      <w:pPr>
        <w:pStyle w:val="1101"/>
        <w:numPr>
          <w:ilvl w:val="2"/>
          <w:numId w:val="10"/>
        </w:numPr>
        <w:ind w:firstLine="480"/>
        <w:spacing w:line="400" w:lineRule="exact"/>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ascii="宋体" w:hAnsi="宋体" w:cs="宋体"/>
          <w:color w:val="000000"/>
          <w:sz w:val="24"/>
          <w:highlight w:val="none"/>
        </w:rPr>
      </w:r>
      <w:r/>
    </w:p>
    <w:p>
      <w:pPr>
        <w:pStyle w:val="1101"/>
        <w:numPr>
          <w:ilvl w:val="2"/>
          <w:numId w:val="10"/>
        </w:numPr>
        <w:ind w:firstLine="480"/>
        <w:spacing w:line="400" w:lineRule="exact"/>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ascii="宋体" w:hAnsi="宋体" w:cs="宋体"/>
          <w:color w:val="000000"/>
          <w:sz w:val="24"/>
          <w:highlight w:val="none"/>
        </w:rPr>
      </w:r>
      <w:r/>
    </w:p>
    <w:p>
      <w:pPr>
        <w:pStyle w:val="1101"/>
        <w:numPr>
          <w:ilvl w:val="2"/>
          <w:numId w:val="10"/>
        </w:numPr>
        <w:ind w:firstLine="480"/>
        <w:spacing w:line="400" w:lineRule="exact"/>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ascii="宋体" w:hAnsi="宋体" w:cs="宋体"/>
          <w:color w:val="000000"/>
          <w:sz w:val="24"/>
          <w:highlight w:val="none"/>
        </w:rPr>
      </w:r>
      <w:r/>
    </w:p>
    <w:p>
      <w:pPr>
        <w:pStyle w:val="1101"/>
        <w:numPr>
          <w:ilvl w:val="2"/>
          <w:numId w:val="10"/>
        </w:numPr>
        <w:ind w:firstLine="480"/>
        <w:spacing w:line="400" w:lineRule="exact"/>
        <w:tabs>
          <w:tab w:val="left" w:pos="1080" w:leader="none"/>
          <w:tab w:val="left" w:pos="1589" w:leader="none"/>
          <w:tab w:val="left" w:pos="2035" w:leader="none"/>
          <w:tab w:val="left" w:pos="2114" w:leader="none"/>
        </w:tabs>
        <w:rPr>
          <w:rFonts w:ascii="宋体" w:hAnsi="宋体" w:cs="宋体"/>
          <w:sz w:val="24"/>
          <w:highlight w:val="none"/>
        </w:rPr>
      </w:pPr>
      <w:r>
        <w:rPr>
          <w:rFonts w:hint="eastAsia" w:ascii="宋体" w:hAnsi="宋体" w:cs="宋体"/>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sz w:val="24"/>
          <w:highlight w:val="none"/>
        </w:rPr>
        <w:t xml:space="preserve">投标无效</w:t>
      </w:r>
      <w:r>
        <w:rPr>
          <w:rFonts w:hint="eastAsia" w:ascii="宋体" w:hAnsi="宋体" w:cs="宋体"/>
          <w:sz w:val="24"/>
          <w:highlight w:val="none"/>
        </w:rPr>
        <w:t xml:space="preserve">。</w:t>
      </w:r>
      <w:r>
        <w:rPr>
          <w:rFonts w:ascii="宋体" w:hAnsi="宋体" w:cs="宋体"/>
          <w:sz w:val="24"/>
          <w:highlight w:val="none"/>
        </w:rPr>
      </w:r>
      <w:r/>
    </w:p>
    <w:p>
      <w:pPr>
        <w:pStyle w:val="1101"/>
        <w:numPr>
          <w:ilvl w:val="1"/>
          <w:numId w:val="10"/>
        </w:numPr>
        <w:ind w:left="0" w:firstLine="480"/>
        <w:spacing w:line="400" w:lineRule="exact"/>
        <w:tabs>
          <w:tab w:val="left" w:pos="1080" w:leader="none"/>
          <w:tab w:val="left" w:pos="1589" w:leader="none"/>
        </w:tabs>
        <w:rPr>
          <w:rFonts w:ascii="宋体" w:hAnsi="宋体" w:cs="宋体"/>
          <w:sz w:val="24"/>
          <w:highlight w:val="none"/>
        </w:rPr>
      </w:pPr>
      <w:r>
        <w:rPr>
          <w:rFonts w:hint="eastAsia" w:ascii="宋体" w:hAnsi="宋体" w:cs="宋体"/>
          <w:sz w:val="24"/>
          <w:highlight w:val="none"/>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b/>
          <w:bCs/>
          <w:color w:val="ff0000"/>
          <w:sz w:val="24"/>
          <w:highlight w:val="none"/>
          <w:u w:val="single"/>
          <w:lang w:eastAsia="zh-CN"/>
        </w:rPr>
        <w:t xml:space="preserve">（</w:t>
      </w:r>
      <w:r>
        <w:rPr>
          <w:rFonts w:hint="eastAsia" w:ascii="宋体" w:hAnsi="宋体" w:cs="宋体"/>
          <w:b/>
          <w:bCs/>
          <w:color w:val="ff0000"/>
          <w:sz w:val="24"/>
          <w:highlight w:val="none"/>
          <w:u w:val="single"/>
          <w:lang w:val="en-US" w:eastAsia="zh-CN"/>
        </w:rPr>
        <w:t xml:space="preserve">注：本项目专门面向中小企业采购，价格不作扣除</w:t>
      </w:r>
      <w:r>
        <w:rPr>
          <w:rFonts w:hint="eastAsia" w:ascii="宋体" w:hAnsi="宋体" w:cs="宋体"/>
          <w:b/>
          <w:bCs/>
          <w:color w:val="ff0000"/>
          <w:sz w:val="24"/>
          <w:highlight w:val="none"/>
          <w:u w:val="single"/>
          <w:lang w:eastAsia="zh-CN"/>
        </w:rPr>
        <w:t xml:space="preserve">）</w:t>
      </w:r>
      <w:r>
        <w:rPr>
          <w:rFonts w:ascii="宋体" w:hAnsi="宋体" w:cs="宋体"/>
          <w:sz w:val="24"/>
          <w:highlight w:val="none"/>
        </w:rPr>
      </w:r>
      <w:r/>
    </w:p>
    <w:p>
      <w:pPr>
        <w:pStyle w:val="1101"/>
        <w:numPr>
          <w:ilvl w:val="2"/>
          <w:numId w:val="10"/>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对于未预留份额专门面向中小企业采购的采购项目，以及预留份额项目中的非预留部分采购包，对</w:t>
      </w:r>
      <w:r>
        <w:rPr>
          <w:rFonts w:hint="eastAsia" w:ascii="宋体" w:hAnsi="宋体" w:cs="宋体"/>
          <w:b/>
          <w:sz w:val="24"/>
          <w:highlight w:val="none"/>
        </w:rPr>
        <w:t xml:space="preserve">小微企业</w:t>
      </w:r>
      <w:r>
        <w:rPr>
          <w:rFonts w:hint="eastAsia" w:ascii="宋体" w:hAnsi="宋体" w:cs="宋体"/>
          <w:sz w:val="24"/>
          <w:highlight w:val="none"/>
        </w:rPr>
        <w:t xml:space="preserve">报价给予</w:t>
      </w:r>
      <w:r>
        <w:rPr>
          <w:rFonts w:hint="eastAsia" w:ascii="宋体" w:hAnsi="宋体" w:cs="宋体"/>
          <w:b w:val="0"/>
          <w:bCs w:val="0"/>
          <w:color w:val="000000"/>
          <w:sz w:val="24"/>
          <w:highlight w:val="none"/>
          <w:u w:val="none"/>
        </w:rPr>
        <w:t xml:space="preserve">20%</w:t>
      </w:r>
      <w:r>
        <w:rPr>
          <w:rFonts w:hint="eastAsia" w:ascii="宋体" w:hAnsi="宋体" w:cs="宋体"/>
          <w:sz w:val="24"/>
          <w:highlight w:val="none"/>
        </w:rPr>
        <w:t xml:space="preserve">的扣除，用扣除后的价格参加评审。</w:t>
      </w:r>
      <w:r>
        <w:rPr>
          <w:rFonts w:ascii="宋体" w:hAnsi="宋体" w:cs="宋体"/>
          <w:sz w:val="24"/>
          <w:highlight w:val="none"/>
        </w:rPr>
      </w:r>
      <w:r/>
    </w:p>
    <w:p>
      <w:pPr>
        <w:pStyle w:val="1101"/>
        <w:numPr>
          <w:ilvl w:val="2"/>
          <w:numId w:val="10"/>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对于未预留份额专门面向中小企业采购的采购项目，以及预留份额项目中的非预留部分采购包，且接受大中型企业与</w:t>
      </w:r>
      <w:r>
        <w:rPr>
          <w:rFonts w:hint="eastAsia" w:ascii="宋体" w:hAnsi="宋体" w:cs="宋体"/>
          <w:b/>
          <w:sz w:val="24"/>
          <w:highlight w:val="none"/>
        </w:rPr>
        <w:t xml:space="preserve">小微企业</w:t>
      </w:r>
      <w:r>
        <w:rPr>
          <w:rFonts w:hint="eastAsia" w:ascii="宋体" w:hAnsi="宋体" w:cs="宋体"/>
          <w:sz w:val="24"/>
          <w:highlight w:val="none"/>
        </w:rPr>
        <w:t xml:space="preserve">组成联合体或者允许大中型企业向一家或者多家</w:t>
      </w:r>
      <w:r>
        <w:rPr>
          <w:rFonts w:hint="eastAsia" w:ascii="宋体" w:hAnsi="宋体" w:cs="宋体"/>
          <w:b/>
          <w:sz w:val="24"/>
          <w:highlight w:val="none"/>
        </w:rPr>
        <w:t xml:space="preserve">小微企业</w:t>
      </w:r>
      <w:r>
        <w:rPr>
          <w:rFonts w:hint="eastAsia" w:ascii="宋体" w:hAnsi="宋体" w:cs="宋体"/>
          <w:sz w:val="24"/>
          <w:highlight w:val="none"/>
        </w:rPr>
        <w:t xml:space="preserve">分包的采购项目，对于联合协议或者分包意向协议约定</w:t>
      </w:r>
      <w:r>
        <w:rPr>
          <w:rFonts w:hint="eastAsia" w:ascii="宋体" w:hAnsi="宋体" w:cs="宋体"/>
          <w:b/>
          <w:sz w:val="24"/>
          <w:highlight w:val="none"/>
        </w:rPr>
        <w:t xml:space="preserve">小微企业</w:t>
      </w:r>
      <w:r>
        <w:rPr>
          <w:rFonts w:hint="eastAsia" w:ascii="宋体" w:hAnsi="宋体" w:cs="宋体"/>
          <w:sz w:val="24"/>
          <w:highlight w:val="none"/>
        </w:rPr>
        <w:t xml:space="preserve">的合同份额占到合同总金额 30%以上的联合体或者大中型企业的报价给予</w:t>
      </w:r>
      <w:r>
        <w:rPr>
          <w:rFonts w:hint="eastAsia" w:ascii="宋体" w:hAnsi="宋体" w:cs="宋体"/>
          <w:sz w:val="24"/>
          <w:highlight w:val="none"/>
          <w:u w:val="single"/>
        </w:rPr>
        <w:t xml:space="preserve">3</w:t>
      </w:r>
      <w:r>
        <w:rPr>
          <w:rFonts w:hint="eastAsia" w:ascii="宋体" w:hAnsi="宋体" w:cs="宋体"/>
          <w:sz w:val="24"/>
          <w:highlight w:val="none"/>
        </w:rPr>
        <w:t xml:space="preserve">%的扣除，用扣除后的价格参加评审。</w:t>
      </w:r>
      <w:r>
        <w:rPr>
          <w:rFonts w:ascii="宋体" w:hAnsi="宋体" w:cs="宋体"/>
          <w:sz w:val="24"/>
          <w:highlight w:val="none"/>
        </w:rPr>
      </w:r>
      <w:r/>
    </w:p>
    <w:p>
      <w:pPr>
        <w:pStyle w:val="1101"/>
        <w:numPr>
          <w:ilvl w:val="2"/>
          <w:numId w:val="10"/>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组成联合体或者接受分包的小微企业与联合体内其他企业、分包企业之间存在直接控股、管理关系的，不享受价格扣除优惠政策。</w:t>
      </w:r>
      <w:r>
        <w:rPr>
          <w:rFonts w:ascii="宋体" w:hAnsi="宋体" w:cs="宋体"/>
          <w:sz w:val="24"/>
          <w:highlight w:val="none"/>
        </w:rPr>
      </w:r>
      <w:r/>
    </w:p>
    <w:p>
      <w:pPr>
        <w:pStyle w:val="1101"/>
        <w:numPr>
          <w:ilvl w:val="2"/>
          <w:numId w:val="10"/>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价格扣除比例对小型企业和微型企业同等对待，不作区分。</w:t>
      </w:r>
      <w:r>
        <w:rPr>
          <w:rFonts w:ascii="宋体" w:hAnsi="宋体" w:cs="宋体"/>
          <w:sz w:val="24"/>
          <w:highlight w:val="none"/>
        </w:rPr>
      </w:r>
      <w:r/>
    </w:p>
    <w:p>
      <w:pPr>
        <w:pStyle w:val="1101"/>
        <w:numPr>
          <w:ilvl w:val="2"/>
          <w:numId w:val="10"/>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ascii="宋体" w:hAnsi="宋体" w:cs="宋体"/>
          <w:sz w:val="24"/>
          <w:highlight w:val="none"/>
        </w:rPr>
      </w:r>
      <w:r/>
    </w:p>
    <w:p>
      <w:pPr>
        <w:pStyle w:val="1101"/>
        <w:numPr>
          <w:ilvl w:val="2"/>
          <w:numId w:val="10"/>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监狱企业提供了由省级以上监狱管理局（常州市含教育矫治局）、戒毒管理局（含新疆生产建设兵团）出具的属于监狱企业的证明文件的，视同小微企业。</w:t>
      </w:r>
      <w:r>
        <w:rPr>
          <w:rFonts w:ascii="宋体" w:hAnsi="宋体" w:cs="宋体"/>
          <w:sz w:val="24"/>
          <w:highlight w:val="none"/>
        </w:rPr>
      </w:r>
      <w:r/>
    </w:p>
    <w:p>
      <w:pPr>
        <w:pStyle w:val="1101"/>
        <w:numPr>
          <w:ilvl w:val="2"/>
          <w:numId w:val="10"/>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残疾人福利性单位按招标文件要求提供了《残疾人福利性单位声明函》（见附件）的，视同小微企业。</w:t>
      </w:r>
      <w:r>
        <w:rPr>
          <w:rFonts w:ascii="宋体" w:hAnsi="宋体" w:cs="宋体"/>
          <w:sz w:val="24"/>
          <w:highlight w:val="none"/>
        </w:rPr>
      </w:r>
      <w:r/>
    </w:p>
    <w:p>
      <w:pPr>
        <w:pStyle w:val="1101"/>
        <w:numPr>
          <w:ilvl w:val="2"/>
          <w:numId w:val="10"/>
        </w:numPr>
        <w:ind w:firstLine="480"/>
        <w:spacing w:line="400" w:lineRule="exact"/>
        <w:tabs>
          <w:tab w:val="left" w:pos="1080" w:leader="none"/>
          <w:tab w:val="left" w:pos="1589" w:leader="none"/>
          <w:tab w:val="left" w:pos="2014" w:leader="none"/>
        </w:tabs>
        <w:rPr>
          <w:rFonts w:ascii="宋体" w:hAnsi="宋体" w:cs="宋体"/>
          <w:sz w:val="24"/>
          <w:highlight w:val="none"/>
        </w:rPr>
      </w:pPr>
      <w:r>
        <w:rPr>
          <w:rFonts w:hint="eastAsia" w:ascii="宋体" w:hAnsi="宋体" w:cs="宋体"/>
          <w:sz w:val="24"/>
          <w:highlight w:val="none"/>
        </w:rPr>
        <w:t xml:space="preserve">若投标人同时属于小型或微型企业、监狱企业、残疾人福利性单位中的两种及以上，将不重复享受小微企业价格扣减的优惠政策。</w:t>
      </w:r>
      <w:r>
        <w:rPr>
          <w:rFonts w:ascii="宋体" w:hAnsi="宋体" w:cs="宋体"/>
          <w:sz w:val="24"/>
          <w:highlight w:val="none"/>
        </w:rPr>
      </w:r>
      <w:r/>
    </w:p>
    <w:p>
      <w:pPr>
        <w:pStyle w:val="1101"/>
        <w:numPr>
          <w:ilvl w:val="1"/>
          <w:numId w:val="10"/>
        </w:numPr>
        <w:ind w:left="0" w:firstLine="480"/>
        <w:spacing w:line="400" w:lineRule="exact"/>
        <w:tabs>
          <w:tab w:val="left" w:pos="1080" w:leader="none"/>
          <w:tab w:val="left" w:pos="1589" w:leader="none"/>
        </w:tabs>
        <w:rPr>
          <w:rFonts w:hint="eastAsia" w:ascii="宋体" w:hAnsi="宋体" w:cs="宋体"/>
          <w:sz w:val="24"/>
          <w:highlight w:val="none"/>
        </w:rPr>
      </w:pPr>
      <w:r>
        <w:rPr>
          <w:rFonts w:hint="eastAsia" w:ascii="宋体" w:hAnsi="宋体" w:cs="宋体"/>
          <w:sz w:val="24"/>
          <w:highlight w:val="none"/>
        </w:rPr>
        <w:t xml:space="preserve">采购本国产品的支持政策</w:t>
      </w:r>
      <w:r>
        <w:rPr>
          <w:rFonts w:hint="eastAsia" w:ascii="宋体" w:hAnsi="宋体" w:cs="宋体"/>
          <w:sz w:val="24"/>
          <w:highlight w:val="none"/>
        </w:rPr>
      </w:r>
      <w:r/>
    </w:p>
    <w:p>
      <w:pPr>
        <w:pStyle w:val="1101"/>
        <w:numPr>
          <w:ilvl w:val="2"/>
          <w:numId w:val="10"/>
        </w:numPr>
        <w:ind w:firstLine="480"/>
        <w:spacing w:line="400" w:lineRule="exact"/>
        <w:tabs>
          <w:tab w:val="left" w:pos="1080"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本项目政府采购活动中既有本国产品又有非本国产品参与竞争的，依法对本国产品给予价格评审优惠，对本国产品的报价给予</w:t>
      </w:r>
      <w:r>
        <w:rPr>
          <w:rFonts w:hint="eastAsia" w:ascii="宋体" w:hAnsi="宋体" w:cs="宋体"/>
          <w:b/>
          <w:bCs/>
          <w:color w:val="ff0000"/>
          <w:sz w:val="24"/>
          <w:highlight w:val="none"/>
          <w:u w:val="single"/>
        </w:rPr>
        <w:t xml:space="preserve">20%</w:t>
      </w:r>
      <w:r>
        <w:rPr>
          <w:rFonts w:hint="eastAsia" w:ascii="宋体" w:hAnsi="宋体" w:cs="宋体"/>
          <w:sz w:val="24"/>
          <w:highlight w:val="none"/>
        </w:rPr>
        <w:t xml:space="preserve">的价格扣除，用扣除后的价格参与评审。</w:t>
      </w:r>
      <w:r>
        <w:rPr>
          <w:rFonts w:hint="eastAsia" w:ascii="宋体" w:hAnsi="宋体" w:cs="宋体"/>
          <w:sz w:val="24"/>
          <w:highlight w:val="none"/>
        </w:rPr>
      </w:r>
      <w:r/>
    </w:p>
    <w:p>
      <w:pPr>
        <w:pStyle w:val="1101"/>
        <w:numPr>
          <w:ilvl w:val="2"/>
          <w:numId w:val="10"/>
        </w:numPr>
        <w:ind w:firstLine="480"/>
        <w:spacing w:line="400" w:lineRule="exact"/>
        <w:tabs>
          <w:tab w:val="left" w:pos="1080"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 w:val="24"/>
          <w:highlight w:val="none"/>
          <w:u w:val="single"/>
        </w:rPr>
        <w:t xml:space="preserve">80%</w:t>
      </w:r>
      <w:r>
        <w:rPr>
          <w:rFonts w:hint="eastAsia" w:ascii="宋体" w:hAnsi="宋体" w:cs="宋体"/>
          <w:sz w:val="24"/>
          <w:highlight w:val="none"/>
        </w:rPr>
        <w:t xml:space="preserve">以上时（供应商需在“第六章 投标文件格式”的“5 投标分项报价表”中填写比例数值），依法对该供应商提供的全部产品给予价格评审优惠，即对该供应商提供的全部产品的总报价给予</w:t>
      </w:r>
      <w:r>
        <w:rPr>
          <w:rFonts w:hint="eastAsia" w:ascii="宋体" w:hAnsi="宋体" w:cs="宋体"/>
          <w:sz w:val="24"/>
          <w:highlight w:val="none"/>
          <w:u w:val="single"/>
        </w:rPr>
        <w:t xml:space="preserve">20%</w:t>
      </w:r>
      <w:r>
        <w:rPr>
          <w:rFonts w:hint="eastAsia" w:ascii="宋体" w:hAnsi="宋体" w:cs="宋体"/>
          <w:sz w:val="24"/>
          <w:highlight w:val="none"/>
        </w:rPr>
        <w:t xml:space="preserve">的价格扣除，用扣除后的价格参与评审。供应商未填写比例数值，或比例数值未达到80%的，将不享受本国产品价格评审优惠。</w:t>
      </w:r>
      <w:r>
        <w:rPr>
          <w:rFonts w:hint="eastAsia" w:ascii="宋体" w:hAnsi="宋体" w:cs="宋体"/>
          <w:sz w:val="24"/>
          <w:highlight w:val="none"/>
        </w:rPr>
      </w:r>
      <w:r/>
    </w:p>
    <w:p>
      <w:pPr>
        <w:pStyle w:val="1101"/>
        <w:numPr>
          <w:ilvl w:val="2"/>
          <w:numId w:val="10"/>
        </w:numPr>
        <w:ind w:firstLine="480"/>
        <w:spacing w:line="400" w:lineRule="exact"/>
        <w:tabs>
          <w:tab w:val="left" w:pos="1080"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 供应商需按照招标文件的要求提供《关于符合本国产品标准的声明函》（以下简称《声明函》），如不提供将不享受本国产品价格评审优惠。</w:t>
      </w:r>
      <w:r>
        <w:rPr>
          <w:rFonts w:hint="eastAsia" w:ascii="宋体" w:hAnsi="宋体" w:cs="宋体"/>
          <w:sz w:val="24"/>
          <w:highlight w:val="none"/>
        </w:rPr>
      </w:r>
      <w:r/>
    </w:p>
    <w:p>
      <w:pPr>
        <w:pStyle w:val="1101"/>
        <w:numPr>
          <w:ilvl w:val="2"/>
          <w:numId w:val="10"/>
        </w:numPr>
        <w:ind w:firstLine="480"/>
        <w:spacing w:line="400" w:lineRule="exact"/>
        <w:tabs>
          <w:tab w:val="left" w:pos="1080"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sz w:val="24"/>
          <w:highlight w:val="none"/>
        </w:rPr>
      </w:r>
      <w:r/>
    </w:p>
    <w:p>
      <w:pPr>
        <w:pStyle w:val="1101"/>
        <w:numPr>
          <w:ilvl w:val="2"/>
          <w:numId w:val="10"/>
        </w:numPr>
        <w:ind w:firstLine="480"/>
        <w:spacing w:line="400" w:lineRule="exact"/>
        <w:tabs>
          <w:tab w:val="left" w:pos="1080"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sz w:val="24"/>
          <w:highlight w:val="none"/>
        </w:rPr>
      </w:r>
      <w:r/>
    </w:p>
    <w:p>
      <w:pPr>
        <w:pStyle w:val="1101"/>
        <w:numPr>
          <w:ilvl w:val="0"/>
          <w:numId w:val="10"/>
        </w:numPr>
        <w:ind w:left="0" w:firstLine="480"/>
        <w:spacing w:line="400" w:lineRule="exact"/>
        <w:tabs>
          <w:tab w:val="left" w:pos="360" w:leader="none"/>
          <w:tab w:val="left" w:pos="900" w:leader="none"/>
        </w:tabs>
        <w:rPr>
          <w:rFonts w:ascii="宋体" w:hAnsi="宋体" w:cs="宋体"/>
          <w:sz w:val="24"/>
          <w:highlight w:val="none"/>
        </w:rPr>
      </w:pPr>
      <w:r>
        <w:rPr>
          <w:rFonts w:hint="eastAsia" w:ascii="宋体" w:hAnsi="宋体" w:cs="宋体"/>
          <w:sz w:val="24"/>
          <w:highlight w:val="none"/>
        </w:rPr>
        <w:t xml:space="preserve">投标文件的比较和评价</w:t>
      </w:r>
      <w:bookmarkEnd w:id="337"/>
      <w:r/>
      <w:bookmarkEnd w:id="338"/>
      <w:r>
        <w:rPr>
          <w:rFonts w:ascii="宋体" w:hAnsi="宋体" w:cs="宋体"/>
          <w:sz w:val="24"/>
          <w:highlight w:val="none"/>
        </w:rPr>
      </w:r>
      <w:r/>
    </w:p>
    <w:p>
      <w:pPr>
        <w:pStyle w:val="1101"/>
        <w:numPr>
          <w:ilvl w:val="1"/>
          <w:numId w:val="10"/>
        </w:numPr>
        <w:ind w:left="0" w:firstLine="480"/>
        <w:spacing w:line="400" w:lineRule="exact"/>
        <w:tabs>
          <w:tab w:val="left" w:pos="1080" w:leader="none"/>
          <w:tab w:val="left" w:pos="1589" w:leader="none"/>
        </w:tabs>
        <w:rPr>
          <w:rFonts w:ascii="宋体" w:hAnsi="宋体" w:cs="宋体"/>
          <w:sz w:val="24"/>
          <w:highlight w:val="none"/>
        </w:rPr>
      </w:pPr>
      <w:r>
        <w:rPr>
          <w:rFonts w:hint="eastAsia" w:ascii="宋体" w:hAnsi="宋体" w:cs="宋体"/>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ascii="宋体" w:hAnsi="宋体" w:cs="宋体"/>
          <w:sz w:val="24"/>
          <w:highlight w:val="none"/>
        </w:rPr>
      </w:r>
      <w:r/>
    </w:p>
    <w:p>
      <w:pPr>
        <w:pStyle w:val="1101"/>
        <w:numPr>
          <w:ilvl w:val="1"/>
          <w:numId w:val="10"/>
        </w:numPr>
        <w:ind w:left="0" w:firstLine="480"/>
        <w:spacing w:line="400" w:lineRule="exact"/>
        <w:tabs>
          <w:tab w:val="left" w:pos="1080" w:leader="none"/>
          <w:tab w:val="left" w:pos="1589" w:leader="none"/>
        </w:tabs>
        <w:rPr>
          <w:rFonts w:ascii="宋体" w:hAnsi="宋体" w:cs="宋体"/>
          <w:sz w:val="24"/>
          <w:highlight w:val="none"/>
        </w:rPr>
      </w:pPr>
      <w:r>
        <w:rPr>
          <w:rFonts w:hint="eastAsia" w:ascii="宋体" w:hAnsi="宋体" w:cs="宋体"/>
          <w:sz w:val="24"/>
          <w:highlight w:val="none"/>
        </w:rPr>
        <w:t xml:space="preserve">评标方法和评标标准</w:t>
      </w:r>
      <w:r>
        <w:rPr>
          <w:rFonts w:ascii="宋体" w:hAnsi="宋体" w:cs="宋体"/>
          <w:sz w:val="24"/>
          <w:highlight w:val="none"/>
        </w:rPr>
      </w:r>
      <w:r/>
    </w:p>
    <w:p>
      <w:pPr>
        <w:pStyle w:val="1101"/>
        <w:numPr>
          <w:ilvl w:val="2"/>
          <w:numId w:val="10"/>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本项目采用的评标方法为：</w:t>
      </w:r>
      <w:r>
        <w:rPr>
          <w:rFonts w:ascii="宋体" w:hAnsi="宋体" w:cs="宋体"/>
          <w:sz w:val="24"/>
          <w:highlight w:val="none"/>
        </w:rPr>
      </w:r>
      <w:r/>
    </w:p>
    <w:p>
      <w:pPr>
        <w:pStyle w:val="1101"/>
        <w:ind w:firstLine="480"/>
        <w:spacing w:line="400" w:lineRule="exact"/>
        <w:tabs>
          <w:tab w:val="left" w:pos="900" w:leader="none"/>
          <w:tab w:val="left" w:pos="1589" w:leader="none"/>
          <w:tab w:val="left" w:pos="1701" w:leader="none"/>
        </w:tabs>
        <w:rPr>
          <w:rFonts w:ascii="宋体" w:hAnsi="宋体" w:cs="宋体"/>
          <w:sz w:val="24"/>
          <w:highlight w:val="none"/>
        </w:rPr>
      </w:pPr>
      <w:r>
        <w:rPr>
          <w:rFonts w:hint="eastAsia" w:ascii="宋体" w:hAnsi="宋体" w:cs="宋体"/>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ascii="宋体" w:hAnsi="宋体" w:cs="宋体"/>
          <w:sz w:val="24"/>
          <w:highlight w:val="none"/>
        </w:rPr>
      </w:r>
      <w:r/>
    </w:p>
    <w:p>
      <w:pPr>
        <w:pStyle w:val="1101"/>
        <w:ind w:firstLine="480"/>
        <w:spacing w:line="400" w:lineRule="exact"/>
        <w:tabs>
          <w:tab w:val="left" w:pos="900" w:leader="none"/>
          <w:tab w:val="left" w:pos="1589" w:leader="none"/>
          <w:tab w:val="left" w:pos="1701" w:leader="none"/>
        </w:tabs>
        <w:rPr>
          <w:rFonts w:ascii="宋体" w:hAnsi="宋体" w:cs="宋体"/>
          <w:sz w:val="24"/>
          <w:highlight w:val="none"/>
        </w:rPr>
      </w:pPr>
      <w:r>
        <w:rPr>
          <w:rFonts w:hint="eastAsia" w:ascii="宋体" w:hAnsi="宋体" w:cs="宋体"/>
          <w:sz w:val="24"/>
          <w:highlight w:val="none"/>
        </w:rPr>
        <w:t xml:space="preserve">□最低评标价法，指投标文件满足招标文件全部实质性要求，且投标报价最低的投标人为中标候选人的评标方法。</w:t>
      </w:r>
      <w:r>
        <w:rPr>
          <w:rFonts w:ascii="宋体" w:hAnsi="宋体" w:cs="宋体"/>
          <w:sz w:val="24"/>
          <w:highlight w:val="none"/>
        </w:rPr>
      </w:r>
      <w:r/>
    </w:p>
    <w:p>
      <w:pPr>
        <w:pStyle w:val="1101"/>
        <w:numPr>
          <w:ilvl w:val="2"/>
          <w:numId w:val="10"/>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highlight w:val="none"/>
        </w:rPr>
        <w:t xml:space="preserve">投标无效</w:t>
      </w:r>
      <w:r>
        <w:rPr>
          <w:rFonts w:hint="eastAsia" w:ascii="宋体" w:hAnsi="宋体" w:cs="宋体"/>
          <w:sz w:val="24"/>
          <w:highlight w:val="none"/>
        </w:rPr>
        <w:t xml:space="preserve">。</w:t>
      </w:r>
      <w:r>
        <w:rPr>
          <w:rFonts w:ascii="宋体" w:hAnsi="宋体" w:cs="宋体"/>
          <w:sz w:val="24"/>
          <w:highlight w:val="none"/>
        </w:rPr>
      </w:r>
      <w:r/>
    </w:p>
    <w:p>
      <w:pPr>
        <w:pStyle w:val="1101"/>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□随机抽取</w:t>
      </w:r>
      <w:r>
        <w:rPr>
          <w:rFonts w:ascii="宋体" w:hAnsi="宋体" w:cs="宋体"/>
          <w:sz w:val="24"/>
          <w:highlight w:val="none"/>
        </w:rPr>
      </w:r>
      <w:r/>
    </w:p>
    <w:p>
      <w:pPr>
        <w:pStyle w:val="1101"/>
        <w:ind w:firstLine="480"/>
        <w:spacing w:line="400" w:lineRule="exact"/>
        <w:tabs>
          <w:tab w:val="left" w:pos="1080" w:leader="none"/>
          <w:tab w:val="left" w:pos="1589" w:leader="none"/>
          <w:tab w:val="left" w:pos="2035" w:leader="none"/>
        </w:tabs>
        <w:rPr>
          <w:rFonts w:ascii="宋体" w:hAnsi="宋体" w:cs="宋体"/>
          <w:sz w:val="24"/>
          <w:highlight w:val="none"/>
          <w:u w:val="single"/>
        </w:rPr>
      </w:pPr>
      <w:r>
        <w:rPr>
          <w:rFonts w:hint="eastAsia" w:ascii="宋体" w:hAnsi="宋体" w:cs="宋体"/>
          <w:sz w:val="24"/>
          <w:highlight w:val="none"/>
        </w:rPr>
        <w:t xml:space="preserve">□其他方式，具体要求：__/___</w:t>
      </w:r>
      <w:r>
        <w:rPr>
          <w:rFonts w:ascii="宋体" w:hAnsi="宋体" w:cs="宋体"/>
          <w:sz w:val="24"/>
          <w:highlight w:val="none"/>
          <w:u w:val="single"/>
        </w:rPr>
      </w:r>
      <w:r/>
    </w:p>
    <w:p>
      <w:pPr>
        <w:pStyle w:val="1101"/>
        <w:numPr>
          <w:ilvl w:val="2"/>
          <w:numId w:val="10"/>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非政府强制采购的节能产品或环境标志产品，依据品目清单和认证证书实施政府优先采购。优先采购的具体规定（如涉及）__/___。</w:t>
      </w:r>
      <w:r>
        <w:rPr>
          <w:rFonts w:ascii="宋体" w:hAnsi="宋体" w:cs="宋体"/>
          <w:sz w:val="24"/>
          <w:highlight w:val="none"/>
        </w:rPr>
      </w:r>
      <w:r/>
    </w:p>
    <w:p>
      <w:pPr>
        <w:pStyle w:val="1101"/>
        <w:numPr>
          <w:ilvl w:val="2"/>
          <w:numId w:val="10"/>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关于无线局域网认证产品政府采购清单中的产品，优先采购的具体规定（如涉及）__/__。</w:t>
      </w:r>
      <w:r>
        <w:rPr>
          <w:rFonts w:ascii="宋体" w:hAnsi="宋体" w:cs="宋体"/>
          <w:sz w:val="24"/>
          <w:highlight w:val="none"/>
        </w:rPr>
      </w:r>
      <w:r/>
    </w:p>
    <w:p>
      <w:pPr>
        <w:pStyle w:val="1101"/>
        <w:numPr>
          <w:ilvl w:val="0"/>
          <w:numId w:val="10"/>
        </w:numPr>
        <w:ind w:left="0" w:firstLine="480"/>
        <w:spacing w:line="400" w:lineRule="exact"/>
        <w:tabs>
          <w:tab w:val="left" w:pos="360" w:leader="none"/>
          <w:tab w:val="left" w:pos="900" w:leader="none"/>
        </w:tabs>
        <w:rPr>
          <w:rFonts w:ascii="宋体" w:hAnsi="宋体" w:cs="宋体"/>
          <w:sz w:val="24"/>
          <w:highlight w:val="none"/>
        </w:rPr>
      </w:pPr>
      <w:r>
        <w:rPr>
          <w:rFonts w:hint="eastAsia" w:ascii="宋体" w:hAnsi="宋体" w:cs="宋体"/>
          <w:sz w:val="24"/>
          <w:highlight w:val="none"/>
        </w:rPr>
        <w:t xml:space="preserve">确定</w:t>
      </w:r>
      <w:bookmarkStart w:id="353" w:name="_Toc226965736"/>
      <w:r/>
      <w:bookmarkStart w:id="354" w:name="_Toc150774751"/>
      <w:r/>
      <w:bookmarkStart w:id="355" w:name="_Toc150774646"/>
      <w:r/>
      <w:bookmarkStart w:id="356" w:name="_Toc164229241"/>
      <w:r/>
      <w:bookmarkStart w:id="357" w:name="_Toc226965819"/>
      <w:r/>
      <w:bookmarkStart w:id="358" w:name="_Toc264969236"/>
      <w:r/>
      <w:bookmarkStart w:id="359" w:name="_Toc265228384"/>
      <w:r/>
      <w:bookmarkStart w:id="360" w:name="_Toc195842911"/>
      <w:r/>
      <w:bookmarkStart w:id="361" w:name="_Toc164608815"/>
      <w:r/>
      <w:bookmarkStart w:id="362" w:name="_Toc305158814"/>
      <w:r/>
      <w:bookmarkStart w:id="363" w:name="_Toc520356170"/>
      <w:r/>
      <w:bookmarkStart w:id="364" w:name="_Toc127151747"/>
      <w:r/>
      <w:bookmarkStart w:id="365" w:name="_Toc150509297"/>
      <w:r/>
      <w:bookmarkStart w:id="366" w:name="_Toc151193716"/>
      <w:r/>
      <w:bookmarkStart w:id="367" w:name="_Toc164351640"/>
      <w:r/>
      <w:bookmarkStart w:id="368" w:name="_Toc151193934"/>
      <w:r/>
      <w:bookmarkStart w:id="369" w:name="_Toc151193788"/>
      <w:r/>
      <w:bookmarkStart w:id="370" w:name="_Toc127161460"/>
      <w:r/>
      <w:bookmarkStart w:id="371" w:name="_Toc164608660"/>
      <w:r/>
      <w:bookmarkStart w:id="372" w:name="_Toc164229387"/>
      <w:r/>
      <w:bookmarkStart w:id="373" w:name="_Toc151190173"/>
      <w:r/>
      <w:bookmarkStart w:id="374" w:name="_Toc151193644"/>
      <w:r/>
      <w:bookmarkStart w:id="375" w:name="_Toc151193860"/>
      <w:r/>
      <w:bookmarkStart w:id="376" w:name="_Toc127151546"/>
      <w:r/>
      <w:bookmarkStart w:id="377" w:name="_Toc149720839"/>
      <w:r/>
      <w:bookmarkStart w:id="378" w:name="_Toc150480784"/>
      <w:r/>
      <w:bookmarkStart w:id="379" w:name="_Toc305158888"/>
      <w:r/>
      <w:bookmarkStart w:id="380" w:name="_Ref467307010"/>
      <w:r/>
      <w:bookmarkStart w:id="381" w:name="_Toc226337242"/>
      <w:r/>
      <w:bookmarkStart w:id="382" w:name="_Toc142311048"/>
      <w:r/>
      <w:bookmarkStart w:id="383" w:name="_Toc226309790"/>
      <w:r>
        <w:rPr>
          <w:rFonts w:hint="eastAsia" w:ascii="宋体" w:hAnsi="宋体" w:cs="宋体"/>
          <w:sz w:val="24"/>
          <w:highlight w:val="none"/>
        </w:rPr>
        <w:t xml:space="preserve">中标候选人名单</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rPr>
          <w:rFonts w:ascii="宋体" w:hAnsi="宋体" w:cs="宋体"/>
          <w:sz w:val="24"/>
          <w:highlight w:val="none"/>
        </w:rPr>
      </w:r>
      <w:r/>
    </w:p>
    <w:p>
      <w:pPr>
        <w:pStyle w:val="1101"/>
        <w:numPr>
          <w:ilvl w:val="1"/>
          <w:numId w:val="10"/>
        </w:numPr>
        <w:ind w:left="0" w:firstLine="480"/>
        <w:spacing w:line="400" w:lineRule="exact"/>
        <w:tabs>
          <w:tab w:val="left" w:pos="1080" w:leader="none"/>
          <w:tab w:val="left" w:pos="1589" w:leader="none"/>
        </w:tabs>
        <w:rPr>
          <w:rFonts w:ascii="宋体" w:hAnsi="宋体" w:cs="宋体"/>
          <w:sz w:val="24"/>
          <w:highlight w:val="none"/>
        </w:rPr>
      </w:pPr>
      <w:r>
        <w:rPr>
          <w:rFonts w:hint="eastAsia" w:ascii="宋体" w:hAnsi="宋体" w:cs="宋体"/>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ascii="宋体" w:hAnsi="宋体" w:cs="宋体"/>
          <w:sz w:val="24"/>
          <w:highlight w:val="none"/>
        </w:rPr>
      </w:r>
      <w:r/>
    </w:p>
    <w:p>
      <w:pPr>
        <w:pStyle w:val="1138"/>
        <w:ind w:firstLine="480"/>
        <w:spacing w:line="400" w:lineRule="exact"/>
        <w:tabs>
          <w:tab w:val="left" w:pos="900" w:leader="none"/>
          <w:tab w:val="left" w:pos="2127" w:leader="none"/>
        </w:tabs>
        <w:rPr>
          <w:rFonts w:hAnsi="宋体" w:cs="宋体"/>
          <w:sz w:val="24"/>
          <w:szCs w:val="24"/>
          <w:highlight w:val="none"/>
        </w:rPr>
      </w:pPr>
      <w:r>
        <w:rPr>
          <w:rFonts w:hAnsi="宋体" w:cs="宋体"/>
          <w:sz w:val="24"/>
          <w:szCs w:val="24"/>
          <w:highlight w:val="none"/>
        </w:rPr>
        <w:t xml:space="preserve">■随机抽取</w:t>
      </w:r>
      <w:r>
        <w:rPr>
          <w:rFonts w:hAnsi="宋体" w:cs="宋体"/>
          <w:sz w:val="24"/>
          <w:szCs w:val="24"/>
          <w:highlight w:val="none"/>
        </w:rPr>
      </w:r>
      <w:r/>
    </w:p>
    <w:p>
      <w:pPr>
        <w:pStyle w:val="1138"/>
        <w:ind w:firstLine="480"/>
        <w:spacing w:line="400" w:lineRule="exact"/>
        <w:tabs>
          <w:tab w:val="left" w:pos="900" w:leader="none"/>
          <w:tab w:val="left" w:pos="2127" w:leader="none"/>
        </w:tabs>
        <w:rPr>
          <w:rFonts w:hAnsi="宋体" w:cs="宋体"/>
          <w:sz w:val="24"/>
          <w:szCs w:val="24"/>
          <w:highlight w:val="none"/>
        </w:rPr>
      </w:pPr>
      <w:r>
        <w:rPr>
          <w:rFonts w:hAnsi="宋体" w:cs="宋体"/>
          <w:sz w:val="24"/>
          <w:szCs w:val="24"/>
          <w:highlight w:val="none"/>
        </w:rPr>
        <w:t xml:space="preserve">□其他方式，具体要求：_____</w:t>
      </w:r>
      <w:r>
        <w:rPr>
          <w:rFonts w:hAnsi="宋体" w:cs="宋体"/>
          <w:sz w:val="24"/>
          <w:szCs w:val="24"/>
          <w:highlight w:val="none"/>
        </w:rPr>
      </w:r>
      <w:r/>
    </w:p>
    <w:p>
      <w:pPr>
        <w:pStyle w:val="1101"/>
        <w:numPr>
          <w:ilvl w:val="1"/>
          <w:numId w:val="10"/>
        </w:numPr>
        <w:ind w:left="0" w:firstLine="480"/>
        <w:spacing w:line="400" w:lineRule="exact"/>
        <w:tabs>
          <w:tab w:val="left" w:pos="1080" w:leader="none"/>
          <w:tab w:val="left" w:pos="1589" w:leader="none"/>
        </w:tabs>
        <w:rPr>
          <w:rFonts w:ascii="宋体" w:hAnsi="宋体" w:cs="宋体"/>
          <w:sz w:val="24"/>
          <w:highlight w:val="none"/>
        </w:rPr>
      </w:pPr>
      <w:r>
        <w:rPr>
          <w:rFonts w:hint="eastAsia" w:ascii="宋体" w:hAnsi="宋体" w:cs="宋体"/>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ascii="宋体" w:hAnsi="宋体" w:cs="宋体"/>
          <w:sz w:val="24"/>
          <w:highlight w:val="none"/>
        </w:rPr>
      </w:r>
      <w:r/>
    </w:p>
    <w:p>
      <w:pPr>
        <w:pStyle w:val="1101"/>
        <w:numPr>
          <w:ilvl w:val="1"/>
          <w:numId w:val="10"/>
        </w:numPr>
        <w:ind w:left="0" w:firstLine="480"/>
        <w:spacing w:line="400" w:lineRule="exact"/>
        <w:tabs>
          <w:tab w:val="left" w:pos="1080" w:leader="none"/>
          <w:tab w:val="left" w:pos="1589" w:leader="none"/>
        </w:tabs>
        <w:rPr>
          <w:rFonts w:ascii="宋体" w:hAnsi="宋体" w:cs="宋体"/>
          <w:sz w:val="24"/>
          <w:highlight w:val="none"/>
        </w:rPr>
      </w:pPr>
      <w:r>
        <w:rPr>
          <w:rFonts w:hint="eastAsia" w:ascii="宋体" w:hAnsi="宋体" w:cs="宋体"/>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ascii="宋体" w:hAnsi="宋体" w:cs="宋体"/>
          <w:sz w:val="24"/>
          <w:highlight w:val="none"/>
        </w:rPr>
      </w:r>
      <w:r/>
    </w:p>
    <w:p>
      <w:pPr>
        <w:pStyle w:val="1101"/>
        <w:numPr>
          <w:ilvl w:val="1"/>
          <w:numId w:val="10"/>
        </w:numPr>
        <w:ind w:left="0" w:firstLine="480"/>
        <w:spacing w:line="400" w:lineRule="exact"/>
        <w:tabs>
          <w:tab w:val="left" w:pos="1080" w:leader="none"/>
          <w:tab w:val="left" w:pos="1589" w:leader="none"/>
        </w:tabs>
        <w:rPr>
          <w:rFonts w:ascii="宋体" w:hAnsi="宋体" w:cs="宋体"/>
          <w:sz w:val="24"/>
          <w:highlight w:val="none"/>
        </w:rPr>
      </w:pPr>
      <w:r>
        <w:rPr>
          <w:rFonts w:hint="eastAsia" w:ascii="宋体" w:hAnsi="宋体" w:cs="宋体"/>
          <w:sz w:val="24"/>
          <w:highlight w:val="none"/>
        </w:rPr>
        <w:t xml:space="preserve">评标委员会要对评分汇总情况进行复核，特别是对排名第一的、报价最低的、投标或响应文件被认定为无效的情形进行重点复核。</w:t>
      </w:r>
      <w:r>
        <w:rPr>
          <w:rFonts w:ascii="宋体" w:hAnsi="宋体" w:cs="宋体"/>
          <w:sz w:val="24"/>
          <w:highlight w:val="none"/>
        </w:rPr>
      </w:r>
      <w:r/>
    </w:p>
    <w:p>
      <w:pPr>
        <w:pStyle w:val="1101"/>
        <w:numPr>
          <w:ilvl w:val="1"/>
          <w:numId w:val="10"/>
        </w:numPr>
        <w:ind w:left="0" w:firstLine="480"/>
        <w:spacing w:line="400" w:lineRule="exact"/>
        <w:tabs>
          <w:tab w:val="left" w:pos="1080" w:leader="none"/>
          <w:tab w:val="left" w:pos="1589" w:leader="none"/>
        </w:tabs>
        <w:rPr>
          <w:rFonts w:ascii="宋体" w:hAnsi="宋体" w:cs="宋体"/>
          <w:sz w:val="24"/>
          <w:highlight w:val="none"/>
        </w:rPr>
      </w:pPr>
      <w:r>
        <w:rPr>
          <w:rFonts w:hint="eastAsia" w:ascii="宋体" w:hAnsi="宋体" w:cs="宋体"/>
          <w:sz w:val="24"/>
          <w:highlight w:val="none"/>
        </w:rPr>
        <w:t xml:space="preserve">评标委员会将根据各投标人的评标排序，依次推荐本项目（各采购包）的中标候选人，起草并签署评标报告。本项目（各采购包）评标委员会共（各）推荐1名中标候选人。</w:t>
      </w:r>
      <w:r>
        <w:rPr>
          <w:rFonts w:ascii="宋体" w:hAnsi="宋体" w:cs="宋体"/>
          <w:sz w:val="24"/>
          <w:highlight w:val="none"/>
        </w:rPr>
      </w:r>
      <w:r/>
    </w:p>
    <w:p>
      <w:pPr>
        <w:pStyle w:val="1101"/>
        <w:numPr>
          <w:ilvl w:val="0"/>
          <w:numId w:val="10"/>
        </w:numPr>
        <w:ind w:left="0" w:firstLine="480"/>
        <w:spacing w:line="400" w:lineRule="exact"/>
        <w:tabs>
          <w:tab w:val="left" w:pos="360" w:leader="none"/>
          <w:tab w:val="left" w:pos="900" w:leader="none"/>
        </w:tabs>
        <w:rPr>
          <w:rFonts w:ascii="宋体" w:hAnsi="宋体" w:cs="宋体"/>
          <w:sz w:val="24"/>
          <w:highlight w:val="none"/>
        </w:rPr>
      </w:pPr>
      <w:r>
        <w:rPr>
          <w:rFonts w:hint="eastAsia" w:ascii="宋体" w:hAnsi="宋体" w:cs="宋体"/>
          <w:sz w:val="24"/>
          <w:highlight w:val="none"/>
        </w:rPr>
        <w:t xml:space="preserve">报告违法行为</w:t>
      </w:r>
      <w:r>
        <w:rPr>
          <w:rFonts w:ascii="宋体" w:hAnsi="宋体" w:cs="宋体"/>
          <w:sz w:val="24"/>
          <w:highlight w:val="none"/>
        </w:rPr>
      </w:r>
      <w:r/>
    </w:p>
    <w:p>
      <w:pPr>
        <w:pStyle w:val="1101"/>
        <w:numPr>
          <w:ilvl w:val="1"/>
          <w:numId w:val="10"/>
        </w:numPr>
        <w:ind w:left="0" w:firstLine="480"/>
        <w:spacing w:line="400" w:lineRule="exact"/>
        <w:tabs>
          <w:tab w:val="left" w:pos="1080" w:leader="none"/>
          <w:tab w:val="left" w:pos="1589" w:leader="none"/>
        </w:tabs>
        <w:rPr>
          <w:rFonts w:ascii="宋体" w:hAnsi="宋体" w:cs="宋体"/>
          <w:sz w:val="24"/>
          <w:highlight w:val="none"/>
        </w:rPr>
      </w:pPr>
      <w:r>
        <w:rPr>
          <w:rFonts w:hint="eastAsia" w:ascii="宋体" w:hAnsi="宋体" w:cs="宋体"/>
          <w:sz w:val="24"/>
          <w:highlight w:val="none"/>
        </w:rPr>
        <w:t xml:space="preserve">评标委员会在评标过程中发现投标人有行贿、提供虚假材料或者串通等违法行为时，有向采购人、采购代理机构或者有关部门报告的职责。</w:t>
      </w:r>
      <w:r>
        <w:rPr>
          <w:rFonts w:ascii="宋体" w:hAnsi="宋体" w:cs="宋体"/>
          <w:sz w:val="24"/>
          <w:highlight w:val="none"/>
        </w:rPr>
      </w:r>
      <w:r/>
    </w:p>
    <w:p>
      <w:pPr>
        <w:pStyle w:val="1101"/>
        <w:jc w:val="left"/>
        <w:widowControl/>
        <w:rPr>
          <w:b/>
          <w:sz w:val="24"/>
          <w:highlight w:val="none"/>
        </w:rPr>
      </w:pPr>
      <w:r>
        <w:rPr>
          <w:b/>
          <w:sz w:val="24"/>
          <w:highlight w:val="none"/>
        </w:rPr>
        <w:br w:type="page" w:clear="all"/>
      </w:r>
      <w:r>
        <w:rPr>
          <w:b/>
          <w:sz w:val="24"/>
          <w:highlight w:val="none"/>
        </w:rPr>
      </w:r>
      <w:r/>
    </w:p>
    <w:p>
      <w:pPr>
        <w:pStyle w:val="1101"/>
        <w:jc w:val="center"/>
        <w:spacing w:line="360" w:lineRule="auto"/>
        <w:tabs>
          <w:tab w:val="left" w:pos="360" w:leader="none"/>
          <w:tab w:val="left" w:pos="900" w:leader="none"/>
        </w:tabs>
        <w:rPr>
          <w:b/>
          <w:highlight w:val="none"/>
        </w:rPr>
        <w:outlineLvl w:val="1"/>
      </w:pPr>
      <w:r>
        <w:rPr>
          <w:b/>
          <w:sz w:val="24"/>
          <w:highlight w:val="none"/>
        </w:rPr>
        <w:t xml:space="preserve">二、评标标准</w:t>
      </w:r>
      <w:r>
        <w:rPr>
          <w:b/>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855"/>
        <w:gridCol w:w="576"/>
        <w:gridCol w:w="7282"/>
      </w:tblGrid>
      <w:tr>
        <w:trPr>
          <w:trHeight w:val="283"/>
          <w:tblHeader/>
        </w:trPr>
        <w:tc>
          <w:tcPr>
            <w:tcW w:w="576" w:type="dxa"/>
            <w:vAlign w:val="center"/>
            <w:textDirection w:val="lrTb"/>
            <w:noWrap w:val="false"/>
          </w:tcPr>
          <w:p>
            <w:pPr>
              <w:pStyle w:val="1113"/>
              <w:jc w:val="center"/>
              <w:spacing w:before="0" w:line="240" w:lineRule="auto"/>
              <w:tabs>
                <w:tab w:val="left" w:pos="567" w:leader="none"/>
              </w:tabs>
              <w:rPr>
                <w:rFonts w:hint="eastAsia" w:cs="宋体"/>
                <w:b/>
                <w:bCs/>
                <w:highlight w:val="none"/>
              </w:rPr>
            </w:pPr>
            <w:r>
              <w:rPr>
                <w:rFonts w:hint="eastAsia" w:cs="宋体"/>
                <w:b/>
                <w:bCs/>
                <w:highlight w:val="none"/>
              </w:rPr>
              <w:t xml:space="preserve">序号</w:t>
            </w:r>
            <w:r>
              <w:rPr>
                <w:rFonts w:hint="eastAsia" w:cs="宋体"/>
                <w:b/>
                <w:bCs/>
                <w:highlight w:val="none"/>
              </w:rPr>
            </w:r>
            <w:r/>
          </w:p>
        </w:tc>
        <w:tc>
          <w:tcPr>
            <w:tcW w:w="855" w:type="dxa"/>
            <w:vAlign w:val="center"/>
            <w:textDirection w:val="lrTb"/>
            <w:noWrap w:val="false"/>
          </w:tcPr>
          <w:p>
            <w:pPr>
              <w:pStyle w:val="1113"/>
              <w:jc w:val="center"/>
              <w:spacing w:before="0" w:line="240" w:lineRule="auto"/>
              <w:tabs>
                <w:tab w:val="left" w:pos="567" w:leader="none"/>
              </w:tabs>
              <w:rPr>
                <w:rFonts w:hint="eastAsia" w:cs="宋体"/>
                <w:b/>
                <w:bCs/>
                <w:highlight w:val="none"/>
              </w:rPr>
            </w:pPr>
            <w:r>
              <w:rPr>
                <w:rFonts w:hint="eastAsia" w:cs="宋体"/>
                <w:b/>
                <w:bCs/>
                <w:highlight w:val="none"/>
              </w:rPr>
              <w:t xml:space="preserve">评分</w:t>
            </w:r>
            <w:r>
              <w:rPr>
                <w:rFonts w:hint="eastAsia" w:cs="宋体"/>
                <w:b/>
                <w:bCs/>
                <w:highlight w:val="none"/>
              </w:rPr>
            </w:r>
            <w:r/>
          </w:p>
          <w:p>
            <w:pPr>
              <w:pStyle w:val="1113"/>
              <w:jc w:val="center"/>
              <w:spacing w:before="0" w:line="240" w:lineRule="auto"/>
              <w:tabs>
                <w:tab w:val="left" w:pos="567" w:leader="none"/>
              </w:tabs>
              <w:rPr>
                <w:rFonts w:hint="eastAsia" w:cs="宋体"/>
                <w:b/>
                <w:bCs/>
                <w:highlight w:val="none"/>
              </w:rPr>
            </w:pPr>
            <w:r>
              <w:rPr>
                <w:rFonts w:hint="eastAsia" w:cs="宋体"/>
                <w:b/>
                <w:bCs/>
                <w:highlight w:val="none"/>
              </w:rPr>
              <w:t xml:space="preserve">因素</w:t>
            </w:r>
            <w:r>
              <w:rPr>
                <w:rFonts w:hint="eastAsia" w:cs="宋体"/>
                <w:b/>
                <w:bCs/>
                <w:highlight w:val="none"/>
              </w:rPr>
            </w:r>
            <w:r/>
          </w:p>
        </w:tc>
        <w:tc>
          <w:tcPr>
            <w:tcW w:w="576" w:type="dxa"/>
            <w:vAlign w:val="center"/>
            <w:textDirection w:val="lrTb"/>
            <w:noWrap w:val="false"/>
          </w:tcPr>
          <w:p>
            <w:pPr>
              <w:pStyle w:val="1113"/>
              <w:jc w:val="center"/>
              <w:spacing w:before="0" w:line="240" w:lineRule="auto"/>
              <w:tabs>
                <w:tab w:val="left" w:pos="567" w:leader="none"/>
              </w:tabs>
              <w:rPr>
                <w:rFonts w:hint="eastAsia" w:cs="宋体"/>
                <w:b/>
                <w:bCs/>
                <w:highlight w:val="none"/>
              </w:rPr>
            </w:pPr>
            <w:r>
              <w:rPr>
                <w:rFonts w:hint="eastAsia" w:cs="宋体"/>
                <w:b/>
                <w:bCs/>
                <w:highlight w:val="none"/>
              </w:rPr>
              <w:t xml:space="preserve">分值</w:t>
            </w:r>
            <w:r>
              <w:rPr>
                <w:rFonts w:hint="eastAsia" w:cs="宋体"/>
                <w:b/>
                <w:bCs/>
                <w:highlight w:val="none"/>
              </w:rPr>
            </w:r>
            <w:r/>
          </w:p>
        </w:tc>
        <w:tc>
          <w:tcPr>
            <w:tcW w:w="7282" w:type="dxa"/>
            <w:vAlign w:val="center"/>
            <w:textDirection w:val="lrTb"/>
            <w:noWrap w:val="false"/>
          </w:tcPr>
          <w:p>
            <w:pPr>
              <w:pStyle w:val="1113"/>
              <w:jc w:val="center"/>
              <w:spacing w:before="0" w:line="240" w:lineRule="auto"/>
              <w:tabs>
                <w:tab w:val="left" w:pos="567" w:leader="none"/>
              </w:tabs>
              <w:rPr>
                <w:rFonts w:hint="eastAsia" w:cs="宋体"/>
                <w:b/>
                <w:bCs/>
                <w:highlight w:val="none"/>
              </w:rPr>
            </w:pPr>
            <w:r>
              <w:rPr>
                <w:rFonts w:hint="eastAsia" w:cs="宋体"/>
                <w:b/>
                <w:bCs/>
                <w:highlight w:val="none"/>
              </w:rPr>
              <w:t xml:space="preserve">评分标准</w:t>
            </w:r>
            <w:r>
              <w:rPr>
                <w:rFonts w:hint="eastAsia" w:cs="宋体"/>
                <w:b/>
                <w:bCs/>
                <w:highlight w:val="none"/>
              </w:rPr>
            </w:r>
            <w:r/>
          </w:p>
        </w:tc>
      </w:tr>
      <w:tr>
        <w:trPr>
          <w:trHeight w:val="283"/>
        </w:trPr>
        <w:tc>
          <w:tcPr>
            <w:tcW w:w="576" w:type="dxa"/>
            <w:vAlign w:val="center"/>
            <w:textDirection w:val="lrTb"/>
            <w:noWrap w:val="false"/>
          </w:tcPr>
          <w:p>
            <w:pPr>
              <w:pStyle w:val="1113"/>
              <w:jc w:val="center"/>
              <w:spacing w:before="0" w:line="240" w:lineRule="auto"/>
              <w:tabs>
                <w:tab w:val="left" w:pos="567" w:leader="none"/>
              </w:tabs>
              <w:rPr>
                <w:rFonts w:hint="eastAsia" w:cs="宋体"/>
                <w:highlight w:val="none"/>
              </w:rPr>
            </w:pPr>
            <w:r>
              <w:rPr>
                <w:rFonts w:hint="eastAsia" w:cs="宋体"/>
                <w:highlight w:val="none"/>
              </w:rPr>
              <w:t xml:space="preserve">1</w:t>
            </w:r>
            <w:r>
              <w:rPr>
                <w:rFonts w:hint="eastAsia" w:cs="宋体"/>
                <w:highlight w:val="none"/>
              </w:rPr>
            </w:r>
            <w:r/>
          </w:p>
        </w:tc>
        <w:tc>
          <w:tcPr>
            <w:tcW w:w="855" w:type="dxa"/>
            <w:vAlign w:val="center"/>
            <w:textDirection w:val="lrTb"/>
            <w:noWrap w:val="false"/>
          </w:tcPr>
          <w:p>
            <w:pPr>
              <w:pStyle w:val="1113"/>
              <w:jc w:val="center"/>
              <w:spacing w:before="0" w:line="240" w:lineRule="auto"/>
              <w:tabs>
                <w:tab w:val="left" w:pos="567" w:leader="none"/>
              </w:tabs>
              <w:rPr>
                <w:rFonts w:hint="eastAsia" w:cs="宋体"/>
                <w:highlight w:val="none"/>
              </w:rPr>
            </w:pPr>
            <w:r>
              <w:rPr>
                <w:rFonts w:hint="eastAsia" w:cs="宋体"/>
                <w:highlight w:val="none"/>
              </w:rPr>
              <w:t xml:space="preserve">价格分</w:t>
            </w:r>
            <w:r>
              <w:rPr>
                <w:rFonts w:hint="eastAsia" w:cs="宋体"/>
                <w:highlight w:val="none"/>
              </w:rPr>
            </w:r>
            <w:r/>
          </w:p>
        </w:tc>
        <w:tc>
          <w:tcPr>
            <w:tcW w:w="576" w:type="dxa"/>
            <w:vAlign w:val="center"/>
            <w:textDirection w:val="lrTb"/>
            <w:noWrap w:val="false"/>
          </w:tcPr>
          <w:p>
            <w:pPr>
              <w:pStyle w:val="1113"/>
              <w:jc w:val="center"/>
              <w:spacing w:before="0" w:line="240" w:lineRule="auto"/>
              <w:tabs>
                <w:tab w:val="left" w:pos="567" w:leader="none"/>
              </w:tabs>
              <w:rPr>
                <w:rFonts w:hint="eastAsia" w:cs="宋体"/>
                <w:highlight w:val="none"/>
              </w:rPr>
            </w:pPr>
            <w:r>
              <w:rPr>
                <w:rFonts w:hint="eastAsia" w:cs="宋体"/>
                <w:highlight w:val="none"/>
              </w:rPr>
              <w:t xml:space="preserve">30</w:t>
            </w:r>
            <w:r>
              <w:rPr>
                <w:rFonts w:hint="eastAsia" w:cs="宋体"/>
                <w:highlight w:val="none"/>
              </w:rPr>
            </w:r>
            <w:r/>
          </w:p>
        </w:tc>
        <w:tc>
          <w:tcPr>
            <w:tcW w:w="7282" w:type="dxa"/>
            <w:vAlign w:val="center"/>
            <w:textDirection w:val="lrTb"/>
            <w:noWrap w:val="false"/>
          </w:tcPr>
          <w:p>
            <w:pPr>
              <w:pStyle w:val="1101"/>
              <w:rPr>
                <w:rFonts w:hint="eastAsia" w:ascii="宋体" w:hAnsi="宋体" w:cs="宋体"/>
                <w:sz w:val="24"/>
                <w:highlight w:val="none"/>
              </w:rPr>
            </w:pPr>
            <w:r>
              <w:rPr>
                <w:rFonts w:hint="eastAsia" w:ascii="宋体" w:hAnsi="宋体" w:cs="宋体"/>
                <w:sz w:val="24"/>
                <w:highlight w:val="none"/>
              </w:rPr>
              <w:t xml:space="preserve">满足招标文件要求且最终报价最低的报价为评标基准价，其价格分为满分。其他投标人的价格分统一按照下列公式计算：</w:t>
            </w:r>
            <w:r>
              <w:rPr>
                <w:rFonts w:hint="eastAsia" w:ascii="宋体" w:hAnsi="宋体" w:cs="宋体"/>
                <w:sz w:val="24"/>
                <w:highlight w:val="none"/>
              </w:rPr>
            </w:r>
            <w:r/>
          </w:p>
          <w:p>
            <w:pPr>
              <w:pStyle w:val="1113"/>
              <w:spacing w:before="0" w:line="240" w:lineRule="auto"/>
              <w:tabs>
                <w:tab w:val="left" w:pos="567" w:leader="none"/>
              </w:tabs>
              <w:rPr>
                <w:rFonts w:hint="eastAsia" w:cs="宋体"/>
                <w:highlight w:val="none"/>
              </w:rPr>
            </w:pPr>
            <w:r>
              <w:rPr>
                <w:rFonts w:hint="eastAsia" w:cs="宋体"/>
                <w:highlight w:val="none"/>
              </w:rPr>
              <w:t xml:space="preserve">价格分得分＝（评标基准价/最终报价）×分值。</w:t>
            </w:r>
            <w:r>
              <w:rPr>
                <w:rFonts w:hint="eastAsia" w:cs="宋体"/>
                <w:highlight w:val="none"/>
              </w:rPr>
            </w:r>
            <w:r/>
          </w:p>
          <w:p>
            <w:pPr>
              <w:pStyle w:val="1113"/>
              <w:spacing w:before="0" w:line="240" w:lineRule="auto"/>
              <w:tabs>
                <w:tab w:val="left" w:pos="567" w:leader="none"/>
              </w:tabs>
              <w:rPr>
                <w:rFonts w:hint="eastAsia" w:cs="宋体"/>
                <w:highlight w:val="none"/>
              </w:rPr>
            </w:pPr>
            <w:r>
              <w:rPr>
                <w:rFonts w:hint="eastAsia" w:cs="宋体"/>
                <w:highlight w:val="none"/>
              </w:rPr>
              <w:t xml:space="preserve">此处投标报价指经过报价修正，及因落实政府采购政策进行价格调整后的报价，详见第四章《评标方法和评标标准》2.4</w:t>
            </w:r>
            <w:r>
              <w:rPr>
                <w:rFonts w:hint="eastAsia" w:cs="宋体"/>
                <w:highlight w:val="none"/>
                <w:lang w:eastAsia="zh-CN"/>
              </w:rPr>
              <w:t xml:space="preserve">、</w:t>
            </w:r>
            <w:r>
              <w:rPr>
                <w:rFonts w:hint="eastAsia" w:cs="宋体"/>
                <w:highlight w:val="none"/>
              </w:rPr>
              <w:t xml:space="preserve">2.5</w:t>
            </w:r>
            <w:r>
              <w:rPr>
                <w:rFonts w:hint="eastAsia" w:cs="宋体"/>
                <w:highlight w:val="none"/>
                <w:lang w:val="en-US" w:eastAsia="zh-CN"/>
              </w:rPr>
              <w:t xml:space="preserve">及2.6</w:t>
            </w:r>
            <w:r>
              <w:rPr>
                <w:rFonts w:hint="eastAsia" w:cs="宋体"/>
                <w:highlight w:val="none"/>
              </w:rPr>
              <w:t xml:space="preserve">。</w:t>
            </w:r>
            <w:r>
              <w:rPr>
                <w:rFonts w:hint="eastAsia" w:cs="宋体"/>
                <w:highlight w:val="none"/>
              </w:rPr>
            </w:r>
            <w:r/>
          </w:p>
        </w:tc>
      </w:tr>
      <w:tr>
        <w:trPr>
          <w:trHeight w:val="283"/>
        </w:trPr>
        <w:tc>
          <w:tcPr>
            <w:tcW w:w="576" w:type="dxa"/>
            <w:vAlign w:val="center"/>
            <w:textDirection w:val="lrTb"/>
            <w:noWrap w:val="false"/>
          </w:tcPr>
          <w:p>
            <w:pPr>
              <w:pStyle w:val="1113"/>
              <w:jc w:val="center"/>
              <w:spacing w:before="0" w:line="240" w:lineRule="auto"/>
              <w:tabs>
                <w:tab w:val="left" w:pos="567" w:leader="none"/>
              </w:tabs>
              <w:rPr>
                <w:rFonts w:hint="eastAsia" w:cs="宋体"/>
                <w:highlight w:val="none"/>
              </w:rPr>
            </w:pPr>
            <w:r>
              <w:rPr>
                <w:rFonts w:hint="eastAsia" w:cs="宋体"/>
                <w:highlight w:val="none"/>
              </w:rPr>
              <w:t xml:space="preserve">2</w:t>
            </w:r>
            <w:r>
              <w:rPr>
                <w:rFonts w:hint="eastAsia" w:cs="宋体"/>
                <w:highlight w:val="none"/>
              </w:rPr>
            </w:r>
            <w:r/>
          </w:p>
        </w:tc>
        <w:tc>
          <w:tcPr>
            <w:tcW w:w="855" w:type="dxa"/>
            <w:vAlign w:val="center"/>
            <w:textDirection w:val="lrTb"/>
            <w:noWrap w:val="false"/>
          </w:tcPr>
          <w:p>
            <w:pPr>
              <w:pStyle w:val="1113"/>
              <w:jc w:val="center"/>
              <w:spacing w:before="0" w:line="240" w:lineRule="auto"/>
              <w:tabs>
                <w:tab w:val="left" w:pos="567" w:leader="none"/>
              </w:tabs>
              <w:rPr>
                <w:rFonts w:hint="eastAsia" w:cs="宋体"/>
                <w:highlight w:val="none"/>
              </w:rPr>
            </w:pPr>
            <w:r>
              <w:rPr>
                <w:rFonts w:hint="eastAsia" w:cs="宋体"/>
                <w:highlight w:val="none"/>
              </w:rPr>
              <w:t xml:space="preserve">主观分</w:t>
            </w:r>
            <w:r>
              <w:rPr>
                <w:rFonts w:hint="eastAsia" w:cs="宋体"/>
                <w:highlight w:val="none"/>
              </w:rPr>
            </w:r>
            <w:r/>
          </w:p>
        </w:tc>
        <w:tc>
          <w:tcPr>
            <w:tcW w:w="576" w:type="dxa"/>
            <w:vAlign w:val="center"/>
            <w:textDirection w:val="lrTb"/>
            <w:noWrap w:val="false"/>
          </w:tcPr>
          <w:p>
            <w:pPr>
              <w:pStyle w:val="1113"/>
              <w:jc w:val="center"/>
              <w:spacing w:before="0" w:line="240" w:lineRule="auto"/>
              <w:tabs>
                <w:tab w:val="left" w:pos="567" w:leader="none"/>
              </w:tabs>
              <w:rPr>
                <w:rFonts w:hint="eastAsia" w:cs="宋体"/>
                <w:highlight w:val="none"/>
              </w:rPr>
            </w:pPr>
            <w:r>
              <w:rPr>
                <w:rFonts w:hint="eastAsia" w:cs="宋体"/>
                <w:highlight w:val="none"/>
              </w:rPr>
              <w:t xml:space="preserve">19</w:t>
            </w:r>
            <w:r>
              <w:rPr>
                <w:rFonts w:hint="eastAsia" w:cs="宋体"/>
                <w:highlight w:val="none"/>
              </w:rPr>
            </w:r>
            <w:r/>
          </w:p>
        </w:tc>
        <w:tc>
          <w:tcPr>
            <w:tcW w:w="7282" w:type="dxa"/>
            <w:vAlign w:val="center"/>
            <w:textDirection w:val="lrTb"/>
            <w:noWrap w:val="false"/>
          </w:tcPr>
          <w:p>
            <w:pPr>
              <w:pStyle w:val="1113"/>
              <w:spacing w:before="0" w:line="240" w:lineRule="auto"/>
              <w:tabs>
                <w:tab w:val="left" w:pos="567" w:leader="none"/>
              </w:tabs>
              <w:rPr>
                <w:rFonts w:hint="eastAsia" w:cs="宋体"/>
                <w:highlight w:val="none"/>
              </w:rPr>
            </w:pPr>
            <w:r>
              <w:rPr>
                <w:rFonts w:hint="eastAsia" w:cs="宋体"/>
                <w:highlight w:val="none"/>
              </w:rPr>
            </w:r>
            <w:r/>
          </w:p>
        </w:tc>
      </w:tr>
      <w:tr>
        <w:trPr>
          <w:trHeight w:val="90"/>
        </w:trPr>
        <w:tc>
          <w:tcPr>
            <w:tcW w:w="576" w:type="dxa"/>
            <w:vAlign w:val="center"/>
            <w:textDirection w:val="lrTb"/>
            <w:noWrap w:val="false"/>
          </w:tcPr>
          <w:p>
            <w:pPr>
              <w:pStyle w:val="1113"/>
              <w:jc w:val="center"/>
              <w:spacing w:before="0" w:line="240" w:lineRule="auto"/>
              <w:tabs>
                <w:tab w:val="left" w:pos="567" w:leader="none"/>
              </w:tabs>
              <w:rPr>
                <w:rFonts w:hint="eastAsia" w:cs="宋体"/>
                <w:highlight w:val="none"/>
              </w:rPr>
            </w:pPr>
            <w:r>
              <w:rPr>
                <w:rFonts w:hint="eastAsia" w:cs="宋体"/>
                <w:highlight w:val="none"/>
              </w:rPr>
              <w:t xml:space="preserve">2.1</w:t>
            </w:r>
            <w:r>
              <w:rPr>
                <w:rFonts w:hint="eastAsia" w:cs="宋体"/>
                <w:highlight w:val="none"/>
              </w:rPr>
            </w:r>
            <w:r/>
          </w:p>
        </w:tc>
        <w:tc>
          <w:tcPr>
            <w:tcW w:w="855" w:type="dxa"/>
            <w:vAlign w:val="center"/>
            <w:textDirection w:val="lrTb"/>
            <w:noWrap w:val="false"/>
          </w:tcPr>
          <w:p>
            <w:pPr>
              <w:pStyle w:val="1101"/>
              <w:jc w:val="center"/>
              <w:rPr>
                <w:rFonts w:hint="eastAsia" w:ascii="宋体" w:hAnsi="宋体" w:cs="宋体"/>
                <w:spacing w:val="-3"/>
                <w:sz w:val="24"/>
                <w:highlight w:val="none"/>
              </w:rPr>
            </w:pPr>
            <w:r>
              <w:rPr>
                <w:rFonts w:hint="eastAsia" w:ascii="宋体" w:hAnsi="宋体" w:cs="宋体"/>
                <w:sz w:val="24"/>
                <w:highlight w:val="none"/>
              </w:rPr>
              <w:t xml:space="preserve">项目实施方案</w:t>
            </w:r>
            <w:r>
              <w:rPr>
                <w:rFonts w:hint="eastAsia" w:ascii="宋体" w:hAnsi="宋体" w:cs="宋体"/>
                <w:spacing w:val="-3"/>
                <w:sz w:val="24"/>
                <w:highlight w:val="none"/>
              </w:rPr>
            </w:r>
            <w:r/>
          </w:p>
        </w:tc>
        <w:tc>
          <w:tcPr>
            <w:tcW w:w="576" w:type="dxa"/>
            <w:vAlign w:val="center"/>
            <w:textDirection w:val="lrTb"/>
            <w:noWrap w:val="false"/>
          </w:tcPr>
          <w:p>
            <w:pPr>
              <w:pStyle w:val="1372"/>
              <w:rPr>
                <w:rFonts w:hint="eastAsia" w:ascii="宋体" w:hAnsi="宋体" w:cs="宋体"/>
                <w:highlight w:val="none"/>
              </w:rPr>
            </w:pPr>
            <w:r>
              <w:rPr>
                <w:rFonts w:hint="eastAsia" w:ascii="宋体" w:hAnsi="宋体" w:cs="宋体"/>
                <w:highlight w:val="none"/>
              </w:rPr>
              <w:t xml:space="preserve">7</w:t>
            </w:r>
            <w:r>
              <w:rPr>
                <w:rFonts w:hint="eastAsia" w:ascii="宋体" w:hAnsi="宋体" w:cs="宋体"/>
                <w:highlight w:val="none"/>
              </w:rPr>
            </w:r>
            <w:r/>
          </w:p>
        </w:tc>
        <w:tc>
          <w:tcPr>
            <w:tcW w:w="7282" w:type="dxa"/>
            <w:vAlign w:val="center"/>
            <w:textDirection w:val="lrTb"/>
            <w:noWrap w:val="false"/>
          </w:tcPr>
          <w:p>
            <w:pPr>
              <w:pStyle w:val="1101"/>
              <w:rPr>
                <w:rFonts w:hint="eastAsia" w:ascii="宋体" w:hAnsi="宋体" w:cs="宋体"/>
                <w:color w:val="000000"/>
                <w:sz w:val="24"/>
                <w:highlight w:val="none"/>
              </w:rPr>
            </w:pPr>
            <w:r>
              <w:rPr>
                <w:rFonts w:hint="eastAsia" w:ascii="宋体" w:hAnsi="宋体" w:cs="宋体"/>
                <w:color w:val="000000"/>
                <w:sz w:val="24"/>
                <w:highlight w:val="none"/>
              </w:rPr>
              <w:t xml:space="preserve">供货、安装、调试、验收的各阶段的方案和措施，方案和措施科学合理、安全严密、条理清晰、完善、重点突出、专业性强的得7分；方案和措施完整、比较合理、安全可行、条理性和专业性较好的得5分；方案和措施基本合理、安全可行、具有一定条理、基本完善、专业性一般的得3分；方案和措施不够合理、可操作性不够强的得1分；未提供本项不得分。</w:t>
            </w:r>
            <w:r>
              <w:rPr>
                <w:rFonts w:hint="eastAsia" w:ascii="宋体" w:hAnsi="宋体" w:cs="宋体"/>
                <w:color w:val="000000"/>
                <w:sz w:val="24"/>
                <w:highlight w:val="none"/>
              </w:rPr>
            </w:r>
            <w:r/>
          </w:p>
        </w:tc>
      </w:tr>
      <w:tr>
        <w:trPr>
          <w:trHeight w:val="283"/>
        </w:trPr>
        <w:tc>
          <w:tcPr>
            <w:tcW w:w="576" w:type="dxa"/>
            <w:vAlign w:val="center"/>
            <w:textDirection w:val="lrTb"/>
            <w:noWrap w:val="false"/>
          </w:tcPr>
          <w:p>
            <w:pPr>
              <w:pStyle w:val="1113"/>
              <w:jc w:val="center"/>
              <w:spacing w:before="0" w:line="240" w:lineRule="auto"/>
              <w:tabs>
                <w:tab w:val="left" w:pos="567" w:leader="none"/>
              </w:tabs>
              <w:rPr>
                <w:rFonts w:hint="eastAsia" w:cs="宋体"/>
                <w:highlight w:val="none"/>
              </w:rPr>
            </w:pPr>
            <w:r>
              <w:rPr>
                <w:rFonts w:hint="eastAsia" w:cs="宋体"/>
                <w:highlight w:val="none"/>
              </w:rPr>
              <w:t xml:space="preserve">2.2</w:t>
            </w:r>
            <w:r>
              <w:rPr>
                <w:rFonts w:hint="eastAsia" w:cs="宋体"/>
                <w:highlight w:val="none"/>
              </w:rPr>
            </w:r>
            <w:r/>
          </w:p>
        </w:tc>
        <w:tc>
          <w:tcPr>
            <w:tcW w:w="855" w:type="dxa"/>
            <w:vAlign w:val="center"/>
            <w:textDirection w:val="lrTb"/>
            <w:noWrap w:val="false"/>
          </w:tcPr>
          <w:p>
            <w:pPr>
              <w:pStyle w:val="1101"/>
              <w:jc w:val="center"/>
              <w:rPr>
                <w:rFonts w:hint="eastAsia" w:ascii="宋体" w:hAnsi="宋体" w:cs="宋体"/>
                <w:spacing w:val="-3"/>
                <w:sz w:val="24"/>
                <w:highlight w:val="none"/>
              </w:rPr>
            </w:pPr>
            <w:r>
              <w:rPr>
                <w:rFonts w:hint="eastAsia" w:ascii="宋体" w:hAnsi="宋体" w:cs="宋体"/>
                <w:spacing w:val="-3"/>
                <w:sz w:val="24"/>
                <w:highlight w:val="none"/>
              </w:rPr>
              <w:t xml:space="preserve">培训方案</w:t>
            </w:r>
            <w:r>
              <w:rPr>
                <w:rFonts w:hint="eastAsia" w:ascii="宋体" w:hAnsi="宋体" w:cs="宋体"/>
                <w:spacing w:val="-3"/>
                <w:sz w:val="24"/>
                <w:highlight w:val="none"/>
              </w:rPr>
            </w:r>
            <w:r/>
          </w:p>
        </w:tc>
        <w:tc>
          <w:tcPr>
            <w:tcW w:w="576" w:type="dxa"/>
            <w:vAlign w:val="center"/>
            <w:textDirection w:val="lrTb"/>
            <w:noWrap w:val="false"/>
          </w:tcPr>
          <w:p>
            <w:pPr>
              <w:pStyle w:val="1372"/>
              <w:rPr>
                <w:rFonts w:hint="eastAsia" w:ascii="宋体" w:hAnsi="宋体" w:cs="宋体"/>
                <w:highlight w:val="none"/>
              </w:rPr>
            </w:pPr>
            <w:r>
              <w:rPr>
                <w:rFonts w:hint="eastAsia" w:ascii="宋体" w:hAnsi="宋体" w:cs="宋体"/>
                <w:highlight w:val="none"/>
              </w:rPr>
              <w:t xml:space="preserve">6</w:t>
            </w:r>
            <w:r>
              <w:rPr>
                <w:rFonts w:hint="eastAsia" w:ascii="宋体" w:hAnsi="宋体" w:cs="宋体"/>
                <w:highlight w:val="none"/>
              </w:rPr>
            </w:r>
            <w:r/>
          </w:p>
        </w:tc>
        <w:tc>
          <w:tcPr>
            <w:tcW w:w="7282" w:type="dxa"/>
            <w:vAlign w:val="top"/>
            <w:textDirection w:val="lrTb"/>
            <w:noWrap w:val="false"/>
          </w:tcPr>
          <w:p>
            <w:pPr>
              <w:pStyle w:val="1101"/>
              <w:rPr>
                <w:rFonts w:hint="eastAsia" w:ascii="宋体" w:hAnsi="宋体" w:cs="宋体"/>
                <w:sz w:val="24"/>
                <w:highlight w:val="none"/>
              </w:rPr>
            </w:pPr>
            <w:r>
              <w:rPr>
                <w:rFonts w:hint="eastAsia" w:ascii="宋体" w:hAnsi="宋体" w:cs="宋体"/>
                <w:color w:val="000000"/>
                <w:sz w:val="24"/>
                <w:highlight w:val="none"/>
              </w:rPr>
              <w:t xml:space="preserve">投标人针对本项目的培训方案：方案完整科学、完善合理、操作性及指导性强的得6分；方案基本全面，基本科学合理，基本可行的得4分；方案不够全面，内容缺乏可操作性的得2分；未提供本项不得分。</w:t>
            </w:r>
            <w:r>
              <w:rPr>
                <w:rFonts w:hint="eastAsia" w:ascii="宋体" w:hAnsi="宋体" w:cs="宋体"/>
                <w:sz w:val="24"/>
                <w:highlight w:val="none"/>
              </w:rPr>
            </w:r>
            <w:r/>
          </w:p>
        </w:tc>
      </w:tr>
      <w:tr>
        <w:trPr>
          <w:trHeight w:val="90"/>
        </w:trPr>
        <w:tc>
          <w:tcPr>
            <w:tcW w:w="576" w:type="dxa"/>
            <w:vAlign w:val="center"/>
            <w:textDirection w:val="lrTb"/>
            <w:noWrap w:val="false"/>
          </w:tcPr>
          <w:p>
            <w:pPr>
              <w:pStyle w:val="1113"/>
              <w:jc w:val="center"/>
              <w:spacing w:before="0" w:line="240" w:lineRule="auto"/>
              <w:tabs>
                <w:tab w:val="left" w:pos="567" w:leader="none"/>
              </w:tabs>
              <w:rPr>
                <w:rFonts w:hint="eastAsia" w:cs="宋体"/>
                <w:highlight w:val="none"/>
              </w:rPr>
            </w:pPr>
            <w:r>
              <w:rPr>
                <w:rFonts w:hint="eastAsia" w:cs="宋体"/>
                <w:highlight w:val="none"/>
              </w:rPr>
              <w:t xml:space="preserve">2.3</w:t>
            </w:r>
            <w:r>
              <w:rPr>
                <w:rFonts w:hint="eastAsia" w:cs="宋体"/>
                <w:highlight w:val="none"/>
              </w:rPr>
            </w:r>
            <w:r/>
          </w:p>
        </w:tc>
        <w:tc>
          <w:tcPr>
            <w:tcW w:w="855" w:type="dxa"/>
            <w:vAlign w:val="center"/>
            <w:textDirection w:val="lrTb"/>
            <w:noWrap w:val="false"/>
          </w:tcPr>
          <w:p>
            <w:pPr>
              <w:pStyle w:val="1101"/>
              <w:jc w:val="center"/>
              <w:rPr>
                <w:rFonts w:hint="eastAsia" w:ascii="宋体" w:hAnsi="宋体" w:cs="宋体"/>
                <w:spacing w:val="-3"/>
                <w:sz w:val="24"/>
                <w:highlight w:val="none"/>
              </w:rPr>
            </w:pPr>
            <w:r>
              <w:rPr>
                <w:rFonts w:hint="eastAsia" w:ascii="宋体" w:hAnsi="宋体" w:cs="宋体"/>
                <w:spacing w:val="-3"/>
                <w:sz w:val="24"/>
                <w:highlight w:val="none"/>
              </w:rPr>
              <w:t xml:space="preserve">售后服务方案</w:t>
            </w:r>
            <w:r>
              <w:rPr>
                <w:rFonts w:hint="eastAsia" w:ascii="宋体" w:hAnsi="宋体" w:cs="宋体"/>
                <w:spacing w:val="-3"/>
                <w:sz w:val="24"/>
                <w:highlight w:val="none"/>
              </w:rPr>
            </w:r>
            <w:r/>
          </w:p>
        </w:tc>
        <w:tc>
          <w:tcPr>
            <w:tcW w:w="576" w:type="dxa"/>
            <w:vAlign w:val="center"/>
            <w:textDirection w:val="lrTb"/>
            <w:noWrap w:val="false"/>
          </w:tcPr>
          <w:p>
            <w:pPr>
              <w:pStyle w:val="1372"/>
              <w:rPr>
                <w:rFonts w:hint="eastAsia" w:ascii="宋体" w:hAnsi="宋体" w:cs="宋体"/>
                <w:highlight w:val="none"/>
              </w:rPr>
            </w:pPr>
            <w:r>
              <w:rPr>
                <w:rFonts w:hint="eastAsia" w:ascii="宋体" w:hAnsi="宋体" w:cs="宋体"/>
                <w:highlight w:val="none"/>
              </w:rPr>
              <w:t xml:space="preserve">6</w:t>
            </w:r>
            <w:r>
              <w:rPr>
                <w:rFonts w:hint="eastAsia" w:ascii="宋体" w:hAnsi="宋体" w:cs="宋体"/>
                <w:highlight w:val="none"/>
              </w:rPr>
            </w:r>
            <w:r/>
          </w:p>
        </w:tc>
        <w:tc>
          <w:tcPr>
            <w:tcW w:w="7282" w:type="dxa"/>
            <w:vAlign w:val="center"/>
            <w:textDirection w:val="lrTb"/>
            <w:noWrap w:val="false"/>
          </w:tcPr>
          <w:p>
            <w:pPr>
              <w:pStyle w:val="1101"/>
              <w:rPr>
                <w:rFonts w:hint="eastAsia" w:ascii="宋体" w:hAnsi="宋体" w:cs="宋体"/>
                <w:color w:val="000000"/>
                <w:sz w:val="24"/>
                <w:highlight w:val="none"/>
              </w:rPr>
            </w:pPr>
            <w:r>
              <w:rPr>
                <w:rFonts w:hint="eastAsia" w:ascii="宋体" w:hAnsi="宋体" w:cs="宋体"/>
                <w:color w:val="000000"/>
                <w:sz w:val="24"/>
                <w:highlight w:val="none"/>
              </w:rPr>
              <w:t xml:space="preserve">售后服务优惠承诺。根据投标人售后服务承诺、售后服务方案，售后服务可行性合理、故障响应方式及保障措施等综合打分，除招标文件规定内容外无其他售后服务承诺的，该项不得分：方案完整全面、合理的得6分；方案基本完整、基本合理的得4分；方案简陋、不够合理、可操作性弱得2分；未提供本项不得分。</w:t>
            </w:r>
            <w:r>
              <w:rPr>
                <w:rFonts w:hint="eastAsia" w:ascii="宋体" w:hAnsi="宋体" w:cs="宋体"/>
                <w:color w:val="000000"/>
                <w:sz w:val="24"/>
                <w:highlight w:val="none"/>
              </w:rPr>
            </w:r>
            <w:r/>
          </w:p>
        </w:tc>
      </w:tr>
      <w:tr>
        <w:trPr>
          <w:trHeight w:val="283"/>
        </w:trPr>
        <w:tc>
          <w:tcPr>
            <w:tcW w:w="576" w:type="dxa"/>
            <w:vAlign w:val="center"/>
            <w:textDirection w:val="lrTb"/>
            <w:noWrap w:val="false"/>
          </w:tcPr>
          <w:p>
            <w:pPr>
              <w:pStyle w:val="1113"/>
              <w:jc w:val="center"/>
              <w:spacing w:before="0" w:line="240" w:lineRule="auto"/>
              <w:tabs>
                <w:tab w:val="left" w:pos="567" w:leader="none"/>
              </w:tabs>
              <w:rPr>
                <w:rFonts w:hint="eastAsia" w:cs="宋体"/>
                <w:highlight w:val="none"/>
              </w:rPr>
            </w:pPr>
            <w:r>
              <w:rPr>
                <w:rFonts w:hint="eastAsia" w:cs="宋体"/>
                <w:highlight w:val="none"/>
              </w:rPr>
              <w:t xml:space="preserve">3</w:t>
            </w:r>
            <w:r>
              <w:rPr>
                <w:rFonts w:hint="eastAsia" w:cs="宋体"/>
                <w:highlight w:val="none"/>
              </w:rPr>
            </w:r>
            <w:r/>
          </w:p>
        </w:tc>
        <w:tc>
          <w:tcPr>
            <w:tcW w:w="855" w:type="dxa"/>
            <w:vAlign w:val="center"/>
            <w:textDirection w:val="lrTb"/>
            <w:noWrap w:val="false"/>
          </w:tcPr>
          <w:p>
            <w:pPr>
              <w:pStyle w:val="1113"/>
              <w:jc w:val="center"/>
              <w:spacing w:before="0" w:line="240" w:lineRule="auto"/>
              <w:tabs>
                <w:tab w:val="left" w:pos="567" w:leader="none"/>
              </w:tabs>
              <w:rPr>
                <w:rFonts w:hint="eastAsia" w:cs="宋体"/>
                <w:highlight w:val="none"/>
              </w:rPr>
            </w:pPr>
            <w:r>
              <w:rPr>
                <w:rFonts w:hint="eastAsia" w:cs="宋体"/>
                <w:highlight w:val="none"/>
              </w:rPr>
              <w:t xml:space="preserve">客观分</w:t>
            </w:r>
            <w:r>
              <w:rPr>
                <w:rFonts w:hint="eastAsia" w:cs="宋体"/>
                <w:highlight w:val="none"/>
              </w:rPr>
            </w:r>
            <w:r/>
          </w:p>
        </w:tc>
        <w:tc>
          <w:tcPr>
            <w:tcW w:w="576" w:type="dxa"/>
            <w:vAlign w:val="center"/>
            <w:textDirection w:val="lrTb"/>
            <w:noWrap w:val="false"/>
          </w:tcPr>
          <w:p>
            <w:pPr>
              <w:pStyle w:val="1113"/>
              <w:jc w:val="center"/>
              <w:spacing w:before="0" w:line="240" w:lineRule="auto"/>
              <w:tabs>
                <w:tab w:val="left" w:pos="567" w:leader="none"/>
              </w:tabs>
              <w:rPr>
                <w:rFonts w:cs="宋体"/>
                <w:highlight w:val="none"/>
              </w:rPr>
            </w:pPr>
            <w:r>
              <w:rPr>
                <w:rFonts w:hint="eastAsia" w:cs="宋体"/>
                <w:highlight w:val="none"/>
              </w:rPr>
              <w:t xml:space="preserve">51</w:t>
            </w:r>
            <w:r>
              <w:rPr>
                <w:rFonts w:cs="宋体"/>
                <w:highlight w:val="none"/>
              </w:rPr>
            </w:r>
            <w:r/>
          </w:p>
        </w:tc>
        <w:tc>
          <w:tcPr>
            <w:tcW w:w="7282" w:type="dxa"/>
            <w:vAlign w:val="center"/>
            <w:textDirection w:val="lrTb"/>
            <w:noWrap w:val="false"/>
          </w:tcPr>
          <w:p>
            <w:pPr>
              <w:pStyle w:val="1113"/>
              <w:spacing w:before="0" w:line="240" w:lineRule="auto"/>
              <w:tabs>
                <w:tab w:val="left" w:pos="567" w:leader="none"/>
              </w:tabs>
              <w:rPr>
                <w:rFonts w:hint="eastAsia" w:cs="宋体"/>
                <w:highlight w:val="none"/>
              </w:rPr>
            </w:pPr>
            <w:r>
              <w:rPr>
                <w:rFonts w:hint="eastAsia" w:cs="宋体"/>
                <w:highlight w:val="none"/>
              </w:rPr>
            </w:r>
            <w:r/>
          </w:p>
        </w:tc>
      </w:tr>
      <w:tr>
        <w:trPr>
          <w:trHeight w:val="90"/>
        </w:trPr>
        <w:tc>
          <w:tcPr>
            <w:tcW w:w="576" w:type="dxa"/>
            <w:vAlign w:val="center"/>
            <w:textDirection w:val="lrTb"/>
            <w:noWrap w:val="false"/>
          </w:tcPr>
          <w:p>
            <w:pPr>
              <w:pStyle w:val="1113"/>
              <w:jc w:val="center"/>
              <w:spacing w:before="0" w:line="240" w:lineRule="auto"/>
              <w:tabs>
                <w:tab w:val="left" w:pos="567" w:leader="none"/>
              </w:tabs>
              <w:rPr>
                <w:rFonts w:hint="eastAsia" w:cs="宋体"/>
                <w:highlight w:val="none"/>
              </w:rPr>
            </w:pPr>
            <w:r>
              <w:rPr>
                <w:rFonts w:hint="eastAsia" w:cs="宋体"/>
                <w:highlight w:val="none"/>
              </w:rPr>
              <w:t xml:space="preserve">3.1</w:t>
            </w:r>
            <w:r>
              <w:rPr>
                <w:rFonts w:hint="eastAsia" w:cs="宋体"/>
                <w:highlight w:val="none"/>
              </w:rPr>
            </w:r>
            <w:r/>
          </w:p>
        </w:tc>
        <w:tc>
          <w:tcPr>
            <w:tcW w:w="855" w:type="dxa"/>
            <w:vAlign w:val="center"/>
            <w:textDirection w:val="lrTb"/>
            <w:noWrap w:val="false"/>
          </w:tcPr>
          <w:p>
            <w:pPr>
              <w:pStyle w:val="1113"/>
              <w:jc w:val="center"/>
              <w:spacing w:before="0" w:line="240" w:lineRule="auto"/>
              <w:tabs>
                <w:tab w:val="left" w:pos="567" w:leader="none"/>
              </w:tabs>
              <w:rPr>
                <w:rFonts w:hint="eastAsia" w:cs="宋体"/>
                <w:highlight w:val="none"/>
              </w:rPr>
            </w:pPr>
            <w:r>
              <w:rPr>
                <w:rFonts w:hint="eastAsia" w:cs="宋体"/>
                <w:highlight w:val="none"/>
              </w:rPr>
              <w:t xml:space="preserve">业绩</w:t>
            </w:r>
            <w:r>
              <w:rPr>
                <w:rFonts w:hint="eastAsia" w:cs="宋体"/>
                <w:highlight w:val="none"/>
              </w:rPr>
            </w:r>
            <w:r/>
          </w:p>
        </w:tc>
        <w:tc>
          <w:tcPr>
            <w:tcW w:w="576" w:type="dxa"/>
            <w:vAlign w:val="center"/>
            <w:textDirection w:val="lrTb"/>
            <w:noWrap w:val="false"/>
          </w:tcPr>
          <w:p>
            <w:pPr>
              <w:pStyle w:val="1113"/>
              <w:jc w:val="center"/>
              <w:spacing w:before="0" w:line="240" w:lineRule="auto"/>
              <w:tabs>
                <w:tab w:val="left" w:pos="567" w:leader="none"/>
              </w:tabs>
              <w:rPr>
                <w:rFonts w:hint="eastAsia" w:cs="宋体"/>
                <w:highlight w:val="none"/>
              </w:rPr>
            </w:pPr>
            <w:r>
              <w:rPr>
                <w:rFonts w:hint="eastAsia" w:cs="宋体"/>
                <w:highlight w:val="none"/>
              </w:rPr>
              <w:t xml:space="preserve">2</w:t>
            </w:r>
            <w:r>
              <w:rPr>
                <w:rFonts w:hint="eastAsia" w:cs="宋体"/>
                <w:highlight w:val="none"/>
              </w:rPr>
            </w:r>
            <w:r/>
          </w:p>
        </w:tc>
        <w:tc>
          <w:tcPr>
            <w:tcW w:w="7282" w:type="dxa"/>
            <w:vAlign w:val="center"/>
            <w:textDirection w:val="lrTb"/>
            <w:noWrap w:val="false"/>
          </w:tcPr>
          <w:p>
            <w:pPr>
              <w:pStyle w:val="1101"/>
              <w:rPr>
                <w:rFonts w:hint="eastAsia" w:ascii="宋体" w:hAnsi="宋体" w:cs="宋体"/>
                <w:sz w:val="24"/>
                <w:highlight w:val="none"/>
              </w:rPr>
            </w:pPr>
            <w:r>
              <w:rPr>
                <w:rFonts w:hint="eastAsia" w:ascii="宋体" w:hAnsi="宋体" w:cs="宋体"/>
                <w:sz w:val="24"/>
                <w:highlight w:val="none"/>
              </w:rPr>
              <w:t xml:space="preserve">投标单位自2023年6月1日（以合同签订时间为准）至今，具有类似项目业绩，有1份得2分，最高得2分。</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b/>
                <w:bCs/>
                <w:sz w:val="24"/>
                <w:highlight w:val="none"/>
              </w:rPr>
              <w:t xml:space="preserve">注：业绩证明材料包括合同扫描件、中标（或成交）通知书扫描件和项目验收证明扫描件，未提供齐全的不得分。上述类似项目业绩是指投标人所提供的业绩至少包含本项目所投核心产品（合同中设备名称可与本项目的设备名称不同，但属于设备功能（或参数）相近的予以认可。）</w:t>
            </w:r>
            <w:r>
              <w:rPr>
                <w:rFonts w:hint="eastAsia" w:ascii="宋体" w:hAnsi="宋体" w:cs="宋体"/>
                <w:sz w:val="24"/>
                <w:highlight w:val="none"/>
              </w:rPr>
            </w:r>
            <w:r/>
          </w:p>
        </w:tc>
      </w:tr>
      <w:tr>
        <w:trPr>
          <w:trHeight w:val="90"/>
        </w:trPr>
        <w:tc>
          <w:tcPr>
            <w:tcW w:w="576" w:type="dxa"/>
            <w:vAlign w:val="center"/>
            <w:textDirection w:val="lrTb"/>
            <w:noWrap w:val="false"/>
          </w:tcPr>
          <w:p>
            <w:pPr>
              <w:pStyle w:val="1113"/>
              <w:jc w:val="center"/>
              <w:spacing w:before="0" w:line="240" w:lineRule="auto"/>
              <w:tabs>
                <w:tab w:val="left" w:pos="567" w:leader="none"/>
              </w:tabs>
              <w:rPr>
                <w:rFonts w:hint="eastAsia" w:cs="宋体"/>
                <w:highlight w:val="none"/>
              </w:rPr>
            </w:pPr>
            <w:r>
              <w:rPr>
                <w:rFonts w:hint="eastAsia" w:cs="宋体"/>
                <w:highlight w:val="none"/>
              </w:rPr>
              <w:t xml:space="preserve">3.2</w:t>
            </w:r>
            <w:r>
              <w:rPr>
                <w:rFonts w:hint="eastAsia" w:cs="宋体"/>
                <w:highlight w:val="none"/>
              </w:rPr>
            </w:r>
            <w:r/>
          </w:p>
        </w:tc>
        <w:tc>
          <w:tcPr>
            <w:tcW w:w="855" w:type="dxa"/>
            <w:vAlign w:val="center"/>
            <w:textDirection w:val="lrTb"/>
            <w:noWrap w:val="false"/>
          </w:tcPr>
          <w:p>
            <w:pPr>
              <w:pStyle w:val="1113"/>
              <w:jc w:val="center"/>
              <w:spacing w:before="0" w:line="240" w:lineRule="auto"/>
              <w:tabs>
                <w:tab w:val="left" w:pos="567" w:leader="none"/>
              </w:tabs>
              <w:rPr>
                <w:rFonts w:hint="eastAsia" w:cs="宋体"/>
                <w:highlight w:val="none"/>
              </w:rPr>
            </w:pPr>
            <w:r>
              <w:rPr>
                <w:rFonts w:hint="eastAsia" w:cs="宋体"/>
                <w:highlight w:val="none"/>
              </w:rPr>
              <w:t xml:space="preserve">综合实力</w:t>
            </w:r>
            <w:r>
              <w:rPr>
                <w:rFonts w:hint="eastAsia" w:cs="宋体"/>
                <w:highlight w:val="none"/>
              </w:rPr>
            </w:r>
            <w:r/>
          </w:p>
        </w:tc>
        <w:tc>
          <w:tcPr>
            <w:tcW w:w="576" w:type="dxa"/>
            <w:vAlign w:val="center"/>
            <w:textDirection w:val="lrTb"/>
            <w:noWrap w:val="false"/>
          </w:tcPr>
          <w:p>
            <w:pPr>
              <w:pStyle w:val="1372"/>
              <w:rPr>
                <w:rFonts w:hint="eastAsia" w:ascii="宋体" w:hAnsi="宋体" w:cs="宋体"/>
                <w:highlight w:val="none"/>
              </w:rPr>
            </w:pPr>
            <w:r>
              <w:rPr>
                <w:rFonts w:hint="eastAsia" w:ascii="宋体" w:hAnsi="宋体" w:cs="宋体"/>
                <w:highlight w:val="none"/>
              </w:rPr>
              <w:t xml:space="preserve">9</w:t>
            </w:r>
            <w:r>
              <w:rPr>
                <w:rFonts w:hint="eastAsia" w:ascii="宋体" w:hAnsi="宋体" w:cs="宋体"/>
                <w:highlight w:val="none"/>
              </w:rPr>
            </w:r>
            <w:r/>
          </w:p>
        </w:tc>
        <w:tc>
          <w:tcPr>
            <w:tcW w:w="7282" w:type="dxa"/>
            <w:vAlign w:val="center"/>
            <w:textDirection w:val="lrTb"/>
            <w:noWrap w:val="false"/>
          </w:tcPr>
          <w:p>
            <w:pPr>
              <w:pStyle w:val="1101"/>
              <w:ind w:right="173"/>
              <w:rPr>
                <w:rFonts w:ascii="宋体" w:hAnsi="宋体" w:eastAsia="宋体" w:cs="宋体"/>
                <w:sz w:val="24"/>
                <w:highlight w:val="none"/>
                <w:lang w:val="en-US" w:eastAsia="zh-CN"/>
              </w:rPr>
            </w:pPr>
            <w:r>
              <w:rPr>
                <w:rFonts w:hint="eastAsia" w:ascii="宋体" w:hAnsi="宋体" w:cs="宋体"/>
                <w:sz w:val="24"/>
                <w:highlight w:val="none"/>
              </w:rPr>
              <w:t xml:space="preserve">1.投标人拟派</w:t>
            </w:r>
            <w:r>
              <w:rPr>
                <w:rFonts w:hint="eastAsia" w:ascii="宋体" w:hAnsi="宋体" w:cs="宋体"/>
                <w:sz w:val="24"/>
                <w:highlight w:val="none"/>
                <w:lang w:val="en-US" w:eastAsia="zh-CN"/>
              </w:rPr>
              <w:t xml:space="preserve">项目团队人员</w:t>
            </w:r>
            <w:r>
              <w:rPr>
                <w:rFonts w:hint="eastAsia" w:ascii="宋体" w:hAnsi="宋体" w:cs="宋体"/>
                <w:sz w:val="24"/>
                <w:highlight w:val="none"/>
              </w:rPr>
              <w:t xml:space="preserve">具有人社部门颁发的智能制造相关专业（如：装备制造、人工智能）的正高级工程师证书及以上的得2分，最高得2分；具有高级工程师证书及以上的得1分，最高得2分；中级及以上职称工程师证书的每提供一个人员得0.2分，最高得2分；</w:t>
            </w:r>
            <w:r>
              <w:rPr>
                <w:rFonts w:hint="eastAsia" w:ascii="宋体" w:hAnsi="宋体" w:cs="宋体"/>
                <w:b/>
                <w:bCs/>
                <w:sz w:val="24"/>
                <w:highlight w:val="none"/>
              </w:rPr>
              <w:t xml:space="preserve">本项满分6分。</w:t>
            </w:r>
            <w:r>
              <w:rPr>
                <w:rFonts w:hint="eastAsia" w:ascii="宋体" w:hAnsi="宋体" w:cs="宋体"/>
                <w:b/>
                <w:bCs/>
                <w:sz w:val="24"/>
                <w:highlight w:val="none"/>
              </w:rPr>
              <w:t xml:space="preserve">投标</w:t>
            </w:r>
            <w:r>
              <w:rPr>
                <w:rFonts w:hint="eastAsia" w:ascii="宋体" w:hAnsi="宋体" w:cs="宋体"/>
                <w:b/>
                <w:bCs/>
                <w:sz w:val="24"/>
                <w:highlight w:val="none"/>
                <w:lang w:val="en-US" w:eastAsia="zh-CN"/>
              </w:rPr>
              <w:t xml:space="preserve">文件</w:t>
            </w:r>
            <w:r>
              <w:rPr>
                <w:rFonts w:hint="eastAsia" w:ascii="宋体" w:hAnsi="宋体" w:cs="宋体"/>
                <w:b/>
                <w:bCs/>
                <w:sz w:val="24"/>
                <w:highlight w:val="none"/>
              </w:rPr>
              <w:t xml:space="preserve">须提供有效的证书扫描件并加盖投标人公章</w:t>
            </w:r>
            <w:r>
              <w:rPr>
                <w:rFonts w:hint="eastAsia" w:ascii="宋体" w:hAnsi="宋体" w:cs="宋体"/>
                <w:b/>
                <w:bCs/>
                <w:sz w:val="24"/>
                <w:highlight w:val="none"/>
                <w:lang w:eastAsia="zh-CN"/>
              </w:rPr>
              <w:t xml:space="preserve">。</w:t>
            </w:r>
            <w:r>
              <w:rPr>
                <w:rFonts w:hint="eastAsia" w:ascii="宋体" w:hAnsi="宋体" w:cs="宋体"/>
                <w:b/>
                <w:bCs/>
                <w:sz w:val="24"/>
                <w:highlight w:val="none"/>
                <w:lang w:val="en-US" w:eastAsia="zh-CN"/>
              </w:rPr>
              <w:t xml:space="preserve">同时提供投入本项目技术人员应是投标人的员工且技术人员证书同一人的不重复计分。提供投标人为其缴纳的社保证明复印件（投标截止日前3个月内任意1个月，成立不足上述时间的新公司或入职不足上述时间的新员工可提供人员劳动合同复印件）；如可免缴的，提供相关证明文件。</w:t>
            </w:r>
            <w:r>
              <w:rPr>
                <w:rFonts w:ascii="宋体" w:hAnsi="宋体" w:eastAsia="宋体" w:cs="宋体"/>
                <w:sz w:val="24"/>
                <w:highlight w:val="none"/>
                <w:lang w:val="en-US" w:eastAsia="zh-CN"/>
              </w:rPr>
            </w:r>
            <w:r/>
          </w:p>
          <w:p>
            <w:pPr>
              <w:pStyle w:val="1101"/>
              <w:ind w:right="173"/>
              <w:rPr>
                <w:rFonts w:hint="eastAsia" w:ascii="宋体" w:hAnsi="宋体" w:cs="宋体"/>
                <w:sz w:val="24"/>
                <w:highlight w:val="none"/>
              </w:rPr>
            </w:pPr>
            <w:r>
              <w:rPr>
                <w:rFonts w:hint="eastAsia" w:ascii="宋体" w:hAnsi="宋体" w:cs="宋体"/>
                <w:sz w:val="24"/>
                <w:highlight w:val="none"/>
              </w:rPr>
              <w:t xml:space="preserve">2.投标人具备全国职业教育教师企业实践基地资质，有效保障学校老师后期能力的提升，具备国家级得2分，省级得1分，</w:t>
            </w:r>
            <w:r>
              <w:rPr>
                <w:rFonts w:hint="eastAsia" w:ascii="宋体" w:hAnsi="宋体" w:cs="宋体"/>
                <w:b/>
                <w:bCs/>
                <w:sz w:val="24"/>
                <w:highlight w:val="none"/>
              </w:rPr>
              <w:t xml:space="preserve">本项满分2分</w:t>
            </w:r>
            <w:r>
              <w:rPr>
                <w:rFonts w:hint="eastAsia" w:ascii="宋体" w:hAnsi="宋体" w:cs="宋体"/>
                <w:sz w:val="24"/>
                <w:highlight w:val="none"/>
              </w:rPr>
              <w:t xml:space="preserve">。</w:t>
            </w:r>
            <w:r>
              <w:rPr>
                <w:rFonts w:hint="eastAsia" w:ascii="宋体" w:hAnsi="宋体" w:cs="宋体"/>
                <w:b/>
                <w:bCs/>
                <w:sz w:val="24"/>
                <w:highlight w:val="none"/>
              </w:rPr>
              <w:t xml:space="preserve">投标文件提供相关证明材料扫描件并加盖投标人公章</w:t>
            </w:r>
            <w:r>
              <w:rPr>
                <w:rFonts w:hint="eastAsia" w:ascii="宋体" w:hAnsi="宋体" w:cs="宋体"/>
                <w:sz w:val="24"/>
                <w:highlight w:val="none"/>
              </w:rPr>
            </w:r>
            <w:r/>
          </w:p>
          <w:p>
            <w:pPr>
              <w:pStyle w:val="1101"/>
              <w:ind w:right="173"/>
              <w:rPr>
                <w:rFonts w:hint="eastAsia" w:ascii="宋体" w:hAnsi="宋体" w:cs="宋体"/>
                <w:b/>
                <w:bCs/>
                <w:sz w:val="24"/>
                <w:highlight w:val="none"/>
              </w:rPr>
            </w:pPr>
            <w:r>
              <w:rPr>
                <w:rFonts w:hint="eastAsia" w:ascii="宋体" w:hAnsi="宋体" w:cs="宋体"/>
                <w:sz w:val="24"/>
                <w:highlight w:val="none"/>
              </w:rPr>
              <w:t xml:space="preserve">3.投标人具备社会化职业技能等级评价培训资格证明文件得1分，评价范围须包含：工业机器人装调维修员、工业机器人操作调整员。</w:t>
            </w:r>
            <w:r>
              <w:rPr>
                <w:rFonts w:hint="eastAsia" w:ascii="宋体" w:hAnsi="宋体" w:cs="宋体"/>
                <w:b/>
                <w:bCs/>
                <w:sz w:val="24"/>
                <w:highlight w:val="none"/>
              </w:rPr>
              <w:t xml:space="preserve">本项满分</w:t>
            </w:r>
            <w:r>
              <w:rPr>
                <w:rFonts w:hint="eastAsia" w:ascii="宋体" w:hAnsi="宋体" w:cs="宋体"/>
                <w:b/>
                <w:bCs/>
                <w:sz w:val="24"/>
                <w:highlight w:val="none"/>
                <w:lang w:val="en-US" w:eastAsia="zh-CN"/>
              </w:rPr>
              <w:t xml:space="preserve">1</w:t>
            </w:r>
            <w:r>
              <w:rPr>
                <w:rFonts w:hint="eastAsia" w:ascii="宋体" w:hAnsi="宋体" w:cs="宋体"/>
                <w:b/>
                <w:bCs/>
                <w:sz w:val="24"/>
                <w:highlight w:val="none"/>
              </w:rPr>
              <w:t xml:space="preserve">分。</w:t>
            </w:r>
            <w:r>
              <w:rPr>
                <w:rFonts w:hint="eastAsia" w:ascii="宋体" w:hAnsi="宋体" w:cs="宋体"/>
                <w:b/>
                <w:bCs/>
                <w:sz w:val="24"/>
                <w:highlight w:val="none"/>
              </w:rPr>
              <w:t xml:space="preserve">投标文件提供相关证明文件并加盖投标人公章</w:t>
            </w:r>
            <w:r>
              <w:rPr>
                <w:rFonts w:hint="eastAsia" w:ascii="宋体" w:hAnsi="宋体" w:cs="宋体"/>
                <w:b/>
                <w:bCs/>
                <w:sz w:val="24"/>
                <w:highlight w:val="none"/>
              </w:rPr>
            </w:r>
            <w:r/>
          </w:p>
          <w:p>
            <w:pPr>
              <w:pStyle w:val="1101"/>
              <w:ind w:right="173"/>
              <w:rPr>
                <w:rFonts w:hint="eastAsia" w:ascii="宋体" w:hAnsi="宋体" w:cs="宋体"/>
                <w:highlight w:val="none"/>
              </w:rPr>
            </w:pPr>
            <w:r>
              <w:rPr>
                <w:rFonts w:hint="eastAsia" w:ascii="宋体" w:hAnsi="宋体" w:cs="宋体"/>
                <w:b/>
                <w:bCs/>
                <w:sz w:val="24"/>
                <w:highlight w:val="none"/>
              </w:rPr>
              <w:t xml:space="preserve">注：本项最高得9分，未提供或证明材料无效均不得分。</w:t>
            </w:r>
            <w:r>
              <w:rPr>
                <w:rFonts w:hint="eastAsia" w:ascii="宋体" w:hAnsi="宋体" w:cs="宋体"/>
                <w:highlight w:val="none"/>
              </w:rPr>
            </w:r>
            <w:r/>
          </w:p>
        </w:tc>
      </w:tr>
      <w:tr>
        <w:trPr>
          <w:trHeight w:val="90"/>
        </w:trPr>
        <w:tc>
          <w:tcPr>
            <w:tcW w:w="576" w:type="dxa"/>
            <w:vAlign w:val="center"/>
            <w:textDirection w:val="lrTb"/>
            <w:noWrap w:val="false"/>
          </w:tcPr>
          <w:p>
            <w:pPr>
              <w:pStyle w:val="1113"/>
              <w:jc w:val="center"/>
              <w:spacing w:before="0" w:line="240" w:lineRule="auto"/>
              <w:tabs>
                <w:tab w:val="left" w:pos="567" w:leader="none"/>
              </w:tabs>
              <w:rPr>
                <w:rFonts w:hint="eastAsia" w:cs="宋体"/>
                <w:highlight w:val="none"/>
              </w:rPr>
            </w:pPr>
            <w:r>
              <w:rPr>
                <w:rFonts w:hint="eastAsia" w:cs="宋体"/>
                <w:highlight w:val="none"/>
              </w:rPr>
              <w:t xml:space="preserve">3.3</w:t>
            </w:r>
            <w:r>
              <w:rPr>
                <w:rFonts w:hint="eastAsia" w:cs="宋体"/>
                <w:highlight w:val="none"/>
              </w:rPr>
            </w:r>
            <w:r/>
          </w:p>
        </w:tc>
        <w:tc>
          <w:tcPr>
            <w:tcW w:w="855" w:type="dxa"/>
            <w:vAlign w:val="center"/>
            <w:textDirection w:val="lrTb"/>
            <w:noWrap w:val="false"/>
          </w:tcPr>
          <w:p>
            <w:pPr>
              <w:pStyle w:val="1113"/>
              <w:jc w:val="center"/>
              <w:spacing w:before="0" w:line="240" w:lineRule="auto"/>
              <w:tabs>
                <w:tab w:val="left" w:pos="567" w:leader="none"/>
              </w:tabs>
              <w:rPr>
                <w:rFonts w:hint="eastAsia" w:cs="宋体"/>
                <w:highlight w:val="none"/>
              </w:rPr>
            </w:pPr>
            <w:r>
              <w:rPr>
                <w:rFonts w:hint="eastAsia" w:cs="宋体"/>
                <w:highlight w:val="none"/>
              </w:rPr>
              <w:t xml:space="preserve">技术参数响应</w:t>
            </w:r>
            <w:r>
              <w:rPr>
                <w:rFonts w:hint="eastAsia" w:cs="宋体"/>
                <w:highlight w:val="none"/>
              </w:rPr>
            </w:r>
            <w:r/>
          </w:p>
        </w:tc>
        <w:tc>
          <w:tcPr>
            <w:tcW w:w="576" w:type="dxa"/>
            <w:vAlign w:val="center"/>
            <w:textDirection w:val="lrTb"/>
            <w:noWrap w:val="false"/>
          </w:tcPr>
          <w:p>
            <w:pPr>
              <w:pStyle w:val="1113"/>
              <w:jc w:val="center"/>
              <w:spacing w:before="0" w:line="240" w:lineRule="auto"/>
              <w:tabs>
                <w:tab w:val="left" w:pos="567" w:leader="none"/>
              </w:tabs>
              <w:rPr>
                <w:rFonts w:cs="宋体"/>
                <w:highlight w:val="none"/>
              </w:rPr>
            </w:pPr>
            <w:r>
              <w:rPr>
                <w:rFonts w:hint="eastAsia" w:cs="宋体"/>
                <w:highlight w:val="none"/>
              </w:rPr>
              <w:t xml:space="preserve">29</w:t>
            </w:r>
            <w:r>
              <w:rPr>
                <w:rFonts w:cs="宋体"/>
                <w:highlight w:val="none"/>
              </w:rPr>
            </w:r>
            <w:r/>
          </w:p>
        </w:tc>
        <w:tc>
          <w:tcPr>
            <w:tcW w:w="7282" w:type="dxa"/>
            <w:vAlign w:val="center"/>
            <w:textDirection w:val="lrTb"/>
            <w:noWrap w:val="false"/>
          </w:tcPr>
          <w:p>
            <w:pPr>
              <w:pStyle w:val="1101"/>
              <w:rPr>
                <w:rFonts w:hint="eastAsia" w:ascii="宋体" w:hAnsi="宋体" w:cs="宋体"/>
                <w:sz w:val="24"/>
                <w:highlight w:val="none"/>
              </w:rPr>
            </w:pPr>
            <w:r>
              <w:rPr>
                <w:rFonts w:hint="eastAsia" w:ascii="宋体" w:hAnsi="宋体" w:cs="宋体"/>
                <w:sz w:val="24"/>
                <w:highlight w:val="none"/>
              </w:rPr>
              <w:t xml:space="preserve">由评标委员会根据投标人投标产品的功能及技术参数要求响应情况进行打分，所投产品技术参数完全满足或优于招标文件“（二）技术参数及功能要求”要求的得满分。技术参数中标注“★”号的参数为实质性响应参数，不得负偏离，否则作为</w:t>
            </w:r>
            <w:r>
              <w:rPr>
                <w:rFonts w:hint="eastAsia" w:ascii="宋体" w:hAnsi="宋体" w:cs="宋体"/>
                <w:b/>
                <w:bCs/>
                <w:sz w:val="24"/>
                <w:highlight w:val="none"/>
                <w:u w:val="single"/>
              </w:rPr>
              <w:t xml:space="preserve">无效投标处理</w:t>
            </w:r>
            <w:r>
              <w:rPr>
                <w:rFonts w:hint="eastAsia" w:ascii="宋体" w:hAnsi="宋体" w:cs="宋体"/>
                <w:sz w:val="24"/>
                <w:highlight w:val="none"/>
              </w:rPr>
              <w:t xml:space="preserve">；标注“▲”的为重要参数，每有一项负偏离的扣</w:t>
            </w:r>
            <w:r>
              <w:rPr>
                <w:rFonts w:hint="eastAsia" w:ascii="宋体" w:hAnsi="宋体" w:cs="宋体"/>
                <w:sz w:val="24"/>
                <w:highlight w:val="none"/>
                <w:lang w:val="en-US" w:eastAsia="zh-CN"/>
              </w:rPr>
              <w:t xml:space="preserve">1.5</w:t>
            </w:r>
            <w:r>
              <w:rPr>
                <w:rFonts w:hint="eastAsia" w:ascii="宋体" w:hAnsi="宋体" w:cs="宋体"/>
                <w:sz w:val="24"/>
                <w:highlight w:val="none"/>
              </w:rPr>
              <w:t xml:space="preserve">分；非“▲”项，每有一项负偏离的扣0.5分，扣完为止。</w:t>
            </w:r>
            <w:r>
              <w:rPr>
                <w:rFonts w:hint="eastAsia" w:ascii="宋体" w:hAnsi="宋体" w:cs="宋体"/>
                <w:sz w:val="24"/>
                <w:highlight w:val="none"/>
              </w:rPr>
            </w:r>
            <w:r/>
          </w:p>
          <w:p>
            <w:pPr>
              <w:pStyle w:val="1101"/>
              <w:rPr>
                <w:rFonts w:hint="eastAsia" w:ascii="宋体" w:hAnsi="宋体" w:cs="宋体"/>
                <w:b/>
                <w:bCs/>
                <w:sz w:val="24"/>
                <w:highlight w:val="none"/>
              </w:rPr>
            </w:pPr>
            <w:r>
              <w:rPr>
                <w:rFonts w:hint="eastAsia" w:ascii="宋体" w:hAnsi="宋体" w:cs="宋体"/>
                <w:b/>
                <w:bCs/>
                <w:sz w:val="24"/>
                <w:highlight w:val="none"/>
              </w:rPr>
              <w:t xml:space="preserve">注：</w:t>
            </w:r>
            <w:r>
              <w:rPr>
                <w:rFonts w:hint="eastAsia" w:ascii="宋体" w:hAnsi="宋体" w:cs="宋体"/>
                <w:b/>
                <w:bCs/>
                <w:sz w:val="24"/>
                <w:highlight w:val="none"/>
              </w:rPr>
            </w:r>
            <w:r/>
          </w:p>
          <w:p>
            <w:pPr>
              <w:pStyle w:val="1101"/>
              <w:rPr>
                <w:rFonts w:hint="eastAsia" w:ascii="宋体" w:hAnsi="宋体" w:cs="宋体"/>
                <w:b/>
                <w:bCs/>
                <w:sz w:val="24"/>
                <w:highlight w:val="none"/>
              </w:rPr>
            </w:pPr>
            <w:r>
              <w:rPr>
                <w:rFonts w:hint="eastAsia" w:ascii="宋体" w:hAnsi="宋体" w:cs="宋体"/>
                <w:b/>
                <w:bCs/>
                <w:sz w:val="24"/>
                <w:highlight w:val="none"/>
              </w:rPr>
              <w:t xml:space="preserve">①投标文件中提供全部技术参数对比列表，并注明偏离情况。</w:t>
            </w:r>
            <w:r>
              <w:rPr>
                <w:rFonts w:hint="eastAsia" w:ascii="宋体" w:hAnsi="宋体" w:cs="宋体"/>
                <w:b/>
                <w:bCs/>
                <w:sz w:val="24"/>
                <w:highlight w:val="none"/>
              </w:rPr>
            </w:r>
            <w:r/>
          </w:p>
          <w:p>
            <w:pPr>
              <w:pStyle w:val="1101"/>
              <w:rPr>
                <w:rFonts w:hint="eastAsia" w:ascii="宋体" w:hAnsi="宋体" w:cs="宋体"/>
                <w:b/>
                <w:bCs/>
                <w:sz w:val="24"/>
                <w:highlight w:val="none"/>
                <w:lang w:bidi="ar"/>
              </w:rPr>
            </w:pPr>
            <w:r>
              <w:rPr>
                <w:rFonts w:hint="eastAsia" w:ascii="宋体" w:hAnsi="宋体" w:cs="宋体"/>
                <w:b/>
                <w:bCs/>
                <w:sz w:val="24"/>
                <w:highlight w:val="none"/>
              </w:rPr>
              <w:t xml:space="preserve">②</w:t>
            </w:r>
            <w:r>
              <w:rPr>
                <w:rFonts w:hint="eastAsia" w:ascii="宋体" w:hAnsi="宋体" w:cs="宋体"/>
                <w:b/>
                <w:bCs/>
                <w:sz w:val="24"/>
                <w:highlight w:val="none"/>
                <w:lang w:bidi="ar"/>
              </w:rPr>
              <w:t xml:space="preserve">凡标有最低一级序号的指标项即为一项技术参数，无论是否隶属于上一级编号。</w:t>
            </w:r>
            <w:r>
              <w:rPr>
                <w:rFonts w:hint="eastAsia" w:ascii="宋体" w:hAnsi="宋体" w:cs="宋体"/>
                <w:b/>
                <w:bCs/>
                <w:sz w:val="24"/>
                <w:highlight w:val="none"/>
                <w:lang w:bidi="ar"/>
              </w:rPr>
            </w:r>
            <w:r/>
          </w:p>
          <w:p>
            <w:pPr>
              <w:pStyle w:val="1101"/>
              <w:rPr>
                <w:rFonts w:hint="eastAsia" w:ascii="宋体" w:hAnsi="宋体" w:cs="宋体"/>
                <w:b/>
                <w:bCs/>
                <w:sz w:val="24"/>
                <w:highlight w:val="none"/>
              </w:rPr>
            </w:pPr>
            <w:r>
              <w:rPr>
                <w:rFonts w:hint="eastAsia" w:ascii="宋体" w:hAnsi="宋体" w:cs="宋体"/>
                <w:b/>
                <w:bCs/>
                <w:sz w:val="24"/>
                <w:highlight w:val="none"/>
                <w:lang w:bidi="ar"/>
              </w:rPr>
              <w:t xml:space="preserve">③</w:t>
            </w:r>
            <w:r>
              <w:rPr>
                <w:rFonts w:hint="eastAsia" w:ascii="宋体" w:hAnsi="宋体" w:cs="宋体"/>
                <w:b/>
                <w:bCs/>
                <w:sz w:val="24"/>
                <w:highlight w:val="none"/>
              </w:rPr>
              <w:t xml:space="preserve">“（二）技术参数及功能要求”中明确要求提供相关证明材料的以证明材料为准，其他以承诺的偏离情况为准，未提供证明材料或未列出技术参数对比的不得分。</w:t>
            </w:r>
            <w:r>
              <w:rPr>
                <w:rFonts w:hint="eastAsia" w:ascii="宋体" w:hAnsi="宋体" w:cs="宋体"/>
                <w:b/>
                <w:bCs/>
                <w:sz w:val="24"/>
                <w:highlight w:val="none"/>
              </w:rPr>
            </w:r>
            <w:r/>
          </w:p>
          <w:p>
            <w:pPr>
              <w:pStyle w:val="1101"/>
              <w:rPr>
                <w:rFonts w:hint="eastAsia" w:ascii="宋体" w:hAnsi="宋体" w:cs="宋体"/>
                <w:sz w:val="24"/>
                <w:highlight w:val="none"/>
              </w:rPr>
            </w:pPr>
            <w:r>
              <w:rPr>
                <w:rFonts w:hint="eastAsia" w:ascii="宋体" w:hAnsi="宋体" w:cs="宋体"/>
                <w:b/>
                <w:bCs/>
                <w:sz w:val="24"/>
                <w:highlight w:val="none"/>
              </w:rPr>
              <w:t xml:space="preserve">④标注</w:t>
            </w:r>
            <w:r>
              <w:rPr>
                <w:rFonts w:hint="eastAsia" w:ascii="宋体" w:hAnsi="宋体" w:cs="宋体"/>
                <w:b/>
                <w:bCs/>
                <w:sz w:val="24"/>
                <w:highlight w:val="none"/>
              </w:rPr>
              <w:t xml:space="preserve">“■”为</w:t>
            </w:r>
            <w:r>
              <w:rPr>
                <w:rFonts w:hint="eastAsia" w:ascii="宋体" w:hAnsi="宋体" w:cs="宋体"/>
                <w:b/>
                <w:bCs/>
                <w:sz w:val="24"/>
                <w:highlight w:val="none"/>
              </w:rPr>
              <w:t xml:space="preserve">演示内容，此处不参与评审。</w:t>
            </w:r>
            <w:r>
              <w:rPr>
                <w:rFonts w:hint="eastAsia" w:ascii="宋体" w:hAnsi="宋体" w:cs="宋体"/>
                <w:sz w:val="24"/>
                <w:highlight w:val="none"/>
              </w:rPr>
            </w:r>
            <w:r/>
          </w:p>
        </w:tc>
      </w:tr>
      <w:tr>
        <w:trPr>
          <w:trHeight w:val="90"/>
        </w:trPr>
        <w:tc>
          <w:tcPr>
            <w:tcW w:w="576" w:type="dxa"/>
            <w:vAlign w:val="center"/>
            <w:textDirection w:val="lrTb"/>
            <w:noWrap w:val="false"/>
          </w:tcPr>
          <w:p>
            <w:pPr>
              <w:pStyle w:val="1113"/>
              <w:jc w:val="center"/>
              <w:spacing w:before="0" w:line="240" w:lineRule="auto"/>
              <w:tabs>
                <w:tab w:val="left" w:pos="567" w:leader="none"/>
              </w:tabs>
              <w:rPr>
                <w:rFonts w:hint="eastAsia" w:cs="宋体"/>
                <w:highlight w:val="none"/>
              </w:rPr>
            </w:pPr>
            <w:r>
              <w:rPr>
                <w:rFonts w:hint="eastAsia" w:cs="宋体"/>
                <w:highlight w:val="none"/>
              </w:rPr>
              <w:t xml:space="preserve">3.4</w:t>
            </w:r>
            <w:r>
              <w:rPr>
                <w:rFonts w:hint="eastAsia" w:cs="宋体"/>
                <w:highlight w:val="none"/>
              </w:rPr>
            </w:r>
            <w:r/>
          </w:p>
        </w:tc>
        <w:tc>
          <w:tcPr>
            <w:tcW w:w="855" w:type="dxa"/>
            <w:vAlign w:val="center"/>
            <w:textDirection w:val="lrTb"/>
            <w:noWrap w:val="false"/>
          </w:tcPr>
          <w:p>
            <w:pPr>
              <w:pStyle w:val="1113"/>
              <w:jc w:val="center"/>
              <w:spacing w:before="0" w:line="240" w:lineRule="auto"/>
              <w:tabs>
                <w:tab w:val="left" w:pos="567" w:leader="none"/>
              </w:tabs>
              <w:rPr>
                <w:rFonts w:hint="eastAsia" w:cs="宋体"/>
                <w:highlight w:val="none"/>
              </w:rPr>
            </w:pPr>
            <w:r>
              <w:rPr>
                <w:rFonts w:hint="eastAsia" w:cs="宋体"/>
                <w:highlight w:val="none"/>
              </w:rPr>
              <w:t xml:space="preserve">功能演示</w:t>
            </w:r>
            <w:r>
              <w:rPr>
                <w:rFonts w:hint="eastAsia" w:cs="宋体"/>
                <w:highlight w:val="none"/>
              </w:rPr>
            </w:r>
            <w:r/>
          </w:p>
        </w:tc>
        <w:tc>
          <w:tcPr>
            <w:tcW w:w="576" w:type="dxa"/>
            <w:vAlign w:val="center"/>
            <w:textDirection w:val="lrTb"/>
            <w:noWrap w:val="false"/>
          </w:tcPr>
          <w:p>
            <w:pPr>
              <w:pStyle w:val="1113"/>
              <w:jc w:val="center"/>
              <w:spacing w:before="0" w:line="240" w:lineRule="auto"/>
              <w:tabs>
                <w:tab w:val="left" w:pos="567" w:leader="none"/>
              </w:tabs>
              <w:rPr>
                <w:rFonts w:hint="eastAsia" w:cs="宋体"/>
                <w:highlight w:val="none"/>
              </w:rPr>
            </w:pPr>
            <w:r>
              <w:rPr>
                <w:rFonts w:hint="eastAsia" w:cs="宋体"/>
                <w:highlight w:val="none"/>
              </w:rPr>
              <w:t xml:space="preserve">10</w:t>
            </w:r>
            <w:r>
              <w:rPr>
                <w:rFonts w:hint="eastAsia" w:cs="宋体"/>
                <w:highlight w:val="none"/>
              </w:rPr>
            </w:r>
            <w:r/>
          </w:p>
        </w:tc>
        <w:tc>
          <w:tcPr>
            <w:tcW w:w="7282" w:type="dxa"/>
            <w:vAlign w:val="center"/>
            <w:textDirection w:val="lrTb"/>
            <w:noWrap w:val="false"/>
          </w:tcPr>
          <w:p>
            <w:pPr>
              <w:pStyle w:val="1101"/>
              <w:ind w:right="173"/>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根据技术参数拍摄演示视频，演示视频要求用手机或摄像机对着产品（硬件/软件画面）讲解拍摄而成，不得采用图片、PPT、Flash、动画等作为演示。单个产品多项演示的功能均需要在同一款产品中完成，不得以多款产品拼凑演示，视频时长控制在15分钟之内。演示内容包含：</w:t>
            </w:r>
            <w:r>
              <w:rPr>
                <w:rFonts w:hint="eastAsia" w:ascii="宋体" w:hAnsi="宋体" w:cs="宋体"/>
                <w:b/>
                <w:bCs/>
                <w:color w:val="000000"/>
                <w:sz w:val="24"/>
                <w:highlight w:val="none"/>
                <w:lang w:val="zh-CN"/>
              </w:rPr>
            </w:r>
            <w:r/>
          </w:p>
          <w:p>
            <w:pPr>
              <w:pStyle w:val="1101"/>
              <w:ind w:right="173"/>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1.投标人根据招标文件要求演示 “机电一体化智能控制系统”中“生产信息化管理系统”里的“绘图工具”，包括以下功能并逐条演示，完全满足得2分，部分满足或不满足不得分，演示内容包括：</w:t>
            </w:r>
            <w:r>
              <w:rPr>
                <w:rFonts w:hint="eastAsia" w:ascii="宋体" w:hAnsi="宋体" w:cs="宋体"/>
                <w:color w:val="000000"/>
                <w:sz w:val="24"/>
                <w:highlight w:val="none"/>
                <w:lang w:val="zh-CN"/>
              </w:rPr>
            </w:r>
            <w:r/>
          </w:p>
          <w:p>
            <w:pPr>
              <w:pStyle w:val="1101"/>
              <w:rPr>
                <w:rFonts w:hint="eastAsia" w:ascii="宋体" w:hAnsi="宋体" w:cs="宋体"/>
                <w:sz w:val="24"/>
                <w:highlight w:val="none"/>
              </w:rPr>
            </w:pPr>
            <w:r>
              <w:rPr>
                <w:rFonts w:hint="eastAsia" w:ascii="宋体" w:hAnsi="宋体" w:cs="宋体"/>
                <w:sz w:val="24"/>
                <w:highlight w:val="none"/>
              </w:rPr>
              <w:t xml:space="preserve">（1）需支持60种以上基本图形、40种以上通用图形、40种以上高级图形、30种以上流程图图形，需支持通过快捷键快速插入矩形、椭圆形、菱形、线条、备注、文本等内容，需支持对外观、主题、自适应颜色等进行设置；</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（2）在绘图区域支持对网格、页面视图、背景色、阴影、连接箭头、连接点、参考线等进行勾选，支持背景更改，选择页面尺寸等操作；在样式区域可选择20种以上样式；</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（3）需支持导出PNG、JPEG、SVG等格式文件；</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（4）需支持对布局进行设置，包括水平流、垂直流、水平树、垂直树、径向树、力导向图、组织结构图等；</w:t>
            </w:r>
            <w:r>
              <w:rPr>
                <w:rFonts w:hint="eastAsia" w:ascii="宋体" w:hAnsi="宋体" w:cs="宋体"/>
                <w:sz w:val="24"/>
                <w:highlight w:val="none"/>
              </w:rPr>
            </w:r>
            <w:r/>
          </w:p>
          <w:p>
            <w:pPr>
              <w:pStyle w:val="1101"/>
              <w:ind w:right="173"/>
              <w:rPr>
                <w:rFonts w:hint="eastAsia" w:ascii="宋体" w:hAnsi="宋体" w:cs="宋体"/>
                <w:color w:val="000000"/>
                <w:sz w:val="24"/>
                <w:highlight w:val="none"/>
                <w:lang w:val="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.投标人根据招标文件要求演示 “数字智能运维控制平台”中“供料单元”里的“可编程逻辑控制器”下的“PLC智能编程助手”，包括以下功能并逐条演示，完全满足得2分，部分满足或不满足不得分，演示内容包括：</w:t>
            </w:r>
            <w:r>
              <w:rPr>
                <w:rFonts w:hint="eastAsia" w:ascii="宋体" w:hAnsi="宋体" w:cs="宋体"/>
                <w:color w:val="000000"/>
                <w:sz w:val="24"/>
                <w:highlight w:val="none"/>
                <w:lang w:val="zh-CN"/>
              </w:rPr>
            </w:r>
            <w:r/>
          </w:p>
          <w:p>
            <w:pPr>
              <w:pStyle w:val="1101"/>
              <w:ind w:right="173"/>
              <w:rPr>
                <w:rFonts w:hint="eastAsia" w:ascii="宋体" w:hAnsi="宋体" w:cs="宋体"/>
                <w:color w:val="000000"/>
                <w:sz w:val="24"/>
                <w:highlight w:val="none"/>
              </w:rPr>
            </w:pPr>
            <w:r>
              <w:rPr>
                <w:rFonts w:hint="eastAsia" w:ascii="宋体" w:hAnsi="宋体" w:cs="宋体"/>
                <w:color w:val="000000"/>
                <w:sz w:val="24"/>
                <w:highlight w:val="none"/>
              </w:rPr>
              <w:t xml:space="preserve">（1）需支持系统自动拼接提示词来实现PLC代码的自动生成，生成的程序需支持以.st、.xml、.XPL等格式下载到本地路径下，程序生成的同时可自动生成对应的I/O表（I/O表支持以Excel的方式导出到本地路径下），导出的I/O表可再导入到可编程控制器的编程软件中，通过微调程序完成平台代码的编写；需支持对大模型回答后的内容进行选中，选中后系统自动弹出询问和解释按钮，点击解释按钮系统自动完成对选中部分内容的解释，点击询问按钮后可对选中的内容进行进一步提问，解释和进一步询问后回答的内容需以中文显示；</w:t>
            </w:r>
            <w:r>
              <w:rPr>
                <w:rFonts w:hint="eastAsia" w:ascii="宋体" w:hAnsi="宋体" w:cs="宋体"/>
                <w:color w:val="000000"/>
                <w:sz w:val="24"/>
                <w:highlight w:val="none"/>
              </w:rPr>
            </w:r>
            <w:r/>
          </w:p>
          <w:p>
            <w:pPr>
              <w:pStyle w:val="1101"/>
              <w:ind w:right="173"/>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t xml:space="preserve">需支持进行知识库的创建，可创建编程知识库，创建过程中应具备知识库的权限分配功能，已创建的知识库应具备上传文件（支持PDF、Word等）、上传目录、添加文本内容等功能，同时系统可对上传文件的内容进行自动解析，解析后的文件内容支持编辑与再次保存；需支持以字符或Token的方式设置文本切分器中的块大小和块重叠数量，可自定义语义向量模型，支持混合搜索，在混合搜索模式下，支持重排模型、前K个检索结果、最低分等参数的自定义，在问答时，可通过知识库检索得到在最低分之上的内容，同时支持文件最大上传大小和最大上传数量的设置；</w:t>
            </w:r>
            <w:r>
              <w:rPr>
                <w:rFonts w:hint="eastAsia" w:ascii="宋体" w:hAnsi="宋体" w:cs="宋体"/>
                <w:color w:val="000000"/>
                <w:sz w:val="24"/>
                <w:highlight w:val="none"/>
              </w:rPr>
            </w:r>
            <w:r/>
          </w:p>
          <w:p>
            <w:pPr>
              <w:pStyle w:val="1101"/>
              <w:ind w:right="173"/>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3.投标人根据招标文件要求演示 “数字智能运维控制平台”中“综合实训单元2”里的“工业机器人”下的“机器人控制系统”，包括以下功能并逐条演示，完全满足得2分，部分满足或不满足不得分，演示内容包括：</w:t>
            </w:r>
            <w:r>
              <w:rPr>
                <w:rFonts w:hint="eastAsia" w:ascii="宋体" w:hAnsi="宋体" w:cs="宋体"/>
                <w:color w:val="000000"/>
                <w:sz w:val="24"/>
                <w:highlight w:val="none"/>
                <w:lang w:val="zh-CN"/>
              </w:rPr>
            </w:r>
            <w:r/>
          </w:p>
          <w:p>
            <w:pPr>
              <w:pStyle w:val="1101"/>
              <w:rPr>
                <w:rFonts w:hint="eastAsia" w:ascii="宋体" w:hAnsi="宋体" w:cs="宋体"/>
                <w:sz w:val="24"/>
                <w:highlight w:val="none"/>
              </w:rPr>
            </w:pPr>
            <w:r>
              <w:rPr>
                <w:rFonts w:hint="eastAsia" w:ascii="宋体" w:hAnsi="宋体" w:cs="宋体"/>
                <w:sz w:val="24"/>
                <w:highlight w:val="none"/>
              </w:rPr>
              <w:t xml:space="preserve">（1）需支持数据集以单张或多张图像同时上传的方式（图像包含png、jpeg、jpg等格式），系统内置数据标注功能，生成图像对应的txt标签信息文件可根据需求选择存储路径，需支持通过点击上一张或下一张按钮完成数据集图像的切换，需支持通过删除区域按钮删除当前图像中已选择的区域，需支持界面中标签列表的内容以不同颜色显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需支持对提供的视觉手势识别模型进行二次训练，将类别数量、类别名称、迭代次数、批次大小、训练集路径、验证集路径等参数配置完成后，通过点击开始训练按钮进行模型训练；需支持以矩阵表格、折线图、柱状图、散点图、热力图等方式显示训练结果；</w:t>
            </w:r>
            <w:r>
              <w:rPr>
                <w:rFonts w:hint="eastAsia" w:ascii="宋体" w:hAnsi="宋体" w:cs="宋体"/>
                <w:sz w:val="24"/>
                <w:highlight w:val="none"/>
              </w:rPr>
            </w:r>
            <w:r/>
          </w:p>
          <w:p>
            <w:pPr>
              <w:pStyle w:val="1101"/>
              <w:ind w:right="173"/>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4.投标人根据招标文件要求演示 “数字智能运维控制平台”中“</w:t>
            </w:r>
            <w:r>
              <w:rPr>
                <w:rFonts w:hint="eastAsia" w:ascii="宋体" w:hAnsi="宋体" w:cs="宋体"/>
                <w:sz w:val="24"/>
                <w:highlight w:val="none"/>
              </w:rPr>
              <w:t xml:space="preserve">智能产线规划与数字孪生仿真软件</w:t>
            </w:r>
            <w:r>
              <w:rPr>
                <w:rFonts w:hint="eastAsia" w:ascii="宋体" w:hAnsi="宋体" w:cs="宋体"/>
                <w:color w:val="000000"/>
                <w:sz w:val="24"/>
                <w:highlight w:val="none"/>
                <w:lang w:val="zh-CN"/>
              </w:rPr>
              <w:t xml:space="preserve">”里的“教学产线案例”，包括以下功能并逐条演示，完全满足得2分，部分满足或不满足不得分，演示内容包括：</w:t>
            </w:r>
            <w:r>
              <w:rPr>
                <w:rFonts w:hint="eastAsia" w:ascii="宋体" w:hAnsi="宋体" w:cs="宋体"/>
                <w:color w:val="000000"/>
                <w:sz w:val="24"/>
                <w:highlight w:val="none"/>
                <w:lang w:val="zh-CN"/>
              </w:rPr>
            </w:r>
            <w:r/>
          </w:p>
          <w:p>
            <w:pPr>
              <w:pStyle w:val="1101"/>
              <w:ind w:right="173"/>
              <w:rPr>
                <w:rFonts w:hint="eastAsia" w:ascii="宋体" w:hAnsi="宋体" w:cs="宋体"/>
                <w:color w:val="000000"/>
                <w:sz w:val="24"/>
                <w:highlight w:val="none"/>
              </w:rPr>
            </w:pPr>
            <w:r>
              <w:rPr>
                <w:rFonts w:hint="eastAsia" w:ascii="宋体" w:hAnsi="宋体" w:cs="宋体"/>
                <w:color w:val="000000"/>
                <w:sz w:val="24"/>
                <w:highlight w:val="none"/>
              </w:rPr>
              <w:t xml:space="preserve">（1）电弧焊接工艺虚拟仿真教学场景</w:t>
            </w:r>
            <w:r>
              <w:rPr>
                <w:rFonts w:hint="eastAsia" w:ascii="宋体" w:hAnsi="宋体" w:cs="宋体"/>
                <w:color w:val="000000"/>
                <w:sz w:val="24"/>
                <w:highlight w:val="none"/>
              </w:rPr>
            </w:r>
            <w:r/>
          </w:p>
          <w:p>
            <w:pPr>
              <w:pStyle w:val="1101"/>
              <w:ind w:right="173"/>
              <w:rPr>
                <w:rFonts w:hint="eastAsia" w:ascii="宋体" w:hAnsi="宋体" w:cs="宋体"/>
                <w:color w:val="000000"/>
                <w:sz w:val="24"/>
                <w:highlight w:val="none"/>
              </w:rPr>
            </w:pPr>
            <w:r>
              <w:rPr>
                <w:rFonts w:hint="eastAsia" w:ascii="宋体" w:hAnsi="宋体" w:cs="宋体"/>
                <w:color w:val="000000"/>
                <w:sz w:val="24"/>
                <w:highlight w:val="none"/>
              </w:rPr>
              <w:t xml:space="preserve">（2）激光焊接工艺虚拟仿真教学场景 </w:t>
            </w:r>
            <w:r>
              <w:rPr>
                <w:rFonts w:hint="eastAsia" w:ascii="宋体" w:hAnsi="宋体" w:cs="宋体"/>
                <w:color w:val="000000"/>
                <w:sz w:val="24"/>
                <w:highlight w:val="none"/>
              </w:rPr>
            </w:r>
            <w:r/>
          </w:p>
          <w:p>
            <w:pPr>
              <w:pStyle w:val="1101"/>
              <w:ind w:right="173"/>
              <w:rPr>
                <w:rFonts w:hint="eastAsia" w:ascii="宋体" w:hAnsi="宋体" w:cs="宋体"/>
                <w:color w:val="000000"/>
                <w:sz w:val="24"/>
                <w:highlight w:val="none"/>
              </w:rPr>
            </w:pPr>
            <w:r>
              <w:rPr>
                <w:rFonts w:hint="eastAsia" w:ascii="宋体" w:hAnsi="宋体" w:cs="宋体"/>
                <w:color w:val="000000"/>
                <w:sz w:val="24"/>
                <w:highlight w:val="none"/>
              </w:rPr>
              <w:t xml:space="preserve">（3）激光熔覆工艺仿真教学场景 </w:t>
            </w:r>
            <w:r>
              <w:rPr>
                <w:rFonts w:hint="eastAsia" w:ascii="宋体" w:hAnsi="宋体" w:cs="宋体"/>
                <w:color w:val="000000"/>
                <w:sz w:val="24"/>
                <w:highlight w:val="none"/>
              </w:rPr>
            </w:r>
            <w:r/>
          </w:p>
          <w:p>
            <w:pPr>
              <w:pStyle w:val="1101"/>
              <w:ind w:right="173"/>
              <w:rPr>
                <w:rFonts w:hint="eastAsia" w:ascii="宋体" w:hAnsi="宋体" w:cs="宋体"/>
                <w:color w:val="000000"/>
                <w:sz w:val="24"/>
                <w:highlight w:val="none"/>
              </w:rPr>
            </w:pPr>
            <w:r>
              <w:rPr>
                <w:rFonts w:hint="eastAsia" w:ascii="宋体" w:hAnsi="宋体" w:cs="宋体"/>
                <w:color w:val="000000"/>
                <w:sz w:val="24"/>
                <w:highlight w:val="none"/>
              </w:rPr>
              <w:t xml:space="preserve">（4）激光切割工艺仿真教学场景</w:t>
            </w:r>
            <w:r>
              <w:rPr>
                <w:rFonts w:hint="eastAsia" w:ascii="宋体" w:hAnsi="宋体" w:cs="宋体"/>
                <w:color w:val="000000"/>
                <w:sz w:val="24"/>
                <w:highlight w:val="none"/>
              </w:rPr>
            </w:r>
            <w:r/>
          </w:p>
          <w:p>
            <w:pPr>
              <w:pStyle w:val="1101"/>
              <w:ind w:right="173"/>
              <w:rPr>
                <w:rFonts w:hint="eastAsia" w:ascii="宋体" w:hAnsi="宋体" w:cs="宋体"/>
                <w:color w:val="000000"/>
                <w:sz w:val="24"/>
                <w:highlight w:val="none"/>
              </w:rPr>
            </w:pPr>
            <w:r>
              <w:rPr>
                <w:rFonts w:hint="eastAsia" w:ascii="宋体" w:hAnsi="宋体" w:cs="宋体"/>
                <w:color w:val="000000"/>
                <w:sz w:val="24"/>
                <w:highlight w:val="none"/>
              </w:rPr>
              <w:t xml:space="preserve">（5）激光清洗工艺仿真教学场景</w:t>
            </w:r>
            <w:r>
              <w:rPr>
                <w:rFonts w:hint="eastAsia" w:ascii="宋体" w:hAnsi="宋体" w:cs="宋体"/>
                <w:color w:val="000000"/>
                <w:sz w:val="24"/>
                <w:highlight w:val="none"/>
              </w:rPr>
            </w:r>
            <w:r/>
          </w:p>
          <w:p>
            <w:pPr>
              <w:pStyle w:val="1101"/>
              <w:ind w:right="173"/>
              <w:rPr>
                <w:rFonts w:hint="eastAsia" w:ascii="宋体" w:hAnsi="宋体" w:cs="宋体"/>
                <w:color w:val="000000"/>
                <w:sz w:val="24"/>
                <w:highlight w:val="none"/>
              </w:rPr>
            </w:pPr>
            <w:r>
              <w:rPr>
                <w:rFonts w:hint="eastAsia" w:ascii="宋体" w:hAnsi="宋体" w:cs="宋体"/>
                <w:color w:val="000000"/>
                <w:sz w:val="24"/>
                <w:highlight w:val="none"/>
              </w:rPr>
              <w:t xml:space="preserve">（6）打磨抛光工艺虚拟仿真教学场景</w:t>
            </w:r>
            <w:r>
              <w:rPr>
                <w:rFonts w:hint="eastAsia" w:ascii="宋体" w:hAnsi="宋体" w:cs="宋体"/>
                <w:color w:val="000000"/>
                <w:sz w:val="24"/>
                <w:highlight w:val="none"/>
              </w:rPr>
            </w:r>
            <w:r/>
          </w:p>
          <w:p>
            <w:pPr>
              <w:pStyle w:val="1101"/>
              <w:ind w:right="173"/>
              <w:rPr>
                <w:rFonts w:hint="eastAsia" w:ascii="宋体" w:hAnsi="宋体" w:cs="宋体"/>
                <w:color w:val="000000"/>
                <w:sz w:val="24"/>
                <w:highlight w:val="none"/>
              </w:rPr>
            </w:pPr>
            <w:r>
              <w:rPr>
                <w:rFonts w:hint="eastAsia" w:ascii="宋体" w:hAnsi="宋体" w:cs="宋体"/>
                <w:color w:val="000000"/>
                <w:sz w:val="24"/>
                <w:highlight w:val="none"/>
              </w:rPr>
              <w:t xml:space="preserve">（7）喷砂工艺虚拟仿真教学场景</w:t>
            </w:r>
            <w:r>
              <w:rPr>
                <w:rFonts w:hint="eastAsia" w:ascii="宋体" w:hAnsi="宋体" w:cs="宋体"/>
                <w:color w:val="000000"/>
                <w:sz w:val="24"/>
                <w:highlight w:val="none"/>
              </w:rPr>
            </w:r>
            <w:r/>
          </w:p>
          <w:p>
            <w:pPr>
              <w:pStyle w:val="1101"/>
              <w:ind w:right="173"/>
              <w:rPr>
                <w:rFonts w:hint="eastAsia" w:ascii="宋体" w:hAnsi="宋体" w:cs="宋体"/>
                <w:color w:val="000000"/>
                <w:sz w:val="24"/>
                <w:highlight w:val="none"/>
              </w:rPr>
            </w:pPr>
            <w:r>
              <w:rPr>
                <w:rFonts w:hint="eastAsia" w:ascii="宋体" w:hAnsi="宋体" w:cs="宋体"/>
                <w:color w:val="000000"/>
                <w:sz w:val="24"/>
                <w:highlight w:val="none"/>
              </w:rPr>
              <w:t xml:space="preserve">（8）喷丸工艺仿真教学场景</w:t>
            </w:r>
            <w:r>
              <w:rPr>
                <w:rFonts w:hint="eastAsia" w:ascii="宋体" w:hAnsi="宋体" w:cs="宋体"/>
                <w:color w:val="000000"/>
                <w:sz w:val="24"/>
                <w:highlight w:val="none"/>
              </w:rPr>
            </w:r>
            <w:r/>
          </w:p>
          <w:p>
            <w:pPr>
              <w:pStyle w:val="1101"/>
              <w:ind w:right="173"/>
              <w:rPr>
                <w:rFonts w:hint="eastAsia" w:ascii="宋体" w:hAnsi="宋体" w:cs="宋体"/>
                <w:color w:val="000000"/>
                <w:sz w:val="24"/>
                <w:highlight w:val="none"/>
              </w:rPr>
            </w:pPr>
            <w:r>
              <w:rPr>
                <w:rFonts w:hint="eastAsia" w:ascii="宋体" w:hAnsi="宋体" w:cs="宋体"/>
                <w:color w:val="000000"/>
                <w:sz w:val="24"/>
                <w:highlight w:val="none"/>
              </w:rPr>
              <w:t xml:space="preserve">（9）喷涂工艺仿真教学场景</w:t>
            </w:r>
            <w:r>
              <w:rPr>
                <w:rFonts w:hint="eastAsia" w:ascii="宋体" w:hAnsi="宋体" w:cs="宋体"/>
                <w:color w:val="000000"/>
                <w:sz w:val="24"/>
                <w:highlight w:val="none"/>
              </w:rPr>
            </w:r>
            <w:r/>
          </w:p>
          <w:p>
            <w:pPr>
              <w:pStyle w:val="1101"/>
              <w:ind w:right="173"/>
              <w:rPr>
                <w:rFonts w:hint="eastAsia" w:ascii="宋体" w:hAnsi="宋体" w:cs="宋体"/>
                <w:color w:val="000000"/>
                <w:sz w:val="24"/>
                <w:highlight w:val="none"/>
              </w:rPr>
            </w:pPr>
            <w:r>
              <w:rPr>
                <w:rFonts w:hint="eastAsia" w:ascii="宋体" w:hAnsi="宋体" w:cs="宋体"/>
                <w:color w:val="000000"/>
                <w:sz w:val="24"/>
                <w:highlight w:val="none"/>
              </w:rPr>
              <w:t xml:space="preserve">（10）扫描检测工艺虚拟仿真教学场景</w:t>
            </w:r>
            <w:r>
              <w:rPr>
                <w:rFonts w:hint="eastAsia" w:ascii="宋体" w:hAnsi="宋体" w:cs="宋体"/>
                <w:color w:val="000000"/>
                <w:sz w:val="24"/>
                <w:highlight w:val="none"/>
              </w:rPr>
            </w:r>
            <w:r/>
          </w:p>
          <w:p>
            <w:pPr>
              <w:pStyle w:val="1101"/>
              <w:ind w:right="173"/>
              <w:rPr>
                <w:rFonts w:hint="eastAsia" w:ascii="宋体" w:hAnsi="宋体" w:cs="宋体"/>
                <w:color w:val="000000"/>
                <w:sz w:val="24"/>
                <w:highlight w:val="none"/>
              </w:rPr>
            </w:pPr>
            <w:r>
              <w:rPr>
                <w:rFonts w:hint="eastAsia" w:ascii="宋体" w:hAnsi="宋体" w:cs="宋体"/>
                <w:color w:val="000000"/>
                <w:sz w:val="24"/>
                <w:highlight w:val="none"/>
              </w:rPr>
              <w:t xml:space="preserve">（11）汽车行业仿真教学场景</w:t>
            </w:r>
            <w:r>
              <w:rPr>
                <w:rFonts w:hint="eastAsia" w:ascii="宋体" w:hAnsi="宋体" w:cs="宋体"/>
                <w:color w:val="000000"/>
                <w:sz w:val="24"/>
                <w:highlight w:val="none"/>
              </w:rPr>
            </w:r>
            <w:r/>
          </w:p>
          <w:p>
            <w:pPr>
              <w:pStyle w:val="1101"/>
              <w:ind w:right="173"/>
              <w:rPr>
                <w:rFonts w:hint="eastAsia" w:ascii="宋体" w:hAnsi="宋体" w:cs="宋体"/>
                <w:color w:val="000000"/>
                <w:sz w:val="24"/>
                <w:highlight w:val="none"/>
              </w:rPr>
            </w:pPr>
            <w:r>
              <w:rPr>
                <w:rFonts w:hint="eastAsia" w:ascii="宋体" w:hAnsi="宋体" w:cs="宋体"/>
                <w:color w:val="000000"/>
                <w:sz w:val="24"/>
                <w:highlight w:val="none"/>
              </w:rPr>
              <w:t xml:space="preserve">（12）物流行业仿真教学场景</w:t>
            </w:r>
            <w:r>
              <w:rPr>
                <w:rFonts w:hint="eastAsia" w:ascii="宋体" w:hAnsi="宋体" w:cs="宋体"/>
                <w:color w:val="000000"/>
                <w:sz w:val="24"/>
                <w:highlight w:val="none"/>
              </w:rPr>
            </w:r>
            <w:r/>
          </w:p>
          <w:p>
            <w:pPr>
              <w:pStyle w:val="1101"/>
              <w:ind w:right="173"/>
              <w:rPr>
                <w:rFonts w:hint="eastAsia" w:ascii="宋体" w:hAnsi="宋体" w:cs="宋体"/>
                <w:color w:val="000000"/>
                <w:sz w:val="24"/>
                <w:highlight w:val="none"/>
              </w:rPr>
            </w:pPr>
            <w:r>
              <w:rPr>
                <w:rFonts w:hint="eastAsia" w:ascii="宋体" w:hAnsi="宋体" w:cs="宋体"/>
                <w:color w:val="000000"/>
                <w:sz w:val="24"/>
                <w:highlight w:val="none"/>
              </w:rPr>
              <w:t xml:space="preserve">（13）航空航天行业仿真教学场景</w:t>
            </w:r>
            <w:r>
              <w:rPr>
                <w:rFonts w:hint="eastAsia" w:ascii="宋体" w:hAnsi="宋体" w:cs="宋体"/>
                <w:color w:val="000000"/>
                <w:sz w:val="24"/>
                <w:highlight w:val="none"/>
              </w:rPr>
            </w:r>
            <w:r/>
          </w:p>
          <w:p>
            <w:pPr>
              <w:pStyle w:val="1101"/>
              <w:ind w:right="173"/>
              <w:rPr>
                <w:rFonts w:hint="eastAsia" w:ascii="宋体" w:hAnsi="宋体" w:cs="宋体"/>
                <w:color w:val="000000"/>
                <w:sz w:val="24"/>
                <w:highlight w:val="none"/>
              </w:rPr>
            </w:pPr>
            <w:r>
              <w:rPr>
                <w:rFonts w:hint="eastAsia" w:ascii="宋体" w:hAnsi="宋体" w:cs="宋体"/>
                <w:color w:val="000000"/>
                <w:sz w:val="24"/>
                <w:highlight w:val="none"/>
              </w:rPr>
              <w:t xml:space="preserve">（14）复合材料行业仿真教学场景</w:t>
            </w:r>
            <w:r>
              <w:rPr>
                <w:rFonts w:hint="eastAsia" w:ascii="宋体" w:hAnsi="宋体" w:cs="宋体"/>
                <w:color w:val="000000"/>
                <w:sz w:val="24"/>
                <w:highlight w:val="none"/>
              </w:rPr>
            </w:r>
            <w:r/>
          </w:p>
          <w:p>
            <w:pPr>
              <w:pStyle w:val="1101"/>
              <w:ind w:right="173"/>
              <w:rPr>
                <w:rFonts w:hint="eastAsia" w:ascii="宋体" w:hAnsi="宋体" w:cs="宋体"/>
                <w:color w:val="000000"/>
                <w:sz w:val="24"/>
                <w:highlight w:val="none"/>
              </w:rPr>
            </w:pPr>
            <w:r>
              <w:rPr>
                <w:rFonts w:hint="eastAsia" w:ascii="宋体" w:hAnsi="宋体" w:cs="宋体"/>
                <w:color w:val="000000"/>
                <w:sz w:val="24"/>
                <w:highlight w:val="none"/>
              </w:rPr>
              <w:t xml:space="preserve">（15）虚拟调试仿真教学场景</w:t>
            </w:r>
            <w:r>
              <w:rPr>
                <w:rFonts w:hint="eastAsia" w:ascii="宋体" w:hAnsi="宋体" w:cs="宋体"/>
                <w:color w:val="000000"/>
                <w:sz w:val="24"/>
                <w:highlight w:val="none"/>
              </w:rPr>
            </w:r>
            <w:r/>
          </w:p>
          <w:p>
            <w:pPr>
              <w:pStyle w:val="1101"/>
              <w:ind w:right="173"/>
              <w:rPr>
                <w:rFonts w:hint="eastAsia" w:ascii="宋体" w:hAnsi="宋体" w:cs="宋体"/>
                <w:color w:val="000000"/>
                <w:sz w:val="24"/>
                <w:highlight w:val="none"/>
                <w:lang w:val="zh-CN"/>
              </w:rPr>
            </w:pPr>
            <w:r>
              <w:rPr>
                <w:rFonts w:hint="eastAsia" w:ascii="宋体" w:hAnsi="宋体" w:cs="宋体"/>
                <w:color w:val="000000"/>
                <w:sz w:val="24"/>
                <w:highlight w:val="none"/>
              </w:rPr>
              <w:t xml:space="preserve">5.</w:t>
            </w:r>
            <w:r>
              <w:rPr>
                <w:rFonts w:hint="eastAsia" w:ascii="宋体" w:hAnsi="宋体" w:cs="宋体"/>
                <w:color w:val="000000"/>
                <w:sz w:val="24"/>
                <w:highlight w:val="none"/>
                <w:lang w:val="zh-CN"/>
              </w:rPr>
              <w:t xml:space="preserve">投标人根据招标文件要求演示 “数字智能运维控制平台”中“教学资源”里的“在线教学平台”，包括以下功能并逐条演示，完全满足得2分，部分满足或不满足不得分，演示内容包括：</w:t>
            </w:r>
            <w:r>
              <w:rPr>
                <w:rFonts w:hint="eastAsia" w:ascii="宋体" w:hAnsi="宋体" w:cs="宋体"/>
                <w:color w:val="000000"/>
                <w:sz w:val="24"/>
                <w:highlight w:val="none"/>
                <w:lang w:val="zh-CN"/>
              </w:rPr>
            </w:r>
            <w:r/>
          </w:p>
          <w:p>
            <w:pPr>
              <w:pStyle w:val="1101"/>
              <w:ind w:right="173"/>
              <w:rPr>
                <w:rFonts w:hint="eastAsia" w:ascii="宋体" w:hAnsi="宋体" w:cs="宋体"/>
                <w:color w:val="000000"/>
                <w:sz w:val="24"/>
                <w:highlight w:val="none"/>
              </w:rPr>
            </w:pPr>
            <w:r>
              <w:rPr>
                <w:rFonts w:hint="eastAsia" w:ascii="宋体" w:hAnsi="宋体" w:cs="宋体"/>
                <w:sz w:val="24"/>
                <w:highlight w:val="none"/>
              </w:rPr>
              <w:t xml:space="preserve">（</w:t>
            </w:r>
            <w:r>
              <w:rPr>
                <w:rFonts w:hint="eastAsia" w:ascii="宋体" w:hAnsi="宋体" w:cs="宋体"/>
                <w:sz w:val="24"/>
                <w:highlight w:val="none"/>
              </w:rPr>
              <w:t xml:space="preserve">1）为满足在线练习、线上作业和在线考试等教学需求，需提供作业和考试功能，教师可创建作业并发送给所在教学班，作业可通过附件形式下发，也可直接从试题库中进行选择。考试需包含平时测验、期中考试、期末考试等类型，在线考试、线下考试等形式，考试可从试卷库中进行选择，也可从题库中选题生成考试内容，或者根据章节进行随机生成。所有教学班可统一进行考试，也可将不同教学班分为不同时间进行考试。考试功能配备防作弊机制，可防止考生多次进入或查看试卷。同时需配备练考功能，教师可根据难易程度、题型设置模拟考试题，方便学生进行考前模拟。</w:t>
            </w:r>
            <w:r>
              <w:rPr>
                <w:rFonts w:hint="eastAsia" w:ascii="宋体" w:hAnsi="宋体" w:cs="宋体"/>
                <w:color w:val="000000"/>
                <w:sz w:val="24"/>
                <w:highlight w:val="none"/>
              </w:rPr>
            </w:r>
            <w:r/>
          </w:p>
          <w:p>
            <w:pPr>
              <w:pStyle w:val="1101"/>
              <w:rPr>
                <w:rFonts w:hint="eastAsia" w:ascii="宋体" w:hAnsi="宋体" w:cs="宋体"/>
                <w:b/>
                <w:bCs/>
                <w:sz w:val="24"/>
                <w:highlight w:val="none"/>
              </w:rPr>
            </w:pPr>
            <w:r>
              <w:rPr>
                <w:rFonts w:hint="eastAsia" w:ascii="宋体" w:hAnsi="宋体" w:cs="宋体"/>
                <w:sz w:val="24"/>
                <w:highlight w:val="none"/>
              </w:rPr>
              <w:t xml:space="preserve">（2）为满足教师教学管理的需求，需配备教学大数据可视化平台，能够从平台上直观地观察到资源设置情况、试题分布情况、登录次数、模块数量设置、教学任务设置、作业、考试次数、考勤情况、资源分布情况等信息。</w:t>
            </w:r>
            <w:r>
              <w:rPr>
                <w:rFonts w:hint="eastAsia" w:ascii="宋体" w:hAnsi="宋体" w:cs="宋体"/>
                <w:b/>
                <w:bCs/>
                <w:sz w:val="24"/>
                <w:highlight w:val="none"/>
              </w:rPr>
            </w:r>
            <w:r/>
          </w:p>
        </w:tc>
      </w:tr>
      <w:tr>
        <w:trPr>
          <w:trHeight w:val="90"/>
        </w:trPr>
        <w:tc>
          <w:tcPr>
            <w:tcW w:w="576" w:type="dxa"/>
            <w:vAlign w:val="center"/>
            <w:textDirection w:val="lrTb"/>
            <w:noWrap w:val="false"/>
          </w:tcPr>
          <w:p>
            <w:pPr>
              <w:pStyle w:val="1113"/>
              <w:jc w:val="center"/>
              <w:spacing w:before="0" w:line="240" w:lineRule="auto"/>
              <w:tabs>
                <w:tab w:val="left" w:pos="567" w:leader="none"/>
              </w:tabs>
              <w:rPr>
                <w:rFonts w:hint="eastAsia" w:cs="宋体"/>
                <w:highlight w:val="none"/>
              </w:rPr>
            </w:pPr>
            <w:r>
              <w:rPr>
                <w:rFonts w:hint="eastAsia" w:cs="宋体"/>
                <w:highlight w:val="none"/>
              </w:rPr>
              <w:t xml:space="preserve">3.5</w:t>
            </w:r>
            <w:r>
              <w:rPr>
                <w:rFonts w:hint="eastAsia" w:cs="宋体"/>
                <w:highlight w:val="none"/>
              </w:rPr>
            </w:r>
            <w:r/>
          </w:p>
        </w:tc>
        <w:tc>
          <w:tcPr>
            <w:tcW w:w="855"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lang w:bidi="ar"/>
              </w:rPr>
              <w:t xml:space="preserve">政府采购政策功能性得分</w:t>
            </w:r>
            <w:r>
              <w:rPr>
                <w:rFonts w:hint="eastAsia" w:ascii="宋体" w:hAnsi="宋体" w:cs="宋体"/>
                <w:sz w:val="24"/>
                <w:highlight w:val="none"/>
              </w:rPr>
            </w:r>
            <w:r/>
          </w:p>
        </w:tc>
        <w:tc>
          <w:tcPr>
            <w:tcW w:w="576" w:type="dxa"/>
            <w:vAlign w:val="center"/>
            <w:textDirection w:val="lrTb"/>
            <w:noWrap w:val="false"/>
          </w:tcPr>
          <w:p>
            <w:pPr>
              <w:pStyle w:val="1101"/>
              <w:ind w:firstLine="28"/>
              <w:jc w:val="center"/>
              <w:rPr>
                <w:rFonts w:hint="eastAsia" w:ascii="宋体" w:hAnsi="宋体" w:cs="宋体"/>
                <w:sz w:val="24"/>
                <w:highlight w:val="none"/>
              </w:rPr>
            </w:pPr>
            <w:r>
              <w:rPr>
                <w:rFonts w:hint="eastAsia" w:ascii="宋体" w:hAnsi="宋体" w:cs="宋体"/>
                <w:sz w:val="24"/>
                <w:highlight w:val="none"/>
                <w:lang w:bidi="ar"/>
              </w:rPr>
              <w:t xml:space="preserve">1</w:t>
            </w:r>
            <w:r>
              <w:rPr>
                <w:rFonts w:hint="eastAsia" w:ascii="宋体" w:hAnsi="宋体" w:cs="宋体"/>
                <w:sz w:val="24"/>
                <w:highlight w:val="none"/>
              </w:rPr>
            </w:r>
            <w:r/>
          </w:p>
        </w:tc>
        <w:tc>
          <w:tcPr>
            <w:tcW w:w="7282" w:type="dxa"/>
            <w:vAlign w:val="center"/>
            <w:textDirection w:val="lrTb"/>
            <w:noWrap w:val="false"/>
          </w:tcPr>
          <w:p>
            <w:pPr>
              <w:pStyle w:val="1101"/>
              <w:jc w:val="left"/>
              <w:rPr>
                <w:rFonts w:hint="eastAsia" w:ascii="宋体" w:hAnsi="宋体" w:cs="宋体"/>
                <w:sz w:val="24"/>
                <w:highlight w:val="none"/>
                <w:lang w:bidi="ar"/>
              </w:rPr>
            </w:pPr>
            <w:r>
              <w:rPr>
                <w:rFonts w:hint="eastAsia" w:ascii="宋体" w:hAnsi="宋体" w:cs="宋体"/>
                <w:sz w:val="24"/>
                <w:highlight w:val="none"/>
                <w:lang w:bidi="ar"/>
              </w:rPr>
              <w:t xml:space="preserve">1.投标产品属于财政部、国家发改委公布的“节能产品品目清单”范围内的，投标人提供国家确定的认证机构出具的、处于有效期之内的该节能产品认证证书复印件的，得0.5分。</w:t>
            </w:r>
            <w:r>
              <w:rPr>
                <w:rFonts w:hint="eastAsia" w:ascii="宋体" w:hAnsi="宋体" w:cs="宋体"/>
                <w:sz w:val="24"/>
                <w:highlight w:val="none"/>
                <w:lang w:bidi="ar"/>
              </w:rPr>
            </w:r>
            <w:r/>
          </w:p>
          <w:p>
            <w:pPr>
              <w:pStyle w:val="1101"/>
              <w:jc w:val="left"/>
              <w:rPr>
                <w:rFonts w:hint="eastAsia" w:ascii="宋体" w:hAnsi="宋体" w:cs="宋体"/>
                <w:sz w:val="24"/>
                <w:highlight w:val="none"/>
              </w:rPr>
            </w:pPr>
            <w:r>
              <w:rPr>
                <w:rFonts w:hint="eastAsia" w:ascii="宋体" w:hAnsi="宋体" w:cs="宋体"/>
                <w:sz w:val="24"/>
                <w:highlight w:val="none"/>
                <w:lang w:bidi="ar"/>
              </w:rPr>
              <w:t xml:space="preserve">2.投标产品属于财政部、生态环境部公布的“环境标志产品品目清单”范围内的，投标人提供国家确定的认证机构出具的、处于有效期内的该投标产品环境标志产品认证证书复印件的，得0.5分。</w:t>
            </w:r>
            <w:r>
              <w:rPr>
                <w:rFonts w:hint="eastAsia" w:ascii="宋体" w:hAnsi="宋体" w:cs="宋体"/>
                <w:sz w:val="24"/>
                <w:highlight w:val="none"/>
              </w:rPr>
            </w:r>
            <w:r/>
          </w:p>
        </w:tc>
      </w:tr>
      <w:tr>
        <w:trPr>
          <w:trHeight w:val="283"/>
        </w:trPr>
        <w:tc>
          <w:tcPr>
            <w:gridSpan w:val="2"/>
            <w:tcW w:w="1431" w:type="dxa"/>
            <w:vAlign w:val="center"/>
            <w:textDirection w:val="lrTb"/>
            <w:noWrap w:val="false"/>
          </w:tcPr>
          <w:p>
            <w:pPr>
              <w:pStyle w:val="1113"/>
              <w:jc w:val="center"/>
              <w:spacing w:before="0" w:line="240" w:lineRule="auto"/>
              <w:tabs>
                <w:tab w:val="left" w:pos="567" w:leader="none"/>
              </w:tabs>
              <w:rPr>
                <w:rFonts w:hint="eastAsia" w:cs="宋体"/>
                <w:highlight w:val="none"/>
              </w:rPr>
            </w:pPr>
            <w:r>
              <w:rPr>
                <w:rFonts w:hint="eastAsia" w:cs="宋体"/>
                <w:highlight w:val="none"/>
              </w:rPr>
              <w:t xml:space="preserve">合计</w:t>
            </w:r>
            <w:r>
              <w:rPr>
                <w:rFonts w:hint="eastAsia" w:cs="宋体"/>
                <w:highlight w:val="none"/>
              </w:rPr>
            </w:r>
            <w:r/>
          </w:p>
        </w:tc>
        <w:tc>
          <w:tcPr>
            <w:tcW w:w="576" w:type="dxa"/>
            <w:vAlign w:val="center"/>
            <w:textDirection w:val="lrTb"/>
            <w:noWrap w:val="false"/>
          </w:tcPr>
          <w:p>
            <w:pPr>
              <w:pStyle w:val="1113"/>
              <w:jc w:val="center"/>
              <w:spacing w:before="0" w:line="240" w:lineRule="auto"/>
              <w:tabs>
                <w:tab w:val="left" w:pos="567" w:leader="none"/>
              </w:tabs>
              <w:rPr>
                <w:rFonts w:hint="eastAsia" w:cs="宋体"/>
                <w:highlight w:val="none"/>
              </w:rPr>
            </w:pPr>
            <w:r>
              <w:rPr>
                <w:rFonts w:hint="eastAsia" w:cs="宋体"/>
                <w:highlight w:val="none"/>
              </w:rPr>
              <w:t xml:space="preserve">100</w:t>
            </w:r>
            <w:r>
              <w:rPr>
                <w:rFonts w:hint="eastAsia" w:cs="宋体"/>
                <w:highlight w:val="none"/>
              </w:rPr>
            </w:r>
            <w:r/>
          </w:p>
        </w:tc>
        <w:tc>
          <w:tcPr>
            <w:tcW w:w="7282" w:type="dxa"/>
            <w:vAlign w:val="center"/>
            <w:textDirection w:val="lrTb"/>
            <w:noWrap w:val="false"/>
          </w:tcPr>
          <w:p>
            <w:pPr>
              <w:pStyle w:val="1113"/>
              <w:spacing w:before="0" w:line="240" w:lineRule="auto"/>
              <w:tabs>
                <w:tab w:val="left" w:pos="567" w:leader="none"/>
              </w:tabs>
              <w:rPr>
                <w:rFonts w:hint="eastAsia" w:cs="宋体"/>
                <w:highlight w:val="none"/>
              </w:rPr>
            </w:pPr>
            <w:r>
              <w:rPr>
                <w:rFonts w:hint="eastAsia" w:cs="宋体"/>
                <w:highlight w:val="none"/>
              </w:rPr>
            </w:r>
            <w:r/>
          </w:p>
        </w:tc>
      </w:tr>
    </w:tbl>
    <w:p>
      <w:pPr>
        <w:pStyle w:val="1101"/>
        <w:jc w:val="center"/>
        <w:spacing w:line="360" w:lineRule="auto"/>
        <w:rPr>
          <w:sz w:val="24"/>
          <w:highlight w:val="none"/>
        </w:rPr>
        <w:outlineLvl w:val="0"/>
      </w:pPr>
      <w:r/>
      <w:bookmarkStart w:id="384" w:name="_Toc9184"/>
      <w:r>
        <w:rPr>
          <w:b/>
          <w:sz w:val="36"/>
          <w:szCs w:val="36"/>
          <w:highlight w:val="none"/>
        </w:rPr>
        <w:br w:type="page" w:clear="all"/>
      </w:r>
      <w:r>
        <w:rPr>
          <w:b/>
          <w:sz w:val="36"/>
          <w:szCs w:val="36"/>
          <w:highlight w:val="none"/>
        </w:rPr>
        <w:t xml:space="preserve">第五章   采购需求</w:t>
      </w:r>
      <w:bookmarkEnd w:id="384"/>
      <w:r>
        <w:rPr>
          <w:sz w:val="24"/>
          <w:highlight w:val="none"/>
        </w:rPr>
      </w:r>
      <w:r/>
    </w:p>
    <w:p>
      <w:pPr>
        <w:pStyle w:val="1101"/>
        <w:contextualSpacing/>
        <w:ind w:firstLine="482"/>
        <w:spacing w:line="400" w:lineRule="exact"/>
        <w:rPr>
          <w:rFonts w:ascii="宋体" w:hAnsi="宋体" w:cs="宋体"/>
          <w:b/>
          <w:sz w:val="24"/>
          <w:highlight w:val="none"/>
        </w:rPr>
      </w:pPr>
      <w:r>
        <w:rPr>
          <w:rFonts w:hint="eastAsia" w:ascii="宋体" w:hAnsi="宋体" w:cs="宋体"/>
          <w:b/>
          <w:sz w:val="24"/>
          <w:highlight w:val="none"/>
        </w:rPr>
        <w:t xml:space="preserve">一、项目概述</w:t>
      </w:r>
      <w:r>
        <w:rPr>
          <w:rFonts w:ascii="宋体" w:hAnsi="宋体" w:cs="宋体"/>
          <w:b/>
          <w:sz w:val="24"/>
          <w:highlight w:val="none"/>
        </w:rPr>
      </w:r>
      <w:r/>
    </w:p>
    <w:p>
      <w:pPr>
        <w:pStyle w:val="1101"/>
        <w:ind w:firstLine="480"/>
        <w:spacing w:line="400" w:lineRule="exact"/>
        <w:rPr>
          <w:rFonts w:hint="eastAsia"/>
          <w:bCs/>
          <w:sz w:val="24"/>
          <w:highlight w:val="none"/>
        </w:rPr>
      </w:pPr>
      <w:r>
        <w:rPr>
          <w:rFonts w:hint="eastAsia" w:ascii="宋体" w:hAnsi="宋体" w:cs="宋体"/>
          <w:sz w:val="24"/>
          <w:highlight w:val="none"/>
        </w:rPr>
        <w:t xml:space="preserve">1.采购标的：为加强专业建设，进一步完善构建机电复合型高技能人才培养专业课程体系，扎实推进教学改革，契合行业与技术发展对人才培养质量的需求，拟建设机电设备智能技术应用实训室，主要设施设备包含机电一体化智能控制系统、数字智能运维控制平台、工业机器人系统运维训练平台等。</w:t>
      </w:r>
      <w:r>
        <w:rPr>
          <w:rFonts w:hint="eastAsia"/>
          <w:bCs/>
          <w:sz w:val="24"/>
          <w:highlight w:val="none"/>
        </w:rPr>
      </w:r>
      <w:r/>
    </w:p>
    <w:p>
      <w:pPr>
        <w:pStyle w:val="1101"/>
        <w:ind w:firstLine="480"/>
        <w:spacing w:line="400" w:lineRule="exact"/>
        <w:rPr>
          <w:rFonts w:hint="eastAsia" w:ascii="宋体" w:hAnsi="宋体" w:cs="宋体"/>
          <w:sz w:val="24"/>
          <w:highlight w:val="none"/>
        </w:rPr>
      </w:pPr>
      <w:r>
        <w:rPr>
          <w:rFonts w:hint="eastAsia" w:ascii="宋体" w:hAnsi="宋体" w:cs="宋体"/>
          <w:sz w:val="24"/>
          <w:highlight w:val="none"/>
        </w:rPr>
        <w:t xml:space="preserve">2.项目预算金额：人民币350万元；项目最高限价：人民币350万元</w:t>
      </w:r>
      <w:r>
        <w:rPr>
          <w:rFonts w:hint="eastAsia" w:ascii="宋体" w:hAnsi="宋体" w:cs="宋体"/>
          <w:sz w:val="24"/>
          <w:highlight w:val="none"/>
        </w:rPr>
      </w:r>
      <w:r/>
    </w:p>
    <w:p>
      <w:pPr>
        <w:pStyle w:val="1101"/>
        <w:contextualSpacing/>
        <w:ind w:firstLine="482"/>
        <w:spacing w:line="400" w:lineRule="exact"/>
        <w:rPr>
          <w:rFonts w:hint="eastAsia" w:ascii="宋体" w:hAnsi="宋体" w:cs="宋体"/>
          <w:b/>
          <w:sz w:val="24"/>
          <w:highlight w:val="none"/>
        </w:rPr>
      </w:pPr>
      <w:r>
        <w:rPr>
          <w:rFonts w:hint="eastAsia" w:ascii="宋体" w:hAnsi="宋体" w:cs="宋体"/>
          <w:b/>
          <w:sz w:val="24"/>
          <w:highlight w:val="none"/>
        </w:rPr>
        <w:t xml:space="preserve">二、政府采购中实施本国产品标准及相关政策</w:t>
      </w:r>
      <w:r>
        <w:rPr>
          <w:rFonts w:hint="eastAsia" w:ascii="宋体" w:hAnsi="宋体" w:cs="宋体"/>
          <w:b/>
          <w:sz w:val="24"/>
          <w:highlight w:val="none"/>
        </w:rPr>
      </w:r>
      <w:r/>
    </w:p>
    <w:p>
      <w:pPr>
        <w:pStyle w:val="1101"/>
        <w:contextualSpacing/>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1.本项目对采购本国产品给予政策支持，具体内容见招标文件“第四章 评标方法与评标标准”。</w:t>
      </w:r>
      <w:r>
        <w:rPr>
          <w:rFonts w:hint="eastAsia" w:ascii="宋体" w:hAnsi="宋体" w:cs="宋体"/>
          <w:bCs/>
          <w:sz w:val="24"/>
          <w:highlight w:val="none"/>
        </w:rPr>
      </w:r>
      <w:r/>
    </w:p>
    <w:p>
      <w:pPr>
        <w:pStyle w:val="1101"/>
        <w:contextualSpacing/>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Cs/>
          <w:sz w:val="24"/>
          <w:highlight w:val="none"/>
        </w:rPr>
      </w:r>
      <w:r/>
    </w:p>
    <w:p>
      <w:pPr>
        <w:pStyle w:val="1101"/>
        <w:contextualSpacing/>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bCs/>
          <w:sz w:val="24"/>
          <w:highlight w:val="none"/>
        </w:rPr>
      </w:r>
      <w:r/>
    </w:p>
    <w:p>
      <w:pPr>
        <w:pStyle w:val="1101"/>
        <w:contextualSpacing/>
        <w:ind w:firstLine="482"/>
        <w:spacing w:line="400" w:lineRule="exact"/>
        <w:rPr>
          <w:rFonts w:ascii="宋体" w:hAnsi="宋体" w:cs="宋体"/>
          <w:b/>
          <w:sz w:val="24"/>
          <w:highlight w:val="none"/>
        </w:rPr>
      </w:pPr>
      <w:r>
        <w:rPr>
          <w:rFonts w:hint="eastAsia" w:ascii="宋体" w:hAnsi="宋体" w:cs="宋体"/>
          <w:b/>
          <w:sz w:val="24"/>
          <w:highlight w:val="none"/>
        </w:rPr>
        <w:t xml:space="preserve">三、商务要求</w:t>
      </w:r>
      <w:r>
        <w:rPr>
          <w:rFonts w:ascii="宋体" w:hAnsi="宋体" w:cs="宋体"/>
          <w:b/>
          <w:sz w:val="24"/>
          <w:highlight w:val="none"/>
        </w:rPr>
      </w:r>
      <w:r/>
    </w:p>
    <w:p>
      <w:pPr>
        <w:pStyle w:val="1101"/>
        <w:contextualSpacing/>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1. 交付的时间和地点</w:t>
      </w:r>
      <w:r>
        <w:rPr>
          <w:rFonts w:hint="eastAsia" w:ascii="宋体" w:hAnsi="宋体" w:cs="宋体"/>
          <w:b/>
          <w:bCs/>
          <w:sz w:val="24"/>
          <w:highlight w:val="none"/>
        </w:rPr>
      </w:r>
      <w:r/>
    </w:p>
    <w:p>
      <w:pPr>
        <w:pStyle w:val="1101"/>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1.1、交货日期：合同签订后，接到采购人通知30天内完成供货、安装、调试并交付使用。</w:t>
      </w:r>
      <w:r>
        <w:rPr>
          <w:rFonts w:hint="eastAsia" w:ascii="宋体" w:hAnsi="宋体" w:cs="宋体"/>
          <w:sz w:val="24"/>
          <w:highlight w:val="none"/>
        </w:rPr>
      </w:r>
      <w:r/>
    </w:p>
    <w:p>
      <w:pPr>
        <w:pStyle w:val="1101"/>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1.2、交货地点：江苏省常州技师学院6号楼四楼。</w:t>
      </w:r>
      <w:r>
        <w:rPr>
          <w:rFonts w:hint="eastAsia" w:ascii="宋体" w:hAnsi="宋体" w:cs="宋体"/>
          <w:sz w:val="24"/>
          <w:highlight w:val="none"/>
        </w:rPr>
      </w:r>
      <w:r/>
    </w:p>
    <w:p>
      <w:pPr>
        <w:pStyle w:val="1101"/>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1.3、交货要求：所提供货物是全新的、未使用过的、原包装未拆封的商品，完全符合采购产品规定的质量、规格和性能的要求，除有特殊要求外，其余均为出厂标准配置，否则采购单位（甲方）有权拒绝验收。 </w:t>
      </w:r>
      <w:r>
        <w:rPr>
          <w:rFonts w:hint="eastAsia" w:ascii="宋体" w:hAnsi="宋体" w:cs="宋体"/>
          <w:sz w:val="24"/>
          <w:highlight w:val="none"/>
        </w:rPr>
      </w:r>
      <w:r/>
    </w:p>
    <w:p>
      <w:pPr>
        <w:pStyle w:val="1101"/>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1.4、其他要求：中标单位保证所提供货物涉及到的知识产权是合法取得，并享有完整的知识产权，不会因为采购单位（甲方）的使用而被责令停止使用、追偿或要求赔偿损失，如出现此情况，一切经济和法律责任均由中标方承担。</w:t>
      </w:r>
      <w:r>
        <w:rPr>
          <w:rFonts w:hint="eastAsia" w:ascii="宋体" w:hAnsi="宋体" w:cs="宋体"/>
          <w:sz w:val="24"/>
          <w:highlight w:val="none"/>
        </w:rPr>
      </w:r>
      <w:r/>
    </w:p>
    <w:p>
      <w:pPr>
        <w:pStyle w:val="1101"/>
        <w:contextualSpacing/>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2. 付款条件</w:t>
      </w:r>
      <w:r>
        <w:rPr>
          <w:rFonts w:hint="eastAsia" w:ascii="宋体" w:hAnsi="宋体" w:cs="宋体"/>
          <w:b/>
          <w:bCs/>
          <w:sz w:val="24"/>
          <w:highlight w:val="none"/>
        </w:rPr>
      </w:r>
      <w:r/>
    </w:p>
    <w:p>
      <w:pPr>
        <w:pStyle w:val="1101"/>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2.1、履约保证金：本项目不收取。  </w:t>
      </w:r>
      <w:r>
        <w:rPr>
          <w:rFonts w:hint="eastAsia" w:ascii="宋体" w:hAnsi="宋体" w:cs="宋体"/>
          <w:sz w:val="24"/>
          <w:highlight w:val="none"/>
        </w:rPr>
      </w:r>
      <w:r/>
    </w:p>
    <w:p>
      <w:pPr>
        <w:pStyle w:val="1101"/>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2.2、本项目以人民币通过转账的方式付款。</w:t>
      </w:r>
      <w:r>
        <w:rPr>
          <w:rFonts w:hint="eastAsia" w:ascii="宋体" w:hAnsi="宋体" w:cs="宋体"/>
          <w:sz w:val="24"/>
          <w:highlight w:val="none"/>
        </w:rPr>
      </w:r>
      <w:r/>
    </w:p>
    <w:p>
      <w:pPr>
        <w:pStyle w:val="1101"/>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2.3、中标单位应向采购单位（甲方）提供下列单据，采购单位（甲方）按合同规定审核后付款：</w:t>
      </w:r>
      <w:r>
        <w:rPr>
          <w:rFonts w:hint="eastAsia" w:ascii="宋体" w:hAnsi="宋体" w:cs="宋体"/>
          <w:sz w:val="24"/>
          <w:highlight w:val="none"/>
        </w:rPr>
      </w:r>
      <w:r/>
    </w:p>
    <w:p>
      <w:pPr>
        <w:pStyle w:val="1101"/>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（1）增值税发票；</w:t>
      </w:r>
      <w:r>
        <w:rPr>
          <w:rFonts w:hint="eastAsia" w:ascii="宋体" w:hAnsi="宋体" w:cs="宋体"/>
          <w:sz w:val="24"/>
          <w:highlight w:val="none"/>
        </w:rPr>
      </w:r>
      <w:r/>
    </w:p>
    <w:p>
      <w:pPr>
        <w:pStyle w:val="1101"/>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（2）制造厂家出具的质量检验证书等；</w:t>
      </w:r>
      <w:r>
        <w:rPr>
          <w:rFonts w:hint="eastAsia" w:ascii="宋体" w:hAnsi="宋体" w:cs="宋体"/>
          <w:sz w:val="24"/>
          <w:highlight w:val="none"/>
        </w:rPr>
      </w:r>
      <w:r/>
    </w:p>
    <w:p>
      <w:pPr>
        <w:pStyle w:val="1101"/>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（3）装箱单；</w:t>
      </w:r>
      <w:r>
        <w:rPr>
          <w:rFonts w:hint="eastAsia" w:ascii="宋体" w:hAnsi="宋体" w:cs="宋体"/>
          <w:sz w:val="24"/>
          <w:highlight w:val="none"/>
        </w:rPr>
      </w:r>
      <w:r/>
    </w:p>
    <w:p>
      <w:pPr>
        <w:pStyle w:val="1101"/>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（4）采购单位加盖公章证明交付使用合格的履约验收单。</w:t>
      </w:r>
      <w:r>
        <w:rPr>
          <w:rFonts w:hint="eastAsia" w:ascii="宋体" w:hAnsi="宋体" w:cs="宋体"/>
          <w:sz w:val="24"/>
          <w:highlight w:val="none"/>
        </w:rPr>
      </w:r>
      <w:r/>
    </w:p>
    <w:p>
      <w:pPr>
        <w:pStyle w:val="1101"/>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2.4、签订合同后，中标人向采购人提供设备、安装完毕并验收合格后，采购人凭收讫货物的验收凭证、验收合格文件等材料在收到中标人提供发票后30天内一次性付清设备款项，即合同金额的100%。</w:t>
      </w:r>
      <w:r>
        <w:rPr>
          <w:rFonts w:hint="eastAsia" w:ascii="宋体" w:hAnsi="宋体" w:cs="宋体"/>
          <w:sz w:val="24"/>
          <w:highlight w:val="none"/>
        </w:rPr>
      </w:r>
      <w:r/>
    </w:p>
    <w:p>
      <w:pPr>
        <w:pStyle w:val="1101"/>
        <w:contextualSpacing/>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3. 包装和运输</w:t>
      </w:r>
      <w:r>
        <w:rPr>
          <w:rFonts w:hint="eastAsia" w:ascii="宋体" w:hAnsi="宋体" w:cs="宋体"/>
          <w:b/>
          <w:bCs/>
          <w:sz w:val="24"/>
          <w:highlight w:val="none"/>
        </w:rPr>
      </w:r>
      <w:r/>
    </w:p>
    <w:p>
      <w:pPr>
        <w:pStyle w:val="1101"/>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3.1、投标人提供的全部货物均应按国家或专业标准保护措施进行包装。该包装应适应于远距离运输、防潮、防震、防锈和防野蛮装卸，以确保货物安全无损运抵指定地点。由于包装不善所引起的货物损失均由投标人承担。</w:t>
      </w:r>
      <w:r>
        <w:rPr>
          <w:rFonts w:hint="eastAsia" w:ascii="宋体" w:hAnsi="宋体" w:cs="宋体"/>
          <w:sz w:val="24"/>
          <w:highlight w:val="none"/>
        </w:rPr>
      </w:r>
      <w:r/>
    </w:p>
    <w:p>
      <w:pPr>
        <w:pStyle w:val="1101"/>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3.2、投标人应负责安排运输并承担运费、装卸费等相关费用。在运输和卸货过程中所涉及的一切安全责任，均由投标人负责。</w:t>
      </w:r>
      <w:r>
        <w:rPr>
          <w:rFonts w:hint="eastAsia" w:ascii="宋体" w:hAnsi="宋体" w:cs="宋体"/>
          <w:sz w:val="24"/>
          <w:highlight w:val="none"/>
        </w:rPr>
      </w:r>
      <w:r/>
    </w:p>
    <w:p>
      <w:pPr>
        <w:pStyle w:val="1101"/>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3.3、须满足《关于印发〈商品包装政府采购需求标准（试行）〉、〈快递包装政府采购需求标准（试行）〉的通知》（财办库﹝2020﹞123号）。</w:t>
      </w:r>
      <w:r>
        <w:rPr>
          <w:rFonts w:hint="eastAsia" w:ascii="宋体" w:hAnsi="宋体" w:cs="宋体"/>
          <w:sz w:val="24"/>
          <w:highlight w:val="none"/>
        </w:rPr>
      </w:r>
      <w:r/>
    </w:p>
    <w:p>
      <w:pPr>
        <w:pStyle w:val="1101"/>
        <w:contextualSpacing/>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4. 售后服务（质保期）</w:t>
      </w:r>
      <w:r>
        <w:rPr>
          <w:rFonts w:hint="eastAsia" w:ascii="宋体" w:hAnsi="宋体" w:cs="宋体"/>
          <w:b/>
          <w:bCs/>
          <w:sz w:val="24"/>
          <w:highlight w:val="none"/>
        </w:rPr>
      </w:r>
      <w:r/>
    </w:p>
    <w:p>
      <w:pPr>
        <w:pStyle w:val="1101"/>
        <w:contextualSpacing/>
        <w:ind w:firstLine="482"/>
        <w:spacing w:line="400" w:lineRule="exact"/>
        <w:rPr>
          <w:rFonts w:hint="eastAsia" w:ascii="宋体" w:hAnsi="宋体" w:cs="宋体"/>
          <w:b/>
          <w:bCs/>
          <w:sz w:val="24"/>
          <w:highlight w:val="none"/>
          <w:u w:val="single"/>
        </w:rPr>
      </w:pPr>
      <w:r>
        <w:rPr>
          <w:rFonts w:hint="eastAsia" w:ascii="宋体" w:hAnsi="宋体" w:cs="宋体"/>
          <w:b/>
          <w:bCs/>
          <w:sz w:val="24"/>
          <w:highlight w:val="none"/>
          <w:u w:val="single"/>
        </w:rPr>
        <w:t xml:space="preserve">★4.1、免费质保期：不少于2年，自验收合格之日起开始计算。软件终身免费升级。</w:t>
      </w:r>
      <w:r>
        <w:rPr>
          <w:rFonts w:hint="eastAsia" w:ascii="宋体" w:hAnsi="宋体" w:cs="宋体"/>
          <w:b/>
          <w:bCs/>
          <w:color w:val="000000"/>
          <w:sz w:val="24"/>
          <w:highlight w:val="none"/>
          <w:u w:val="single"/>
        </w:rPr>
        <w:t xml:space="preserve">投标人应按照国家有关法律法规、“三包”规定以及响应文件中的“售后服务承诺”提供服务。</w:t>
      </w:r>
      <w:r>
        <w:rPr>
          <w:rFonts w:hint="eastAsia" w:ascii="宋体" w:hAnsi="宋体" w:cs="宋体"/>
          <w:b/>
          <w:bCs/>
          <w:sz w:val="24"/>
          <w:highlight w:val="none"/>
          <w:u w:val="single"/>
        </w:rPr>
        <w:t xml:space="preserve">投标文件中提供免费质保承诺。此项为实质性响应条款，如不满足，投标文件将作为无效投标处理。</w:t>
      </w:r>
      <w:r>
        <w:rPr>
          <w:rFonts w:hint="eastAsia" w:ascii="宋体" w:hAnsi="宋体" w:cs="宋体"/>
          <w:b/>
          <w:bCs/>
          <w:sz w:val="24"/>
          <w:highlight w:val="none"/>
          <w:u w:val="single"/>
        </w:rPr>
      </w:r>
      <w:r/>
    </w:p>
    <w:p>
      <w:pPr>
        <w:pStyle w:val="1101"/>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4.2、质保期内，非采购人原因造成货物故障及损坏时，投标人按行业标准提供服务，30天内免费退换。质保期内，投标人在接到采购人通知后2小时内响应，在8小时内赶到现场，48小时内免费予以排除故障、修复或更换零部件，所有费用由投标人承担。</w:t>
      </w:r>
      <w:r>
        <w:rPr>
          <w:rFonts w:hint="eastAsia" w:ascii="宋体" w:hAnsi="宋体" w:cs="宋体"/>
          <w:sz w:val="24"/>
          <w:highlight w:val="none"/>
        </w:rPr>
      </w:r>
      <w:r/>
    </w:p>
    <w:p>
      <w:pPr>
        <w:pStyle w:val="1101"/>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4.3、质保期内，免费提供所有硬件设备的维修及软件维护、升级等技术支持服务；所有设备维修服务、软件维护、升级均为上门服务，由此产生的费用均不再收取。</w:t>
      </w:r>
      <w:r>
        <w:rPr>
          <w:rFonts w:hint="eastAsia" w:ascii="宋体" w:hAnsi="宋体" w:cs="宋体"/>
          <w:sz w:val="24"/>
          <w:highlight w:val="none"/>
        </w:rPr>
      </w:r>
      <w:r/>
    </w:p>
    <w:p>
      <w:pPr>
        <w:pStyle w:val="1101"/>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4.4、技术后援支持服务：为今后招标人系统中主要设备、软件和系统功能扩充、升级提供技术支持服务。</w:t>
      </w:r>
      <w:r>
        <w:rPr>
          <w:rFonts w:hint="eastAsia" w:ascii="宋体" w:hAnsi="宋体" w:cs="宋体"/>
          <w:sz w:val="24"/>
          <w:highlight w:val="none"/>
        </w:rPr>
      </w:r>
      <w:r/>
    </w:p>
    <w:p>
      <w:pPr>
        <w:pStyle w:val="1101"/>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4.5、培训：</w:t>
      </w:r>
      <w:r>
        <w:rPr>
          <w:rFonts w:hint="eastAsia" w:ascii="宋体" w:hAnsi="宋体" w:cs="宋体"/>
          <w:sz w:val="24"/>
          <w:highlight w:val="none"/>
        </w:rPr>
      </w:r>
      <w:r/>
    </w:p>
    <w:p>
      <w:pPr>
        <w:pStyle w:val="1101"/>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（1）中标人完成设备调试后，应提供现场培训教学。</w:t>
      </w:r>
      <w:r>
        <w:rPr>
          <w:rFonts w:hint="eastAsia" w:ascii="宋体" w:hAnsi="宋体" w:cs="宋体"/>
          <w:sz w:val="24"/>
          <w:highlight w:val="none"/>
        </w:rPr>
      </w:r>
      <w:r/>
    </w:p>
    <w:p>
      <w:pPr>
        <w:pStyle w:val="1101"/>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（2）培训内容：设备、软件平台使用。</w:t>
      </w:r>
      <w:r>
        <w:rPr>
          <w:rFonts w:hint="eastAsia" w:ascii="宋体" w:hAnsi="宋体" w:cs="宋体"/>
          <w:sz w:val="24"/>
          <w:highlight w:val="none"/>
        </w:rPr>
      </w:r>
      <w:r/>
    </w:p>
    <w:p>
      <w:pPr>
        <w:pStyle w:val="1101"/>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（3）培训地点：采购人指定地点。</w:t>
      </w:r>
      <w:r>
        <w:rPr>
          <w:rFonts w:hint="eastAsia" w:ascii="宋体" w:hAnsi="宋体" w:cs="宋体"/>
          <w:sz w:val="24"/>
          <w:highlight w:val="none"/>
        </w:rPr>
      </w:r>
      <w:r/>
    </w:p>
    <w:p>
      <w:pPr>
        <w:pStyle w:val="1101"/>
        <w:ind w:firstLine="480"/>
        <w:spacing w:line="400" w:lineRule="exact"/>
        <w:widowControl/>
        <w:rPr>
          <w:rFonts w:ascii="宋体" w:hAnsi="宋体" w:cs="宋体"/>
          <w:sz w:val="24"/>
          <w:highlight w:val="none"/>
        </w:rPr>
      </w:pPr>
      <w:r>
        <w:rPr>
          <w:rFonts w:hint="eastAsia" w:ascii="宋体" w:hAnsi="宋体" w:cs="宋体"/>
          <w:sz w:val="24"/>
          <w:highlight w:val="none"/>
        </w:rPr>
        <w:t xml:space="preserve">4.6、质保期结束，中标人对于设备维修只收取基本材料备件费，不收取工时费。</w:t>
      </w:r>
      <w:r>
        <w:rPr>
          <w:rFonts w:ascii="宋体" w:hAnsi="宋体" w:cs="宋体"/>
          <w:sz w:val="24"/>
          <w:highlight w:val="none"/>
        </w:rPr>
      </w:r>
      <w:r/>
    </w:p>
    <w:p>
      <w:pPr>
        <w:pStyle w:val="1101"/>
        <w:ind w:firstLine="480"/>
        <w:spacing w:line="400" w:lineRule="exact"/>
        <w:widowControl/>
        <w:rPr>
          <w:rFonts w:ascii="宋体" w:hAnsi="宋体" w:cs="宋体"/>
          <w:sz w:val="24"/>
          <w:highlight w:val="none"/>
        </w:rPr>
      </w:pPr>
      <w:r>
        <w:rPr>
          <w:rFonts w:hint="eastAsia" w:ascii="宋体" w:hAnsi="宋体" w:cs="宋体"/>
          <w:sz w:val="24"/>
          <w:highlight w:val="none"/>
        </w:rPr>
        <w:t xml:space="preserve">4.7、质保期结束，不能视为中标人对设备中存在的可能引起设备损坏的潜在缺陷所应负责任的解除。潜在缺陷指设备在制造过程中未被发现的隐患，中标人对纠正潜在缺陷应负责任，其时间应延续至质保期终止后贰年。当发现这类潜在缺陷时（经双方确认），中标人应立即予以无偿修复或更换。</w:t>
      </w:r>
      <w:r>
        <w:rPr>
          <w:rFonts w:ascii="宋体" w:hAnsi="宋体" w:cs="宋体"/>
          <w:sz w:val="24"/>
          <w:highlight w:val="none"/>
        </w:rPr>
      </w:r>
      <w:r/>
    </w:p>
    <w:p>
      <w:pPr>
        <w:pStyle w:val="1101"/>
        <w:ind w:firstLine="480"/>
        <w:spacing w:line="400" w:lineRule="exact"/>
        <w:widowControl/>
        <w:rPr>
          <w:rFonts w:ascii="宋体" w:hAnsi="宋体" w:cs="宋体"/>
          <w:sz w:val="24"/>
          <w:highlight w:val="none"/>
        </w:rPr>
      </w:pPr>
      <w:r>
        <w:rPr>
          <w:rFonts w:hint="eastAsia" w:ascii="宋体" w:hAnsi="宋体" w:cs="宋体"/>
          <w:sz w:val="24"/>
          <w:highlight w:val="none"/>
        </w:rPr>
        <w:t xml:space="preserve">4.8、因中标人所提供的设备造成采购人设备损坏或其他损失，以及其他第三方损失的，一经核实，中标人必须赔偿采购人或第三方因此造成的所有损失。</w:t>
      </w:r>
      <w:r>
        <w:rPr>
          <w:rFonts w:ascii="宋体" w:hAnsi="宋体" w:cs="宋体"/>
          <w:sz w:val="24"/>
          <w:highlight w:val="none"/>
        </w:rPr>
      </w:r>
      <w:r/>
    </w:p>
    <w:p>
      <w:pPr>
        <w:pStyle w:val="1101"/>
        <w:ind w:firstLine="482"/>
        <w:spacing w:line="400" w:lineRule="exact"/>
        <w:rPr>
          <w:rFonts w:ascii="宋体" w:hAnsi="宋体" w:cs="宋体"/>
          <w:b/>
          <w:sz w:val="24"/>
          <w:highlight w:val="none"/>
        </w:rPr>
      </w:pPr>
      <w:r>
        <w:rPr>
          <w:rFonts w:hint="eastAsia" w:ascii="宋体" w:hAnsi="宋体" w:cs="宋体"/>
          <w:b/>
          <w:sz w:val="24"/>
          <w:highlight w:val="none"/>
        </w:rPr>
        <w:t xml:space="preserve">四、技术要求</w:t>
      </w:r>
      <w:r>
        <w:rPr>
          <w:rFonts w:ascii="宋体" w:hAnsi="宋体" w:cs="宋体"/>
          <w:b/>
          <w:sz w:val="24"/>
          <w:highlight w:val="none"/>
        </w:rPr>
      </w:r>
      <w:r/>
    </w:p>
    <w:p>
      <w:pPr>
        <w:pStyle w:val="1101"/>
        <w:ind w:firstLine="482"/>
        <w:spacing w:line="400" w:lineRule="exact"/>
        <w:rPr>
          <w:rFonts w:hint="eastAsia" w:ascii="宋体" w:hAnsi="宋体" w:cs="宋体"/>
          <w:b/>
          <w:sz w:val="24"/>
          <w:highlight w:val="none"/>
        </w:rPr>
      </w:pPr>
      <w:r>
        <w:rPr>
          <w:rFonts w:hint="eastAsia" w:ascii="宋体" w:hAnsi="宋体" w:cs="宋体"/>
          <w:b/>
          <w:sz w:val="24"/>
          <w:highlight w:val="none"/>
        </w:rPr>
        <w:t xml:space="preserve">（一）项目清单</w:t>
      </w:r>
      <w:r>
        <w:rPr>
          <w:rFonts w:hint="eastAsia" w:ascii="宋体" w:hAnsi="宋体" w:cs="宋体"/>
          <w:b/>
          <w:sz w:val="24"/>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7"/>
        <w:gridCol w:w="3070"/>
        <w:gridCol w:w="1982"/>
        <w:gridCol w:w="1168"/>
        <w:gridCol w:w="1131"/>
        <w:gridCol w:w="1064"/>
      </w:tblGrid>
      <w:tr>
        <w:trPr>
          <w:cantSplit/>
          <w:trHeight w:val="466"/>
        </w:trPr>
        <w:tc>
          <w:tcPr>
            <w:tcW w:w="467" w:type="dxa"/>
            <w:vAlign w:val="center"/>
            <w:textDirection w:val="lrTb"/>
            <w:noWrap w:val="false"/>
          </w:tcPr>
          <w:p>
            <w:pPr>
              <w:pStyle w:val="1373"/>
              <w:ind w:firstLine="0"/>
              <w:jc w:val="center"/>
              <w:rPr>
                <w:rFonts w:hint="eastAsia" w:ascii="宋体" w:hAnsi="宋体" w:eastAsia="宋体" w:cs="宋体"/>
                <w:b/>
                <w:bCs/>
                <w:sz w:val="24"/>
                <w:szCs w:val="24"/>
                <w:highlight w:val="none"/>
              </w:rPr>
            </w:pPr>
            <w:r/>
            <w:bookmarkStart w:id="385" w:name="_Toc5239"/>
            <w:r>
              <w:rPr>
                <w:rFonts w:hint="eastAsia" w:ascii="宋体" w:hAnsi="宋体" w:eastAsia="宋体" w:cs="宋体"/>
                <w:b/>
                <w:bCs/>
                <w:sz w:val="24"/>
                <w:szCs w:val="24"/>
                <w:highlight w:val="none"/>
              </w:rPr>
              <w:t xml:space="preserve">序号</w:t>
            </w:r>
            <w:r>
              <w:rPr>
                <w:rFonts w:hint="eastAsia" w:ascii="宋体" w:hAnsi="宋体" w:eastAsia="宋体" w:cs="宋体"/>
                <w:b/>
                <w:bCs/>
                <w:sz w:val="24"/>
                <w:szCs w:val="24"/>
                <w:highlight w:val="none"/>
              </w:rPr>
            </w:r>
            <w:r/>
          </w:p>
        </w:tc>
        <w:tc>
          <w:tcPr>
            <w:tcW w:w="1653" w:type="dxa"/>
            <w:vAlign w:val="center"/>
            <w:textDirection w:val="lrTb"/>
            <w:noWrap w:val="false"/>
          </w:tcPr>
          <w:p>
            <w:pPr>
              <w:pStyle w:val="1373"/>
              <w:ind w:firstLine="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产品名称</w:t>
            </w:r>
            <w:r>
              <w:rPr>
                <w:rFonts w:hint="eastAsia" w:ascii="宋体" w:hAnsi="宋体" w:eastAsia="宋体" w:cs="宋体"/>
                <w:b/>
                <w:bCs/>
                <w:sz w:val="24"/>
                <w:szCs w:val="24"/>
                <w:highlight w:val="none"/>
              </w:rPr>
            </w:r>
            <w:r/>
          </w:p>
        </w:tc>
        <w:tc>
          <w:tcPr>
            <w:tcW w:w="1067" w:type="dxa"/>
            <w:vAlign w:val="center"/>
            <w:textDirection w:val="lrTb"/>
            <w:noWrap w:val="false"/>
          </w:tcPr>
          <w:p>
            <w:pPr>
              <w:pStyle w:val="1373"/>
              <w:ind w:firstLine="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规格和技术参数要求</w:t>
            </w:r>
            <w:r>
              <w:rPr>
                <w:rFonts w:hint="eastAsia" w:ascii="宋体" w:hAnsi="宋体" w:eastAsia="宋体" w:cs="宋体"/>
                <w:b/>
                <w:bCs/>
                <w:sz w:val="24"/>
                <w:szCs w:val="24"/>
                <w:highlight w:val="none"/>
              </w:rPr>
            </w:r>
            <w:r/>
          </w:p>
        </w:tc>
        <w:tc>
          <w:tcPr>
            <w:tcW w:w="629" w:type="dxa"/>
            <w:vAlign w:val="center"/>
            <w:textDirection w:val="lrTb"/>
            <w:noWrap w:val="false"/>
          </w:tcPr>
          <w:p>
            <w:pPr>
              <w:pStyle w:val="1373"/>
              <w:ind w:firstLine="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单位</w:t>
            </w:r>
            <w:r>
              <w:rPr>
                <w:rFonts w:hint="eastAsia" w:ascii="宋体" w:hAnsi="宋体" w:eastAsia="宋体" w:cs="宋体"/>
                <w:b/>
                <w:bCs/>
                <w:sz w:val="24"/>
                <w:szCs w:val="24"/>
                <w:highlight w:val="none"/>
              </w:rPr>
            </w:r>
            <w:r/>
          </w:p>
        </w:tc>
        <w:tc>
          <w:tcPr>
            <w:tcW w:w="609" w:type="dxa"/>
            <w:vAlign w:val="center"/>
            <w:textDirection w:val="lrTb"/>
            <w:noWrap w:val="false"/>
          </w:tcPr>
          <w:p>
            <w:pPr>
              <w:pStyle w:val="1373"/>
              <w:ind w:firstLine="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数量</w:t>
            </w:r>
            <w:r>
              <w:rPr>
                <w:rFonts w:hint="eastAsia" w:ascii="宋体" w:hAnsi="宋体" w:eastAsia="宋体" w:cs="宋体"/>
                <w:b/>
                <w:bCs/>
                <w:sz w:val="24"/>
                <w:szCs w:val="24"/>
                <w:highlight w:val="none"/>
              </w:rPr>
            </w:r>
            <w:r/>
          </w:p>
        </w:tc>
        <w:tc>
          <w:tcPr>
            <w:tcW w:w="573" w:type="dxa"/>
            <w:vAlign w:val="center"/>
            <w:textDirection w:val="lrTb"/>
            <w:noWrap w:val="false"/>
          </w:tcPr>
          <w:p>
            <w:pPr>
              <w:pStyle w:val="1373"/>
              <w:ind w:firstLine="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rPr>
                <w:rFonts w:hint="eastAsia" w:ascii="宋体" w:hAnsi="宋体" w:eastAsia="宋体" w:cs="宋体"/>
                <w:b/>
                <w:bCs/>
                <w:sz w:val="24"/>
                <w:szCs w:val="24"/>
                <w:highlight w:val="none"/>
              </w:rPr>
            </w:r>
            <w:r/>
          </w:p>
        </w:tc>
      </w:tr>
      <w:tr>
        <w:trPr>
          <w:cantSplit/>
        </w:trPr>
        <w:tc>
          <w:tcPr>
            <w:tcW w:w="467"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1653"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t xml:space="preserve">机电一体化智能控制系统（核心产品）</w:t>
            </w:r>
            <w:r>
              <w:rPr>
                <w:rFonts w:hint="eastAsia" w:ascii="宋体" w:hAnsi="宋体" w:cs="宋体"/>
                <w:sz w:val="24"/>
                <w:highlight w:val="none"/>
              </w:rPr>
            </w:r>
            <w:r/>
          </w:p>
        </w:tc>
        <w:tc>
          <w:tcPr>
            <w:tcW w:w="1067" w:type="dxa"/>
            <w:vAlign w:val="center"/>
            <w:vMerge w:val="restart"/>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t xml:space="preserve">详见“（二）技术参数及功能要求”</w:t>
            </w:r>
            <w:r>
              <w:rPr>
                <w:rFonts w:hint="eastAsia" w:ascii="宋体" w:hAnsi="宋体" w:cs="宋体"/>
                <w:sz w:val="24"/>
                <w:highlight w:val="none"/>
              </w:rPr>
            </w:r>
            <w:r/>
          </w:p>
        </w:tc>
        <w:tc>
          <w:tcPr>
            <w:tcW w:w="629"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t xml:space="preserve">套</w:t>
            </w:r>
            <w:r>
              <w:rPr>
                <w:rFonts w:hint="eastAsia" w:ascii="宋体" w:hAnsi="宋体" w:cs="宋体"/>
                <w:sz w:val="24"/>
                <w:highlight w:val="none"/>
              </w:rPr>
            </w:r>
            <w:r/>
          </w:p>
        </w:tc>
        <w:tc>
          <w:tcPr>
            <w:tcW w:w="609"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t xml:space="preserve">6</w:t>
            </w:r>
            <w:r>
              <w:rPr>
                <w:rFonts w:hint="eastAsia" w:ascii="宋体" w:hAnsi="宋体" w:cs="宋体"/>
                <w:sz w:val="24"/>
                <w:highlight w:val="none"/>
              </w:rPr>
            </w:r>
            <w:r/>
          </w:p>
        </w:tc>
        <w:tc>
          <w:tcPr>
            <w:tcW w:w="573"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r>
      <w:tr>
        <w:trPr>
          <w:cantSplit/>
          <w:trHeight w:val="657"/>
        </w:trPr>
        <w:tc>
          <w:tcPr>
            <w:tcW w:w="467"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1653"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t xml:space="preserve">数字智能运维控制平台</w:t>
            </w:r>
            <w:r>
              <w:rPr>
                <w:rFonts w:hint="eastAsia" w:ascii="宋体" w:hAnsi="宋体" w:cs="宋体"/>
                <w:sz w:val="24"/>
                <w:highlight w:val="none"/>
              </w:rPr>
            </w:r>
            <w:r/>
          </w:p>
        </w:tc>
        <w:tc>
          <w:tcPr>
            <w:tcW w:w="1067" w:type="dxa"/>
            <w:vAlign w:val="center"/>
            <w:vMerge w:val="continue"/>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629"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t xml:space="preserve">套</w:t>
            </w:r>
            <w:r>
              <w:rPr>
                <w:rFonts w:hint="eastAsia" w:ascii="宋体" w:hAnsi="宋体" w:cs="宋体"/>
                <w:sz w:val="24"/>
                <w:highlight w:val="none"/>
              </w:rPr>
            </w:r>
            <w:r/>
          </w:p>
        </w:tc>
        <w:tc>
          <w:tcPr>
            <w:tcW w:w="609"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573"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r>
      <w:tr>
        <w:trPr>
          <w:cantSplit/>
        </w:trPr>
        <w:tc>
          <w:tcPr>
            <w:tcW w:w="467"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1653"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t xml:space="preserve">工业机器人系统运维训练平台</w:t>
            </w:r>
            <w:r>
              <w:rPr>
                <w:rFonts w:hint="eastAsia" w:ascii="宋体" w:hAnsi="宋体" w:cs="宋体"/>
                <w:sz w:val="24"/>
                <w:highlight w:val="none"/>
              </w:rPr>
            </w:r>
            <w:r/>
          </w:p>
        </w:tc>
        <w:tc>
          <w:tcPr>
            <w:tcW w:w="1067" w:type="dxa"/>
            <w:vAlign w:val="center"/>
            <w:vMerge w:val="continue"/>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629"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t xml:space="preserve">套</w:t>
            </w:r>
            <w:r>
              <w:rPr>
                <w:rFonts w:hint="eastAsia" w:ascii="宋体" w:hAnsi="宋体" w:cs="宋体"/>
                <w:sz w:val="24"/>
                <w:highlight w:val="none"/>
              </w:rPr>
            </w:r>
            <w:r/>
          </w:p>
        </w:tc>
        <w:tc>
          <w:tcPr>
            <w:tcW w:w="609"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573"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r>
      <w:tr>
        <w:trPr>
          <w:cantSplit/>
        </w:trPr>
        <w:tc>
          <w:tcPr>
            <w:tcW w:w="467"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rPr>
            </w:r>
            <w:r/>
          </w:p>
        </w:tc>
        <w:tc>
          <w:tcPr>
            <w:tcW w:w="1653"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t xml:space="preserve">实训桌椅</w:t>
            </w:r>
            <w:r>
              <w:rPr>
                <w:rFonts w:hint="eastAsia" w:ascii="宋体" w:hAnsi="宋体" w:cs="宋体"/>
                <w:sz w:val="24"/>
                <w:highlight w:val="none"/>
              </w:rPr>
            </w:r>
            <w:r/>
          </w:p>
        </w:tc>
        <w:tc>
          <w:tcPr>
            <w:tcW w:w="1067" w:type="dxa"/>
            <w:vAlign w:val="center"/>
            <w:vMerge w:val="continue"/>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629"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t xml:space="preserve">套</w:t>
            </w:r>
            <w:r>
              <w:rPr>
                <w:rFonts w:hint="eastAsia" w:ascii="宋体" w:hAnsi="宋体" w:cs="宋体"/>
                <w:sz w:val="24"/>
                <w:highlight w:val="none"/>
              </w:rPr>
            </w:r>
            <w:r/>
          </w:p>
        </w:tc>
        <w:tc>
          <w:tcPr>
            <w:tcW w:w="609"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t xml:space="preserve">8</w:t>
            </w:r>
            <w:r>
              <w:rPr>
                <w:rFonts w:hint="eastAsia" w:ascii="宋体" w:hAnsi="宋体" w:cs="宋体"/>
                <w:sz w:val="24"/>
                <w:highlight w:val="none"/>
              </w:rPr>
            </w:r>
            <w:r/>
          </w:p>
        </w:tc>
        <w:tc>
          <w:tcPr>
            <w:tcW w:w="573"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r>
      <w:tr>
        <w:trPr>
          <w:cantSplit/>
        </w:trPr>
        <w:tc>
          <w:tcPr>
            <w:tcW w:w="467"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tcW w:w="1653"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t xml:space="preserve">讲台</w:t>
            </w:r>
            <w:r>
              <w:rPr>
                <w:rFonts w:hint="eastAsia" w:ascii="宋体" w:hAnsi="宋体" w:cs="宋体"/>
                <w:sz w:val="24"/>
                <w:highlight w:val="none"/>
              </w:rPr>
            </w:r>
            <w:r/>
          </w:p>
        </w:tc>
        <w:tc>
          <w:tcPr>
            <w:tcW w:w="1067" w:type="dxa"/>
            <w:vAlign w:val="center"/>
            <w:vMerge w:val="continue"/>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629"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t xml:space="preserve">套</w:t>
            </w:r>
            <w:r>
              <w:rPr>
                <w:rFonts w:hint="eastAsia" w:ascii="宋体" w:hAnsi="宋体" w:cs="宋体"/>
                <w:sz w:val="24"/>
                <w:highlight w:val="none"/>
              </w:rPr>
            </w:r>
            <w:r/>
          </w:p>
        </w:tc>
        <w:tc>
          <w:tcPr>
            <w:tcW w:w="609"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573"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r>
    </w:tbl>
    <w:p>
      <w:pPr>
        <w:pStyle w:val="1101"/>
        <w:ind w:firstLine="482"/>
        <w:spacing w:line="400" w:lineRule="exact"/>
        <w:rPr>
          <w:rFonts w:hint="eastAsia" w:ascii="宋体" w:hAnsi="宋体" w:cs="宋体"/>
          <w:b/>
          <w:sz w:val="24"/>
          <w:highlight w:val="none"/>
        </w:rPr>
        <w:outlineLvl w:val="0"/>
      </w:pPr>
      <w:r>
        <w:rPr>
          <w:rFonts w:hint="eastAsia" w:ascii="宋体" w:hAnsi="宋体" w:cs="宋体"/>
          <w:b/>
          <w:sz w:val="24"/>
          <w:highlight w:val="none"/>
        </w:rPr>
      </w:r>
      <w:r/>
    </w:p>
    <w:p>
      <w:pPr>
        <w:pStyle w:val="1101"/>
        <w:ind w:firstLine="482"/>
        <w:spacing w:line="400" w:lineRule="exact"/>
        <w:rPr>
          <w:rFonts w:hint="eastAsia" w:ascii="宋体" w:hAnsi="宋体" w:cs="宋体"/>
          <w:b/>
          <w:sz w:val="24"/>
          <w:highlight w:val="none"/>
        </w:rPr>
        <w:outlineLvl w:val="0"/>
      </w:pPr>
      <w:r>
        <w:rPr>
          <w:rFonts w:hint="eastAsia" w:ascii="宋体" w:hAnsi="宋体" w:cs="宋体"/>
          <w:b/>
          <w:sz w:val="24"/>
          <w:highlight w:val="none"/>
        </w:rPr>
        <w:t xml:space="preserve">（二）技术参数及功能要求</w:t>
      </w:r>
      <w:r>
        <w:rPr>
          <w:rFonts w:hint="eastAsia" w:ascii="宋体" w:hAnsi="宋体" w:cs="宋体"/>
          <w:b/>
          <w:sz w:val="24"/>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8"/>
        <w:gridCol w:w="842"/>
        <w:gridCol w:w="7767"/>
      </w:tblGrid>
      <w:tr>
        <w:trPr>
          <w:trHeight w:val="372"/>
          <w:tblHeader/>
        </w:trPr>
        <w:tc>
          <w:tcPr>
            <w:tcW w:w="365" w:type="dxa"/>
            <w:vAlign w:val="center"/>
            <w:textDirection w:val="lrTb"/>
            <w:noWrap w:val="false"/>
          </w:tcPr>
          <w:p>
            <w:pPr>
              <w:pStyle w:val="1101"/>
              <w:jc w:val="center"/>
              <w:rPr>
                <w:rFonts w:hint="eastAsia" w:ascii="宋体" w:hAnsi="宋体" w:cs="宋体"/>
                <w:b/>
                <w:bCs/>
                <w:sz w:val="24"/>
                <w:highlight w:val="none"/>
              </w:rPr>
            </w:pPr>
            <w:r>
              <w:rPr>
                <w:rFonts w:hint="eastAsia" w:ascii="宋体" w:hAnsi="宋体" w:cs="宋体"/>
                <w:b/>
                <w:bCs/>
                <w:sz w:val="24"/>
                <w:highlight w:val="none"/>
              </w:rPr>
              <w:t xml:space="preserve">序号</w:t>
            </w:r>
            <w:r>
              <w:rPr>
                <w:rFonts w:hint="eastAsia" w:ascii="宋体" w:hAnsi="宋体" w:cs="宋体"/>
                <w:b/>
                <w:bCs/>
                <w:sz w:val="24"/>
                <w:highlight w:val="none"/>
              </w:rPr>
            </w:r>
            <w:r/>
          </w:p>
        </w:tc>
        <w:tc>
          <w:tcPr>
            <w:tcW w:w="453" w:type="dxa"/>
            <w:vAlign w:val="center"/>
            <w:textDirection w:val="lrTb"/>
            <w:noWrap w:val="false"/>
          </w:tcPr>
          <w:p>
            <w:pPr>
              <w:pStyle w:val="1101"/>
              <w:jc w:val="center"/>
              <w:rPr>
                <w:rFonts w:hint="eastAsia" w:ascii="宋体" w:hAnsi="宋体" w:cs="宋体"/>
                <w:b/>
                <w:bCs/>
                <w:sz w:val="24"/>
                <w:highlight w:val="none"/>
              </w:rPr>
            </w:pPr>
            <w:r>
              <w:rPr>
                <w:rFonts w:hint="eastAsia" w:ascii="宋体" w:hAnsi="宋体" w:cs="宋体"/>
                <w:b/>
                <w:bCs/>
                <w:sz w:val="24"/>
                <w:highlight w:val="none"/>
              </w:rPr>
              <w:t xml:space="preserve">名称</w:t>
            </w:r>
            <w:r>
              <w:rPr>
                <w:rFonts w:hint="eastAsia" w:ascii="宋体" w:hAnsi="宋体" w:cs="宋体"/>
                <w:b/>
                <w:bCs/>
                <w:sz w:val="24"/>
                <w:highlight w:val="none"/>
              </w:rPr>
            </w:r>
            <w:r/>
          </w:p>
        </w:tc>
        <w:tc>
          <w:tcPr>
            <w:tcW w:w="4181" w:type="dxa"/>
            <w:vAlign w:val="center"/>
            <w:textDirection w:val="lrTb"/>
            <w:noWrap w:val="false"/>
          </w:tcPr>
          <w:p>
            <w:pPr>
              <w:pStyle w:val="1101"/>
              <w:jc w:val="center"/>
              <w:rPr>
                <w:rFonts w:hint="eastAsia" w:ascii="宋体" w:hAnsi="宋体" w:cs="宋体"/>
                <w:b/>
                <w:bCs/>
                <w:sz w:val="24"/>
                <w:highlight w:val="none"/>
              </w:rPr>
            </w:pPr>
            <w:r>
              <w:rPr>
                <w:rFonts w:hint="eastAsia" w:ascii="宋体" w:hAnsi="宋体" w:cs="宋体"/>
                <w:b/>
                <w:bCs/>
                <w:sz w:val="24"/>
                <w:highlight w:val="none"/>
              </w:rPr>
              <w:t xml:space="preserve">技术参数</w:t>
            </w:r>
            <w:r>
              <w:rPr>
                <w:rFonts w:hint="eastAsia" w:ascii="宋体" w:hAnsi="宋体" w:cs="宋体"/>
                <w:b/>
                <w:bCs/>
                <w:sz w:val="24"/>
                <w:highlight w:val="none"/>
              </w:rPr>
            </w:r>
            <w:r/>
          </w:p>
        </w:tc>
      </w:tr>
      <w:tr>
        <w:trPr/>
        <w:tc>
          <w:tcPr>
            <w:tcW w:w="365"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453"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t xml:space="preserve">机电一体化智能控制系统（核心产品）</w:t>
            </w:r>
            <w:r>
              <w:rPr>
                <w:rFonts w:hint="eastAsia" w:ascii="宋体" w:hAnsi="宋体" w:cs="宋体"/>
                <w:sz w:val="24"/>
                <w:highlight w:val="none"/>
              </w:rPr>
            </w:r>
            <w:r/>
          </w:p>
        </w:tc>
        <w:tc>
          <w:tcPr>
            <w:tcW w:w="4181" w:type="dxa"/>
            <w:vAlign w:val="top"/>
            <w:textDirection w:val="lrTb"/>
            <w:noWrap w:val="false"/>
          </w:tcPr>
          <w:p>
            <w:pPr>
              <w:pStyle w:val="1101"/>
              <w:rPr>
                <w:rFonts w:hint="eastAsia" w:ascii="宋体" w:hAnsi="宋体" w:cs="宋体"/>
                <w:sz w:val="24"/>
                <w:highlight w:val="none"/>
              </w:rPr>
            </w:pPr>
            <w:r>
              <w:rPr>
                <w:rFonts w:hint="eastAsia" w:ascii="宋体" w:hAnsi="宋体" w:cs="宋体"/>
                <w:sz w:val="24"/>
                <w:highlight w:val="none"/>
              </w:rPr>
              <w:t xml:space="preserve">机电一体化智能控制系统由供料单元（视觉检测模块、搬运机械手、井式供料模块、传送带模块、落盖模块、主控系统）、机器人搬运模块（工业机器人、快换工具、视觉检测、搬运模块、主控系统）、仓储单元（立体仓库、码垛模块、轨迹模块）MES管理系统、智能仓储管理系统、智能产线规划与数字孪生仿真软件、编程工作站等组成。</w:t>
            </w:r>
            <w:r>
              <w:rPr>
                <w:rFonts w:hint="eastAsia" w:ascii="宋体" w:hAnsi="宋体" w:cs="宋体"/>
                <w:sz w:val="24"/>
                <w:highlight w:val="none"/>
              </w:rPr>
            </w:r>
            <w:r/>
          </w:p>
          <w:p>
            <w:pPr>
              <w:pStyle w:val="1101"/>
              <w:rPr>
                <w:rFonts w:hint="eastAsia" w:ascii="宋体" w:hAnsi="宋体" w:cs="宋体"/>
                <w:b/>
                <w:bCs/>
                <w:sz w:val="24"/>
                <w:highlight w:val="none"/>
              </w:rPr>
            </w:pPr>
            <w:r>
              <w:rPr>
                <w:rFonts w:hint="eastAsia" w:ascii="宋体" w:hAnsi="宋体" w:cs="宋体"/>
                <w:b/>
                <w:bCs/>
                <w:sz w:val="24"/>
                <w:highlight w:val="none"/>
              </w:rPr>
              <w:t xml:space="preserve">一、供料单元</w:t>
            </w:r>
            <w:r>
              <w:rPr>
                <w:rFonts w:hint="eastAsia" w:ascii="宋体" w:hAnsi="宋体" w:cs="宋体"/>
                <w:b/>
                <w:bCs/>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供料工作单元由工作台、井式供料模块、搬运机械手、视觉检测模块、电源控制系统、可编程逻辑控制器、人机交互系统、工业以太网交换机等构成。</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1.工作台</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1）组成：工作台整体需由钣金、型材、地脚轮等组成。</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 </w:t>
            </w:r>
            <w:bookmarkStart w:id="386" w:name="OLE_LINK10"/>
            <w:r>
              <w:rPr>
                <w:rFonts w:hint="eastAsia" w:ascii="宋体" w:hAnsi="宋体" w:cs="宋体"/>
                <w:sz w:val="24"/>
                <w:highlight w:val="none"/>
              </w:rPr>
              <w:t xml:space="preserve">井式供料模块</w:t>
            </w:r>
            <w:bookmarkEnd w:id="386"/>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井式供料模块整体由机加工件、气缸、料仓、检测传感器等组成。</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主要元件数量：</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1）推料气缸：≥1个；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2）光电传感器：≥2个；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3）磁性开关：≥2个；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3.搬运机械手：</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搬运机械手由伺服电机、运动模组、限位传感器、升降气缸、真空吸盘等组成。</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主要元件参数：</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1）伺服电机：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（1）功率：≥0.1KW；</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（2）编码器：增量式编码器；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（3）抱闸：无抱闸。</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2）伺服驱动器：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（1）输入电压：1AC,200-240V；</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（2）最大负载电机功率：≥0.1KW；</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（3）控制模式：速度控制模式；基本定位器控制。</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3）运动模组：≥1套；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4）限位传感器：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（1）类型：槽型光电传感器；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（2）数量：≥3个。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5）升降气缸：≥1套；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6）吸盘系统：</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（1）吸盘：≥1套；</w:t>
            </w:r>
            <w:r>
              <w:rPr>
                <w:rFonts w:hint="eastAsia" w:ascii="宋体" w:hAnsi="宋体" w:cs="宋体"/>
                <w:sz w:val="24"/>
                <w:highlight w:val="none"/>
              </w:rPr>
            </w:r>
            <w:r/>
          </w:p>
          <w:p>
            <w:pPr>
              <w:pStyle w:val="1130"/>
              <w:rPr>
                <w:rFonts w:hint="eastAsia" w:ascii="宋体" w:hAnsi="宋体" w:cs="宋体"/>
                <w:sz w:val="24"/>
                <w:highlight w:val="none"/>
              </w:rPr>
            </w:pPr>
            <w:r>
              <w:rPr>
                <w:rFonts w:hint="eastAsia" w:ascii="宋体" w:hAnsi="宋体" w:cs="宋体"/>
                <w:sz w:val="24"/>
                <w:highlight w:val="none"/>
              </w:rPr>
              <w:t xml:space="preserve">（2）吸盘压力检测传感器：</w:t>
            </w:r>
            <w:r>
              <w:rPr>
                <w:rFonts w:hint="eastAsia"/>
                <w:highlight w:val="none"/>
              </w:rPr>
              <w:t xml:space="preserve">≥</w:t>
            </w:r>
            <w:r>
              <w:rPr>
                <w:rFonts w:hint="eastAsia" w:ascii="宋体" w:hAnsi="宋体" w:cs="宋体"/>
                <w:sz w:val="24"/>
                <w:highlight w:val="none"/>
              </w:rPr>
              <w:t xml:space="preserve">1套。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 视觉检测模块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由视觉检测系统、固定底板等组成。检测零件的形状、颜色、坐标等信息，通过以太网将检测结果发给PLC。</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主要技术参数：</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视觉检测系统主要技术参数：</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（1）视觉检测模式：彩色；</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（2）帧率：≥30fps；</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（3）分辨率：≥1280×960； </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（4）类型：CCD；</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（5）位深：≥14；</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（6）靶面：1/3”；</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（7）安装支架：可进行多个自由度调节；</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（8）光源类型：环形；</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（9）供电电压：DC24V。</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5.电源控制系统</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1）配套空气隔离开关：≥1个；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2）配套电流型漏电保护器：≥1个；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3）配套24V开关电源：≥1个；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4）配套上电、断电等按钮：≥1套。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6.可编程逻辑控制器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1）用户存储器：≥100KB工作存储器，≥4MB装载存储器；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2）板载数字I/O：≥14路输入/10路输出；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3）板载模拟I/O：≥2路输入；</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4）过程映像大小：≥1024字节输入，1024字节输出；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5）高速计数器：≥6个；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6）脉冲输出：≥4路；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7）网口：≥1个，类型：以太网，支持PROFINET通信；</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8）扩展IO：≥8DI。</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7.人机交互系统</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1）屏幕：TFT真彩液晶屏，64K色；</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2）尺寸（英寸）：≥7.0；</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3）分辨率：≥800×480；</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4）接口：≥1×PROFINET；</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5）画面数：≥100；</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6）变量：≥800；</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7）按键数：≥8。</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8.工业以太网交换机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1）宽电压输入：9.6V-60VDC；</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2）网口：≥8个10/100M自适应RJ45端口；</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3）材质：铝合金外壳。</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9.传送带模块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包括：输送带、三相异步电机、同步带、定位传感器，负责将物料传送至目标位置。</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1）三相异步电机：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（1）输入电压：3AC 220V；</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（2）类型：三相异步电机；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（3）功率：≥15W；</w:t>
            </w:r>
            <w:r>
              <w:rPr>
                <w:rFonts w:hint="eastAsia" w:ascii="宋体" w:hAnsi="宋体" w:cs="宋体"/>
                <w:sz w:val="24"/>
                <w:highlight w:val="none"/>
              </w:rPr>
            </w:r>
            <w:r/>
          </w:p>
          <w:p>
            <w:pPr>
              <w:pStyle w:val="1101"/>
              <w:rPr>
                <w:rFonts w:hint="eastAsia" w:ascii="宋体" w:hAnsi="宋体" w:cs="宋体"/>
                <w:sz w:val="24"/>
                <w:highlight w:val="none"/>
              </w:rPr>
            </w:pPr>
            <w:r/>
            <w:bookmarkStart w:id="387" w:name="OLE_LINK2"/>
            <w:r>
              <w:rPr>
                <w:rFonts w:hint="eastAsia" w:ascii="宋体" w:hAnsi="宋体" w:cs="宋体"/>
                <w:sz w:val="24"/>
                <w:highlight w:val="none"/>
              </w:rPr>
              <w:t xml:space="preserve">（</w:t>
            </w:r>
            <w:bookmarkEnd w:id="387"/>
            <w:r>
              <w:rPr>
                <w:rFonts w:hint="eastAsia" w:ascii="宋体" w:hAnsi="宋体" w:cs="宋体"/>
                <w:sz w:val="24"/>
                <w:highlight w:val="none"/>
              </w:rPr>
              <w:t xml:space="preserve">4）减速比：≥5:1。</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2）变频器：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（1）电源电压：1AC,200-240V；</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（2）额定电流：≥0.9A；</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（3）额定功率：≥0.12KW；</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（4）数字量输入：≥4点；</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（5）数字量输出：≥1点；</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（6）模拟量输入：≥2路；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（7）模拟量输出：≥1路。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（8）通信方式：MODBUS RTU，USS。</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10.落盖模块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落盖装置是由推盖气缸、检测传感器、压盖气缸等组成，可进行物料瓶的装盖工作。</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1）推料气缸：≥1套；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2）压盖气缸：≥1套；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3）检测传感器：≥1套。</w:t>
            </w:r>
            <w:r>
              <w:rPr>
                <w:rFonts w:hint="eastAsia" w:ascii="宋体" w:hAnsi="宋体" w:cs="宋体"/>
                <w:sz w:val="24"/>
                <w:highlight w:val="none"/>
              </w:rPr>
            </w:r>
            <w:r/>
          </w:p>
          <w:p>
            <w:pPr>
              <w:pStyle w:val="1101"/>
              <w:rPr>
                <w:rFonts w:hint="eastAsia" w:ascii="宋体" w:hAnsi="宋体" w:cs="宋体"/>
                <w:b/>
                <w:bCs/>
                <w:sz w:val="24"/>
                <w:highlight w:val="none"/>
              </w:rPr>
            </w:pPr>
            <w:r>
              <w:rPr>
                <w:rFonts w:hint="eastAsia" w:ascii="宋体" w:hAnsi="宋体" w:cs="宋体"/>
                <w:b/>
                <w:bCs/>
                <w:sz w:val="24"/>
                <w:highlight w:val="none"/>
              </w:rPr>
              <w:t xml:space="preserve">二、机器人搬运单元</w:t>
            </w:r>
            <w:r>
              <w:rPr>
                <w:rFonts w:hint="eastAsia" w:ascii="宋体" w:hAnsi="宋体" w:cs="宋体"/>
                <w:b/>
                <w:bCs/>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机器人搬运单元需由工作台、工业机器人、快换工具、视觉检测模块、搬运模块、电源控制系统、可编程逻辑控制器、人机交互系统、工业以太网交换机等构成。</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1.工作台</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1）组成：工作台整体需由钣金、型材、地脚轮等组成。</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2.工业机器人：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需由工业机器人本体、机器人底座、机器人控制柜和示教盒等组成。工业机器人需配套同品牌离线编程仿真软件。</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机器人技术参数：</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 自由度：6；</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 最大负载：≥3kg；</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 重复定位精度：≤0.02mm；</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 最大臂展：≥593mm。</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3.视觉检测模块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由视觉检测系统、固定底板、不锈钢拉手等组成。检测零件的形状、颜色、坐标等信息，通过以太网和模拟量通道将检测结果发往机器人。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主要技术参数：适配标准实训台定位安装</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视觉检测系统主要技术参数：</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（1）视觉检测模式：彩色；</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（2）帧率：≥30fps；</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（3）分辨率：≥1280×960； </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（4）类型：CCD；</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（5）位深：≥14；</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（6）靶面：1/3”；</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（7）安装支架：可进行多个自由度调节；</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（8）光源类型：环形；</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（9）供电电压：DC24V。</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4.搬运模块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由立体物料放置面板、可旋转支架、安装底板等组成。 </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1）外形尺寸：≥270×180×32 mm（长×宽×高）；</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2）仓位数量：≥3行2列6个；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3）仓位称重：≥2kg；</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4）搬运工件种类：≥3种；</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5.电源控制系统</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1）配套空气隔离开关：≥1个；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2）配套电流型漏电保护器：≥1个；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3）配套24V开关电源：≥1个；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4）配套上电、断电等按钮：≥1套。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6.可编程逻辑控制器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1）用户存储器：≥100KB工作存储器，≥4MB装载存储器；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2）板载数字I/O：≥14路输入/10路输出；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3）板载模拟I/O：≥2路输入；</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4）过程映像大小：≥1024字节输入，1024字节输出；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5）高速计数器：≥6个；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6）脉冲输出：≥4路；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7）网口：≥1个，类型：以太网，支持PROFINET通信；</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8）扩展IO：≥8DI、8DO。</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7.人机交互系统</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1）屏幕：TFT真彩液晶屏，64K色；</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2）尺寸（英寸）：≥7.0；</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3）分辨率：≥800×480；</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4）接口：≥1×PROFINET；</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5）画面数：≥100；</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6）变量：≥800；</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7）按键数：≥8。</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8.工业以太网交换机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1）宽电压输入：9.6V-60VDC；</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2）网口：≥8个10/100M自适应RJ45端口；</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3）材质：铝合金外壳。</w:t>
            </w:r>
            <w:r>
              <w:rPr>
                <w:rFonts w:hint="eastAsia" w:ascii="宋体" w:hAnsi="宋体" w:cs="宋体"/>
                <w:sz w:val="24"/>
                <w:highlight w:val="none"/>
              </w:rPr>
            </w:r>
            <w:r/>
          </w:p>
          <w:p>
            <w:pPr>
              <w:pStyle w:val="1101"/>
              <w:rPr>
                <w:rFonts w:hint="eastAsia" w:ascii="宋体" w:hAnsi="宋体" w:cs="宋体"/>
                <w:b/>
                <w:bCs/>
                <w:sz w:val="24"/>
                <w:highlight w:val="none"/>
              </w:rPr>
            </w:pPr>
            <w:r>
              <w:rPr>
                <w:rFonts w:hint="eastAsia" w:ascii="宋体" w:hAnsi="宋体" w:cs="宋体"/>
                <w:b/>
                <w:bCs/>
                <w:sz w:val="24"/>
                <w:highlight w:val="none"/>
              </w:rPr>
              <w:t xml:space="preserve">三、仓储单元</w:t>
            </w:r>
            <w:r>
              <w:rPr>
                <w:rFonts w:hint="eastAsia" w:ascii="宋体" w:hAnsi="宋体" w:cs="宋体"/>
                <w:b/>
                <w:bCs/>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由工作台、立体仓库、码垛模块、轨迹模块等组成。</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1.工作台</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1）组成：工作台整体需由钣金、型材、地脚轮等组成。</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2.立体仓库</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立体仓库由型材、钣金搭建而成，每个仓位均配备传感器用于检测托盘的有无。配备立体库，用于存放装配完成的物料。</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1）仓位：≥10个；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2）传感器：≥10个。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3）远程IO模块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4）工作电压：≥24V。</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5）通信协议：支持Profinet协议。</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6）通道数量：≥16路；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7）输入类型：数字量信号。</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3.轨迹模块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由立体轨迹示教面板、可旋转支架、安装底板、把手组成，工业机器人通过末端笔型工具进行轨迹示教任务，训练机器人基本的点、直线、曲线运动的循迹任务。</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1）轨迹种类：≥6种；</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2）外形尺寸：≥270×180×39mm（长×宽×高）；</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3）训练坐标：工件坐标。</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4.码垛模块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由铝合金结构件、定位销、把手及码垛工件组成，工业机器人按程序要求对工件进行码垛实训，工件上下表面设有定位孔，可精确完成工件的码垛/解垛。</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1）外形尺寸：≥250×250×244 mm（长×宽×高）。</w:t>
            </w:r>
            <w:r>
              <w:rPr>
                <w:rFonts w:hint="eastAsia" w:ascii="宋体" w:hAnsi="宋体" w:cs="宋体"/>
                <w:sz w:val="24"/>
                <w:highlight w:val="none"/>
              </w:rPr>
            </w:r>
            <w:r/>
          </w:p>
          <w:p>
            <w:pPr>
              <w:pStyle w:val="1101"/>
              <w:rPr>
                <w:rFonts w:hint="eastAsia" w:ascii="宋体" w:hAnsi="宋体" w:cs="宋体"/>
                <w:b/>
                <w:bCs/>
                <w:sz w:val="24"/>
                <w:highlight w:val="none"/>
              </w:rPr>
            </w:pPr>
            <w:r>
              <w:rPr>
                <w:rFonts w:hint="eastAsia" w:ascii="宋体" w:hAnsi="宋体" w:cs="宋体"/>
                <w:b/>
                <w:bCs/>
                <w:sz w:val="24"/>
                <w:highlight w:val="none"/>
              </w:rPr>
              <w:t xml:space="preserve">四、编程调试工作站（2台）</w:t>
            </w:r>
            <w:r>
              <w:rPr>
                <w:rFonts w:hint="eastAsia" w:ascii="宋体" w:hAnsi="宋体" w:cs="宋体"/>
                <w:b/>
                <w:bCs/>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1.显示面板：≥21.5寸。</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2.处理器：Intel i7 11代同等及以上处理器。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3.内存：≥16GB。</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4.硬盘：≥固态256GB、机械1TB。</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5.显存：≥2G独显；</w:t>
            </w:r>
            <w:r>
              <w:rPr>
                <w:rFonts w:hint="eastAsia" w:ascii="宋体" w:hAnsi="宋体" w:cs="宋体"/>
                <w:sz w:val="24"/>
                <w:highlight w:val="none"/>
              </w:rPr>
            </w:r>
            <w:r/>
          </w:p>
          <w:p>
            <w:pPr>
              <w:pStyle w:val="1101"/>
              <w:rPr>
                <w:rFonts w:hint="eastAsia" w:ascii="宋体" w:hAnsi="宋体" w:cs="宋体"/>
                <w:b/>
                <w:bCs/>
                <w:sz w:val="24"/>
                <w:highlight w:val="none"/>
              </w:rPr>
            </w:pPr>
            <w:r>
              <w:rPr>
                <w:rFonts w:hint="eastAsia" w:ascii="宋体" w:hAnsi="宋体" w:cs="宋体"/>
                <w:b/>
                <w:bCs/>
                <w:sz w:val="24"/>
                <w:highlight w:val="none"/>
              </w:rPr>
              <w:t xml:space="preserve">五、生产信息化管理系统</w:t>
            </w:r>
            <w:r>
              <w:rPr>
                <w:rFonts w:hint="eastAsia" w:ascii="宋体" w:hAnsi="宋体" w:cs="宋体"/>
                <w:b/>
                <w:bCs/>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系统需覆盖生产计划与调度、实时生产监控、质量管理、人员与设备管理等核心业务流程，通过对机电一体化智能控制系统进行生产排产及工单下发，可以监控加工过程中各工序生产进度，同时可以实时采集生产过程数据，以可视化大屏进行集中展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主要功能如下：</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1.组织架构：</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1）应能够实现对部门、岗位、角色、用户的管理；</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需满足以下功能：在部门管理界面，可通过部门名称及状态对部门进行搜索，以树状结构展示部门信息，可查看部门名称、排序、状态、创建时间等信息，可对部门信息展开/折叠，可以对部门进行修改、新增、删除等操作；</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3）需满足以下功能：在岗位管理界面，可通过岗位编码、岗位名称、状态等条件对岗位进行搜索，可对岗位进行新增、修改、删除等操作，支持批量导出；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应具备角色管理界面，需满足以下功能：通过角色名称、权限字符、状态、创建时间等条件对角色信息进行搜索，可对角色进行新增、修改、删除等操作，支持批量导出角色信息，新增角色时可以填写角色名称、权限字符、角色顺序，选择正常或停用状态，对菜单权限勾选功能名称，填写备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应具备用户管理界面，需满足以下功能：以树状结构展示部门信息，可通过用户名称、手机号码、状态、创建时间等条件对用户进行搜索，可对用户进行新增、修改、删除等操作，支持批量导入、导出，支持修改用户状态；</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2.系统管理</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1）应具备菜单管理、字典管理、参数设置、日志管理、编码规则等功能；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应具备菜单管理界面，需满足以下功能：以树状结构展示菜单功能信息，并具有修改、新增、删除、展开/折叠菜单的功能，修改功能中包括修改菜单的上级菜单、菜单类型、菜单图标、菜单名称、显示排序、路由地址、是否外链、显示状态、菜单状态等信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3）应具备字典管理界面，需满足以下功能：通过字典名称、字典类型、状态、创建时间等条件进行搜索，可对字典信息进行新增、修改、删除等操作，支持批量导出、刷新缓存功能；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4）应具备参数设置界面，需满足以下功能：可通过参数名称、参数键名、参数键值、系统内置、创建时间等条件进行搜索，可对参数信息进行新增、修改、删除等操作，支持批量导出、刷新缓存功能；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应具备日志界面，需满足以下功能：可通过系统模块、操作人员、类型、状态、操作时间等条件进行搜索，可查看日志编号、系统模块、操作类型、请求方式、操作人员、操作地址、操作地点、操作状态、操作日期等日志信息，可对日志进行删除和清空等操作，支持批量导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应具备日志界面，需满足以下功能：可通过登录地址、用户名称、状态、登录时间等条件搜索，可查看访问编号、用户名称、登录地址、登录地点、浏览器、操作系统、登陆状态、操作信息以及登录日期等日志信息，可对日志进行删除和清空等操作，支持批量导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应具备编码规则界面，需满足以下功能：可通过规则名称、规则编码、启用状态等条件搜索，可查看规则编号、规则名称、最大长度、是否补齐、是否启用、备注、创建时间等编码信息，支持新增、修改、删除等操作；</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应具备大屏设计功能，需满足以下功能：在界面可查看现有项目大屏并进行编辑；编辑界面应具有20种以上图表，10种以上信息组件，25种以上小组件，100种以上图标，500种以上主题颜色；可设置大屏背景颜色、应用类型、适配方式、滤镜等，支持预览功能； </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4.系统监控</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1）应具有在线用户、定时任务、数据监控、服务监控、缓存监控等功能；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2）应具有在线用户界面，需满足以下功能：可查看序号、会话编号、登录名称、部门名称、主机、登录地点、浏览器、操作系统、登陆时间等信息，可以对在线用户执行强退操作；</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应具有定时任务界面，需满足以下功能：可查看任务编号、任务名称、任务组名、调用目标字符串、cron执行表达式、状态等信息，可对任务进行新增、修改、删除等操作，支持批量导出，可点击日志按钮进入掉调度日志界面；</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4）应具有服务监控界面，需满足以下功能：可查看CPU、内存、服务器信息、Java虚拟机信息、磁盘状态等信息；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5）应具有缓存监控界面，需满足以下功能：可查看基本信息、命令统计、内存信息等；</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5.主数据：</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物料产品管理：需满足树状结构展示物料产品分类，应能够查看物料编码、物料产品ID、物料名称、规格型号、单位、物料/产品、所属分类、是否启用等信息，可对物料进行新增、修改、删除等操作，支持批量导入和导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2）物料产品分类：需以树形结构展示物料产品分类数据，应能够在节点下新增物料产品，可查看分类、排序、物料/产品、是否启用、创建时间等信息，可进行修改、新增、删除操作；</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3）需满足计量单位功能：应能够查看单位编码、单位名称、是否是主单位、与主单位换算比例、是否启用等信息，可以进行新增、修改、删除等操作，支持批量导出；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需满足客户管理功能：应能够查看客户编码、客户名称、客户简称、客户类型、客户电话、联系人、联系人电话、是否启用等信息，需满足新增、修改、删除等操作，支持批量导出，添加客户信息时，应能够填写客户编码（支持自动生成），客户名称，客户简称，客户英文名称，客户类型，客户简介，客户地址，客户官网地址，客户邮箱地址，客户电话，客户logo，联系人1，联系人1-电话，联系人1-邮箱，联系人2，联系人2-电话，联系人2-邮箱，社会信用代码，选择是否有效等信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5）应具备供应商管理界面，需满足以下功能：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①可查看供应商编码、供应商名称、供应商简称、供应商等级、供应商评分、供应商电话、是否启用等信息；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②可以进行新增、修改、删除等操作，支持批量导出；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③添加供应商信息时，可填写供应商编码（支持自动生成），供应商名称，供应商简称，供应商英文名称，供应商简介，供应商地址，供应商等级（需包含优质供应商、正常、重点关注、劣质供应商、黑名单），供应商评分，供应商官网地址，供应商邮箱地址，供应商电话，联系人1，联系人1-电话，联系人1-邮箱，联系人2，联系人2-电话，联系人2-邮箱，社会信用代码，供应商LOGO地址，选择是否有效等信息； </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6）应具备车间设置界面，需满足以下功能：可查看车间编码、车间名称、面积、负责人、是否启用等信息，可进行新增、修改、删除操作；</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应具备工作站界面，需满足以下功能：可通过工作站编码、工作站名称、所在车间名称、所属工序等条件进行搜索，可查看工作站编号、工作站名称、工作站地点、所在车间名称、所属工序、是否启用等信息，可对工作站进行新增、修改、删除等操作，支持批量导出，修改工作站信息时，可修改工作站编号（支持自动生成），工作站名称，工作站地点，所在车间，所属工序，是否启用等信息，同时在工作站下可绑定人力资源、设备资源、工装夹具等信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6.仓储管理：系统可进行机电一体化智能控制系统中库位信息的设置和查看，应包含以下功能：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1）需满足仓库设置、库存现有量、采购入库、供应商退货、生产领料、生产退料、产品入库、销售出库、销售退货、转移调拨、赋码管理、装箱管理、SN码、外协发料、外协入库等功能；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2）仓库设置：应具备以下功能：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①应能够通过仓库编码、仓库名称等条件进行搜索，应能够查看仓库编码、仓库名称、位置、面积、负责人等信息，支持对仓库的新增、修改、删除等操作；</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②支持点击库区应能够查看仓库各库区信息，包括库区编码、库区名称、面积等信息，在库区界面可点击库位查看库位信息，包括库位编码、库位名称、面积、最大载重量、库位位置x、库位位置y，库位位置z，是否启用等信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应具备库存现有量界面，需满足以下功能：以树形结构展示物料产品分类，可通过产品物料编码、产品物料名称、入库批次号、仓库名称、供应商编号、供应商名称、库存有效期等条件进行搜索，可查看产品物料编码，产品物料名称，规划型号，在库数量，单位，入库批次号，仓库，库区，库位，供应商编号，供应商名称，供应商简称，生产工单，入库日期，库存有效期等信息，支持批量导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4）应具备赋码管理界面，需满足以下功能：可查看条码格式、条码类型、条码内容、业务编码、业务名称、是否生效等信息，可以进行新增、编辑、删除等操作，支持条码设置、批量打印等功能；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7.设备管理：系统可进行设备数据通信相关的配置与查看，并支持对机电一体化智能控制系统中相关硬件信息的数据可视化，应包含以下功能：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1）应具备设备类型设置界面，需满足以下功能：可通过树形结构展示设备类型信息，可通过类型名称、是否启用等条件对设备类型进行搜索，并可对设备类型进行修改、新增、删除等操作；</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应具备设备台账界面，需满足以下功能：可通过树形结构展示设备分类，可根据设备编码、设备名称等条件对设备进行搜索，可查看设备编码、设备名称、品牌、规格型号、所属车间、发布主题、订阅主题、设备状态、创建时间等信息；可通过查看设备状态功能打开生产管理设备监控大屏监控设备数据信息，包含供料单元，工业机器人搬运单元，智能仓储等单元的数据； </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应具备维修单功能，需满足以下功能：可根据维修单编号、维修单名称、设备编码、设备名称、维修结果、单据状态等条件进行搜索，可查看维修单编号，维修单名称，设备编码，设备名称，报修日期，维修完成日期，验收日期，维修结果，维修人员，验收人员，单据状态等信息，支持对维修单新增、修改、删除等操作；</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8.工装夹具管理</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1）应具备类型设置界面，需满足以下功能：可查看类型编码、类型名称、是否编码管理、保养维护类型、保养周期等信息，可以进行新增、修改、删除、导出等操作；</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应具备工装夹具台账界面，需满足以下功能：可通过工装夹具编码、工装夹具名称、工装夹具类型、品牌、型号、状态等条件对工装夹具进行搜索，可查看编号、名称、品牌、型号、类型、库存数量、可用数量、保养维护类型、下次保养周期、下次保养日期、状态等信息，支持对工装夹具进行新增、修改、删除、导出等操作；</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9.生产管理：</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应具备生产工单功能，需满足以下功能：可对生产工单进行新增、修改、删除、导出等操作，添加生产工单时，可填写工单编号（支持自动生成），工单名称，选择来源类型（包含客户订单、库存备货），当来源类型选择库存备货时，可选择工单类型（包含自产、外协、外购），产品编号，工单数量，需求日期，批次号等信息，当工单类型选择外协时，还可填写供应商编码、供应商名称信息；当来源类型选择客户订单时，还可以再填写订单编号，客户编码，客户名称等信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2）应具备工序设置功能，需满足以下功能：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①可通过工序编码、工序名称、是否启用等条件对工序进行搜索，可对工序进行新增、修改、删除、导出等操作；</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②添加生产工序时支持自动生成工序编码，修改生产工序时支持对操作步骤新增、修改、删除、导出等操作；</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应具备工艺流程功能，需满足以下功能：支持展示工艺路线数据，工艺路线由工序组成，支持对工序的新增、修改、删除操作；添加工艺组成时，需填写序号，选择工序，与下一道工序关系（包含S-to-S、F-to-F、S-to-F、F-to-S），甘特图显示颜色，是否关键工序，是否需要质检确认，准备时间，等待时间等信息；工艺路线可关联产品，并支持对关联的产品新增、修改、删除、导出等操作；</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4）应具备生产排产界面，需满足以下功能：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①可通过甘特图方式查看生产工单的名称及完成比例，支持排产、工单下发功能；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②排产时支持展示产品配套工艺流程中的所有工序；</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③通过选择工序，可以新增、修改、删除生产任务，并可支持导出生产任务；</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④添加生产任务时，可以选择工作站，甘特图显示颜色，排产数量，开始时间，生产时长等信息；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应具备生产状态监控界面，需满足以下功能：可通过生产状态监控看板查看工单编码、工单状态、产品名称、工作站，排产、已生产、当前工序等信息，通过环形图展示生产状态信息，折线图展示近7日产品生产情况，以及展示设备在线率、设备利用率、设备故障率等信息； </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6）应具备生产报工界面，需满足以下功能：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①可查看报工类型、工作站、生产工单编号、产品物料编码、产品物料名称、规格型号、报工数量、报工人、报工时间、审核人、状态等报工信息；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②添加生产报工记录时可以选择报工类型（支持自行报工、统一报工），选择生产工单，生产任务，可以填写产品编码，产品名称，单位，规划型号，报工数量，待检测数量，报工人，报工时间，审核人等信息；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10.应具备质量管理，界面需满足常见缺陷、检测项设置、检测模板、待检任务、来料检验、过程检验、出货检验等功能。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11.应具备排班管理界面，需满足班组设置、排班计划、节假日设置、排班日历等功能。</w:t>
            </w:r>
            <w:r>
              <w:rPr>
                <w:rFonts w:hint="eastAsia" w:ascii="宋体" w:hAnsi="宋体" w:cs="宋体"/>
                <w:sz w:val="24"/>
                <w:highlight w:val="none"/>
              </w:rPr>
            </w:r>
            <w:r/>
          </w:p>
          <w:p>
            <w:pPr>
              <w:pStyle w:val="1101"/>
              <w:rPr>
                <w:rFonts w:hint="eastAsia" w:ascii="宋体" w:hAnsi="宋体" w:cs="宋体"/>
                <w:sz w:val="24"/>
                <w:highlight w:val="none"/>
              </w:rPr>
            </w:pPr>
            <w:r/>
            <w:bookmarkStart w:id="388" w:name="OLE_LINK5"/>
            <w:r>
              <w:rPr>
                <w:rFonts w:hint="eastAsia" w:ascii="宋体" w:hAnsi="宋体" w:cs="宋体"/>
                <w:highlight w:val="none"/>
              </w:rPr>
              <w:t xml:space="preserve">■</w:t>
            </w:r>
            <w:r>
              <w:rPr>
                <w:rFonts w:hint="eastAsia" w:ascii="宋体" w:hAnsi="宋体" w:cs="宋体"/>
                <w:sz w:val="24"/>
                <w:highlight w:val="none"/>
              </w:rPr>
              <w:t xml:space="preserve">12.绘图工具</w:t>
            </w:r>
            <w:r>
              <w:rPr>
                <w:rFonts w:hint="eastAsia" w:ascii="宋体" w:hAnsi="宋体" w:cs="宋体"/>
                <w:b/>
                <w:bCs/>
                <w:sz w:val="24"/>
                <w:highlight w:val="none"/>
              </w:rPr>
              <w:t xml:space="preserve">（需提供满足以下功能的演示视频作为佐证材料）</w:t>
            </w:r>
            <w:r>
              <w:rPr>
                <w:rFonts w:hint="eastAsia" w:ascii="宋体" w:hAnsi="宋体" w:cs="宋体"/>
                <w:sz w:val="24"/>
                <w:highlight w:val="none"/>
              </w:rPr>
              <w:t xml:space="preserve">：</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可通过绘图应用进行平台架构设计，完成平台架构图的绘制。</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需支持60种以上基本图形、40种以上通用图形、40种以上高级图形、30种以上流程图图形，需支持通过快捷键快速插入矩形、椭圆形、菱形、线条、备注、文本等内容，需支持对外观、主题、自适应颜色等进行设置；</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2）在绘图区域支持对网格、页面视图、背景色、阴影、连接箭头、连接点、参考线等进行勾选，支持背景更改，选择页面尺寸等操作；在样式区域可选择20种以上样式；</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3）需支持导出PNG、JPEG、SVG等格式文件；</w:t>
            </w:r>
            <w:r>
              <w:rPr>
                <w:rFonts w:hint="eastAsia" w:ascii="宋体" w:hAnsi="宋体" w:cs="宋体"/>
                <w:sz w:val="24"/>
                <w:highlight w:val="none"/>
              </w:rPr>
            </w:r>
            <w:r/>
          </w:p>
          <w:p>
            <w:pPr>
              <w:pStyle w:val="1101"/>
              <w:rPr>
                <w:rFonts w:ascii="宋体" w:hAnsi="宋体" w:eastAsia="宋体" w:cs="宋体"/>
                <w:sz w:val="24"/>
                <w:highlight w:val="none"/>
                <w:lang w:val="en-US" w:eastAsia="zh-CN"/>
              </w:rPr>
            </w:pPr>
            <w:r>
              <w:rPr>
                <w:rFonts w:hint="eastAsia" w:ascii="宋体" w:hAnsi="宋体" w:cs="宋体"/>
                <w:sz w:val="24"/>
                <w:highlight w:val="none"/>
              </w:rPr>
              <w:t xml:space="preserve">4）需支持对布局进行设置，包括水平流、垂直流、水平树、垂直树、径向树、力导向图、组织结构图等</w:t>
            </w:r>
            <w:bookmarkEnd w:id="388"/>
            <w:r>
              <w:rPr>
                <w:rFonts w:hint="eastAsia"/>
                <w:b/>
                <w:bCs/>
                <w:sz w:val="24"/>
                <w:szCs w:val="24"/>
                <w:highlight w:val="none"/>
                <w:lang w:val="en-US" w:eastAsia="zh-CN"/>
              </w:rPr>
              <w:t xml:space="preserve">。</w:t>
            </w:r>
            <w:r>
              <w:rPr>
                <w:rFonts w:ascii="宋体" w:hAnsi="宋体" w:eastAsia="宋体" w:cs="宋体"/>
                <w:sz w:val="24"/>
                <w:highlight w:val="none"/>
                <w:lang w:val="en-US" w:eastAsia="zh-CN"/>
              </w:rPr>
            </w:r>
            <w:r/>
          </w:p>
          <w:p>
            <w:pPr>
              <w:pStyle w:val="1101"/>
              <w:rPr>
                <w:rFonts w:hint="eastAsia" w:ascii="宋体" w:hAnsi="宋体" w:cs="宋体"/>
                <w:b/>
                <w:bCs/>
                <w:sz w:val="24"/>
                <w:highlight w:val="none"/>
              </w:rPr>
            </w:pPr>
            <w:r>
              <w:rPr>
                <w:rFonts w:hint="eastAsia" w:ascii="宋体" w:hAnsi="宋体" w:cs="宋体"/>
                <w:b/>
                <w:bCs/>
                <w:sz w:val="24"/>
                <w:highlight w:val="none"/>
              </w:rPr>
              <w:t xml:space="preserve">六、工业互联网云平台</w:t>
            </w:r>
            <w:r>
              <w:rPr>
                <w:rFonts w:hint="eastAsia" w:ascii="宋体" w:hAnsi="宋体" w:cs="宋体"/>
                <w:b/>
                <w:bCs/>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能够提供设备接入、设备数据上报、数据存储等功能，实现设备数据的流转和存储，可以实时监测机电一体化智能控制平台中仓储单元、供料单元、工业机器人搬运单元等模块的数据信息，并且可通过组态方式对数据进行界面设计，更直观展示平台数据。</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1.数据采集终端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1）网络接入：以太网宽带，2.4GHz WIFI，国内三大运营商4G全网通；</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2）处理器：ARM；</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3）存储：≥128MB内存+256MB Flash，支持TF卡；</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4）以太网：≥2路10M/100M自适应端口；</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5）串口：COM1:RS232，COM2:RS485；</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6）移动网络频段：LTEFDD:B1/B3/B5/B8，LTETDD:B38/B39/B40/B41，WCDMA:B1/B8，TD-SCDMA:B34/B39，CDMA:BC0，GSM:900/1800MHz；</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7）RTC:实时时钟内置；</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8）配件≥4G吸盘天线；</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9）额定电压：DC24V，可工作范围DC9V~28V。</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10）软件功能：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①联网模式功能应包含三种模式应用不同场景，分别为网口模式、4G 模式、Wi-Fi模式；</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②软件需支持配置网关Wi-Fi信息，可自由选择网关Wi-Fi是否开启，在Wi-Fi列表 显示Wi-Fi强度；软件支持安全链路配置，可配置服务地址及透传服务；透传串口设置包含采集模式和编程模式可自由转换，支持网络共享、动态伪装功能的启用、禁用，可通过防火墙设置查看通信规则(名称、匹配规则、类型、动作及操作等)；软件需支持网络诊断功能，通过地址信息判断通信是否连接；软件可配置系统时间及网关名称，支持边缘计算启动、禁用；软件支持应用升级功能及恢复出厂设置功能；软件支持通过规约管理功能自由配置集成规则及协议信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③需满足以下功能：通过网关状态实时查看网关硬件状态及网关内存应用情况；通过网络状态功能可查询WAN口状态、Wi-Fi状态、通道状态，同时可查询网关是否接入互联网；软件可对网关WAN口及LAN口进行单独配置，在WAN口配置可查看WAN口状态、信号强度、接口名称、运行时间、接收及发送数据量，在LAN口配置可自由配置DHCP的开启和关闭；</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2.云平台</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1）监控中心：可完成对机电一体化智能控制平台中仓储单元、供料单元、工业机器人等数据点的采集，并支持对设备的在线状态进行监控，应具备以下功能：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①系统应具备设备监控、项目监控、系统日志功能；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②需满足以下功能：通过设备监控功能可查看所有设备数据点信息，显示数据更新时间；</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③需满足以下功能：可监控项目下所有设备在线状态，通过点击设备监控中的详情功能可查看包括数据点名称、单位、时间等历史数据点信息；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④需满足以下功能：通过系统日志功能监控用户行为，可清晰查看用户名、IP、描述、方法名称、参数、异常详细、请求耗时、日志类型、创建时间等信息。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2）大屏管理：包括项目大屏和设备大屏，可完成对机电一体化智能控制平台中仓储单元、供料单元、工业机器人等模块数据的可视化，应具备以下功能：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①设备大屏界面应划分为多个区域，应具有全部设备、在线设备、报警设备三种查看方式，可查看设备总数、在线设备数量、离线设备数量、报警设备数量；显示设备在线率、设备报警率和产品使用率及类型分布统计；</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②点击设备可加载对应的组态大屏界面，在界面上可显示云组态、实时曲线、视频监控、历史曲线、历史数据、最新数据、当月检修统计、近期报警等信息；云组态界面中需显示仓储单元、供料单元、工业机器人搬运单元等模块的数据；</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③支持查看项目总数、项目名称、负责人、参与人、类型分布统计、报警数据量、设备在线率、设备报警率、产品使用率排行等信息；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④点击项目可加载对应组态大屏界面，在组态大屏界面需显示该项目的云组态、全部设备、在线设备、报警设备、设备类型统计、设备在线率、设备报警率、近期报警数据；</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3）权限管理：</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①应具备权限管理功能，包括机构维护、用户列表、菜单管理、角色管理、功能管理等功能；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②机构维护界面需通过树形结构展示组织架构（根节点只能是一个），机构信息应包含名称、描述、拥有项目、拥有设备数等信息，超级管理员可对名称、描述进行编辑；</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③用户列表界面应显示用户的ID、用户名、姓名、头像、手机号、邮箱以及状态等信息，支持新增、编辑、删除、重置密码等操作，应具有设定用户角色及所属机构，支持批量导出等功能；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④菜单管理界面应显示名称、排序、链接地址、组件路径等信息，应具备对菜单进行新增、编辑、删除等操作功能；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⑤角色管理界面应显示ID、名称、描述、创建日期；超级管理员应具有通过权限配置功能配置每个角色的各项权限等功能，包括新增、修改、创建、删除等权限，并且支持对权限进行全选/反选；</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4）项目管理：</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①系统应具备产品维护、项目维护、系统品牌、设备维护和公式计算功能；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②产品维护界面应显示产品名称、产品描述等信息，并可通过编辑和删除功能对产品信息进行操作；</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③需满足以下功能：项目维护界面可通过点击树形结构下的机构名称，查看该机构下的项目清单，项目信息应包含序号、项目名称、负责人、参与人、所属公司等信息，支持新增、编辑、绑定组态图、删除等操作；</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④设备维护需满足以下功能：可通过</w:t>
            </w:r>
            <w:r>
              <w:rPr>
                <w:rFonts w:hint="eastAsia" w:ascii="宋体" w:hAnsi="宋体" w:cs="宋体"/>
                <w:sz w:val="24"/>
                <w:highlight w:val="none"/>
              </w:rPr>
              <w:t xml:space="preserve">点击树形结构下的机构名称，查看该机构下的设备清单，可通过项目、名称搜索对应设备，设备信息应包含序号、设备编号、设备名称、描述、协议类型、产品名称、品牌名称、状态、启停状态等信息；可通过启停状态列的开关按钮对设备进行启用/停用，可对设备信息进行编辑、绑定组态图、查看设备模型、删除等操作；点击设备可查看设备数据点的详细信息，包括数据点名称、所属设备、从机地址、寄存器地址、寄存器类型、最近通信时间、新增时间等信息，可通过采集状态列的开关按钮对该数据点进行采集状态的启用/停用；可对数据点进行编辑、删除、复制等操作；</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5）数据管理：</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①系统应具备历史数据、历史数据点、趋势分析等功能；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②应具有历史数据功能，点击树形结构下的机构名称后，通过项目、设备、时间等条件进行查询，支持导出功能，数据列表需显示数据点名称、数据、单位、时间等信息，支持导出功能；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③应具有趋势分析功能，在点击树形结构下的机构名称后，按照项目、设备、数据点和时间等条件通过折线图方式显示数据变化情况。</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6）报警管理：可自定义机电一体化智能控制平台中各个模块的监控阈值，超过设定阈值后，系统将自动报警，应具备以下功能：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①系统应具备报警数据、触发器列表、新增触发器功能；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②应具有新增触发器功能，在点击树形结构下的机构名称后，通过填写触发器名称、触发器描述，下拉选择所属项目、所属设备、关联数据点、触发条件类型（大于x值，小于x值，大于x值且小于y值（x&lt;y），大于y值且小于x值(y&lt;x)，等于x值）、是否报警、是否启用等信息，完成触发器创建； </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▲7）组态管理：①应具备</w:t>
            </w:r>
            <w:r>
              <w:rPr>
                <w:rFonts w:hint="eastAsia" w:ascii="宋体" w:hAnsi="宋体" w:cs="宋体"/>
                <w:sz w:val="24"/>
                <w:highlight w:val="none"/>
              </w:rPr>
              <w:t xml:space="preserve">组态设计功能，在组态设计界面应具有对组态的设计、预览、发布、编辑及删除功能，设计界面应提供拖放式界面设计工具，支持80种以上基础组件（至少包括方形、圆形、椭圆、楔形、多边形、星形、多边形、表格、文本、线段、旋转、开关、流动条、按钮、仪表盘、温度计、折线图、柱状图、饼图、环形图、液位、天气、时间、避雷器、电流互感、电容、断路器、熔断器、接触器、二极管、电阻等）、300种以上图元图库（至少包括电力、风机、隔栏、给排水、管道、罐体搅拌装置、锅炉、仪表、加热器、冷热源、流量计、送排风、制程加热、制程冷却、智能仪表等</w:t>
            </w:r>
            <w:r>
              <w:rPr>
                <w:rFonts w:hint="eastAsia" w:ascii="宋体" w:hAnsi="宋体" w:cs="宋体"/>
                <w:sz w:val="24"/>
                <w:highlight w:val="none"/>
              </w:rPr>
              <w:t xml:space="preserve">图元分类）、300种以上画面装饰（至少包括画面头部装饰、装饰框－圆、装饰框－方、装饰框-其他、文字背景和气泡标注等装饰分类），支持画面模板功能，可对我的模板进行新建、应用、删除操作，支持我的图库功能，可以上传本地jpg，jpeg，png，gif等格式图片；②需支持在组件属性中选择数据点进行数据绑定，支持通过项目、设备筛选要绑定的数据点，支持在画布属性中设置画布分辨率、画布辅助线、背景颜色、背景图片等，支持配置条件弹框，配置条件需包含选择数据点、&gt;=、&lt;=、弹框url、弹框宽度、弹框高度、弹框自动关闭时间等；</w:t>
            </w:r>
            <w:r>
              <w:rPr>
                <w:rFonts w:hint="eastAsia" w:ascii="宋体" w:hAnsi="宋体" w:cs="宋体"/>
                <w:b/>
                <w:bCs/>
                <w:sz w:val="24"/>
                <w:highlight w:val="none"/>
                <w:u w:val="single"/>
              </w:rPr>
              <w:t xml:space="preserve">投标文件中需提供满足以上功能描述的截图作为佐证材料</w:t>
            </w:r>
            <w:r>
              <w:rPr>
                <w:rFonts w:hint="eastAsia" w:ascii="宋体" w:hAnsi="宋体" w:cs="宋体"/>
                <w:sz w:val="24"/>
                <w:highlight w:val="none"/>
              </w:rPr>
              <w:t xml:space="preserve">。</w:t>
            </w:r>
            <w:r>
              <w:rPr>
                <w:rFonts w:hint="eastAsia" w:ascii="宋体" w:hAnsi="宋体" w:cs="宋体"/>
                <w:sz w:val="24"/>
                <w:highlight w:val="none"/>
              </w:rPr>
            </w:r>
            <w:r/>
          </w:p>
          <w:p>
            <w:pPr>
              <w:pStyle w:val="1101"/>
              <w:rPr>
                <w:rFonts w:hint="eastAsia" w:ascii="宋体" w:hAnsi="宋体" w:cs="宋体"/>
                <w:b/>
                <w:bCs/>
                <w:sz w:val="24"/>
                <w:highlight w:val="none"/>
              </w:rPr>
            </w:pPr>
            <w:r>
              <w:rPr>
                <w:rFonts w:hint="eastAsia" w:ascii="宋体" w:hAnsi="宋体" w:cs="宋体"/>
                <w:b/>
                <w:bCs/>
                <w:sz w:val="24"/>
                <w:highlight w:val="none"/>
              </w:rPr>
              <w:t xml:space="preserve">七、智能仓储管理系统</w:t>
            </w:r>
            <w:r>
              <w:rPr>
                <w:rFonts w:hint="eastAsia" w:ascii="宋体" w:hAnsi="宋体" w:cs="宋体"/>
                <w:b/>
                <w:bCs/>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可通过入库、出库、盘库、库存调整等核心功能，实现对平台仓库各项业务的精细化管理。同时还支持多仓库管理，并能提供库存报警、物料盘点等服务，用户可实时掌握库存动态，提高仓储作业效率。</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1.产品管理</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1）应支持对产品类型的新增、修改、删除、导出等功能，添加或修改产品类型信息时需支持对库存上限和库存下限的预警值设置；</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2）应支持产品设置的新增、修改、删除、导出等功能，需支持对产品编号、产品名称、产品类型、规格型号、单位、是否启用等信息的设置；</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3）需支持通过产品类型、产品编号、产品名称、仓位编号等信息进行搜索，可进行对产品类型、产品编号、产品名称、产品编码、规格型号、单位、仓位编号、库存上限数量和库存下限数量等信息的查看；</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4）需支持对产品物料的设置，系统自动检索平台中当前的物料信息，可完成对不同产品下物料的添加；</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1.应支持对物料信息的新增、修改、删除、导出等功能，可查看物料编号、物料名称、规格型号、创建时间、单位、是否使用等信息；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3.应支持对平台中仓库数据信息的管理，支持对仓库编号、仓库名称、是否启用、创建时间等信息的设置与查看，支持仓库数据的导出；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4.应支持对平台中库存报警信息的查看，包括产品类型、报警内容、库存上限数量、库存下限数量、总库存数量等信息；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5.应支持对入库和出库单号的一键生成，下拉选择仓库信息和仓位信息后，可一键入库和出库；</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6.需支持盘点信息的新增与删除功能，可一键查看当前仓库的库位状态信息；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7.报警管理</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1）需支持对报警内容、监控变量、触发报警类型的设定，报警类型应包含大于X值、小于X值、等于X值、大于X值且小于Y值、大于Y值且小于X值等内容；</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2）需支持报警信息的查看、导出与修改，可查看报警内容、监控变量、触发报警类型、X值、Y值、创建时间等信息，报警大屏应具备报警内容、报警值、报警时间、是否处理和操作等内容的显示； </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8.应支持设定MQTT服务器IP、MQTT服务器端口、订阅令牌和发布令牌等信息；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9.用户管理</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1）应支持对账号、名称、类型、状态、创建时间等信息的查看，以及对账号、名称、类型等信息的修改，可修改与重置用户密码，支持对用户的禁用、删除与角色配置；</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2）应支持对用户类型的新增、修改、查看与删除，可查看用户类型和用户标识信息；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10.权限管理</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1）需支持对角色名称和角色编号信息的新增、修改与查看，需具备对当前角色进行菜单的关联与解除关联；</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2）应具备对菜单信息的新增、修改与删除功能，菜单信息需具备树形结构显示，修改菜单信息时，可完成对菜单名、级别、路径和父ID信息的编辑；</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11.应支持对部门信息的新增、删除、禁用与查看功能，可查看部门的名称和状态信息。</w:t>
            </w:r>
            <w:r>
              <w:rPr>
                <w:rFonts w:hint="eastAsia" w:ascii="宋体" w:hAnsi="宋体" w:cs="宋体"/>
                <w:sz w:val="24"/>
                <w:highlight w:val="none"/>
              </w:rPr>
            </w:r>
            <w:r/>
          </w:p>
          <w:p>
            <w:pPr>
              <w:pStyle w:val="1101"/>
              <w:rPr>
                <w:rFonts w:hint="eastAsia" w:ascii="宋体" w:hAnsi="宋体" w:cs="宋体"/>
                <w:b/>
                <w:bCs/>
                <w:sz w:val="24"/>
                <w:highlight w:val="none"/>
              </w:rPr>
            </w:pPr>
            <w:r>
              <w:rPr>
                <w:rFonts w:hint="eastAsia" w:ascii="宋体" w:hAnsi="宋体" w:cs="宋体"/>
                <w:b/>
                <w:bCs/>
                <w:sz w:val="24"/>
                <w:highlight w:val="none"/>
              </w:rPr>
              <w:t xml:space="preserve">八、智能</w:t>
            </w:r>
            <w:bookmarkStart w:id="389" w:name="OLE_LINK6"/>
            <w:r>
              <w:rPr>
                <w:rFonts w:hint="eastAsia" w:ascii="宋体" w:hAnsi="宋体" w:cs="宋体"/>
                <w:b/>
                <w:bCs/>
                <w:sz w:val="24"/>
                <w:highlight w:val="none"/>
              </w:rPr>
              <w:t xml:space="preserve">产线规划与数字孪生仿真软件</w:t>
            </w:r>
            <w:bookmarkEnd w:id="389"/>
            <w:r>
              <w:rPr>
                <w:rFonts w:hint="eastAsia" w:ascii="宋体" w:hAnsi="宋体" w:cs="宋体"/>
                <w:b/>
                <w:bCs/>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围绕机电一体化智能控制平台，可动态配置仿真场景，支持机器人运动学解算、路径规划以及程序输出，能进行仿真录制与节拍分析，还提供机电一体化智能控制平台中各模块的模型库、教学案例库等，可满足设备在虚拟环境中的教学需求。</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应具备仿真场景配置功能，能够动态改变仿真场景的渲染质量；能够显示机器人的当前姿态、加工方向、加工引线和加工路径；能够进行机器人基坐标和工具坐标的切换；能够在仿真场景中实时显示仿真场景的仿真运行的时间和机器人各轴的关节数据。</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应具备机器人的后置输出功能，需包含设备仿真场景中的机器人、协作机器人程序的后置输出；能够对机器人的直线速度、关节速度、加速度、减速度、平滑度、圆滑过渡、轨迹加速等关键参数进行配置，并输出机器人程序至指定文件夹，输出的程序可直接导入实际设备中的机器人示教器进行编辑和使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3.应具备仿真录制功能，能够录制仿真场景的运行过程，并输出html、video等格式的视频文件。</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应具备平移旋转功能，能够快速对机电一体化智能控制平台中仓储单元、供料单元、工业机器人等模块在仿真场景中进行摆放和调整。能够通过坐标拖拽、旋转等方式移动场景中的模块；能够通过一点定位、三点定位、坐标轴定位、圆心定位等方式将模型直接定位到选定位置；根据实际设备的尺寸和各模块间的距离，通过输入数值调整模块的世界位置/角度、自身位置/角度、上级相对位置/角度，对模块进行精准定位。</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应具备运动学正逆解功能，能够更便捷地在仿真场景中完成工业机器人的示教操作与仿真路径规划，能够在示教界面通过调整机器人角度，改变场景中机器人的姿态；也能够通过拖动或转动机器人六轴末端直接改变机器人的姿态并实时查看机器人各角度的变化，并实时通过MOVEJ和MOVEL两种方式记录路径点，生成机器人的虚拟仿真路径。能够对机器人的初始姿态和关键点姿态进行记录，在仿真路径规划过程中可通过回原功能将机器人还原到所记录的姿态。</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为满足机器人虚拟仿真以的教学和实训需求，应提供仿真模型库，需包含ABB、KUKA、FANUC、YASKAWA、EFORT、AUBO等国内外二十种以上主流品牌的机器人，三轴、五轴等各种类型的机床模型，传送带、变位机、工作台等常用外围模块的模型；井式供料、旋转供料、皮带输送、立体仓储、伺服变位、机械手、转运单元、三轴机械手、分拣模块、盖盖机构、灌装机构、快换模块、传感器等教学所需的各种模块的模型。模型库实时更新，并能够从云端下载到本地。</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应具备模型处理功能，使仿真场景更加还原实际设备的原貌，能够对导入的模型进行拆分、合并、组合、染色、添加材质等处理，材质中包含玻璃、漆、铝、不锈钢、铁等与实际设备材质相同的材质球，且能够调整模块材质的三原色、透明度等参数，能够在场景中以树形结构显示各模块和组件的从属关系。</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8.应具备支架功能，能够通过设置板材厚度、支架高度、底板留边等关键参数生成待加工工件的支架，能够一键创建支架模型，并直接导出DXF格式的支架模型文件。</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9.应具备抓线功能，可通过手动抓取绘图板、焊接模块、涂胶工件的线体，或自动识别工件线体，生成工件的加工线体；可通过法向、相贯线、平行轴向、角平分线等常见的加工姿态结合抓线生成的加工线体直接生成加工路径，并能够直接导入到机器人中。</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10.应具备节拍分析功能，可统计仿真场景中SCARA机器人、六轴机器人等各单元的运行时间、执行内容等，实时生成节拍数据，能够生成饼状图和柱状图等分析结果，并能够将分析结果输出为Excel表格。</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11.支持碰撞检测功能，在机器人发生碰撞时，发生碰撞的关节轴会发生颜色变化显示。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12.需支持OPC UA等标准的通信协议，可与如西门子、汇川等品牌PLC进行互联互通，实现真实设备与仿真场景的虚拟联调。</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13.为满足机器人应用编程、PLC应用编程、机器人虚拟仿真、生产线智能规划与数字孪生的教学和实训需求，需提供与设备配套的虚拟仿真和数字孪生场景。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工艺流程：推料气缸推出瓶子→搬运机械手抓取瓶子放到传送带首端→过程中视觉检测机构对物料进行检测→传送带运送瓶子至传送带末端→工业机器人末端更换→抓取物料→通过视觉检测判断物料颜色→放置到瓶子中→传送带反转到落盖机构→进行落盖→传送带将瓶子运输到末端→工业机器人更换末端→将瓶盖拧紧→工业机器人更换末端→抓取瓶子→放置到立立体仓库中。</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14.满足智能生产线规划与数字孪生的教学需求，需提供虚拟仿真教学拓展案例库，包括但不限于智能灌装检测生产线、智能物流生产线、智能装配生产线等中常见的仿真场景的。</w:t>
            </w:r>
            <w:r>
              <w:rPr>
                <w:rFonts w:hint="eastAsia" w:ascii="宋体" w:hAnsi="宋体" w:cs="宋体"/>
                <w:sz w:val="24"/>
                <w:highlight w:val="none"/>
              </w:rPr>
            </w:r>
            <w:r/>
          </w:p>
          <w:p>
            <w:pPr>
              <w:pStyle w:val="1101"/>
              <w:rPr>
                <w:rFonts w:hint="eastAsia" w:ascii="宋体" w:hAnsi="宋体" w:cs="宋体"/>
                <w:b/>
                <w:bCs/>
                <w:sz w:val="24"/>
                <w:highlight w:val="none"/>
              </w:rPr>
            </w:pPr>
            <w:r>
              <w:rPr>
                <w:rFonts w:hint="eastAsia" w:ascii="宋体" w:hAnsi="宋体" w:cs="宋体"/>
                <w:b/>
                <w:bCs/>
                <w:sz w:val="24"/>
                <w:highlight w:val="none"/>
              </w:rPr>
              <w:t xml:space="preserve">九、教学资源</w:t>
            </w:r>
            <w:r>
              <w:rPr>
                <w:rFonts w:hint="eastAsia" w:ascii="宋体" w:hAnsi="宋体" w:cs="宋体"/>
                <w:b/>
                <w:bCs/>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1.实训指导书≥1套，指导书内容应当采取项目制，以项目作为章节，每个章节需包含学习目标、任务描述、实践操作等板块。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2.在线教学资源平台:</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需满足方便教师备课和学习的需求，应满足以下要求：</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▲（1）微课：需服务于单一的知识点学习任务，表现形式应采用动态理论+仿真/实操的形式。①工业机器人基础：（微课）工业机器人的概述；工业机器人的分类；工业</w:t>
            </w:r>
            <w:r>
              <w:rPr>
                <w:rFonts w:hint="eastAsia" w:ascii="宋体" w:hAnsi="宋体" w:cs="宋体"/>
                <w:sz w:val="24"/>
                <w:highlight w:val="none"/>
              </w:rPr>
              <w:t xml:space="preserve">机器人的应用；工业机器人的坐标系；工业机器人的安全使用规范。②机器人学（微课）工业机器人作业空间原理；工业机器人运动学原理。③工业机器人机械结构与维护（微课）工业机器人本体结构介绍；工业机器人常用传动机构与维护；减速器结构与维护；工业机器人末端执行器设计与应用原理；工业机器人机械结构维护与保养规范；工业机器人精度检测原理与方法。④工业机器人电气系统装调与维护（微课）工业机器人通讯总线工作原理；伺服电机工作原理与控制；光电编码器工作原理与分析；工业机器人系统集成理论模块；数字孪生在工业机器人系统中的应用原理。</w:t>
            </w:r>
            <w:r>
              <w:rPr>
                <w:rFonts w:hint="eastAsia" w:ascii="宋体" w:hAnsi="宋体" w:cs="宋体"/>
                <w:b/>
                <w:bCs/>
                <w:sz w:val="24"/>
                <w:highlight w:val="none"/>
              </w:rPr>
              <w:t xml:space="preserve">投标文件中需提供满足以上功能描述的截图作为佐证材料。</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（2）动画资源：应基于专业特点分析，充分调研教学与实际工作场景，运用科学原画设定方法，设计符合专业的角色、场景、设备，采用丰富的动画表现形式，并与专业特点统一。</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1）工业机器人机械拆装（动画）工业机器人基础安装；工业机器人基础对准与调试；工业机器人同步带安装与预紧；工业机器人精度检测与调试；工业机器人末端执行器调试与拆装；</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2）工业机器人RV减速器装配方法与技术要点；工业机器人谐波减速器装配方法与技术要点；工业机器人外观保养规范；工业机器人电池更换；工业机器人油脂补充和更换；工业机器人控制柜的保养与维护。</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3）工业机器人电控模块展示与安装训练：工业机器人电控柜布局分析与展示；工业机器人运动轴卡安装与展示；工业机器人通讯总线安装与配置；工业机器人电气系统测试与检验。</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▲（3）为避免知识产权纠纷和保证软件的稳定性，投标文件中需提供《在线教学资源平台》相关知识产权证书扫描件和版权保护中心官网的查询截图以及软件测试报告扫描件作为辅助证明材料。</w:t>
            </w:r>
            <w:r>
              <w:rPr>
                <w:rFonts w:hint="eastAsia" w:ascii="宋体" w:hAnsi="宋体" w:cs="宋体"/>
                <w:sz w:val="24"/>
                <w:highlight w:val="none"/>
              </w:rPr>
            </w:r>
            <w:r/>
          </w:p>
          <w:p>
            <w:pPr>
              <w:pStyle w:val="1101"/>
              <w:rPr>
                <w:rFonts w:hint="eastAsia" w:ascii="宋体" w:hAnsi="宋体" w:cs="宋体"/>
                <w:b/>
                <w:bCs/>
                <w:sz w:val="24"/>
                <w:highlight w:val="none"/>
              </w:rPr>
            </w:pPr>
            <w:r>
              <w:rPr>
                <w:rFonts w:hint="eastAsia" w:ascii="宋体" w:hAnsi="宋体" w:cs="宋体"/>
                <w:b/>
                <w:bCs/>
                <w:sz w:val="24"/>
                <w:highlight w:val="none"/>
              </w:rPr>
              <w:t xml:space="preserve">十、实训室终端管理系统（实训室共配置一套）</w:t>
            </w:r>
            <w:r>
              <w:rPr>
                <w:rFonts w:hint="eastAsia" w:ascii="宋体" w:hAnsi="宋体" w:cs="宋体"/>
                <w:b/>
                <w:bCs/>
                <w:sz w:val="24"/>
                <w:highlight w:val="none"/>
              </w:rPr>
            </w:r>
            <w:r/>
          </w:p>
          <w:p>
            <w:pPr>
              <w:pStyle w:val="1101"/>
              <w:rPr>
                <w:rFonts w:hint="eastAsia" w:ascii="宋体" w:hAnsi="宋体" w:cs="宋体"/>
                <w:b/>
                <w:bCs/>
                <w:sz w:val="24"/>
                <w:highlight w:val="none"/>
              </w:rPr>
            </w:pPr>
            <w:r>
              <w:rPr>
                <w:rFonts w:hint="eastAsia" w:ascii="宋体" w:hAnsi="宋体" w:cs="宋体"/>
                <w:b/>
                <w:bCs/>
                <w:sz w:val="24"/>
                <w:highlight w:val="none"/>
              </w:rPr>
              <w:t xml:space="preserve">（一）硬件参数要求：</w:t>
            </w:r>
            <w:r>
              <w:rPr>
                <w:rFonts w:hint="eastAsia" w:ascii="宋体" w:hAnsi="宋体" w:cs="宋体"/>
                <w:b/>
                <w:bCs/>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1.整机外观采用全金属背板，铝合金边框，整机表面无尖锐边缘。</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▲2.整机屏幕尺寸≥86 英寸，显示分辨率≥3840×2160，显示比例： 16:9，显示大屏亮度：≥400cd/m²，可视角度：≥178°，对比度：≥1200:1，色彩覆盖率（色域）≥NTSC83%。</w:t>
            </w:r>
            <w:r>
              <w:rPr>
                <w:rFonts w:hint="eastAsia" w:ascii="宋体" w:hAnsi="宋体" w:cs="宋体"/>
                <w:b/>
                <w:bCs/>
                <w:sz w:val="24"/>
                <w:highlight w:val="none"/>
              </w:rPr>
              <w:t xml:space="preserve">（提供具有CMA或CNAS标识的国家认可的第三方权威检测机构出具的检验（测）报告扫描件）</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3.整机采用防眩光、防爆、钢化玻璃，玻璃面板硬度等级不低于莫氏 7 级或表面硬度≥8H。</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▲4.整机屏幕具备硬件防蓝光护眼功能，符合《GB 40070-2021儿童青少年学习用品近视防控卫生要求》中关于教学多媒体产品显示技术要求。</w:t>
            </w:r>
            <w:r>
              <w:rPr>
                <w:rFonts w:hint="eastAsia" w:ascii="宋体" w:hAnsi="宋体" w:cs="宋体"/>
                <w:b/>
                <w:bCs/>
                <w:sz w:val="24"/>
                <w:highlight w:val="none"/>
              </w:rPr>
              <w:t xml:space="preserve">（提供具有CMA或CNAS标识的国家认可的第三方权威检测机构出具的检验（测）报告扫描件）</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5.整机液晶面板与防护钢化玻璃零贴合设计。</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6.采用红外触控方式，支持 Windows 系统中40 点或以上触控，Android 系统中20 点或以上触控。</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★7.整机系统支持书写延迟≤15ms。（</w:t>
            </w:r>
            <w:r>
              <w:rPr>
                <w:rFonts w:hint="eastAsia" w:ascii="宋体" w:hAnsi="宋体" w:cs="宋体"/>
                <w:b/>
                <w:bCs/>
                <w:sz w:val="24"/>
                <w:highlight w:val="none"/>
              </w:rPr>
              <w:t xml:space="preserve">提供具有CMA或CNAS标识的国家认可的第三方权威检测机构出具的检验（测）报告扫描件</w:t>
            </w:r>
            <w:r>
              <w:rPr>
                <w:rFonts w:hint="eastAsia" w:ascii="宋体" w:hAnsi="宋体" w:cs="宋体"/>
                <w:sz w:val="24"/>
                <w:highlight w:val="none"/>
              </w:rPr>
              <w:t xml:space="preserve">）</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8.整机内置扬声器总功率不低于40W。</w:t>
            </w:r>
            <w:r>
              <w:rPr>
                <w:rFonts w:hint="eastAsia" w:ascii="宋体" w:hAnsi="宋体" w:cs="宋体"/>
                <w:sz w:val="24"/>
                <w:highlight w:val="none"/>
              </w:rPr>
            </w:r>
            <w:r/>
          </w:p>
          <w:p>
            <w:pPr>
              <w:pStyle w:val="1130"/>
              <w:rPr>
                <w:rFonts w:hint="eastAsia" w:ascii="宋体" w:hAnsi="宋体" w:cs="宋体"/>
                <w:sz w:val="24"/>
                <w:highlight w:val="none"/>
              </w:rPr>
            </w:pPr>
            <w:r>
              <w:rPr>
                <w:rFonts w:hint="eastAsia" w:ascii="宋体" w:hAnsi="宋体" w:cs="宋体"/>
                <w:sz w:val="24"/>
                <w:highlight w:val="none"/>
              </w:rPr>
              <w:t xml:space="preserve">9.整机内置摄像头1300W像素，支持输出摄像头整体视场角≥135度，其中水平方向≥120度。</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10.整机采用八核CPU 处理器，嵌入式系统版本不低于安卓14.0；内存4GB ，存储空间32GB；具备在线升级功能，触控一体机自带整机操作系统。</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11.内置 2.4GHz 和 5GHz 双频 wifi，能够连接到网络，访问网页或观看在线视频；只需连接一根网线，即可实现OPS及整机系统同时联网。</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12.整机前置三合一开关设计，开机、关机、节能一键完成， USB 接口≥3个，HDMI in≥1，Type-C接口≥1个；后置接口USB≥2个、Touch USB≥1、HDMI in≥1、RJ45接口≥1 RS232≥1个，TF接口≥1个、MIC in≥1个、Coxial≥1个、LIINE OUT≥1个。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13.任意信号源通道下，都可调出快捷菜单，菜单含切换信号源、快捷设置、亮度/音量调节。</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14.整机全通道（任意信号源）快捷菜单包含如下小工具：批注、截屏、计时、缩放；整机系统或OPS操作系统下内置书写白板，支持橡皮擦、圈选、保存、分享/导出功能。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15.整机具备智能手势识别功能，具备通过手势滑动实现对文件的移动、拖拽，以及对文档及图片内容放大、缩小、翻页等功能。具备不同手势调用系统后台运行软件、悬浮按键、快捷菜单的功能。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16.可通过功能键或手势实现一键降屏（窗口下移）功能，支持点击恢复显示全屏窗口。</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17.整机系统内置自检维护功能，具备一键进行自检功能，针对不同模块给出问题原因提示。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18.具备HDMI投屏、无线投屏功能。具备基于物理线缆实现电脑终端有线投屏功能，同时可以在多媒体一体机上对电脑终端进行触控操作。</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19.内置电脑采用模块化设计，方便维修和更换。</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20.内置电脑采用Intel专业标准80pin接口，工业级主板，Intel i5 12代以上 内存</w:t>
            </w:r>
            <w:r>
              <w:rPr>
                <w:rFonts w:hint="eastAsia"/>
                <w:highlight w:val="none"/>
              </w:rPr>
              <w:t xml:space="preserve">≥</w:t>
            </w:r>
            <w:r>
              <w:rPr>
                <w:rFonts w:hint="eastAsia" w:ascii="宋体" w:hAnsi="宋体" w:cs="宋体"/>
                <w:sz w:val="24"/>
                <w:highlight w:val="none"/>
              </w:rPr>
              <w:t xml:space="preserve">8G ，DDR4 ，固态硬盘</w:t>
            </w:r>
            <w:r>
              <w:rPr>
                <w:rFonts w:hint="eastAsia"/>
                <w:highlight w:val="none"/>
              </w:rPr>
              <w:t xml:space="preserve">≥</w:t>
            </w:r>
            <w:r>
              <w:rPr>
                <w:rFonts w:hint="eastAsia" w:ascii="宋体" w:hAnsi="宋体" w:cs="宋体"/>
                <w:sz w:val="24"/>
                <w:highlight w:val="none"/>
              </w:rPr>
              <w:t xml:space="preserve">256G SSD。</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21.内置电脑具备HDMI OUT 接口≥1个，USB接口≥6个。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22.内置电脑集成显卡声卡，支持4K（3840×2160）分辨率显示。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23.内置电脑具备千兆以太网卡，支持蓝牙以及无线投屏。</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24.所投产品通中国国家强制性产品认证。</w:t>
            </w:r>
            <w:r>
              <w:rPr>
                <w:rFonts w:hint="eastAsia" w:ascii="宋体" w:hAnsi="宋体" w:cs="宋体"/>
                <w:sz w:val="24"/>
                <w:highlight w:val="none"/>
              </w:rPr>
            </w:r>
            <w:r/>
          </w:p>
          <w:p>
            <w:pPr>
              <w:pStyle w:val="1101"/>
              <w:rPr>
                <w:rFonts w:hint="eastAsia" w:ascii="宋体" w:hAnsi="宋体" w:cs="宋体"/>
                <w:b/>
                <w:bCs/>
                <w:sz w:val="24"/>
                <w:highlight w:val="none"/>
              </w:rPr>
            </w:pPr>
            <w:r>
              <w:rPr>
                <w:rFonts w:hint="eastAsia" w:ascii="宋体" w:hAnsi="宋体" w:cs="宋体"/>
                <w:sz w:val="24"/>
                <w:highlight w:val="none"/>
              </w:rPr>
              <w:t xml:space="preserve">25.要求可移动使用，配置一台能够满足设备安装和移动的大屏支架。</w:t>
            </w:r>
            <w:r>
              <w:rPr>
                <w:rFonts w:hint="eastAsia" w:ascii="宋体" w:hAnsi="宋体" w:cs="宋体"/>
                <w:b/>
                <w:bCs/>
                <w:sz w:val="24"/>
                <w:highlight w:val="none"/>
              </w:rPr>
            </w:r>
            <w:r/>
          </w:p>
          <w:p>
            <w:pPr>
              <w:pStyle w:val="1101"/>
              <w:rPr>
                <w:rFonts w:hint="eastAsia" w:ascii="宋体" w:hAnsi="宋体" w:cs="宋体"/>
                <w:b/>
                <w:bCs/>
                <w:sz w:val="24"/>
                <w:highlight w:val="none"/>
              </w:rPr>
            </w:pPr>
            <w:r>
              <w:rPr>
                <w:rFonts w:hint="eastAsia" w:ascii="宋体" w:hAnsi="宋体" w:cs="宋体"/>
                <w:b/>
                <w:bCs/>
                <w:sz w:val="24"/>
                <w:highlight w:val="none"/>
              </w:rPr>
              <w:t xml:space="preserve">（二）配套白板软件要求：</w:t>
            </w:r>
            <w:r>
              <w:rPr>
                <w:rFonts w:hint="eastAsia" w:ascii="宋体" w:hAnsi="宋体" w:cs="宋体"/>
                <w:b/>
                <w:bCs/>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▲1.电子白板软件为独立开发的板书书写软件，电子白板软件可实现任意板书书写，满足课堂教学的各种要求。</w:t>
            </w:r>
            <w:r>
              <w:rPr>
                <w:rFonts w:hint="eastAsia" w:ascii="宋体" w:hAnsi="宋体" w:cs="宋体"/>
                <w:b/>
                <w:bCs/>
                <w:sz w:val="24"/>
                <w:highlight w:val="none"/>
              </w:rPr>
              <w:t xml:space="preserve">（所投产品电子白板应用软件获得电子白板教学辅助软件计算机软件著作权登记证书，且与一体机品牌一致）</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2.白板页面可进行移动，无限漫游，一个页面也可容纳丰富的板书内容</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3.可建立无限多页的板书页面，每新建一页会自动保存在页面栏中，方便板书来回查看。</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4.有常规白板、黑板、绿板以多色板四种模式，同时提供田字格、米字格、拼音格、五线谱等不同模板，满足不同学科教学需要；也可插入背景图片，制作自定义模板。</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5.具有一键切换桌面功能，方便教学期间白板软件与电脑桌面切换，避免重复关闭/打开白板软件造成使用不便或软件问题。</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6.具备铅笔、毛笔、荧光笔、排笔、纹理笔、其他笔等书写模式，笔迹粗细、颜色可调。支持多种擦除模式，滑动清屏、手势擦除，板擦识别擦除、大小面积橡皮擦、清除页面。</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7.支持软件截屏，可全屏截取，也可区域截图，所截区域自动贴在白板软件上， 并可以对图片进行批注，复制，删除等操作</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8.工具库：包含常用几何教学工具、多屏书写、计算器、视频编辑、二维码分享、放大镜、探照灯、时钟等常用教学工具；可通过教学工具直接绘制各种几何图形，可调出仿真圆规、三角板、直尺、量角器进行高级图形绘制。圆规可动态绘制圆形、弧形、扇形，支持任意点图形旋转。</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9.屏幕录制：可自动录制当前页面的板书内容，并在工具栏里面回放中回放板书过程。</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10.可将doc、ppt、vbx文件导入到电子白板程序中进行授课。板书内容可导出为ppt、pdf、doc、exe等格式文件，在任意机器上进行观看。</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11.白板软件支持多屏书写，支持多人多区域同时书写不影响。</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12.二维码分享：白板板书内容可通过生成二维码进行分享，扫描二维码带走全部板书内容。</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13.屏幕锁定：在暂时不使用软件时，可锁定屏幕，避免误操作。</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14.脑图：可轻松增删或拖拽编辑内容节点，智能格式调整，支持逐级逐个节点展开，以ppt、pdf、doc、exe等格式输出保存，满足不同演示需求。</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15.教师可在终端主屏或副屏上手写出题，并快速下发至学生端；学生端界面简洁，可清晰接收题目并在规定时间内完成作答并提交。系统可对客观题（如单选、多选、判断）实现自动统计，为教学评价提供依据。（</w:t>
            </w:r>
            <w:r>
              <w:rPr>
                <w:rFonts w:hint="eastAsia" w:ascii="宋体" w:hAnsi="宋体" w:cs="宋体"/>
                <w:b/>
                <w:bCs/>
                <w:sz w:val="24"/>
                <w:highlight w:val="none"/>
              </w:rPr>
              <w:t xml:space="preserve">提供具有CMA或CNAS标识的国家认可的第三方权威检测机构出具的检验（测）报告扫描件</w:t>
            </w:r>
            <w:r>
              <w:rPr>
                <w:rFonts w:hint="eastAsia" w:ascii="宋体" w:hAnsi="宋体" w:cs="宋体"/>
                <w:sz w:val="24"/>
                <w:highlight w:val="none"/>
              </w:rPr>
              <w:t xml:space="preserve">）</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（三）360°全向实训室人声教学扩声系统</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▲1.为控制教室内坐在前排与后排学生之间听感差异，测试教室内各学生座位测量点的稳态声压级最大值与最小值差值范围＜4dB（执行标准T/CAIACN 007-2022教室用扩声系统通用技术规范测量方法）。</w:t>
            </w:r>
            <w:r>
              <w:rPr>
                <w:rFonts w:hint="eastAsia" w:ascii="宋体" w:hAnsi="宋体" w:cs="宋体"/>
                <w:b/>
                <w:bCs/>
                <w:sz w:val="24"/>
                <w:highlight w:val="none"/>
              </w:rPr>
              <w:t xml:space="preserve">（须提供具备CMA或CNAS认证的国家认可的第三方权威检测机构出具的检测报告复印件并加盖制造商公章）</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2.扩声系统语言传输指数STIPA：调制传递函数MTF测量值＞0.6（执行标准T/CAIACN 007-2022教室用扩声系统通用技术规范）</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▲3.相邻教室声串扰的声压级≤40dB（测试符合T/CAIACN 007-2022教室用扩声系统通用技术规范）。</w:t>
            </w:r>
            <w:r>
              <w:rPr>
                <w:rFonts w:hint="eastAsia" w:ascii="宋体" w:hAnsi="宋体" w:cs="宋体"/>
                <w:b/>
                <w:bCs/>
                <w:sz w:val="24"/>
                <w:highlight w:val="none"/>
              </w:rPr>
              <w:t xml:space="preserve">（须提供具备CMA或CNAS认证的国家认可的第三方权威检测机构出具的检测报告复印件并加盖制造商公章）</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▲4.安全健康声压，学生座位的听音面（1.2米等高线位置）最大声压级＜82dB。（测试符合T/CAIACN 007-2022教室用扩声系统通用技术规范）。</w:t>
            </w:r>
            <w:r>
              <w:rPr>
                <w:rFonts w:hint="eastAsia" w:ascii="宋体" w:hAnsi="宋体" w:cs="宋体"/>
                <w:b/>
                <w:bCs/>
                <w:sz w:val="24"/>
                <w:highlight w:val="none"/>
              </w:rPr>
              <w:t xml:space="preserve">（须提供具备CMA或CNAS认证的国家认可的第三方权威检测机构出具的检测报告复印件并加盖制造商公章）</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5.采用音响簇箱体结构，一体化设计，吸顶式安装于教室内学生座位中间，声场由上至下，实现一个教室，一个声场。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6.采用ABS环保材料一体压塑成型，重量轻，结构稳固，具有科学的声学结构和物理特性。</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★7.箱体上的四只发声单元，在独立的腔体中以下俯35°角度，向四周辐射声能，离轴距离750mm，每只单元以90°锥体声波扩散，实现360度全指向覆盖。</w:t>
            </w:r>
            <w:r>
              <w:rPr>
                <w:rFonts w:hint="eastAsia" w:ascii="宋体" w:hAnsi="宋体" w:cs="宋体"/>
                <w:b/>
                <w:bCs/>
                <w:sz w:val="24"/>
                <w:highlight w:val="none"/>
              </w:rPr>
              <w:t xml:space="preserve">（须提供具备CMA或CNAS认证的国家认可的第三方权威检测机构出具的检测报告复印件并加盖制造商公章）</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8.人声语言解析度＞95%。</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9.总谐波失真应符合GB 50371的有关规定，系统所产生的所有谐波幅度的均方根除以基波幅度，THD＜0.1%。</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10.无线头戴话筒、无线手持三合一话筒、无线领夹话筒，无线直连音箱，无需外加其他设备，操作简单，支持三只话筒同时发声。</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★11.配套手机APP中，具有两路无线话筒通道的音量调节、回声电平调节、混响电平调节、噪声门限调节、自动对频按钮，可实现检测当前无线话筒占用的UHF频点、7段图示均衡器，并具备有一键重置为0dB。</w:t>
            </w:r>
            <w:r>
              <w:rPr>
                <w:rFonts w:hint="eastAsia" w:ascii="宋体" w:hAnsi="宋体" w:cs="宋体"/>
                <w:b/>
                <w:bCs/>
                <w:sz w:val="24"/>
                <w:highlight w:val="none"/>
              </w:rPr>
              <w:t xml:space="preserve">（须提供具备CMA或CNAS认证的国家认可的第三方权威检测机构出具的检测报告复印件并加盖制造商公章）</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▲12.全无线连接，设备仅需供电，人声拾音和设备多媒体播放和控制均为数字无线传输。采用UHF、蓝牙、红外、2.4G、1.2G、NFC技术通讯。</w:t>
            </w:r>
            <w:r>
              <w:rPr>
                <w:rFonts w:hint="eastAsia" w:ascii="宋体" w:hAnsi="宋体" w:cs="宋体"/>
                <w:b/>
                <w:bCs/>
                <w:sz w:val="24"/>
                <w:highlight w:val="none"/>
              </w:rPr>
              <w:t xml:space="preserve">（须提供具备CMA或CNAS认证的国家认可的第三方权威检测机构出具的检测报告复印件并加盖制造商公章）</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14.系统噪声功率级＜30dB（执行标准GB/T6882-2016）。</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15.扬声器单元：3″  19芯航天磁体，单只15W，共4只。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16.整机额定功率≥60W，节目功率≥120W，峰值功率≥240W。</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17.阻抗：单路8Ω，共4路。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18.灵敏度≥91dB±3dB。</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19.信噪比S/N≥76dB。</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20.谐振频率（F0）≥87</w:t>
            </w:r>
            <w:r>
              <w:rPr>
                <w:rFonts w:hint="eastAsia" w:ascii="宋体" w:hAnsi="宋体" w:cs="宋体"/>
                <w:color w:val="3b3b3b"/>
                <w:sz w:val="24"/>
                <w:highlight w:val="none"/>
                <w:shd w:val="clear" w:color="auto" w:fill="ffffff"/>
              </w:rPr>
              <w:t xml:space="preserve">Hz</w:t>
            </w:r>
            <w:r>
              <w:rPr>
                <w:rFonts w:hint="eastAsia" w:ascii="宋体" w:hAnsi="宋体" w:cs="宋体"/>
                <w:sz w:val="24"/>
                <w:highlight w:val="none"/>
              </w:rPr>
              <w:t xml:space="preserve">。</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21.频率响应≥87HZ-17K</w:t>
            </w:r>
            <w:r>
              <w:rPr>
                <w:rFonts w:ascii="Segoe UI" w:hAnsi="Segoe UI" w:eastAsia="Segoe UI" w:cs="Segoe UI"/>
                <w:color w:val="3b3b3b"/>
                <w:sz w:val="19"/>
                <w:szCs w:val="19"/>
                <w:highlight w:val="none"/>
                <w:shd w:val="clear" w:color="auto" w:fill="ffffff"/>
              </w:rPr>
              <w:t xml:space="preserve">Hz</w:t>
            </w:r>
            <w:r>
              <w:rPr>
                <w:rFonts w:hint="eastAsia" w:ascii="宋体" w:hAnsi="宋体" w:cs="宋体"/>
                <w:sz w:val="24"/>
                <w:highlight w:val="none"/>
              </w:rPr>
              <w:t xml:space="preserve">。</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22.整机尺寸≥400mm*400mm*165mm。</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23.整机重量≥4.3KG。</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24.输入接口：2个3.5mm音频接口，2个平衡式端子接口。</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25.输出接口：1个3.5mm音频接口。</w:t>
            </w:r>
            <w:r>
              <w:rPr>
                <w:rFonts w:hint="eastAsia" w:ascii="宋体" w:hAnsi="宋体" w:cs="宋体"/>
                <w:sz w:val="24"/>
                <w:highlight w:val="none"/>
              </w:rPr>
            </w:r>
            <w:r/>
          </w:p>
        </w:tc>
      </w:tr>
      <w:tr>
        <w:trPr/>
        <w:tc>
          <w:tcPr>
            <w:tcW w:w="365"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453"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color w:val="000000"/>
                <w:sz w:val="24"/>
                <w:highlight w:val="none"/>
                <w:lang w:bidi="ar"/>
              </w:rPr>
              <w:t xml:space="preserve">数字智能运维控制平台</w:t>
            </w:r>
            <w:r>
              <w:rPr>
                <w:rFonts w:hint="eastAsia" w:ascii="宋体" w:hAnsi="宋体" w:cs="宋体"/>
                <w:sz w:val="24"/>
                <w:highlight w:val="none"/>
              </w:rPr>
            </w:r>
            <w:r/>
          </w:p>
        </w:tc>
        <w:tc>
          <w:tcPr>
            <w:tcW w:w="4181" w:type="dxa"/>
            <w:vAlign w:val="top"/>
            <w:textDirection w:val="lrTb"/>
            <w:noWrap w:val="false"/>
          </w:tcPr>
          <w:p>
            <w:pPr>
              <w:pStyle w:val="1101"/>
              <w:rPr>
                <w:rFonts w:hint="eastAsia" w:ascii="宋体" w:hAnsi="宋体" w:cs="宋体"/>
                <w:sz w:val="24"/>
                <w:highlight w:val="none"/>
              </w:rPr>
            </w:pPr>
            <w:r>
              <w:rPr>
                <w:rFonts w:hint="eastAsia" w:ascii="宋体" w:hAnsi="宋体" w:cs="宋体"/>
                <w:sz w:val="24"/>
                <w:highlight w:val="none"/>
              </w:rPr>
              <w:t xml:space="preserve">数字智能运维控制平台由工业机器人单元、供料单元、视觉检测单元、搬运机械手、传输分拣单元、灌装落盖单元、拧盖输送单元、智能立体仓储单元、工业数据采集单元、MES管理系统、智能仓储管理系统、工业互联网云平台、数字孪生系统、可视化大屏、编程工作站等组成，可利用现场总线、计算机网络、工业组态软件和工业互联网技术，建立具有多层网络结构的软硬件平台，满足工业互联网相关专业的实训和技能考核。</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系统需满足以下功能要求：</w:t>
            </w:r>
            <w:r>
              <w:rPr>
                <w:rFonts w:hint="eastAsia" w:ascii="宋体" w:hAnsi="宋体" w:cs="宋体"/>
                <w:sz w:val="24"/>
                <w:highlight w:val="none"/>
              </w:rPr>
            </w:r>
            <w:r/>
          </w:p>
          <w:p>
            <w:pPr>
              <w:pStyle w:val="1101"/>
              <w:tabs>
                <w:tab w:val="left" w:pos="312" w:leader="none"/>
              </w:tabs>
              <w:rPr>
                <w:rFonts w:hint="eastAsia" w:ascii="宋体" w:hAnsi="宋体" w:cs="宋体"/>
                <w:sz w:val="24"/>
                <w:highlight w:val="none"/>
              </w:rPr>
            </w:pPr>
            <w:r>
              <w:rPr>
                <w:rFonts w:hint="eastAsia" w:ascii="宋体" w:hAnsi="宋体" w:cs="宋体"/>
                <w:sz w:val="24"/>
                <w:highlight w:val="none"/>
              </w:rPr>
              <w:t xml:space="preserve">1.工序一：能够在生产信息化管理系统中建立订单并下发，收到下发的订单信息后，数字智能运维控制平台开始生产。</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2.工序二：供料装置将物料推出-视觉系统进行物料检测-搬运机械手吸取物料-搬运机械手将物料转运至分拣灌装输送单元输送线上。</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3.工序三：输送线将物料传输至分拣机构进行分拣-分拣完成后输送线将物料传输至灌装装置进行灌装-灌装完成后输送线将物料传输至装盖机构进行装盖-装盖完成后输送线将物料传输至机器人综合装配单元。</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工序四：输送线将物料传输至拧盖机构进行拧盖-拧盖完成后物料传输至定位机构进行定位-视觉系统进行检测-机器人更换末端工具为吸盘工具-机器人从托盘机中取出托盘-机器人将托盘放置到托盘输送线上-机器人更换末端工具为夹爪工具-机器人夹取物料放置到托盘上-托盘输送线传输放有物料的托盘至输送线末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5.工序五：堆垛机将托盘从托盘输送线上挑起-堆垛机将托盘放入立体仓库中-完成生产。</w:t>
            </w:r>
            <w:r>
              <w:rPr>
                <w:rFonts w:hint="eastAsia" w:ascii="宋体" w:hAnsi="宋体" w:cs="宋体"/>
                <w:sz w:val="24"/>
                <w:highlight w:val="none"/>
              </w:rPr>
            </w:r>
            <w:r/>
          </w:p>
          <w:p>
            <w:pPr>
              <w:pStyle w:val="1101"/>
              <w:rPr>
                <w:rFonts w:hint="eastAsia" w:ascii="宋体" w:hAnsi="宋体" w:cs="宋体"/>
                <w:b/>
                <w:bCs/>
                <w:sz w:val="24"/>
                <w:highlight w:val="none"/>
              </w:rPr>
            </w:pPr>
            <w:r>
              <w:rPr>
                <w:rFonts w:hint="eastAsia" w:ascii="宋体" w:hAnsi="宋体" w:cs="宋体"/>
                <w:b/>
                <w:bCs/>
                <w:sz w:val="24"/>
                <w:highlight w:val="none"/>
              </w:rPr>
              <w:t xml:space="preserve">一、供料单元</w:t>
            </w:r>
            <w:r>
              <w:rPr>
                <w:rFonts w:hint="eastAsia" w:ascii="宋体" w:hAnsi="宋体" w:cs="宋体"/>
                <w:b/>
                <w:bCs/>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供料工作单元由工作台、井式供料模块、搬运机械手、视觉检测模块、电源控制系统、可编程逻辑控制器、人机交互系统、工业以太网交换机等构成。</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1.工作台</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1）组成：工作台整体需由钣金、型材、地脚轮等组成。</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 井式供料模块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井式供料模块整体由机加工件、气缸、料仓、检测传感器等组成。</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主要元件数量：</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1）推料气缸：≥1个；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2）光电传感器：≥2个；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3）磁性开关：≥2个；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3.搬运机械手：</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搬运机械手由伺服电机、运动模组、限位传感器、升降气缸、真空吸盘等组成。</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主要元件参数：</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1）伺服电机：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（1）功率：≥0.1KW；</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（2）编码器：增量式编码器；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（3）抱闸：无抱闸。</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2）伺服驱动器：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（1）输入电压：1AC,200-240V；</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（2）最大负载电机功率：≥0.1KW；</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（3）控制模式：速度控制模式；基本定位器控制。</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3）运动模组：≥1套；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4）限位传感器：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（1）类型：槽型光电传感器；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（2）数量：≥3个。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5）升降气缸：≥1套；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6）吸盘系统：</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（1）吸盘：≥1套；</w:t>
            </w:r>
            <w:r>
              <w:rPr>
                <w:rFonts w:hint="eastAsia" w:ascii="宋体" w:hAnsi="宋体" w:cs="宋体"/>
                <w:sz w:val="24"/>
                <w:highlight w:val="none"/>
              </w:rPr>
            </w:r>
            <w:r/>
          </w:p>
          <w:p>
            <w:pPr>
              <w:pStyle w:val="1130"/>
              <w:rPr>
                <w:rFonts w:hint="eastAsia" w:ascii="宋体" w:hAnsi="宋体" w:cs="宋体"/>
                <w:sz w:val="24"/>
                <w:highlight w:val="none"/>
              </w:rPr>
            </w:pPr>
            <w:r>
              <w:rPr>
                <w:rFonts w:hint="eastAsia" w:ascii="宋体" w:hAnsi="宋体" w:cs="宋体"/>
                <w:sz w:val="24"/>
                <w:highlight w:val="none"/>
              </w:rPr>
              <w:t xml:space="preserve">（2）吸盘压力检测传感器：</w:t>
            </w:r>
            <w:r>
              <w:rPr>
                <w:rFonts w:hint="eastAsia"/>
                <w:highlight w:val="none"/>
              </w:rPr>
              <w:t xml:space="preserve">≥</w:t>
            </w:r>
            <w:r>
              <w:rPr>
                <w:rFonts w:hint="eastAsia" w:ascii="宋体" w:hAnsi="宋体" w:cs="宋体"/>
                <w:sz w:val="24"/>
                <w:highlight w:val="none"/>
              </w:rPr>
              <w:t xml:space="preserve">1套。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 视觉检测模块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由视觉检测系统、固定底板、视觉教学系统等组成。检测零件的形状、颜色、坐标等信息，通过以太网将检测结果发给PLC。</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主要技术参数：</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1）视觉检测系统主要技术参数：</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（1）视觉检测模式：彩色；</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（2）帧率：≥30fps；</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（3）分辨率：≥1280×960； </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（4）类型：CCD；</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（5）位深：≥14；</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（6）靶面：1/3”；</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（7）安装支架：可进行多个自由度调节；</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（8）光源类型：环形；</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（9）供电电压：DC24V。</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2）视觉教学系统</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需通过视觉检测系统，实现图像识别及分类、目标检测、形状识别、颜色识别等功能，可完成平台中物料的识别与定位。</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（1）应支持通过视觉检测系统进行图像数据采集，并对采集的图像数据进行标记、框选、描述等操作；</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（2）应支持识别图像中的物品类别，可以将识别出的不同类型图像进行自动归类，并存放到电脑指定路径进行持久化保存。</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（3）应支持将本地带有噪点的图像通过高斯滤波、中值滤波、均值滤波等方式完成图像降噪；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▲（4）为避免知识产权纠纷和保证软件的稳定性，投标文件中需提供《视觉教学系统》相关知识产权证书扫描件和版权保护中心官网的查询截图以及软件测试报告扫描件作为辅助证明材料。</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5.电源控制系统</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1）配套空气隔离开关：≥1个；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2）配套电流型漏电保护器：≥1个；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3）配套24V开关电源：≥1个；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4）配套上电、断电等按钮：≥1套。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6.可编程逻辑控制器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1）用户存储器：≥100KB工作存储器，≥4MB装载存储器；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2）板载数字I/O：≥14路输入/10路输出；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3）板载模拟I/O：≥2路输入；</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4）过程映像大小：≥1024字节输入，1024字节输出；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5）高速计数器：≥6个；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6）脉冲输出：≥4路；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7）网口：≥1个，类型：以太网，支持PROFINET通信；</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8）扩展IO：≥8DI。</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9）配套PLC智能编程助手，具备PLC程序智能编程、对话参数微调、自定义挂载知识库、自定义系统提示词、用户与权限管理等功能，协助可编程控制器进行编程，便于快速生成平台控制程序。</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（1）需支持集成本地化部署的大语言模型集群，涵盖 deepseek-R1、qwen3、llama3.1、llama3.2 、qwen2.5等主流模型；</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（2）系统需支持高级对话参数的动态微调，包括是否以流式返回对话响应、种子、温度、Mirostat Eta、Mirostat Tau、Top K、Top P、Min P、频率惩罚等，使模型的输出更加精准；</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（3）需支持提供二次开发接口，包含：获取模型列表、对话问答、知识库文件解析等；</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highlight w:val="none"/>
              </w:rPr>
              <w:t xml:space="preserve">■</w:t>
            </w:r>
            <w:r>
              <w:rPr>
                <w:rFonts w:hint="eastAsia" w:ascii="宋体" w:hAnsi="宋体" w:cs="宋体"/>
                <w:sz w:val="24"/>
                <w:highlight w:val="none"/>
              </w:rPr>
              <w:t xml:space="preserve">（4）需支持系统自动拼接提示词来实现PLC代码的自动生成，生成的程序需支持以.st、.xml、.XPL等格式下载到本地路径下，程序生成的同时可自动生成对应的I/O表（I/O表支持以Excel的方式导出到本地路径下），导出的I/O表可再导入到可编程控制器的编程软件中，通过微调程序完成平台代码的编写；需支持对大模型回答后的内容进行选中，选中后系统自动弹出询问和解释按钮，点击解释按钮系统自动完成对选中部分内容的解释，点击询问按钮后可对选中的内容进行进一步提问，解释和进一步询问后回答的内容需以中文显示；</w:t>
            </w:r>
            <w:r>
              <w:rPr>
                <w:rFonts w:hint="eastAsia" w:ascii="宋体" w:hAnsi="宋体" w:cs="宋体"/>
                <w:b/>
                <w:bCs/>
                <w:sz w:val="24"/>
                <w:highlight w:val="none"/>
              </w:rPr>
              <w:t xml:space="preserve">（需提供满足此条功能的演示视频作为佐证材料）</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highlight w:val="none"/>
              </w:rPr>
              <w:t xml:space="preserve">■</w:t>
            </w:r>
            <w:r>
              <w:rPr>
                <w:rFonts w:hint="eastAsia" w:ascii="宋体" w:hAnsi="宋体" w:cs="宋体"/>
                <w:sz w:val="24"/>
                <w:highlight w:val="none"/>
              </w:rPr>
              <w:t xml:space="preserve">（5）</w:t>
            </w:r>
            <w:r>
              <w:rPr>
                <w:rFonts w:hint="eastAsia" w:ascii="宋体" w:hAnsi="宋体" w:cs="宋体"/>
                <w:sz w:val="24"/>
                <w:highlight w:val="none"/>
              </w:rPr>
              <w:t xml:space="preserve">需支持进行知识库的创建，可创建编程知识库，创建过程中应具备知识库的权限分配功能，已创建的知识库应具备上传文件（支持PDF、Word等）、上传目录、添加文本内容等功能，同时系统可对上传文件的内容进行自动解析，解析后的文件内容支持编辑与再次保存；需支持以字符或Token的方式设置文本切分器中的块大小和块重叠数量，可自定义语义向量模型，支持混合搜索，在混合搜索模式下，支持重排模型、前K个检索结果、最低分等参数的自定义，在问答时，可通过知识库检索得到在最低分之上的内容，同时支持文件最大上传大小和最大上传数量的设置；</w:t>
            </w:r>
            <w:r>
              <w:rPr>
                <w:rFonts w:hint="eastAsia" w:ascii="宋体" w:hAnsi="宋体" w:cs="宋体"/>
                <w:b/>
                <w:bCs/>
                <w:sz w:val="24"/>
                <w:highlight w:val="none"/>
              </w:rPr>
              <w:t xml:space="preserve">（需提供满足此条功能的演示视频作为佐证材料）</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（6）需支持自定义多个提示词，创建后的每个提示词都应具备权限分配功能，同时应具备提示词的导入、导出、编辑、删除等功能，在聊天界面可快速调用提示词；</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（7）需支持对系统中用户与权限的管理，支持编辑用户信息，并为不同的用户分配不同的功能权限； </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（8）应具备模型的启用与停用、删除本地模型等功能。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▲（9）为避免知识产权纠纷和保证软件的稳定性，投标文件中需提供《智能助手》相关知识产权证书扫描件和版权保护中心官网的查询截图以及软件测试报告扫描件作为辅助证明材料。</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7.人机交互系统</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1）屏幕：TFT真彩液晶屏，64K色；</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2）尺寸（英寸）：≥7.0；</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3）分辨率：≥800×480；</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4）接口：≥1×PROFINET；</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5）画面数：≥100；</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6）变量：≥800；</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7）按键数：≥8。</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8.工业以太网交换机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1）宽电压输入：9.6V-60VDC；</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2）网口：≥8个10/100M自适应RJ45端口；</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3）材质：铝合金外壳。</w:t>
            </w:r>
            <w:r>
              <w:rPr>
                <w:rFonts w:hint="eastAsia" w:ascii="宋体" w:hAnsi="宋体" w:cs="宋体"/>
                <w:sz w:val="24"/>
                <w:highlight w:val="none"/>
              </w:rPr>
            </w:r>
            <w:r/>
          </w:p>
          <w:p>
            <w:pPr>
              <w:pStyle w:val="1101"/>
              <w:rPr>
                <w:rFonts w:hint="eastAsia" w:ascii="宋体" w:hAnsi="宋体" w:cs="宋体"/>
                <w:b/>
                <w:bCs/>
                <w:sz w:val="24"/>
                <w:highlight w:val="none"/>
              </w:rPr>
            </w:pPr>
            <w:r>
              <w:rPr>
                <w:rFonts w:hint="eastAsia" w:ascii="宋体" w:hAnsi="宋体" w:cs="宋体"/>
                <w:b/>
                <w:bCs/>
                <w:sz w:val="24"/>
                <w:highlight w:val="none"/>
              </w:rPr>
              <w:t xml:space="preserve">二、综合实训单元1</w:t>
            </w:r>
            <w:r>
              <w:rPr>
                <w:rFonts w:hint="eastAsia" w:ascii="宋体" w:hAnsi="宋体" w:cs="宋体"/>
                <w:b/>
                <w:bCs/>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综合实训单元1由工作台、料斗装置、传输装置、装盖装置等构成。</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1.工作台</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1）组成：工作台整体需由钣金、型材、地脚轮等组成。</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2.灌料装置≥2个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料斗装置由灌料气缸组成，可模拟物料的灌装工作。</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1）灌料气缸：≥1个；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2）检测传感器：≥2个；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3.皮带输送模块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传输装置包括：输送带、伺服电机、同步带、定位传感器，负责将物料传送至目标位置。</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1）伺服电机：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（1）功率：≥0.1KW；</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（2）编码器：增量式编码器；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（3）抱闸：无抱闸。</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2）伺服驱动器：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（1）输入电压：1AC,200-240V；</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（2）最大负载电机功率：≥0.1KW；</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（3）控制模式：速度控制模式；基本定位器控制。</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4.落盖模块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落盖模块是由推盖气缸、检测传感器、压盖气缸等组成，可进行物料瓶的装盖工作。</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1）推料气缸：≥1套；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2）压盖气缸：≥1套；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3）检测传感器：≥1套。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5.电源控制系统</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1）配套空气隔离开关：≥1个；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2）配套电流型漏电保护器：≥1个；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3）配套24V开关电源：≥1个；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4）配套上电、断电等按钮：≥1套。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6.可编程逻辑控制器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1）用户存储器：≥100KB工作存储器，≥4MB装载存储器；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2）板载数字I/O：≥14路输入/10路输出；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3）板载模拟I/O：≥2路输入；</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4）过程映像大小：≥1024字节输入，1024字节输出；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5）高速计数器：≥6个；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6）脉冲输出：≥4路；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7）网口：≥1个，类型：以太网，支持PROFINET通信；</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8）扩展IO：≥8DI、8DO。</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7.人机交互系统</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1）屏幕：TFT真彩液晶屏，64K色；</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2）尺寸（英寸）：≥7.0；</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3）分辨率：≥800×480；</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4）接口：≥1×PROFINET；</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5）画面数：≥100；</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6）变量：≥800；</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7）按键数：≥8。</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8.工业以太网交换机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1）宽电压输入：9.6V-60VDC；</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2）网口：≥8个10/100M自适应RJ45端口；</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3）材质：铝合金外壳。</w:t>
            </w:r>
            <w:r>
              <w:rPr>
                <w:rFonts w:hint="eastAsia" w:ascii="宋体" w:hAnsi="宋体" w:cs="宋体"/>
                <w:sz w:val="24"/>
                <w:highlight w:val="none"/>
              </w:rPr>
            </w:r>
            <w:r/>
          </w:p>
          <w:p>
            <w:pPr>
              <w:pStyle w:val="1101"/>
              <w:rPr>
                <w:rFonts w:hint="eastAsia" w:ascii="宋体" w:hAnsi="宋体" w:cs="宋体"/>
                <w:b/>
                <w:bCs/>
                <w:sz w:val="24"/>
                <w:highlight w:val="none"/>
              </w:rPr>
            </w:pPr>
            <w:r>
              <w:rPr>
                <w:rFonts w:hint="eastAsia" w:ascii="宋体" w:hAnsi="宋体" w:cs="宋体"/>
                <w:b/>
                <w:bCs/>
                <w:sz w:val="24"/>
                <w:highlight w:val="none"/>
              </w:rPr>
              <w:t xml:space="preserve">三、综合实训单元2</w:t>
            </w:r>
            <w:r>
              <w:rPr>
                <w:rFonts w:hint="eastAsia" w:ascii="宋体" w:hAnsi="宋体" w:cs="宋体"/>
                <w:b/>
                <w:bCs/>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综合实训单元2由工作台、工业机器人、传送带模块、拧盖模块、拆盖模块、视觉检测模块、装配模块、输送模块3、托盘出库模块、快换夹具、远程IO、触摸屏等组成，可完成瓶盖拧紧、托盘出库、药瓶装配及反向拆盖等工序的综合实训单元。</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1.工业机器人：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由工业机器人本体、机器人底座、机器人控制柜和示教盒、机器人控制系统等组成。</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工业机器人配套同品牌离线编程仿真软件，可在虚拟环境中对工业机器人的各种典型工业应用场景进行仿真操作。</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1）机器人技术参数：</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（1）自由度：6</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（2）最大负载：≥3kg</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（3）重复定位精度：≤0.02mm</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（4）最大臂展：≥593mm</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2）机器人控制系统</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可以通过手势完成对机器人的控制。</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（1）需支持通过石头、剪刀、布等手势控制机器人的运动，如控制机器人恢复初始姿态、机器人运动到抓取姿态、机器人运动到放置姿态； </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（2）需支持在手势识别成功后系统视频画面自动显示识别类型和准确率等结果; </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highlight w:val="none"/>
              </w:rPr>
              <w:t xml:space="preserve">■</w:t>
            </w:r>
            <w:r>
              <w:rPr>
                <w:rFonts w:hint="eastAsia" w:ascii="宋体" w:hAnsi="宋体" w:cs="宋体"/>
                <w:sz w:val="24"/>
                <w:highlight w:val="none"/>
              </w:rPr>
              <w:t xml:space="preserve">（3）需支持数据集以单张或多张图像同时上传的方式（图像包含png、jpeg、jpg等格式），系统内置数据标注功能，生成图像对应的txt标签信息文件可根据需求选择存储路径，需支持通过点击上一张或下一张按钮完成数据集图像的切换，需支持通过删除区域按钮删除当前图像中已选择的区域，需支持界面中标签列表的内容以不同颜色显示；</w:t>
            </w:r>
            <w:r>
              <w:rPr>
                <w:rFonts w:hint="eastAsia" w:ascii="宋体" w:hAnsi="宋体" w:cs="宋体"/>
                <w:b/>
                <w:bCs/>
                <w:sz w:val="24"/>
                <w:highlight w:val="none"/>
              </w:rPr>
              <w:t xml:space="preserve">（需提供满足此条功能的演示视频作为佐证材料）</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highlight w:val="none"/>
              </w:rPr>
              <w:t xml:space="preserve">■</w:t>
            </w:r>
            <w:r>
              <w:rPr>
                <w:rFonts w:hint="eastAsia" w:ascii="宋体" w:hAnsi="宋体" w:cs="宋体"/>
                <w:sz w:val="24"/>
                <w:highlight w:val="none"/>
              </w:rPr>
              <w:t xml:space="preserve">（4）需支持对提供的视觉手势识别模型进行二次训练，将类别数量、类别名称、迭代次数、批次大小、训练集路径、验证集路径等参数配置完成后，通过点击开始训练按钮进行模型训练；需支持以矩阵表格、折线图、柱状图、散点图、热力图等方式显示训练结果；</w:t>
            </w:r>
            <w:r>
              <w:rPr>
                <w:rFonts w:hint="eastAsia" w:ascii="宋体" w:hAnsi="宋体" w:cs="宋体"/>
                <w:b/>
                <w:bCs/>
                <w:sz w:val="24"/>
                <w:highlight w:val="none"/>
              </w:rPr>
              <w:t xml:space="preserve">（需提供满足此条功能的演示视频作为佐证材料）</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（5）进行手势识别控制时，需支持设置置信度来提升识别手势的难易程度； </w:t>
            </w:r>
            <w:r>
              <w:rPr>
                <w:rFonts w:hint="eastAsia" w:ascii="宋体" w:hAnsi="宋体" w:cs="宋体"/>
                <w:sz w:val="24"/>
                <w:highlight w:val="none"/>
              </w:rPr>
            </w:r>
            <w:r/>
          </w:p>
          <w:p>
            <w:pPr>
              <w:pStyle w:val="1101"/>
              <w:rPr>
                <w:rFonts w:hint="eastAsia" w:ascii="宋体" w:hAnsi="宋体" w:cs="宋体"/>
                <w:color w:val="000000"/>
                <w:sz w:val="24"/>
                <w:highlight w:val="none"/>
              </w:rPr>
            </w:pPr>
            <w:r>
              <w:rPr>
                <w:rFonts w:hint="eastAsia" w:ascii="宋体" w:hAnsi="宋体" w:cs="宋体"/>
                <w:sz w:val="24"/>
                <w:highlight w:val="none"/>
              </w:rPr>
              <w:t xml:space="preserve">▲（6）为避免知识产权纠纷和保证软件的稳定性，投标文件中需提供《机器人控制系统》相关知识产权证书扫描件和版权保护中心官网的查询截图以及软件测试报告扫描件作为辅助证明材料。</w:t>
            </w:r>
            <w:r>
              <w:rPr>
                <w:rFonts w:hint="eastAsia" w:ascii="宋体" w:hAnsi="宋体" w:cs="宋体"/>
                <w:color w:val="000000"/>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2.皮带输送模块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传输装置包括：输送带、伺服电机、同步带，负责将物料传送至目标位置。</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1）伺服电机：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（1）功率：≥0.1KW；</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（2）编码器：增量式编码器；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（3）抱闸：无抱闸。</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2）伺服驱动器：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（1）输入电压：1AC,200-240V；</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（2）最大负载电机功率：≥0.1KW；</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（3）控制模式：速度控制模式；基本定位器控制。</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3.拧盖模块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拧盖模块由夹紧气缸、下压气缸和拧紧电机等组成，负责完成物料瓶的拧盖装配。</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1）夹紧气缸：≥1个；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2）料仓检测传感器：≥1个；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3）下压气缸：≥1个；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4）拧紧电机：≥1个；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4.托盘出库模块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托盘出库模块包括丝杆、步进电机、激光测距传感器等。</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1）步进电机控制系统</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（1）电压输入范围: ≥20-50VDC。</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（2）电流输出可选: ≥1.00-4.20A。</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2）激光测距传感器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（1）测量距离：≥60mm</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（2）绝对测量精度：≤0.5mm</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（3）供电电压：10-30VDC</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5.装配模块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装配模块包括步进电机、同步带、同步轮、限位传感器等。</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1）步进电机控制系统</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（1）电压输入范围: ≥20-50VDC。</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（2）电流输出可选: ≥1.00-4.20A。</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2）限位传感器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（1）类型：方形光电传感器；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（2）数量：≥2个。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6.智能立体仓储模块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1）堆垛机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三轴堆垛机由X轴、Y轴、Z轴构成，三轴分别采用伺服电机、步进电机、直流电机驱动。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（1）伺服电机控制系统</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①伺服驱动器：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（a）输入电压：AC 200-240V；</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（b）最大负载电机功率：≥0.1KW；</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（c）控制模式：速度控制模式、基本定位器控制。</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②伺服电机：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（a）功率：≥0.1KW；</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（b）编码器：增量式编码器；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（c）抱闸：无抱闸。</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③保护：软、硬限位保护。</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（2）步进电机控制系统</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①电压输入范围: ≥20-50VDC。</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②电流输出可选: ≥1.00-4.20A。</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（3）直流电机驱动系统</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①直流电机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（a）电压输入范围: ≥24VDC。</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②直流电机调速器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（a）工作电压：≥12-30VDC</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（b）可控负载：≥10 A。</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2）立体仓库</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立体仓库由型材、钣金搭建而成，每个仓位均配备传感器用于检测托盘的有无。配备立体库，用于存放装配完成的物料。</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（1）仓位：≥9个；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（2）传感器：≥9个。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（3）远程IO模块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（4）工作电压：≥24V。</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（5）通信协议：支持Profinet协议。</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（6）通道数量：≥16路；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（7）输入类型：数字量信号。</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3）智能仓储管理系统</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可通过入库、出库、盘库、库存调整等核心功能，实现对数字智能运维控制平台仓库各项业务的精细化管理。同时还支持多仓库管理，并能提供库存报警、物料盘点等服务，用户可实时掌握库存动态，提高仓储作业效率。</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（1）产品管理</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①应支持对产品类型的新增、修改、删除、导出等功能，添加或修改产品类型信息时需支持对库存上限和库存下限的预警值设置；</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②应支持产品设置的新增、修改、删除、导出等功能，需支持对产品编号、产品名称、产品类型、规格型号、单位、是否启用等信息的设置；</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③需支持通过产品类型、产品编号、产品名称、仓位编号等信息进行搜索，可进行对产品类型、产品编号、产品名称、产品编码、规格型号、单位、仓位编号、库存上限数量和库存下限数量等信息的查看；</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④需支持对产品物料的设置，系统自动检索数字智能运维控制平台中当前的物料信息，可完成对不同产品下物料的添加；</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（2）应支持对物料信息的新增、修改、删除、导出等功能，可查看物料编号、物料名称、规格型号、创建时间、单位、是否使用等信息；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（3）应支持对数字智能运维控制平台中仓库数据信息的管理，支持对仓库编号、仓库名称、是否启用、创建时间等信息的设置与查看，支持仓库数据的导出； </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（4）应支持对数字智能运维控制平台中库存报警信息的查看，包括产品类型、报警内容、库存上限数量、库存下限数量、总库存数量等信息；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（5）应支持对入库和出库单号的一键生成，下拉选择仓库信息和仓位信息后，可一键入库和出库； </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（6）需支持盘点信息的新增与删除功能，可一键查看当前仓库的库位状态信息；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（7）报警管理</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①需支持对报警内容、监控变量、触发报警类型的设定，报警类型应包含大于X值、小于X值、等于X值、大于X值且小于Y值、大于Y值且小于X值等内容；</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②需支持报警信息的查看、导出与修改，可查看报警内容、监控变量、触发报警类型、X值、Y值、创建时间等信息，报警大屏应具备报警内容、报警值、报警时间、是否处理和操作等内容的显示；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（8）应支持设定MQTT服务器IP、MQTT服务器端口、订阅令牌和发布令牌等信息；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（9）用户管理</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①应支持对账号、名称、类型、状态、创建时间等信息的查看，以及对账号、名称、类型等信息的修改，可修改与重置用户密码，支持对用户的禁用、删除与角色配置；</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②应支持对用户类型的新增、修改、查看与删除，可查看用户类型和用户标识信息；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（10）权限管理</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①需支持对角色名称和角色编号信息的新增、修改与查看，需具备对当前角色进行菜单的关联与解除关联；</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②应具备对菜单信息的新增、修改与删除功能，菜单信息需具备树形结构显示，修改菜单信息时，可完成对菜单名、级别、路径和父ID信息的编辑；</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（11）应支持对部门信息的新增、删除、禁用与查看功能，可查看部门的名称和状态信息；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7.视觉检测模块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由视觉检测系统、固定底板、不锈钢拉手等组成。检测零件的形状、颜色、坐标等信息，通过以太网和模拟量通道将检测结果发往机器人。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主要技术参数：</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1)模块外形尺寸（长×宽×高）：≥150×150×260mm</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2）适配标准实训台定位安装</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视觉检测系统主要技术参数：</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（1）视觉检测模式：彩色；</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（2）帧率：≥30fps；</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（3）分辨率：≥1280×960； </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（4）类型：CCD；</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（5）位深：≥14；</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（6）靶面：1/3”；</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（7）安装支架：可进行多个自由度调节；</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（8）光源类型：环形；</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（9）供电电压：DC24V。</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8.可编程逻辑控制器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1）用户存储器：≥100KB工作存储器，≥4MB装载存储器；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2）板载数字I/O：≥14路输入/10路输出；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3）板载模拟I/O：≥2路输入；</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4）过程映像大小：≥1024字节输入，1024字节输出；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5）高速计数器：≥6个；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6）脉冲输出：≥4路；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7）网口：≥1个，类型：以太网，支持PROFNET通信；</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9.人机交互系统</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1）屏幕：TFT真彩液晶屏，64K色；</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2）尺寸（英寸）：≥7.0；</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3）分辨率：≥800×480；</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4）接口：≥1×PROFINET；</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5）画面数：≥100；</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6）变量：≥800；</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7）按键数：≥8。</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10.工业以太网交换机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1）宽电压输入：9.6V-60VDC；</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2）网口：≥8个10/100M自适应RJ45端口；</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3）材质：铝合金外壳。</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11.工业机器人故障设定系统</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具备教师端、学生端及后台端，教师端用于故障设定、学生端用于学生排故，后台端可进行学生排故操作的记录；</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1）系统中的故障来自于工业机器人在实际应用中出现的常见故障，且故障可按照难易等级进行分类。</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2）系统支持故障点悬浮提示功能，用户将鼠标悬浮放置在对应的故障点位，系统可进行对应故障点位信息的提示；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3）能够设置电气故障点≥16个；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该系统支持设备单点控制及集群控制功能，能够同时对≥40台设备进行故障设定，也可用于单台设备的控制；群控时，学生打开系统后，对应的故障设备会自动出现教师设定的故障现象，未打开系统的工位，不会出现故障现象；</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5）教师端登录密码采用MD5信息摘要算法+盐值方式对其加密，以保证系统的高安全性；</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6）教师端故障设定具备自由度高的特性，教师可自主设定对应故障点的故障；</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7）学生根据故障现象对设备进行排故，排故后学生点击学生端对应的故障点，对故障进行恢复，点击提交时，系统可自动对每个学生的分数进行计算，并进行成绩及排故结果的显示；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8）学生误排故障后，系统会自动检测误排故情况，并根据学生的误排故情况对学生进行自动扣分；</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9）后台端可实时记录学生排故操作过程，可根据不同学生的排故情况对学生排故操作及操作时间进行实时记录；</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▲10）为避免知识产权纠纷，投标文件中提供《工业机器人故障设定系统》相关知识产权证书扫描件和版权保护中心官网的查询截图作为辅助证明材料。</w:t>
            </w:r>
            <w:r>
              <w:rPr>
                <w:rFonts w:hint="eastAsia" w:ascii="宋体" w:hAnsi="宋体" w:cs="宋体"/>
                <w:sz w:val="24"/>
                <w:highlight w:val="none"/>
              </w:rPr>
            </w:r>
            <w:r/>
          </w:p>
          <w:p>
            <w:pPr>
              <w:pStyle w:val="1101"/>
              <w:rPr>
                <w:rFonts w:hint="eastAsia" w:ascii="宋体" w:hAnsi="宋体" w:cs="宋体"/>
                <w:b/>
                <w:bCs/>
                <w:sz w:val="24"/>
                <w:highlight w:val="none"/>
              </w:rPr>
            </w:pPr>
            <w:r>
              <w:rPr>
                <w:rFonts w:hint="eastAsia" w:ascii="宋体" w:hAnsi="宋体" w:cs="宋体"/>
                <w:b/>
                <w:bCs/>
                <w:sz w:val="24"/>
                <w:highlight w:val="none"/>
              </w:rPr>
              <w:t xml:space="preserve">四、生产信息化管理系统</w:t>
            </w:r>
            <w:r>
              <w:rPr>
                <w:rFonts w:hint="eastAsia" w:ascii="宋体" w:hAnsi="宋体" w:cs="宋体"/>
                <w:b/>
                <w:bCs/>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系统需覆盖生产计划与调度、实时生产监控、质量管理、人员与设备管理等核心业务流程，通过对数字智能运维控制平台进行生产排产及工单下发，可以监控加工过程中各工序生产进度，同时可以实时采集生产过程数据，以可视化大屏进行集中展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主要功能如下：</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1.组织架构：</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1）应能够实现对部门、岗位、角色、用户的管理；</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需满足以下功能：在部门管理界面，可通过部门名称及状态对部门进行搜索，以树状结构展示部门信息，可查看部门名称、排序、状态、创建时间等信息，可对部门信息展开/折叠，可以对部门进行修改、新增、删除等操作；</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3）需满足以下功能：在岗位管理界面，可通过岗位编码、岗位名称、状态等条件对岗位进行搜索，可对岗位进行新增、修改、删除等操作，支持批量导出；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应具备角色管理界面，需满足以下功能：通过角色名称、权限字符、状态、创建时间等条件对角色信息进行搜索，可对角色进行新增、修改、删除等操作，支持批量导出角色信息，新增角色时可以填写角色名称、权限字符、角色顺序，选择正常或停用状态，对菜单权限勾选功能名称，填写备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应具备用户管理界面，需满足以下功能：以树状结构展示部门信息，可通过用户名称、手机号码、状态、创建时间等条件对用户进行搜索，可对用户进行新增、修改、删除等操作，支持批量导入、导出，支持修改用户状态；</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2.系统管理</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1）应具备菜单管理、字典管理、参数设置、日志管理、编码规则等功能；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应具备菜单管理界面，需满足以下功能：以树状结构展示菜单功能信息，并具有修改、新增、删除、展开/折叠菜单的功能，修改功能中包括修改菜单的上级菜单、菜单类型、菜单图标、菜单名称、显示排序、路由地址、是否外链、显示状态、菜单状态等信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3）应具备字典管理界面，需满足以下功能：通过字典名称、字典类型、状态、创建时间等条件进行搜索，可对字典信息进行新增、修改、删除等操作，支持批量导出、刷新缓存功能；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4）应具备参数设置界面，需满足以下功能：可通过参数名称、参数键名、参数键值、系统内置、创建时间等条件进行搜索，可对参数信息进行新增、修改、删除等操作，支持批量导出、刷新缓存功能；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应具备日志界面，需满足以下功能：可通过系统模块、操作人员、类型、状态、操作时间等条件进行搜索，可查看日志编号、系统模块、操作类型、请求方式、操作人员、操作地址、操作地点、操作状态、操作日期等日志信息，可对日志进行删除和清空等操作，支持批量导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应具备日志界面，需满足以下功能：可通过登录地址、用户名称、状态、登录时间等条件搜索，可查看访问编号、用户名称、登录地址、登录地点、浏览器、操作系统、登陆状态、操作信息以及登录日期等日志信息，可对日志进行删除和清空等操作，支持批量导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应具备编码规则界面，需满足以下功能：可通过规则名称、规则编码、启用状态等条件搜索，可查看规则编号、规则名称、最大长度、是否补齐、是否启用、备注、创建时间等编码信息，支持新增、修改、删除等操作；</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应具备大屏设计功能，需满足以下功能：在界面可查看现有项目大屏并进行编辑；编辑界面应具有20种以上图表，10种以上信息组件，25种以上小组件，100种以上图标，500种以上主题颜色；可设置大屏背景颜色、应用类型、适配方式、滤镜等，支持预览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4.系统监控</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1）应具有在线用户、定时任务、数据监控、服务监控、缓存监控等功能；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2）应具有在线用户界面，需满足以下功能：可查看序号、会话编号、登录名称、部门名称、主机、登录地点、浏览器、操作系统、登陆时间等信息，可以对在线用户执行强退操作；</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应具有定时任务界面，需满足以下功能：可查看任务编号、任务名称、任务组名、调用目标字符串、cron执行表达式、状态等信息，可对任务进行新增、修改、删除等操作，支持批量导出，可点击日志按钮进入掉调度日志界面；</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4）应具有服务监控界面，需满足以下功能：可查看CPU、内存、服务器信息、Java虚拟机信息、磁盘状态等信息；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5）应具有缓存监控界面，需满足以下功能：可查看基本信息、命令统计、内存信息等；</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5.主数据：</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物料产品管理：需满足树状结构展示物料产品分类，应能够查看物料编码、物料产品ID、物料名称、规格型号、单位、物料/产品、所属分类、是否启用等信息，可对物料进行新增、修改、删除等操作，支持批量导入和导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2）物料产品分类：需以树形结构展示物料产品分类数据，应能够在节点下新增物料产品，可查看分类、排序、物料/产品、是否启用、创建时间等信息，可进行修改、新增、删除操作；</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3）需满足计量单位功能：应能够查看单位编码、单位名称、是否是主单位、与主单位换算比例、是否启用等信息，可以进行新增、修改、删除等操作，支持批量导出；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需满足客户管理功能：应能够查看客户编码、客户名称、客户简称、客户类型、客户电话、联系人、联系人电话、是否启用等信息，需满足新增、修改、删除等操作，支持批量导出，添加客户信息时，应能够填写客户编码（支持自动生成），客户名称，客户简称，客户英文名称，客户类型，客户简介，客户地址，客户官网地址，客户邮箱地址，客户电话，客户logo，联系人1，联系人1-电话，联系人1-邮箱，联系人2，联系人2-电话，联系人2-邮箱，社会信用代码，选择是否有效等信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5）应具备供应商管理界面，需满足以下功能：可查看</w:t>
            </w:r>
            <w:r>
              <w:rPr>
                <w:rFonts w:hint="eastAsia" w:ascii="宋体" w:hAnsi="宋体" w:cs="宋体"/>
                <w:sz w:val="24"/>
                <w:highlight w:val="none"/>
              </w:rPr>
              <w:t xml:space="preserve">供应商编码、供应商名称、供应商简称、供应商等级、供应商评分、供应商电话、是否启用等信息，可以进行新增、修改、删除等操作，支持批量导出，添加供应商信息时，可填写供应商编码（支持自动生成），供应商名称，供应商简称，供应商英文名称，供应商简介，供应商地址，供应商等级（需包含优质供应商、正常、重点关注、劣质供应商、黑名单），供应商评分，供应商官网地址，供应商邮箱地址，供应商电话，联系人1，联系人1-电话，联系人1-邮箱，联系人2，联系人2-电话，联系人2-邮箱，社会信用代码，供应商LOGO地址，选择是否有效等信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6）应具备车间设置界面，需满足以下功能：可查看车间编码、车间名称、面积、负责人、是否启用等信息，可进行新增、修改、删除操作；</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7）应具备工作站界面，需满足以下功能：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①可查看工作站编码、工作站名称、所在车间名称、所属工序等条件进行搜索，可查看工作站编号、工作站名称、工作站地点、所在车间名称、所属工序、是否启用等信息；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②可对工作站进行新增、修改、删除等操作，支持批量导出；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③修改工作站信息时，可修改工作站编号（支持自动生成），工作站名称，工作站地点，所在车间，所属工序，是否启用等信息，同时在工作站下可绑定人力资源、设备资源、工装夹具等信息；</w:t>
            </w:r>
            <w:r>
              <w:rPr>
                <w:rFonts w:hint="eastAsia" w:ascii="宋体" w:hAnsi="宋体" w:cs="宋体"/>
                <w:sz w:val="24"/>
                <w:highlight w:val="none"/>
              </w:rPr>
            </w:r>
            <w:r/>
          </w:p>
          <w:p>
            <w:pPr>
              <w:pStyle w:val="1101"/>
              <w:ind w:left="240" w:hanging="240"/>
              <w:rPr>
                <w:rFonts w:hint="eastAsia" w:ascii="宋体" w:hAnsi="宋体" w:cs="宋体"/>
                <w:sz w:val="24"/>
                <w:highlight w:val="none"/>
              </w:rPr>
            </w:pPr>
            <w:r>
              <w:rPr>
                <w:rFonts w:hint="eastAsia" w:ascii="宋体" w:hAnsi="宋体" w:cs="宋体"/>
                <w:sz w:val="24"/>
                <w:highlight w:val="none"/>
              </w:rPr>
              <w:t xml:space="preserve">6.仓储管理：系统可进行库位信息的设置和查看，应包含以下功能：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1）需满足仓库设置、库存现有量、采购入库、供应商退货、生产领料、生产退料、产品入库、销售出库、销售退货、转移调拨、赋码管理、装箱管理、SN码、外协发料、外协入库等功能；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仓库设置：应能够通过仓库编码、仓库名称等条件进行搜索，应能够查看仓库编码、仓库名称、位置、面积、负责人等信息，支持对仓库的新增、修改、删除等操作，支持点击库区应能够查看仓库各库区信息，包括库区编码、库区名称、面积等信息，在库区界面可点击库位查看库位信息，包括库位编码、库位名称、面积、最大载重量、库位位置x、库位位置y，库位位置z，是否启用等信息； </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应具备库存现有量界面，需满足以下功能：以树形结构展示物料产品分类，可通过产品物料编码、产品物料名称、入库批次号、仓库名称、供应商编号、供应商名称、库存有效期等条件进行搜索，可查看产品物料编码，产品物料名称，规划型号，在库数量，单位，入库批次号，仓库，库区，库位，供应商编号，供应商名称，供应商简称，生产工单，入库日期，库存有效期等信息，支持批量导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4）应具备赋码管理界面，需满足以下功能：可查看条码格式、条码类型、条码内容、业务编码、业务名称、是否生效等信息，可以进行新增、编辑、删除等操作，支持条码设置、批量打印等功能；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7.设备管理：系统可进行设备数据通信相关的配置与查看，并支持对数字智能运维控制平台中相关硬件信息的数据可视化，应包含以下功能：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1）应具备设备类型设置界面，需满足以下功能：可通过树形结构展示设备类型信息，可通过类型名称、是否启用等条件对设备类型进行搜索，并可对设备类型进行修改、新增、删除等操作；</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2）应具备设备台账界面，需满足以下功能：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①可通过树形结构展示设备分类；</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②可根据设备编码、设备名称等条件对设备进行搜索；</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③可查看设备编码、设备名称、品牌、规格型号、所属车间、发布主题、订阅主题、设备状态、创建时间等信息；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④可通过查看设备状态功能打开生产管理设备监控大屏监控设备数据信息；包含供料，工业机器人装配，智能仓储、传感器（温度、湿度、噪声、振动、电压、电流）等数据；</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应具备维修单功能，需满足以下功能：可根据维修单编号、维修单名称、设备编码、设备名称、维修结果、单据状态等条件进行搜索，可查看维修单编号，维修单名称，设备编码，设备名称，报修日期，维修完成日期，验收日期，维修结果，维修人员，验收人员，单据状态等信息，支持对维修单新增、修改、删除等操作；</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8.工装夹具管理</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1）应具备类型设置界面，需满足以下功能：可查看类型编码、类型名称、是否编码管理、保养维护类型、保养周期等信息，可以进行新增、修改、删除、导出等操作；</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应具备工装夹具台账界面，需满足以下功能：可通过工装夹具编码、工装夹具名称、工装夹具类型、品牌、型号、状态等条件对工装夹具进行搜索，可查看编号、名称、品牌、型号、类型、库存数量、可用数量、保养维护类型、下次保养周期、下次保养日期、状态等信息，支持对工装夹具进行新增、修改、删除、导出等操作；</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9.生产管理：</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应具备生产工单功能，需满足以下功能：可对生产工单进行新增、修改、删除、导出等操作，添加生产工单时，可填写工单编号（支持自动生成），工单名称，选择来源类型（包含客户订单、库存备货），当来源类型选择库存备货时，可选择工单类型（包含自产、外协、外购），产品编号，工单数量，需求日期，批次号等信息，当工单类型选择外协时，还可填写供应商编码、供应商名称信息；当来源类型选择客户订单时，还可以再填写订单编号，客户编码，客户名称等信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应具备工序设置功能，需满足以下功能：可通过工序编码、工序名称、是否启用等条件对工序进行搜索，可对工序进行新增、修改、删除、导出等操作，添加生产工序时支持自动生成工序编码，修改生产工序时支持对操作步骤新增、修改、删除、导出等操作；</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应具备工艺流程功能，需满足以下功能：支持展示工艺路线数据，工艺路线由工序组成，支持对工序的新增、修改、删除操作；可以设置平台的组成工序，工序需包括以下步骤：原料出库、搬运、物料罐装、物料装盖、工业机器人装配、成品入库。添加工艺组成时，需填写序号，选择工序，与下一道工序关系（包含S-to-S、F-to-F、S-to-F、F-to-S），甘特图显示颜色，是否关键工序，是否需要质检确认，准备时间，等待时间等信息；工艺路线可关联产品，并支持对关联的产品新增、修改、删除、导出等操作；</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应具备生产排产界面，需满足以下功能：可通过甘特图方式查看生产工单的名称及完成比例，支持排产、工单下发功能；排产时支持展示产品配套工艺流程中的所有工序；通过选择工序，可以新增、修改、删除生产任务，并可支持导出生产任务；添加生产任务时，可以选择工作站，甘特图显示颜色，排产数量，开始时间，生产时长等信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应具备生产状态监控界面，需满足以下功能：可通过生产状态监控看板查看工单编码、工单状态、产品名称、工作站，排产、已生产、当前工序等信息，通过环形图展示生产状态信息，折线图展示近7日产品生产情况，以及展示设备在线率、设备利用率、设备故障率等信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应具备生产报工界面，需满足以下功能：可查看报工类型、工作站、生产工单编号、产品物料编码、产品物料名称、规格型号、报工数量、报工人、报工时间、审核人、状态等报工信息，添加生产报工记录时可以选择报工类型（支持自行报工、统一报工），选择生产工单，生产任务，可以填写产品编码，产品名称，单位，规划型号，报工数量，待检测数量，报工人，报工时间，审核人等信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10.应具备质量管理，界面需满足常见缺陷、检测项设置、检测模板、待检任务、来料检验、过程检验、出货检验等功能。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11.应具备排班管理界面，需满足班组设置、排班计划、节假日设置、排班日历等功能。</w:t>
            </w:r>
            <w:r>
              <w:rPr>
                <w:rFonts w:hint="eastAsia" w:ascii="宋体" w:hAnsi="宋体" w:cs="宋体"/>
                <w:sz w:val="24"/>
                <w:highlight w:val="none"/>
              </w:rPr>
            </w:r>
            <w:r/>
          </w:p>
          <w:p>
            <w:pPr>
              <w:pStyle w:val="1101"/>
              <w:rPr>
                <w:rFonts w:hint="eastAsia" w:ascii="宋体" w:hAnsi="宋体" w:cs="宋体"/>
                <w:b/>
                <w:bCs/>
                <w:sz w:val="24"/>
                <w:highlight w:val="none"/>
              </w:rPr>
            </w:pPr>
            <w:r>
              <w:rPr>
                <w:rFonts w:hint="eastAsia" w:ascii="宋体" w:hAnsi="宋体" w:cs="宋体"/>
                <w:b/>
                <w:bCs/>
                <w:sz w:val="24"/>
                <w:highlight w:val="none"/>
              </w:rPr>
              <w:t xml:space="preserve">五、数据采集系统</w:t>
            </w:r>
            <w:r>
              <w:rPr>
                <w:rFonts w:hint="eastAsia" w:ascii="宋体" w:hAnsi="宋体" w:cs="宋体"/>
                <w:b/>
                <w:bCs/>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1.边缘计算网关 </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（1）硬件</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1）网络接入：以太网宽带，2.4GHz WIFI，国内三大运营商4G全网通；</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2）处理器：ARM；</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3）存储：128MB内存+256MB Flash，支持TF卡；</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4）以太网：≥2路10M/100M自适应端口；</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5）串口：COM1:RS232，COM2:RS485；</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6）移动网络频段：LTEFDD:B1/B3/B5/B8，LTETDD:B38/B39/B40/B41，WCDMA:B1/B8，TD-SCDMA:B34/B39，CDMA:BC0，GSM:900/1800MHz；</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7）RTC:实时时钟内置；</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8）配件4G吸盘天线；</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9）额定电压：DC24V，可工作范围DC9V~28V。</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（2）Lora网关</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1）频段：470M~510M，发射功率：21dBm</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2）以太网有线LAN口：LAN*1，协议：TCP Client、TCP Server、UDP Client、UDP Server、MQTT、HTTP</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3）RS232/RS485波特率：RS-232：2400～230400bps;RS-485：2400～230400bps</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4）Modbus协议：Modbus TCP、Modbus RTU</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5）按键DEF：恢复出厂设置或者无线组网功能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6）状态指示灯：系统运行灯，LoRa通信功能灯，RS485通信功能灯，RS232通信功能灯，以太网通信功能灯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7）工作温度：-40℃~85℃</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8）存储温度：-40℃~125℃</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9）供电电压：DC9~36V</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10）工作电流（Max）：9V/250mA</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（3）Zigbee网关</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1）频段：2.405G~2.48GHz</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2）发射功率：20dBm</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（4）以太网</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1）有线LAN口：LAN*1</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2）协议：TCP Client、TCP Server、UDP Client、UDP Server、MQTT、HTTP</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3）RS232/RS485波特率：RS-232：2400～230400bps;RS-485：2400～230400bps</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4）Modbus协议：Modbus TCP、Modbus RTU</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5）按键DEF：恢复出厂设置或者无线组网功能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6）状态指示灯：系统运行灯，Zigbee通信功能灯，RS485通信功能灯，RS232通信功能灯，以太网通信功能灯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7）工作温度：-40℃~85℃</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8）存储温度：-40℃~125℃</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9）供电电压：DC9~36V</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10）工作电流（Max）：9V/250mA</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（5）传感器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1）温湿度传感器：≥2套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2）光照四合一传感器：≥1套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3）噪音传感器：≥1套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4）振动传感器：≥1套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5）电能表：≥1套</w:t>
            </w:r>
            <w:r>
              <w:rPr>
                <w:rFonts w:hint="eastAsia" w:ascii="宋体" w:hAnsi="宋体" w:cs="宋体"/>
                <w:sz w:val="24"/>
                <w:highlight w:val="none"/>
              </w:rPr>
            </w:r>
            <w:r/>
          </w:p>
          <w:p>
            <w:pPr>
              <w:pStyle w:val="1101"/>
              <w:rPr>
                <w:rFonts w:hint="eastAsia" w:ascii="宋体" w:hAnsi="宋体" w:cs="宋体"/>
                <w:b/>
                <w:bCs/>
                <w:sz w:val="24"/>
                <w:highlight w:val="none"/>
              </w:rPr>
            </w:pPr>
            <w:r>
              <w:rPr>
                <w:rFonts w:hint="eastAsia" w:ascii="宋体" w:hAnsi="宋体" w:cs="宋体"/>
                <w:b/>
                <w:bCs/>
                <w:sz w:val="24"/>
                <w:highlight w:val="none"/>
              </w:rPr>
              <w:t xml:space="preserve">六、工业互联网云平台</w:t>
            </w:r>
            <w:r>
              <w:rPr>
                <w:rFonts w:hint="eastAsia" w:ascii="宋体" w:hAnsi="宋体" w:cs="宋体"/>
                <w:b/>
                <w:bCs/>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能够提供设备接入、设备数据上报、数据存储等功能，可以实时采集数字智能运维控制平台中供料、罐装、工业机器人装配、智能仓储等模块的数据信息，并且可以通过组态方式对数据进行界面设计，更直观展示平台数据。</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1.监控中心：可完成对平台中仓储单元、供料单元、工业机器人等数据点的采集，并支持对设备的在线状态进行监控，应具备以下功能：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1）系统应具备设备监控、项目监控、系统日志功能；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2）需满足以下功能：通过设备监控功能可查看所有设备数据点信息，显示数据更新时间；</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3）需满足以下功能：可监控项目下所有设备在线状态，通过点击设备监控中的详情功能可查看包括数据点名称、单位、时间等历史数据点信息；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4）需满足以下功能：通过系统日志功能监控用户行为，可清晰查看用户名、IP、描述、方法名称、参数、异常详细、请求耗时、日志类型、创建时间等信息。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2.大屏管理：可完成对平台中仓储单元、供料单元、工业机器人等模块数据的可视化，应具备以下功能：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1）设备大屏应具备以下功能：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①设备大屏界面应划分为多个区域，应具有全部设备、在线设备、报警设备三种查看方式，可查看设备总数、在线设备数量、离线设备数量、报警设备数量；显示设备在线率、设备报警率和产品使用率及类型分布统计；</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②点击设备可加载对应的组态大屏界面，在界面上可显示云组态、实时曲线、视频监控、历史曲线、历史数据、最新数据、当月检修统计、近期报警等信息；云组态界面中需显示仓储单元、供料单元、工业机器人搬运单元等模块的数据；</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2）项目大屏界面应具备以下功能：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①支持查看项目总数、项目名称、负责人、参与人、类型分布统计、报警数据量、设备在线率、设备报警率、产品使用率排行等信息；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②点击项目可加载对应组态大屏界面，在组态大屏界面需显示该项目的云组态、全部设备、在线设备、报警设备、设备类型统计、设备在线率、设备报警率、近期报警数据；</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3.权限管理：</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1）应具备权限管理功能，包括机构维护、用户列表、菜单管理、角色管理、功能管理等功能；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2）机构维护界面需通过树形结构展示组织架构（根节点只能是一个），机构信息应包含名称、描述、拥有项目、拥有设备数等信息，超级管理员可对名称、描述进行编辑；</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3）用户列表界面应显示用户的ID、用户名、姓名、头像、手机号、邮箱以及状态等信息，支持新增、编辑、删除、重置密码等操作，应具有设定用户角色及所属机构，支持批量导出等功能；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4）菜单管理界面应显示名称、排序、链接地址、组件路径等信息，应具备对菜单进行新增、编辑、删除等操作功能；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5）角色管理界面应显示ID、名称、描述、创建日期；超级管理员应具有通过权限配置功能配置每个角色的各项权限等功能，包括新增、修改、创建、删除等权限，并且支持对权限进行全选/反选；</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4.项目管理：</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1）系统应具备产品维护、项目维护、系统品牌、设备维护和公式计算功能；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2）产品维护界面应显示产品名称、产品描述等信息，并可通过编辑和删除功能对产品信息进行操作；</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需满足以下功能：项目维护界面可通过点击树形结构下的机构名称，查看该机构下的项目清单，项目信息应包含序号、项目名称、负责人、参与人、所属公司等信息，支持新增、编辑、绑定组态图、删除等操作；</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4）设备维护需满足以下功能：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①设备维护界面可通过点击树形结构下的机构名称，查看该机构下的设备清单；</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②可通过项目、名称搜索对应设备，设备信息应包含序号、设备编号、设备名称、描述、协议类型、产品名称、品牌名称、状态、启停状态等信息，可通过启停状态列的开关按钮对设备进行启用/停用；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③可对设备信息进行编辑、绑定组态图、查看设备模型、删除等操作；点击设备可查看设备数据点的详细信息，包括数据点名称、所属设备、从机地址、寄存器地址、寄存器类型、最近通信时间、新增时间等信息，可通过采集状态列的开关按钮对该数据点进行采集状态的启用/停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④可对数据点进行编辑、删除、复制等操作；</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5.数据管理：</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1）系统应具备历史数据、历史数据点、趋势分析等功能；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2）应具有历史数据功能，点击树形结构下的机构名称后，通过项目、设备、时间等条件进行查询，支持导出功能，数据列表需显示数据点名称、数据、单位、时间等信息，支持导出功能；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3）应具有趋势分析功能，在点击树形结构下的机构名称后，按照项目、设备、数据点和时间等条件通过折线图方式显示数据变化情况。</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6.报警管理：可自定义平台中各个模块的监控阈值，超过设定阈值后，系统将自动报警，应具备以下功能：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1）系统应具备报警数据、触发器列表、新增触发器功能；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应具有新增触发器功能，在点击树形结构下的机构名称后，通过填写触发器名称、触发器描述，下拉选择所属项目、所属设备、关联数据点、触发条件类型（大于x值，小于x值，大于x值且小于y值（x&lt;y），大于y值且小于x值(y&lt;x)，等于x值）、是否报警、是否启用等信息，完成触发器创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7.组态设计应具备以下功能：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1）应具备组态设计功能，在组态设计界面应具有对组态的设计、预览、发布、编辑及删除功能；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2）设计界面应支持80种以上基础组件；</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3）设计界面应支持300种以上图元图库；</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4）设计界面应支持300种以上画面装饰；</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5）设计界面应支持画面模板功能，可对我的模板进行新建、应用、删除操作；</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6）支持我的图库功能，可以上传本地jpg，jpeg，png，gif等格式图片；</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8.组态属性设定需具备以下功能：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1）需支持在组件属性中选择数据点进行数据绑定，支持通过项目、设备筛选要绑定的数据点；</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2）支持在画布属性中设置画布分辨率、画布辅助线、背景颜色、背景图片等；</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3）支持配置条件弹框，配置条件需包含选择数据点、&gt;=、&lt;=、弹框url、弹框宽度、弹框高度、弹框自动关闭时间等；</w:t>
            </w:r>
            <w:r>
              <w:rPr>
                <w:rFonts w:hint="eastAsia" w:ascii="宋体" w:hAnsi="宋体" w:cs="宋体"/>
                <w:sz w:val="24"/>
                <w:highlight w:val="none"/>
              </w:rPr>
            </w:r>
            <w:r/>
          </w:p>
          <w:p>
            <w:pPr>
              <w:pStyle w:val="1101"/>
              <w:rPr>
                <w:rFonts w:hint="eastAsia" w:ascii="宋体" w:hAnsi="宋体" w:cs="宋体"/>
                <w:b/>
                <w:bCs/>
                <w:sz w:val="24"/>
                <w:highlight w:val="none"/>
              </w:rPr>
            </w:pPr>
            <w:r>
              <w:rPr>
                <w:rFonts w:hint="eastAsia" w:ascii="宋体" w:hAnsi="宋体" w:cs="宋体"/>
                <w:b/>
                <w:bCs/>
                <w:sz w:val="24"/>
                <w:highlight w:val="none"/>
              </w:rPr>
              <w:t xml:space="preserve">七、平台工作流程监控屏</w:t>
            </w:r>
            <w:r>
              <w:rPr>
                <w:rFonts w:hint="eastAsia" w:ascii="宋体" w:hAnsi="宋体" w:cs="宋体"/>
                <w:b/>
                <w:bCs/>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设备平台集成配套流程监控显示看板。</w:t>
            </w:r>
            <w:r>
              <w:rPr>
                <w:rFonts w:hint="eastAsia" w:ascii="宋体" w:hAnsi="宋体" w:cs="宋体"/>
                <w:sz w:val="24"/>
                <w:highlight w:val="none"/>
              </w:rPr>
            </w:r>
            <w:r/>
          </w:p>
          <w:p>
            <w:pPr>
              <w:pStyle w:val="1101"/>
              <w:rPr>
                <w:rFonts w:hint="eastAsia" w:ascii="宋体" w:hAnsi="宋体" w:cs="宋体"/>
                <w:b/>
                <w:bCs/>
                <w:sz w:val="24"/>
                <w:highlight w:val="none"/>
              </w:rPr>
            </w:pPr>
            <w:r>
              <w:rPr>
                <w:rFonts w:hint="eastAsia" w:ascii="宋体" w:hAnsi="宋体" w:cs="宋体"/>
                <w:b/>
                <w:bCs/>
                <w:sz w:val="24"/>
                <w:highlight w:val="none"/>
              </w:rPr>
              <w:t xml:space="preserve">八、多功能装配操作台</w:t>
            </w:r>
            <w:r>
              <w:rPr>
                <w:rFonts w:hint="eastAsia" w:ascii="宋体" w:hAnsi="宋体" w:cs="宋体"/>
                <w:b/>
                <w:bCs/>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1.操作台1张：</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1）供电：单相220VAC； </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2）配套平板带刹车脚轮；</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3）配有插座板、零件盒架、置物板、挂板、灯架组合而成实用性强零件盒架、置物板、方孔挂板等配件；</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4）采用钢材厚度≥1.3mm的冷轧钢及方管焊接而成,表面精心打磨后喷塑高温烘烤而成,具有防锈、防水等；</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5）配有调节脚要求不小于2.5mm厚镀锌脚杯+耐磨防划伤地面胶皮；</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6）配备漏电保护器；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7）桌面要求：不小于2mm厚防静电胶皮，桌面厚不小于30mm的高密度或多层板材；</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2.配套工具1套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1）扭矩扳手：≥10.6-1.88 N.M，铬钒合金钢；</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2）同步带张紧仪：张力值：≥0.01-99900N，频率：≥10-5000Hz；</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3）万用表：数显式，具有自动恢复保险丝保护，具有金属抗干扰遮罩、自动关机、短路蜂鸣、短路灯指示、电池低压指示等功能；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4）压线钳：压接范围≥0.08-10.0mm2；</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5）斜口钳：≥6〞；</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6）内六角扳手：≥9件套装；</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7）剥线钳：≥5〞,剥线范围：0.8-2.6 mm；</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8）尖嘴钳：≥6〞；</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9）螺丝刀：≥2件套,十字：PH0×75 mm,一字：2.4×75 mm。</w:t>
            </w:r>
            <w:r>
              <w:rPr>
                <w:rFonts w:hint="eastAsia" w:ascii="宋体" w:hAnsi="宋体" w:cs="宋体"/>
                <w:sz w:val="24"/>
                <w:highlight w:val="none"/>
              </w:rPr>
            </w:r>
            <w:r/>
          </w:p>
          <w:p>
            <w:pPr>
              <w:pStyle w:val="1101"/>
              <w:rPr>
                <w:rFonts w:hint="eastAsia" w:ascii="宋体" w:hAnsi="宋体" w:cs="宋体"/>
                <w:b/>
                <w:bCs/>
                <w:color w:val="000000"/>
                <w:sz w:val="24"/>
                <w:highlight w:val="none"/>
              </w:rPr>
            </w:pPr>
            <w:r>
              <w:rPr>
                <w:rFonts w:hint="eastAsia" w:ascii="宋体" w:hAnsi="宋体" w:cs="宋体"/>
                <w:b/>
                <w:bCs/>
                <w:color w:val="000000"/>
                <w:sz w:val="24"/>
                <w:highlight w:val="none"/>
              </w:rPr>
              <w:t xml:space="preserve">九、编程调试工作站（2台）</w:t>
            </w:r>
            <w:r>
              <w:rPr>
                <w:rFonts w:hint="eastAsia" w:ascii="宋体" w:hAnsi="宋体" w:cs="宋体"/>
                <w:b/>
                <w:bCs/>
                <w:color w:val="000000"/>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1.显示面板：≥21.5寸。</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2.处理器：Intel i7 11代同等及以上处理器。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3.内存：≥16GB。</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4.硬盘：≥固态256GB、机械1TB。</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5.显存：≥2G独显；</w:t>
            </w:r>
            <w:r>
              <w:rPr>
                <w:rFonts w:hint="eastAsia" w:ascii="宋体" w:hAnsi="宋体" w:cs="宋体"/>
                <w:sz w:val="24"/>
                <w:highlight w:val="none"/>
              </w:rPr>
            </w:r>
            <w:r/>
          </w:p>
          <w:p>
            <w:pPr>
              <w:pStyle w:val="1101"/>
              <w:rPr>
                <w:rFonts w:hint="eastAsia" w:ascii="宋体" w:hAnsi="宋体" w:cs="宋体"/>
                <w:b/>
                <w:bCs/>
                <w:sz w:val="24"/>
                <w:highlight w:val="none"/>
              </w:rPr>
            </w:pPr>
            <w:r>
              <w:rPr>
                <w:rFonts w:hint="eastAsia" w:ascii="宋体" w:hAnsi="宋体" w:cs="宋体"/>
                <w:b/>
                <w:bCs/>
                <w:sz w:val="24"/>
                <w:highlight w:val="none"/>
              </w:rPr>
              <w:t xml:space="preserve">十、智能产线规划与数字孪生仿真软件</w:t>
            </w:r>
            <w:r>
              <w:rPr>
                <w:rFonts w:hint="eastAsia" w:ascii="宋体" w:hAnsi="宋体" w:cs="宋体"/>
                <w:b/>
                <w:bCs/>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围绕数字智能运维控制平台，可动态配置仿真场景，支持机器人运动学解算、路径规划以及程序输出，能进行仿真录制与节拍分析，还提供数字智能运维控制平台中各模块的模型库、教学案例库等，可满足设备在虚拟环境中的教学需求。</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应具备仿真场景配置功能，能够动态改变数字智能运维控制平台在仿真场景中的渲染质量；能够显示机器人的当前姿态、加工方向、加工引线和加工路径；能够进行机器人基坐标和工具坐标的切换；能够在仿真场景中实时显示仿真场景的仿真运行的时间和机器人各轴的关节数据。</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应具备机器人的后置输出功能，需包含设备仿真场景中的机器人程序的后置输出；能够对机器人的直线速度、关节速度、加速度、减速度、平滑度、圆滑过渡、轨迹加速等关键参数进行配置，并输出机器人程序至指定文件夹，输出的程序可直接导入实际设备中的机器人示教器进行编辑和使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3.应具备仿真录制功能，能够录制仿真场景的运行过程，并输出html、video等格式的视频文件。</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应具备平移旋转功能，能够快速对数字智能运维控制平台中仓储单元、供料单元、工业机器人等模块在仿真场景中进行摆放和调整。能够通过坐标拖拽、旋转等方式移动场景中的模块；能够通过一点定位、三点定位、坐标轴定位、圆心定位等方式将模型直接定位到选定位置；根据实际设备的尺寸和各模块间的距离，通过输入数值调整模块的世界位置/角度、自身位置/角度、上级相对位置/角度，对模块进行精准定位。</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应具备运动学正逆解功能，能够更便捷地在仿真场景中完成数字智能运维控制平台里工业机器人的示教操作与仿真路径规划，能够在示教界面通过调整机器人角度，改变场景中机器人的姿态；也能够通过拖动或转动机器人六轴末端直接改变机器人的姿态并实时查看机器人各角度的变化，并实时通过MOVEJ和MOVEL两种方式记录路径点，生成机器人的虚拟仿真路径。能够对机器人的初始姿态和关键点姿态进行记录，在仿真路径规划过程中可通过回原功能将机器人还原到所记录的姿态。</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为满足机器人虚拟仿真以的教学和实训需求，应提供仿真模型库，需包含ABB、KUKA、FANUC、YASKAWA、EFORT、AUBO等国内外二十种以上主流品牌的机器人，三轴、五轴等各种类型的机床模型，传送带、变位机、工作台等常用外围模块的模型；井式供料、旋转供料、皮带输送、立体仓储、伺服变位、机械手、转运单元、三轴机械手、分拣模块、盖盖机构、灌装机构、快换模块、传感器等教学所需的各种模块的模型。模型库实时更新，并能够从云端下载到本地。</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应具备模型处理功能，使仿真场景更加还原实际设备的原貌，能够对导入的模型进行拆分、合并、组合、染色、添加材质等处理，材质中包含玻璃、漆、铝、不锈钢、铁等与实际设备材质相同的材质球，且能够调整模块材质的三原色、透明度等参数，能够在场景中以树形结构显示各模块和组件的从属关系。</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8.应具备支架功能，能够通过设置板材厚度、支架高度、底板留边等关键参数生成待加工工件的支架，能够一键创建支架模型，并直接导出DXF格式的支架模型文件。</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9.应具备抓线功能，可通过手动抓取绘图板、焊接模块、涂胶工件的线体，或自动识别工件线体，生成工件的加工线体；可通过法向、相贯线、平行轴向、角平分线等常见的加工姿态结合抓线生成的加工线体直接生成加工路径，并能够直接导入到机器人中。</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10.应具备节拍分析功能，可统计仿真场景中机器人等各单元的运行时间、执行内容等，实时生成节拍数据，能够生成饼状图和柱状图等分析结果，并能够将分析结果输出为Excel表格。</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11.支持碰撞检测功能，在机器人发生碰撞时，发生碰撞的关节轴会发生颜色变化显示。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12.需支持OPC UA等标准的通信协议，可与如西门子、汇川等品牌PLC进行互联互通，实现真实设备与仿真场景的虚拟联调。</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13.为满足机器人应用编程、PLC应用编程、机器人虚拟仿真、生产线智能规划与数字孪生的教学和实训需求，需提供与设备配套的虚拟仿真和数字孪生场景。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设备基本组成：井式供料模块、搬运机械手、传输生产模块、机器人、快换工具模块、托盘供料模块、托盘传输线、三轴堆垛机械手、立体仓库等。</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工艺流程：推料气缸推出物料→搬运机械手移动至井式供料模块处→搬运机械手夹紧瓶子→搬运机械手将瓶子拿起→搬运机械手将瓶子抓取到视觉检测模块对物料进行检测→搬运机械手将检测完成后的瓶子放到传输生产模块的传送带上→传送带将瓶子运送至分拣单元→分拣气缸将废料推出→合格的瓶子继续在传送带上运行至灌料模块处→灌料机构对瓶子进行模拟灌料→传送带将瓶子运送到盖盖机构处→盖盖机构对瓶子进行模拟盖盖→传送带将瓶子运送至拧盖模块处→拧盖模块对瓶</w:t>
            </w:r>
            <w:r>
              <w:rPr>
                <w:rFonts w:hint="eastAsia" w:ascii="宋体" w:hAnsi="宋体" w:cs="宋体"/>
                <w:sz w:val="24"/>
                <w:highlight w:val="none"/>
              </w:rPr>
              <w:t xml:space="preserve">子进行模拟拧盖→传送带将瓶子运送至上料处→定位气缸伸出将瓶子进行固定→机器人末端移动至快换工具模块→机器人取吸盘工具→机器人移动至托盘供料机处→机器人抓取一个托盘→机器人将托盘放到传输线→机器人移动至快换工具模块→机器人放下吸盘工具→机器人取弧口夹爪→机器人末端移动至上料处→机器人抓取瓶子→机器人将瓶子放到托盘上→托盘传输线将托盘运送到堆垛机上料处→堆垛机移动至托盘传输线位置→堆垛机货叉伸出至托盘下方，拿起托盘→堆垛机货叉缩回→堆垛机移动至库位处→堆垛机货叉反向伸出至库位上方，将托盘放到货架上→堆垛机缩回。</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14.满足智能生产线规划与数字孪生的教学需求，需提供虚拟仿真教学拓展案例库，包括但不限于智能灌装检测生产线、智能物流生产线、智能装配生产线等中常见的仿真场景的。</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highlight w:val="none"/>
              </w:rPr>
              <w:t xml:space="preserve">■</w:t>
            </w:r>
            <w:r>
              <w:rPr>
                <w:rFonts w:hint="eastAsia" w:ascii="宋体" w:hAnsi="宋体" w:cs="宋体"/>
                <w:sz w:val="24"/>
                <w:highlight w:val="none"/>
              </w:rPr>
              <w:t xml:space="preserve">15.教学产线案例</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系统包含案例库模块，成熟案例应用不少于15个，应包含以下案例：</w:t>
            </w:r>
            <w:r>
              <w:rPr>
                <w:rFonts w:hint="eastAsia" w:ascii="宋体" w:hAnsi="宋体" w:cs="宋体"/>
                <w:b/>
                <w:bCs/>
                <w:sz w:val="24"/>
                <w:highlight w:val="none"/>
              </w:rPr>
              <w:t xml:space="preserve">（需提供满足以下仿真教学场景的演示视频作为佐证材料）</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1）电弧焊接工艺虚拟仿真教学场景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2）激光焊接工艺虚拟仿真教学场景 </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3）激光熔覆工艺仿真教学场景 </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4）激光切割工艺仿真教学场景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5）激光清洗工艺仿真教学场景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6）打磨抛光工艺虚拟仿真教学场景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7）喷砂工艺虚拟仿真教学场景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8）喷丸工艺仿真教学场景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9）喷涂工艺仿真教学场景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10）扫描检测工艺虚拟仿真教学场景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11）汽车行业仿真教学场景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12）物流行业仿真教学场景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13）航空航天行业仿真教学场景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14）复合材料行业仿真教学场景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15）虚拟调试仿真教学场景</w:t>
            </w:r>
            <w:r>
              <w:rPr>
                <w:rFonts w:hint="eastAsia" w:ascii="宋体" w:hAnsi="宋体" w:cs="宋体"/>
                <w:sz w:val="24"/>
                <w:highlight w:val="none"/>
              </w:rPr>
            </w:r>
            <w:r/>
          </w:p>
          <w:p>
            <w:pPr>
              <w:pStyle w:val="1101"/>
              <w:rPr>
                <w:rFonts w:hint="eastAsia" w:ascii="宋体" w:hAnsi="宋体" w:cs="宋体"/>
                <w:b/>
                <w:bCs/>
                <w:sz w:val="24"/>
                <w:highlight w:val="none"/>
              </w:rPr>
            </w:pPr>
            <w:r>
              <w:rPr>
                <w:rFonts w:hint="eastAsia" w:ascii="宋体" w:hAnsi="宋体" w:cs="宋体"/>
                <w:b/>
                <w:bCs/>
                <w:sz w:val="24"/>
                <w:highlight w:val="none"/>
              </w:rPr>
              <w:t xml:space="preserve">十一、教学资源</w:t>
            </w:r>
            <w:r>
              <w:rPr>
                <w:rFonts w:hint="eastAsia" w:ascii="宋体" w:hAnsi="宋体" w:cs="宋体"/>
                <w:b/>
                <w:bCs/>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1.实训指导书≥1套，指导书内容应当采取项目制，以项目作为章节，每个章节需包含学习目标、任务描述、实践操作等板块。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2.考核管理系统</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由权限管理模块、培训管理模块、考核管理模块等模块组成； </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1）权限管理模块应具备以下功能：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（1）支持考核人员通过个人信息录入注册，所有注册信息均需要管理员审批后方才有效；</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（2）支持考核人员角色注册时自行选择（包含学员、指导教师、考核教师、证书管理员和管理员）也可以通过系统动态任意指定；管理员可以管理所有信息。 </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（3）支持审核信息回溯功能，未通过的审核信息统一管理，并可继续进行操作；</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2）培训管理模块应具备以下功能：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（1）支持指导教师创建培训申请(需要管理员审核)；</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（2）支持教师的课程添加；</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（3）支持学员查看培训信息并报名参加（可以报考初级，中级和高级，需要管理员审核）；</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（4）支持教师与学员上传与下载作业；教师查看本期培训学员作业信息；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3）考核管理模块应具备以下功能：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（1）支持考核老师一键创建考试（分为理论考核与实操考核）；</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（2）支持学员查看考试信息参加线上考试(理论考核) ，提交试卷即出成绩并记录到系统； </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（3）支持考核老师手动录入实操考核的成绩，管理员可以修改考核成绩(理论和实操都可以修改)，学员可自行查看；</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（4）支持录入理论试题，包含手动录入与批量(excel 表格)导入（支持单选题，多选题和判断题），对理论题库进行信息管理。</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（5）支持录入实操试卷(试卷难度分为初、中、高)；</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一键创建考核，创建理论考核，考场配置，配置考试时间和考试场地，可以查看并打印组出的理论考核试卷，配置理论考核试卷（试卷难度分为初，中，高），学生未到考试时间不允许参加考试，学生在考试时间内可以提交试卷，自动结算考试成绩；创建实操考核时，根据考试机器数自动创建考试和分配考场，考生规定时间内只能参加一次考核，并且考试通过后可以查看自己的考试信息和分数，考试到达结束时间后考核老师结束考试，考核老师根据试卷分数录入成绩；</w:t>
            </w:r>
            <w:r>
              <w:rPr>
                <w:rFonts w:hint="eastAsia" w:ascii="宋体" w:hAnsi="宋体" w:cs="宋体"/>
                <w:sz w:val="24"/>
                <w:highlight w:val="none"/>
              </w:rPr>
            </w:r>
            <w:r/>
          </w:p>
          <w:p>
            <w:pPr>
              <w:pStyle w:val="1101"/>
              <w:rPr>
                <w:rFonts w:hint="eastAsia" w:ascii="宋体" w:hAnsi="宋体" w:cs="宋体"/>
                <w:sz w:val="24"/>
                <w:highlight w:val="none"/>
              </w:rPr>
            </w:pPr>
            <w:r/>
            <w:bookmarkStart w:id="390" w:name="OLE_LINK7"/>
            <w:r>
              <w:rPr>
                <w:rFonts w:hint="eastAsia" w:ascii="宋体" w:hAnsi="宋体" w:cs="宋体"/>
                <w:sz w:val="24"/>
                <w:highlight w:val="none"/>
              </w:rPr>
              <w:t xml:space="preserve">▲</w:t>
            </w:r>
            <w:bookmarkEnd w:id="390"/>
            <w:r>
              <w:rPr>
                <w:rFonts w:hint="eastAsia" w:ascii="宋体" w:hAnsi="宋体" w:cs="宋体"/>
                <w:sz w:val="24"/>
                <w:highlight w:val="none"/>
              </w:rPr>
              <w:t xml:space="preserve">4）为避免知识产权纠纷和保证软件的稳定性，投标文件中需提供《考核管理系统》相关知识产权证书扫描件和版权保护中心官网的查询截图以及软件测试报告扫描件作为辅助证明材料。</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3.在线教学平台</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为满足工业互联网、机器人、视觉、智能生产线数字孪生的在线教学需求，需提供在线教学平台，在线教学平台应满足以下要求：</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t xml:space="preserve">为满足学生在线学习的需求，需提供与设备相关的课程资源，包含工业互联网课程≥5节，需包含边缘网关应用、Lora模组应用、Zigbee模组应用、工业数据采集、数据可视化等；包含工业机器人相关课程≥18节，且需包含IO配置、机器人坐标系建立、机器人程序建立、机器人轨迹示教、机器人指令查找、机器人语句查看、机器人程序运行等模块；包含数字孪生软件相关课程≥15节，且需包含数字孪生概念认知、虚拟仿真场景、仿真路径规划、机器人工作站虚实联调等模块；视觉软件相关课程视频≥12节，且需包含图像获取、图像处理、测量工具等模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为满足在线教学和学习需求，需提供教学资源在线上传功能，教师可通过添加资源功能将视频（需支持MP4、AVI、MOV等格式）、动画（需支持SWF格式）、图片（需支持PNG、JPEG、GIF、JPG等格式）、电子课件（需支持DOC、DOCX、PDF、TXT、XLS等格式）、音频（需支持MP3、WAV、WMA、OGG等格式）等教学资源导入课程当中。</w:t>
            </w:r>
            <w:r>
              <w:rPr>
                <w:rFonts w:hint="eastAsia" w:ascii="宋体" w:hAnsi="宋体" w:cs="宋体"/>
                <w:b/>
                <w:bCs/>
                <w:sz w:val="24"/>
                <w:highlight w:val="none"/>
              </w:rPr>
              <w:t xml:space="preserve">投标文件中需提供此条功能描述的截图作为佐证材料。</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为满足教师在线教学和班级管理需求，需提供需提供课程资源统计功能，教师能够实时查所在教学班的学习情况，包括资源学习人数、得分情况、资源学习时长、学习/下载次数、完成学习人数等数据，方便教师进行统计和管理。</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为满足教师在线教学和班级管理需求，需具备教学班功能，教师可查看学生名单，并能够通过工号或姓名将学生导入到教学班当中，学生也可通过班级二维码扫描加入班级；提供助教功能，教师可添加助教；提供课程评价功能，教师可通过课程评价功能查看学生对课程的评价。</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5）为满足学生在线练习和在线考试需求，需具备题库和试卷库功能，教师可通过word文档或excel表格将题目导入到题库当中，并可设置试题章节，教师可从题库中组建试卷。</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为满足教师在线导学和学生在线预习的需求，需提供课程导学功能，教师根据任务名称、时间等信息创建导学任务，导学任务需包含资源学习、测验、虚拟仿真、投票问卷、交互式课件等内容。同时需配备讨论答疑功能，学生可在讨论区提出问题。</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highlight w:val="none"/>
              </w:rPr>
              <w:t xml:space="preserve">■</w:t>
            </w:r>
            <w:r>
              <w:rPr>
                <w:rFonts w:hint="eastAsia" w:ascii="宋体" w:hAnsi="宋体" w:cs="宋体"/>
                <w:sz w:val="24"/>
                <w:highlight w:val="none"/>
              </w:rPr>
              <w:t xml:space="preserve">7）为满足在线练习、线上作业和在线考试等教学需求，需提供作业和考试功能，教师可创建作业并发送给所在教学班，作业可通过附件形式下发，也可直接从试题库中进行选择。考试需包含平时测验、期中考试、期末考试等类型，在线考试、线下考试等形式，考试可从试卷库中进行选择，也可从题库中选题生成考试内容，或者根据章节进行随机生成。所有教学班可统一进行考试，也可将不同教学班分为不同时间进行考试。考试功能配备防作弊机制，可防止考生多次进入或查看试卷。同时需配备练考功能，教师可根据难易程度、题型设置模拟考试题，方便学生进行考前模拟。</w:t>
            </w:r>
            <w:r>
              <w:rPr>
                <w:rFonts w:hint="eastAsia" w:ascii="宋体" w:hAnsi="宋体" w:cs="宋体"/>
                <w:b/>
                <w:bCs/>
                <w:sz w:val="24"/>
                <w:highlight w:val="none"/>
              </w:rPr>
              <w:t xml:space="preserve">（需提供满足此条功能的演示视频作为佐证材料）</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8）为满足教师教学管理的需求，在线教学平台应具备签到和考勤统计功能，教师能够实时查看学生考勤状态。</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9）为满足教师教学管理的需求，应具备教学数据统计功能，需包含课程访问次数、课程资源分布、实体题型和难度分布、教学任务、课堂互动、讨论答疑、课程百科、教学班数量人数和成绩分析等。</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10）为满足教学的需求，应具备通知功能，可发布作业、考勤、教务、投票、考试、助教等和教学有关的通知。</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highlight w:val="none"/>
              </w:rPr>
              <w:t xml:space="preserve">■</w:t>
            </w:r>
            <w:r>
              <w:rPr>
                <w:rFonts w:hint="eastAsia" w:ascii="宋体" w:hAnsi="宋体" w:cs="宋体"/>
                <w:sz w:val="24"/>
                <w:highlight w:val="none"/>
              </w:rPr>
              <w:t xml:space="preserve">11）为满足教师教学管理的需求，需配备教学大数据可视化平台，能够从平台上直观地观察到资源设置情况、试题分布情况、登录次数、模块数量设置、教学任务设置、作业、考试次数、考勤情况、资源分布情况等信息。</w:t>
            </w:r>
            <w:r>
              <w:rPr>
                <w:rFonts w:hint="eastAsia" w:ascii="宋体" w:hAnsi="宋体" w:cs="宋体"/>
                <w:b/>
                <w:bCs/>
                <w:sz w:val="24"/>
                <w:highlight w:val="none"/>
              </w:rPr>
              <w:t xml:space="preserve">（需提供满足此条功能的演示视频作为佐证材料）</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▲12）为避免知识产权纠纷和保证软件的稳定性，</w:t>
            </w:r>
            <w:r>
              <w:rPr>
                <w:rFonts w:hint="eastAsia" w:ascii="宋体" w:hAnsi="宋体" w:cs="宋体"/>
                <w:b/>
                <w:bCs/>
                <w:sz w:val="24"/>
                <w:highlight w:val="none"/>
              </w:rPr>
              <w:t xml:space="preserve">投标文件中需提供《在线教学平台》相关知识产权证书扫描件和版权保护中心官网的查询截图以及软件测试报告扫描件作为辅助证明材料</w:t>
            </w:r>
            <w:r>
              <w:rPr>
                <w:rFonts w:hint="eastAsia" w:ascii="宋体" w:hAnsi="宋体" w:cs="宋体"/>
                <w:sz w:val="24"/>
                <w:highlight w:val="none"/>
              </w:rPr>
              <w:t xml:space="preserve">。</w:t>
            </w:r>
            <w:r>
              <w:rPr>
                <w:rFonts w:hint="eastAsia" w:ascii="宋体" w:hAnsi="宋体" w:cs="宋体"/>
                <w:sz w:val="24"/>
                <w:highlight w:val="none"/>
              </w:rPr>
            </w:r>
            <w:r/>
          </w:p>
        </w:tc>
      </w:tr>
      <w:tr>
        <w:trPr/>
        <w:tc>
          <w:tcPr>
            <w:tcW w:w="365"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453"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color w:val="000000"/>
                <w:sz w:val="24"/>
                <w:highlight w:val="none"/>
                <w:lang w:bidi="ar"/>
              </w:rPr>
              <w:t xml:space="preserve">工业机器人系统运维训练平台</w:t>
            </w:r>
            <w:r>
              <w:rPr>
                <w:rFonts w:hint="eastAsia" w:ascii="宋体" w:hAnsi="宋体" w:cs="宋体"/>
                <w:sz w:val="24"/>
                <w:highlight w:val="none"/>
              </w:rPr>
            </w:r>
            <w:r/>
          </w:p>
        </w:tc>
        <w:tc>
          <w:tcPr>
            <w:tcW w:w="4181" w:type="dxa"/>
            <w:vAlign w:val="top"/>
            <w:textDirection w:val="lrTb"/>
            <w:noWrap w:val="false"/>
          </w:tcPr>
          <w:p>
            <w:pPr>
              <w:pStyle w:val="1101"/>
              <w:rPr>
                <w:rFonts w:hint="eastAsia" w:ascii="宋体" w:hAnsi="宋体" w:cs="宋体"/>
                <w:sz w:val="24"/>
                <w:highlight w:val="none"/>
              </w:rPr>
            </w:pPr>
            <w:r>
              <w:rPr>
                <w:rFonts w:hint="eastAsia" w:ascii="宋体" w:hAnsi="宋体" w:cs="宋体"/>
                <w:sz w:val="24"/>
                <w:highlight w:val="none"/>
              </w:rPr>
              <w:t xml:space="preserve">一、工业机器人本体</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1.机器人技术指标：</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1）工作范围：≥960mm</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2）有效荷重：≥7kg</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3）集成气源：≥手腕设气路2路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4）重复定位精度：≤±0.05mm</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5）各轴运动参数：</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轴运动       工作范围        最大速度</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轴1旋转: ≥ +150°~ -150°  360°/s</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轴2手臂: ≥ +130°~ -70°   360°/s</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轴3手臂：≥ +65° ~ -65°   360°/s</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轴4手腕: ≥ +145°~ -145°  360°/s</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轴5弯曲: ≥ +120°~ -120°  570°/s</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轴6翻转: ≥ +360°~ -360°  570°/s</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2.机器人控制器：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1）内存及存储空间：≥4G内存容量,≥55G用户存储空间；</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2）开关按钮：电源开关、急停按钮、电源指示灯；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3）控制轴数：单机6轴，另可扩展3个外部轴，进行联运及协同运动。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4）支持外部通讯及接口：以太网接口RJ45、VGA、USB、CANopen等；</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5）控制器电源：单相220V 50/60Hz。</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3.示教器：彩色触摸屏，实体按键、安全使能开关、急停按钮、手/自动切换钥匙。</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4.伺服、电机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1）伺服电机配置，</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J1：≥750W带刹车伺服电机，J2：≥750W带刹车伺服电机，J3：≥400W带刹车伺服电机，J4：≥100W带刹车伺服电机，J5：≥200W带刹车伺服电机，J6：≥200W带刹车伺服电机，六个轴均配21位绝对值光编。</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2）增加弱磁控制，使电机可工作的转速范围更高，最高转速可达6000rpm。</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3）电机过载能力更强，电机全系支持3.5倍过载。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4）100W电机≤67mm，100W刹车电机≤95mm，400W刹车电机长度≤120mm，节省安装空间。</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5）全系标配21位多圈绝对值编码器，掉电位置记忆。</w:t>
            </w:r>
            <w:r>
              <w:rPr>
                <w:rFonts w:hint="eastAsia" w:ascii="宋体" w:hAnsi="宋体" w:cs="宋体"/>
                <w:sz w:val="24"/>
                <w:highlight w:val="none"/>
              </w:rPr>
            </w:r>
            <w:r/>
          </w:p>
          <w:p>
            <w:pPr>
              <w:pStyle w:val="1130"/>
              <w:rPr>
                <w:rFonts w:hint="eastAsia" w:ascii="宋体" w:hAnsi="宋体" w:cs="宋体"/>
                <w:sz w:val="24"/>
                <w:highlight w:val="none"/>
              </w:rPr>
            </w:pPr>
            <w:r>
              <w:rPr>
                <w:rFonts w:hint="eastAsia" w:ascii="宋体" w:hAnsi="宋体" w:cs="宋体"/>
                <w:sz w:val="24"/>
                <w:highlight w:val="none"/>
              </w:rPr>
              <w:t xml:space="preserve">6） 400W驱动器宽度≤45mm，支持紧凑安装，节省空间。</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7）在线惯量识别/增益自动设置；支持机械特性分析/自动陷波功能；弹簧接线端子，IO免焊线；支持仅USB供电导入、导出参数。</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8）配套电机范围广泛，驱动器输出功率50W-7500W；电机基座40/ 60/ 80mm。</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9）提高控制环路带宽，快速高效，3.2kHz速度环带宽，最小125μs总线周期，响应更快。在负载机械刚性高的场景优势会更明显。</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10）机器人装夹大惯量、低刚性负载下，低速段末端晃动小、加减速剧烈变化时末端平顺。</w:t>
            </w:r>
            <w:r>
              <w:rPr>
                <w:rFonts w:hint="eastAsia" w:ascii="宋体" w:hAnsi="宋体" w:cs="宋体"/>
                <w:sz w:val="24"/>
                <w:highlight w:val="none"/>
              </w:rPr>
            </w:r>
            <w:r/>
          </w:p>
          <w:p>
            <w:pPr>
              <w:pStyle w:val="1130"/>
              <w:rPr>
                <w:rFonts w:hint="eastAsia" w:ascii="宋体" w:hAnsi="宋体" w:cs="宋体"/>
                <w:sz w:val="24"/>
                <w:highlight w:val="none"/>
              </w:rPr>
            </w:pPr>
            <w:r>
              <w:rPr>
                <w:rFonts w:hint="eastAsia" w:ascii="宋体" w:hAnsi="宋体" w:cs="宋体"/>
                <w:sz w:val="24"/>
                <w:highlight w:val="none"/>
              </w:rPr>
              <w:t xml:space="preserve">11）具有摆震抑制、无偏差控制、摩擦补偿等功能开启后，对机器人表现优化效果明显。</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5.系统功能包</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1）提供数据采集接口，可与远程运维平台进行对接，实现工业机器人数据采集监控。</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2）支持系统数据采集监控包括运行信息、机器人状态（正在运行、报警、停止运行）、系统日志等；</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3）支持机械臂电机数据采集包括每个轴电机运行状态监控、电机转速监控、电机力矩监控等。</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4）系统配置输送链动态跟踪工艺，支持工业机器人动态跟踪输送链传送工件并拾取。</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二、柔性工作台</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1.材质：主体采用铝合金；工作台底架部分采用优质空心方形型钢拼接搭建设计，经除油、酸洗、磷化、吹砂、打磨等预处理，表面喷塑处理。</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2.工作台板：采用工业铝型材拼接搭建，拼接处凸凹槽进行嵌接，保证台面拼接后平整,台面上有T型槽，槽中心间距为30mm，可以使用M6快速拆卸的T型螺母和弹簧螺母块。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3.工作台封板：工作台侧面及底部为钣金封板，经除油、酸洗、磷化、吹砂、打磨等预处理，表面喷塑处理；工作台前面双开门。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4.规格：整体外形尺寸（长×宽×高）：≤1600mm×1200mm×800mm；</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5.脚轮：万向和可调支脚；</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6.配辅件：优质五金件；</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7.工作台预留扩展区域，便于设备的扩展。</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三、末端工装模块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1.工具主体铝合金材质，精巧轻便。</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2.配置快换机构主盘与机械手末端法兰适配，快换机构子盘与末端工具适配。</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3.工装可配置接电口和接气口，气口≥8个。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4.快换设置有锁紧机构，负载能力≥15KG。</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5.工装模块包括画笔、夹爪、吸盘等末端执行工具。</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6.画笔工具：含有工具端快换子盘与法兰端快换主盘配套，可以配合轨迹图形实现绘图、模拟零件外壳涂胶的轨迹编程实训，可更换笔芯设计。</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7.夹爪工具：含有工具端快换子盘与法兰端快换主盘配套，可稳固抓取搬运码垛物料，夹头为铝合金材质。内径≥15mm，闭合夹持力≥30N，开闭行程≥3mm。</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8.吸盘工具：含有工具端快换子盘与法兰端快换主盘配套，具有防碰撞弹性机构，配置吸盘直径≥20mm。</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9.工具库与末端工装工具配套，采用铝型材固定架，设有定位孔；提供四个工装放置位。整体外形尺寸（长×宽×高）：≤540mm×120mm×200mm。</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10.切换末端工装时无需任何工具，可手动快速切换。通过机器人实现机器人搬运、上下料、码垛、装配、绘图、模拟涂胶及焊接等功能。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四、TCP模块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1.材质：铝合金，整体规格≤Φ18mm、高95mm。</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2.提供TCP标定组件，可进行TCP标定练习。</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3.TCP标定尖锥配有专用铝合金内螺纹护套，护套外径≤18mm、长度≤82mm；保护锥尖以及防止护套脱落。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4.TCP标定锥底具有磁性吸附能力。</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五、变频输送模块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1.包括铝型材支架、光电传感器、导杆气缸、调速阀、推料块、变频输送机、配套变频器等组成。</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2.采用变频调速电机的输送机构，配置工件输送气推装置，实现下料自动出库。整体外形尺寸（长×宽×高）：≤860mm ×215mm ×340mm。</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3.配圆柱料块下料机构，直径≥36mm。</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4.配套输送皮带长≥700mm,宽≥60mm。</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5.变频器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1）电压频率：</w:t>
            </w:r>
            <w:r>
              <w:rPr>
                <w:rFonts w:hint="eastAsia"/>
                <w:highlight w:val="none"/>
              </w:rPr>
              <w:t xml:space="preserve">额定</w:t>
            </w:r>
            <w:r>
              <w:rPr>
                <w:rFonts w:hint="eastAsia" w:ascii="宋体" w:hAnsi="宋体" w:cs="宋体"/>
                <w:sz w:val="24"/>
                <w:highlight w:val="none"/>
              </w:rPr>
              <w:t xml:space="preserve">220V 50/60Hz，</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2）速度精准度±1%；</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3）调速范围1:50；</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4）功率：</w:t>
            </w:r>
            <w:r>
              <w:rPr>
                <w:rFonts w:hint="eastAsia"/>
                <w:highlight w:val="none"/>
              </w:rPr>
              <w:t xml:space="preserve">≥</w:t>
            </w:r>
            <w:r>
              <w:rPr>
                <w:rFonts w:hint="eastAsia" w:ascii="宋体" w:hAnsi="宋体" w:cs="宋体"/>
                <w:sz w:val="24"/>
                <w:highlight w:val="none"/>
              </w:rPr>
              <w:t xml:space="preserve">0.4KW;</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5）频率精度：低频运行模式0.01Hz，高频运行模式0.1Hz；</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6）保护功能：上电电机短路检测、过流保护、过压保护、欠压保护、过热保护、过载保护、欠压保护、过流过压失速保护、继电器吸合保护、端子保护、瞬时掉电不停等。</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六、输送链跟踪模块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1.配置编码器、采集卡及配套线缆和辅件。</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2.采集卡：与机器人配套，电源 24VDC；XP1,XP2:增量型编码器接口。</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3.编码器：外型尺寸</w:t>
            </w:r>
            <w:r>
              <w:rPr>
                <w:rFonts w:hint="eastAsia"/>
                <w:highlight w:val="none"/>
              </w:rPr>
              <w:t xml:space="preserve">≥</w:t>
            </w:r>
            <w:r>
              <w:rPr>
                <w:rFonts w:hint="eastAsia" w:ascii="宋体" w:hAnsi="宋体" w:cs="宋体"/>
                <w:sz w:val="24"/>
                <w:highlight w:val="none"/>
              </w:rPr>
              <w:t xml:space="preserve">Ф40*30；轴径：Ф6/D型切口；脉冲数：60P/R-2000P/R；电压：5-12V。</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4.能够通过与变频输送模块、工业机器人配合，实现输送链跟踪机器人动态抓取工件。</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七、工件</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1.规格与装配平台配套，直径≥35mm，厚度≥15mm；</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2.材料：塑料； </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3.处理：塑料板切料块，色泽均匀； </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4.数量：≥4，包含红、黄、蓝、绿四种颜色。  </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八、视觉检测系统</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1.由工业级智能相机、镜头、视觉控制器、算法平台、连接电缆、补光灯等组成。</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2.安装在变频输送机侧，采用智能视觉系统检测输送的工件。</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3.算法平台：集成机器视觉多种算法组件，适用多种应用场景，可快速组合算法，实现对工件或被测物的查找、测量、缺陷检测等。具有强大的视觉分析工具库，可简单灵活的搭建机器视觉应用方案，无需编程。</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4.视觉控制器：板载Intel四核SoC 处理器；内存≥4GB DDR3L，搭载高可靠性SSD存储；集成GPU，可针对特定的算法进行优化，提升图像处理性能；≥2 个千兆网口，增强的防浪涌设计，保证机器视觉相机稳定运行；≥1个独立的HDMI 显示输出；支持GPIO 输入输出功能；超紧凑的结构设计，适用于工业场合对结构的要求。</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5.工业相机及镜头：≥600万像素 1/1.8" CMOS 千兆以太网工业相机;像元尺寸：2.4μm×2.4μm;分辨率：3072×2048；曝光时间范围 27μs-2.5sec；快门模式：卷帘快门、支持自动曝光、手动曝光、一键曝光等模式；数据接口：GigE；数字I/O：1路光耦隔离输入，1路光耦隔离输出，1路双向可配置非隔离I/O；数据格式：支持Mono8/10/12 、Bayer RG 8/10/10p/12/12p 、YUV 422 8、YUV 422 8 UYVY、RGB8；配套镜头：焦距</w:t>
            </w:r>
            <w:r>
              <w:rPr>
                <w:rFonts w:hint="eastAsia"/>
                <w:highlight w:val="none"/>
              </w:rPr>
              <w:t xml:space="preserve">≥</w:t>
            </w:r>
            <w:r>
              <w:rPr>
                <w:rFonts w:hint="eastAsia" w:ascii="宋体" w:hAnsi="宋体" w:cs="宋体"/>
                <w:sz w:val="24"/>
                <w:highlight w:val="none"/>
              </w:rPr>
              <w:t xml:space="preserve">25mm，光圈F2.8，像面尺寸Φ9mm（1/1.8"），C接口。</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6.采用圆环形补光，整体呈圆柱体，与相机配套，灯面直径120mm,整体高度≥230mm，以灵活安装于柔性工作台面。</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7.配置不低于19英寸显示模块。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8.配置旋臂安装支架，可多方向调整液晶屏的位置。</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9.配置无线键盘鼠标1套。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九、工艺验证模块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1.配置铝合金材质3D工艺验证模块，整体外形尺寸（长×宽×高）：</w:t>
            </w:r>
            <w:r>
              <w:rPr>
                <w:rFonts w:hint="eastAsia"/>
                <w:highlight w:val="none"/>
              </w:rPr>
              <w:t xml:space="preserve">≥</w:t>
            </w:r>
            <w:r>
              <w:rPr>
                <w:rFonts w:hint="eastAsia" w:ascii="宋体" w:hAnsi="宋体" w:cs="宋体"/>
                <w:sz w:val="24"/>
                <w:highlight w:val="none"/>
              </w:rPr>
              <w:t xml:space="preserve">500mm×300mm×175mm。</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2.包含立体图形不少于4种；</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3.装配验证平台≥300mm×200mm，设置工件装配验证工位不少4个。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十、电气控制系统</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1.采用立式网板结构，整体尺寸≥1750mm×800mm×600mm。</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2.立式网板上集成安装工业机器人通讯主板、控制板及各轴驱动器等机器人控制系统电气设备、电气线路；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3.网板上集成安装工业机器人周边视觉控制系统、输送控制系统的电气设备、电气线路；配备电源、急停、启动等开关。</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4.所有电气设备及线路均集成安装在网板同面，便于电气接线及系统示教。</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5.配置三色警示灯及安全光栅。光轴间距：</w:t>
            </w:r>
            <w:r>
              <w:rPr>
                <w:rFonts w:hint="eastAsia"/>
                <w:highlight w:val="none"/>
              </w:rPr>
              <w:t xml:space="preserve">≥</w:t>
            </w:r>
            <w:r>
              <w:rPr>
                <w:rFonts w:hint="eastAsia" w:ascii="宋体" w:hAnsi="宋体" w:cs="宋体"/>
                <w:sz w:val="24"/>
                <w:highlight w:val="none"/>
              </w:rPr>
              <w:t xml:space="preserve">40mm，保护高度：</w:t>
            </w:r>
            <w:r>
              <w:rPr>
                <w:rFonts w:hint="eastAsia"/>
                <w:highlight w:val="none"/>
              </w:rPr>
              <w:t xml:space="preserve">≥</w:t>
            </w:r>
            <w:r>
              <w:rPr>
                <w:rFonts w:hint="eastAsia" w:ascii="宋体" w:hAnsi="宋体" w:cs="宋体"/>
                <w:sz w:val="24"/>
                <w:highlight w:val="none"/>
              </w:rPr>
              <w:t xml:space="preserve">360mm，工作电压：DC12-24V，输出信号：继电器。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十一、人机交互界面</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1.规格：≥7英寸的 TFT 真彩显示屏；</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2.显示亮度：≥200cd/m²；</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3.分辨率：≥800×480。</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4.触摸屏：电阻式；DC 24V，5W；</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5.处理器：Cortex-A8，600MHz; ≥128M内存，≥128M系统存储；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6.接口：配置10/100M自适应以太网口、USB接口、COM串行接口；</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7.配置嵌入版组态软件。</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十二、气动系统</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1.气源：≥0.7Mpa，50L/min；</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2.储气罐容量:≥30L；</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3.噪音量：≤68dB。</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4.实现系统功能所需气动配辅件：包括电磁阀、真空发生器、接头、气管等。</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5.安全性符合相关的国标标准。</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十三、性能测试模块</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1.依据工业机器人-性能规范及其试验方法国家标准，设计独立的立方体（400×400×400mm）测试面，配置高精度测量装置，可进行工业机器人的位姿准确度和位姿重复性检测。</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2.工业机器人性能检测装置：包括数显测量仪、负载工具、测量立方体支架；</w:t>
            </w:r>
            <w:r>
              <w:rPr>
                <w:rFonts w:hint="eastAsia" w:ascii="宋体" w:hAnsi="宋体" w:cs="宋体"/>
                <w:sz w:val="24"/>
                <w:highlight w:val="none"/>
              </w:rPr>
            </w:r>
            <w:r/>
          </w:p>
          <w:p>
            <w:pPr>
              <w:pStyle w:val="1130"/>
              <w:rPr>
                <w:rFonts w:hint="eastAsia" w:ascii="宋体" w:hAnsi="宋体" w:cs="宋体"/>
                <w:sz w:val="24"/>
                <w:highlight w:val="none"/>
              </w:rPr>
            </w:pPr>
            <w:r>
              <w:rPr>
                <w:rFonts w:hint="eastAsia" w:ascii="宋体" w:hAnsi="宋体" w:cs="宋体"/>
                <w:sz w:val="24"/>
                <w:highlight w:val="none"/>
              </w:rPr>
              <w:t xml:space="preserve">3.数显测量仪包括X、Y、Z三个轴向数显测量轴、Z轴数字显示测量轴上固定连接有球头接触台、梯型体底座；测量行程：X≥15mm，Y≥15mm，Z≥20mm,测量精度</w:t>
            </w:r>
            <w:r>
              <w:rPr>
                <w:rFonts w:hint="eastAsia"/>
                <w:highlight w:val="none"/>
              </w:rPr>
              <w:t xml:space="preserve">≤</w:t>
            </w:r>
            <w:r>
              <w:rPr>
                <w:rFonts w:hint="eastAsia" w:ascii="宋体" w:hAnsi="宋体" w:cs="宋体"/>
                <w:sz w:val="24"/>
                <w:highlight w:val="none"/>
              </w:rPr>
              <w:t xml:space="preserve">0.001mm。</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4.负载工具包括机械接口固定连接法兰盘、负载体、球头探针；</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5.测量立方体支架包括安装底板、定位柱、检测点位梯型定位槽。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十四、监控系统</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1.有效像素：≥200万。</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2.数字降噪：3D数字降噪。</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3.宽动态范围：数字宽动态。</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4.存储接口：≥64G存储卡。</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5.网口：一个RJ45，10M/100M自适应以太网口。</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十五、边缘计算平台</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1.支持边缘计算功能包括智能采集、数据过滤、报警计算、跳变触发、公式计算等。</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2.支持防火墙规则、安全的证书分发体制、灵活的策略应用场景。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3.内嵌专业的协议引擎，实现工业机器人、PLC、仪器仪表等设备的数据采集。</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4.支持通过MQTT、MODBUS、OPCUA、SQL、HTTP等方式接入远端软件平台。</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5.支持一台网关采集多台不同种类设备。</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6.支持主流的 PLC控制器、仪器仪表、采集器及各种控制器的协议解析。</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7.支持 MQTT数据穿透功能，实现数据在云端解析和应用。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8.配合工业机器人远程运维云平台实现对现场的设备进行远程诊断、远程调试及升级。</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9.支持断点续传，支持存储介质包括内存TF/SSD/EMMC。</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10.支持4G/WIFI/PPPOE/以太网等丰富的联网方式。</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11.支持串口、网口、IO等多种终端接入方式。</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十六、工业机器人远程运维平台</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模块管理：支持按机器人本体、PLC模块、轴数据模块、监控模块等模块类型建立不同的模块数据，模块可设置是否进行数据通讯并绑定MAC地址、IP、端口；支持按socket、物联网等不同的通讯方式采集数据，支持设计该模块是否需要保养、保养周期及首次保养时间；</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2.轴数据监控：支持对接设备本体，实时获取轴数据并以大屏展示；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3.监控大屏：实时对接设备获取设备运行日志、设备状态、报警处理情况统计及当前设备运行时间及当前运行程序监控；</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4.PLC监控：实时获取当前PLC模块的数据状态并以大屏展示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5.电机监控：实时对接监控设备电机运行数据，并以图标展示；</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6.检修管理：支持按设备、设备所属模块、检修概要、检修执行人、检修流程等记录每次的检修记录，支持按检修简要查询每场检修记录；</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7.项目管理：支持建立项目信息库，并关联项目所在位置坐标；</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8.实训室管理：支持根据已有的项目，建立实训室，并标记实训室位置；</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9.设备管理：支持按项目、实训室建立设备存放点，同时存储设备名称、设备类型、设备型号、出厂日期等属性；</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10.保养任务：系统建立后台保养任务，根据模块设定保养周期自动计算保养时间并进行保养数据生成；</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11.保养记录：对设备模块保养完成后会生成对应的保养记录，该数据记录了保养的时间及保养的内容；</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12.设备地图：系统集成第三方地图，支持按项目设备存放位置查看设备具体地点并在地图标注，支持按在线、离线、告警筛选条件进行设备的状态筛选；</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13.对项目硬件设备数据的实时监控；可外接大屏将平台数据以界面的形式直观、清晰的展示在大屏上；</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14.菜单管理：支持按平台管理维护菜单，支持设定是否启用已添加的菜单功能；进入菜单可设定菜单操作项权限，支持按角色分配操作项权限；不同角色的人员进入同一功能页面，操作权限按设定权限加载分配；</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15.角色管理：按学校管理要求划定角色分类，支持添加角色时分配系统权限；超级管理员拥有系统最高权限，负责管理和维护系统功能，超级管理员可分配其他用户的平台编辑查看权限及范围；</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16.角色权限：选定角色，为角色分配菜单功能权限，对于建立操作项的权限，支持批量分配； </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17.用户权限：支持给用户分配角色权限，支持按工号、姓名、用户身份查询。</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18.系统功能:系统能够提供设备接入、设备数据上报、数据存储和控制命令下发等功能，通过与支持云功能的硬件设备关联配置，实现硬件设备与服务器的消息通信，以及设备数据的流转和存储。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19.系统采用B/S架构，通过浏览器即可访问应用和管理平台。</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20.系统管理平台采用Java EE体系开发，基于Spring MVC、Spring等主流技术框架开发。</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21.根据系统平台的特殊性，为保障数据安全和未来数据分析需要，运维平台的数据库和服务部署在学校内部机房。</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22.支持分布式多节点部署，实现对数据的缓存，提升性能。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23.系统充分考虑到并发访问的要求，支持分布式多节点负载均衡技术，支持在硬件或软件负载体系下的节点横向扩展，不限平台使用人数。</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24.系统具备一定的容错性，在运行环境出现故障的时仍能提供稳定、持续的服务。所建系统应支持并行运行多个节点实例，防止因为某个节点异常而影响整个系统的运行效果。</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25.系统管理平台部署支持Linux和Windows平台，支持WebLogic、Tomcat等多种服务容器部署。</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26.提供统一身份认证系统接入方案，对不同的业务需求可提供多种集成方式，保证良好的集成效果。</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27.采用组件化开发，由低耦合的组件完成各项业务，通过组件管理器呈现给用户。组件化开发有利于简化系统架构，并在系统升级、个性化服务等方面带来好处。</w:t>
            </w:r>
            <w:r>
              <w:rPr>
                <w:rFonts w:hint="eastAsia" w:ascii="宋体" w:hAnsi="宋体" w:cs="宋体"/>
                <w:sz w:val="24"/>
                <w:highlight w:val="none"/>
              </w:rPr>
            </w:r>
            <w:r/>
          </w:p>
        </w:tc>
      </w:tr>
      <w:tr>
        <w:trPr/>
        <w:tc>
          <w:tcPr>
            <w:tcW w:w="365"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rPr>
            </w:r>
            <w:r/>
          </w:p>
        </w:tc>
        <w:tc>
          <w:tcPr>
            <w:tcW w:w="453" w:type="dxa"/>
            <w:vAlign w:val="center"/>
            <w:textDirection w:val="lrTb"/>
            <w:noWrap w:val="false"/>
          </w:tcPr>
          <w:p>
            <w:pPr>
              <w:pStyle w:val="1101"/>
              <w:jc w:val="center"/>
              <w:rPr>
                <w:rFonts w:hint="eastAsia" w:ascii="宋体" w:hAnsi="宋体" w:cs="宋体"/>
                <w:color w:val="000000"/>
                <w:sz w:val="24"/>
                <w:highlight w:val="none"/>
                <w:lang w:bidi="ar"/>
              </w:rPr>
            </w:pPr>
            <w:r>
              <w:rPr>
                <w:rFonts w:hint="eastAsia" w:ascii="宋体" w:hAnsi="宋体" w:cs="宋体"/>
                <w:sz w:val="24"/>
                <w:highlight w:val="none"/>
              </w:rPr>
              <w:t xml:space="preserve">实训桌椅</w:t>
            </w:r>
            <w:r>
              <w:rPr>
                <w:rFonts w:hint="eastAsia" w:ascii="宋体" w:hAnsi="宋体" w:cs="宋体"/>
                <w:color w:val="000000"/>
                <w:sz w:val="24"/>
                <w:highlight w:val="none"/>
                <w:lang w:bidi="ar"/>
              </w:rPr>
            </w:r>
            <w:r/>
          </w:p>
        </w:tc>
        <w:tc>
          <w:tcPr>
            <w:tcW w:w="4181" w:type="dxa"/>
            <w:vAlign w:val="top"/>
            <w:textDirection w:val="lrTb"/>
            <w:noWrap w:val="false"/>
          </w:tcPr>
          <w:p>
            <w:pPr>
              <w:pStyle w:val="1101"/>
              <w:rPr>
                <w:rFonts w:hint="eastAsia" w:ascii="宋体" w:hAnsi="宋体" w:cs="宋体"/>
                <w:sz w:val="24"/>
                <w:highlight w:val="none"/>
              </w:rPr>
            </w:pPr>
            <w:r>
              <w:rPr>
                <w:rFonts w:hint="eastAsia" w:ascii="宋体" w:hAnsi="宋体" w:cs="宋体"/>
                <w:sz w:val="24"/>
                <w:highlight w:val="none"/>
              </w:rPr>
              <w:t xml:space="preserve">1.梯形桌规格≥W140×D70×H75cm</w:t>
            </w:r>
            <w:r>
              <w:rPr>
                <w:rFonts w:hint="eastAsia" w:ascii="宋体" w:hAnsi="宋体" w:cs="宋体"/>
                <w:sz w:val="24"/>
                <w:highlight w:val="none"/>
              </w:rPr>
            </w:r>
            <w:r/>
          </w:p>
          <w:p>
            <w:pPr>
              <w:pStyle w:val="1130"/>
              <w:rPr>
                <w:rFonts w:hint="eastAsia" w:ascii="宋体" w:hAnsi="宋体" w:cs="宋体"/>
                <w:sz w:val="24"/>
                <w:highlight w:val="none"/>
              </w:rPr>
            </w:pPr>
            <w:r>
              <w:rPr>
                <w:rFonts w:hint="eastAsia" w:ascii="宋体" w:hAnsi="宋体" w:cs="宋体"/>
                <w:sz w:val="24"/>
                <w:highlight w:val="none"/>
              </w:rPr>
              <w:t xml:space="preserve">2.桌子由2张同样的梯形桌组合，直径≥1.2米，配6张凳子。</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3.桌子整体分3大部分: 桌面、横梁、脚垫。</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 桌面: 采用E1级25mm厚优质刨花板制作，所有板材外露端面采用高质量PVC封边条，利用机械封边机配以热溶胶高温封边，高密封性不易吸水、不膨胀，外型美观、经久耐用。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 横梁:采用20*40*≥1.2mm优质钢管，圆管:采用50*壁厚≥1.2mm优质钢管，与上层横梁组装固定，采用6个M3.5的自攻螺丝与桌面固定。</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 脚垫: 采用可微调节塑料脚垫防滑，耐磨。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座椅材质：座面靠背采用PVC材质整体稳固耐劳，椅叠高不占空间，支撑脚采用圆钢管支撑。</w:t>
            </w:r>
            <w:r>
              <w:rPr>
                <w:rFonts w:hint="eastAsia" w:ascii="宋体" w:hAnsi="宋体" w:cs="宋体"/>
                <w:sz w:val="24"/>
                <w:highlight w:val="none"/>
              </w:rPr>
            </w:r>
            <w:r/>
          </w:p>
        </w:tc>
      </w:tr>
      <w:tr>
        <w:trPr/>
        <w:tc>
          <w:tcPr>
            <w:tcW w:w="365"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tcW w:w="453"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t xml:space="preserve">讲台</w:t>
            </w:r>
            <w:r>
              <w:rPr>
                <w:rFonts w:hint="eastAsia" w:ascii="宋体" w:hAnsi="宋体" w:cs="宋体"/>
                <w:sz w:val="24"/>
                <w:highlight w:val="none"/>
              </w:rPr>
            </w:r>
            <w:r/>
          </w:p>
        </w:tc>
        <w:tc>
          <w:tcPr>
            <w:tcW w:w="4181" w:type="dxa"/>
            <w:vAlign w:val="top"/>
            <w:textDirection w:val="lrTb"/>
            <w:noWrap w:val="false"/>
          </w:tcPr>
          <w:p>
            <w:pPr>
              <w:pStyle w:val="1101"/>
              <w:rPr>
                <w:rFonts w:hint="eastAsia" w:ascii="宋体" w:hAnsi="宋体" w:cs="宋体"/>
                <w:sz w:val="24"/>
                <w:highlight w:val="none"/>
              </w:rPr>
            </w:pPr>
            <w:r>
              <w:rPr>
                <w:rFonts w:hint="eastAsia" w:ascii="宋体" w:hAnsi="宋体" w:cs="宋体"/>
                <w:sz w:val="24"/>
                <w:highlight w:val="none"/>
              </w:rPr>
              <w:t xml:space="preserve">1.尺寸：≥长1100*宽780*高1000mm </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2.讲台钢板厚度≥0.8mm，盖板采取翻转方式打开，人性化的设计，便于开启。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3.国标19英寸机架，防盗功能。</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4.钢木结合一体成型；实木扶手；桌面木质；全封闭式结构。</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5.整个讲台采用一副滑轨。</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6.液晶显示器采用反转设计，可使视线和显示器接近垂直，可安装17-22寸显示器，关闭后所有设备都隐藏在讲台内。</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7.整体采用分体式结构，上下节需要组装。</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8.键盘采用翻转式操作，显示器、中央控制系统、键盘互不影响独立操作。</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9.右侧采用隐藏抽拉式设计，安装视频展示台,无需钥匙开启。</w:t>
            </w:r>
            <w:r>
              <w:rPr>
                <w:rFonts w:hint="eastAsia" w:ascii="宋体" w:hAnsi="宋体" w:cs="宋体"/>
                <w:sz w:val="24"/>
                <w:highlight w:val="none"/>
              </w:rPr>
            </w:r>
            <w:r/>
          </w:p>
          <w:p>
            <w:pPr>
              <w:pStyle w:val="1101"/>
              <w:rPr>
                <w:rFonts w:hint="eastAsia" w:ascii="宋体" w:hAnsi="宋体" w:cs="宋体"/>
                <w:sz w:val="24"/>
                <w:highlight w:val="none"/>
              </w:rPr>
            </w:pPr>
            <w:r>
              <w:rPr>
                <w:rFonts w:hint="eastAsia" w:ascii="宋体" w:hAnsi="宋体" w:cs="宋体"/>
                <w:sz w:val="24"/>
                <w:highlight w:val="none"/>
              </w:rPr>
              <w:t xml:space="preserve">10.桌体下层内部采用标准机柜设计，带层板，所有设备可整齐固定。</w:t>
            </w:r>
            <w:r>
              <w:rPr>
                <w:rFonts w:hint="eastAsia" w:ascii="宋体" w:hAnsi="宋体" w:cs="宋体"/>
                <w:sz w:val="24"/>
                <w:highlight w:val="none"/>
              </w:rPr>
            </w:r>
            <w:r/>
          </w:p>
        </w:tc>
      </w:tr>
    </w:tbl>
    <w:p>
      <w:pPr>
        <w:pStyle w:val="1101"/>
        <w:contextualSpacing/>
        <w:ind w:firstLine="482"/>
        <w:jc w:val="left"/>
        <w:spacing w:line="400" w:lineRule="exact"/>
        <w:rPr>
          <w:rFonts w:hint="eastAsia"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备注：</w:t>
      </w:r>
      <w:r>
        <w:rPr>
          <w:rFonts w:hint="eastAsia" w:ascii="宋体" w:hAnsi="宋体" w:eastAsia="宋体" w:cs="宋体"/>
          <w:b/>
          <w:bCs/>
          <w:sz w:val="24"/>
          <w:highlight w:val="none"/>
          <w:lang w:val="en-US" w:eastAsia="zh-CN"/>
        </w:rPr>
      </w:r>
      <w:r/>
    </w:p>
    <w:p>
      <w:pPr>
        <w:pStyle w:val="1101"/>
        <w:contextualSpacing/>
        <w:ind w:firstLine="482"/>
        <w:jc w:val="left"/>
        <w:spacing w:line="400" w:lineRule="exact"/>
        <w:rPr>
          <w:rFonts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1.本项目核心产品为“</w:t>
      </w:r>
      <w:r>
        <w:rPr>
          <w:rFonts w:hint="eastAsia" w:ascii="宋体" w:hAnsi="宋体" w:cs="宋体"/>
          <w:b/>
          <w:bCs/>
          <w:sz w:val="24"/>
          <w:highlight w:val="none"/>
        </w:rPr>
        <w:t xml:space="preserve">机电一体化智能控制系统</w:t>
      </w:r>
      <w:r>
        <w:rPr>
          <w:rFonts w:hint="eastAsia" w:ascii="宋体" w:hAnsi="宋体" w:cs="宋体"/>
          <w:b/>
          <w:bCs/>
          <w:sz w:val="24"/>
          <w:highlight w:val="none"/>
          <w:lang w:val="en-US" w:eastAsia="zh-CN"/>
        </w:rPr>
        <w:t xml:space="preserve">”。</w:t>
      </w:r>
      <w:r>
        <w:rPr>
          <w:rFonts w:ascii="宋体" w:hAnsi="宋体" w:eastAsia="宋体" w:cs="宋体"/>
          <w:b/>
          <w:bCs/>
          <w:sz w:val="24"/>
          <w:highlight w:val="none"/>
          <w:lang w:val="en-US" w:eastAsia="zh-CN"/>
        </w:rPr>
      </w:r>
      <w:r/>
    </w:p>
    <w:p>
      <w:pPr>
        <w:pStyle w:val="1101"/>
        <w:contextualSpacing/>
        <w:ind w:firstLine="482"/>
        <w:jc w:val="left"/>
        <w:spacing w:line="400" w:lineRule="exact"/>
        <w:rPr>
          <w:rFonts w:hint="eastAsia" w:ascii="宋体" w:hAnsi="宋体" w:cs="宋体"/>
          <w:b/>
          <w:bCs/>
          <w:sz w:val="24"/>
          <w:highlight w:val="none"/>
          <w:u w:val="single"/>
        </w:rPr>
      </w:pPr>
      <w:r>
        <w:rPr>
          <w:rFonts w:hint="eastAsia" w:ascii="宋体" w:hAnsi="宋体" w:eastAsia="宋体" w:cs="宋体"/>
          <w:b/>
          <w:bCs/>
          <w:sz w:val="24"/>
          <w:highlight w:val="none"/>
          <w:u w:val="single"/>
          <w:lang w:val="en-US" w:eastAsia="zh-CN"/>
        </w:rPr>
        <w:t xml:space="preserve">★</w:t>
      </w:r>
      <w:r>
        <w:rPr>
          <w:rFonts w:hint="eastAsia" w:ascii="宋体" w:hAnsi="宋体" w:cs="宋体"/>
          <w:b/>
          <w:bCs/>
          <w:sz w:val="24"/>
          <w:highlight w:val="none"/>
          <w:u w:val="single"/>
          <w:lang w:val="en-US" w:eastAsia="zh-CN"/>
        </w:rPr>
        <w:t xml:space="preserve">2.</w:t>
      </w:r>
      <w:r>
        <w:rPr>
          <w:rFonts w:hint="eastAsia" w:ascii="宋体" w:hAnsi="宋体" w:cs="宋体"/>
          <w:b/>
          <w:bCs/>
          <w:sz w:val="24"/>
          <w:highlight w:val="none"/>
          <w:u w:val="single"/>
        </w:rPr>
        <w:t xml:space="preserve">为确保所提供软件的真实性，同时证明其能满足采购需求，采购人有权要求中标人对上述软件功能参数进行现场软件功能演示。中标人应在接到通知后3个工作日内完成演示。若演示结果不能完全满足招标文件中的技术参数及投标文件的相应承诺，将视为提供虚假材料谋取中标，采购人将上报相关主管部门处理。</w:t>
      </w:r>
      <w:r>
        <w:rPr>
          <w:rFonts w:hint="eastAsia"/>
          <w:b/>
          <w:bCs/>
          <w:sz w:val="24"/>
          <w:szCs w:val="24"/>
          <w:highlight w:val="none"/>
          <w:u w:val="single"/>
          <w:lang w:val="en-US" w:eastAsia="zh-CN"/>
        </w:rPr>
        <w:t xml:space="preserve">投标文件中提供承诺函并加盖投标人公章。</w:t>
      </w:r>
      <w:r>
        <w:rPr>
          <w:rFonts w:hint="eastAsia" w:ascii="宋体" w:hAnsi="宋体" w:cs="宋体"/>
          <w:b/>
          <w:bCs/>
          <w:sz w:val="24"/>
          <w:highlight w:val="none"/>
          <w:u w:val="single"/>
        </w:rPr>
      </w:r>
      <w:r/>
    </w:p>
    <w:p>
      <w:pPr>
        <w:pStyle w:val="1101"/>
        <w:contextualSpacing/>
        <w:ind w:firstLine="482"/>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五、其他要求</w:t>
      </w:r>
      <w:r>
        <w:rPr>
          <w:rFonts w:hint="eastAsia" w:ascii="宋体" w:hAnsi="宋体" w:cs="宋体"/>
          <w:b/>
          <w:bCs/>
          <w:sz w:val="24"/>
          <w:highlight w:val="none"/>
        </w:rPr>
      </w:r>
      <w:r/>
    </w:p>
    <w:p>
      <w:pPr>
        <w:pStyle w:val="1101"/>
        <w:contextualSpacing/>
        <w:ind w:firstLine="482"/>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1.报价要求</w:t>
      </w:r>
      <w:r>
        <w:rPr>
          <w:rFonts w:hint="eastAsia" w:ascii="宋体" w:hAnsi="宋体" w:cs="宋体"/>
          <w:b/>
          <w:bCs/>
          <w:sz w:val="24"/>
          <w:highlight w:val="none"/>
        </w:rPr>
      </w:r>
      <w:r/>
    </w:p>
    <w:p>
      <w:pPr>
        <w:pStyle w:val="1101"/>
        <w:contextualSpacing/>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1.1、投标报价应包括完成该标的物全部内容的一切费用。投标报价为最终报价，投标人所报价格在合同实施期间不因市场变化因素而变。 </w:t>
      </w:r>
      <w:r>
        <w:rPr>
          <w:rFonts w:hint="eastAsia" w:ascii="宋体" w:hAnsi="宋体" w:cs="宋体"/>
          <w:sz w:val="24"/>
          <w:highlight w:val="none"/>
        </w:rPr>
      </w:r>
      <w:r/>
    </w:p>
    <w:p>
      <w:pPr>
        <w:pStyle w:val="1101"/>
        <w:contextualSpacing/>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1.2、投标人应按投标报价明细中的全部货物、服务等计算单价和总价。投标报价明细表（如有）中的每一单项均应计算并填写单价和总价，该表并由法定代表人或代理人签署。投标人未填单价或合价的项目，在实施后，采购人将不予支付，并视为该项费用已包括在其</w:t>
      </w:r>
      <w:r>
        <w:rPr>
          <w:rFonts w:hint="eastAsia" w:ascii="宋体" w:hAnsi="宋体" w:cs="宋体"/>
          <w:sz w:val="24"/>
          <w:highlight w:val="none"/>
          <w:lang w:val="en-US" w:eastAsia="zh-CN"/>
        </w:rPr>
        <w:t xml:space="preserve">他</w:t>
      </w:r>
      <w:r>
        <w:rPr>
          <w:rFonts w:hint="eastAsia" w:ascii="宋体" w:hAnsi="宋体" w:cs="宋体"/>
          <w:sz w:val="24"/>
          <w:highlight w:val="none"/>
        </w:rPr>
        <w:t xml:space="preserve">有价款的单价或合价内。 </w:t>
      </w:r>
      <w:r>
        <w:rPr>
          <w:rFonts w:hint="eastAsia" w:ascii="宋体" w:hAnsi="宋体" w:cs="宋体"/>
          <w:sz w:val="24"/>
          <w:highlight w:val="none"/>
        </w:rPr>
      </w:r>
      <w:r/>
    </w:p>
    <w:p>
      <w:pPr>
        <w:pStyle w:val="1101"/>
        <w:contextualSpacing/>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1.3、投标人应对招标文件内所要采购的全部内容进行报价，且只允许一个报价，采购人或采购代理机构不接受任何有选择性的投标报价。 </w:t>
      </w:r>
      <w:r>
        <w:rPr>
          <w:rFonts w:hint="eastAsia" w:ascii="宋体" w:hAnsi="宋体" w:cs="宋体"/>
          <w:sz w:val="24"/>
          <w:highlight w:val="none"/>
        </w:rPr>
      </w:r>
      <w:r/>
    </w:p>
    <w:p>
      <w:pPr>
        <w:pStyle w:val="1101"/>
        <w:contextualSpacing/>
        <w:ind w:firstLine="482"/>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2.验收标准</w:t>
      </w:r>
      <w:r>
        <w:rPr>
          <w:rFonts w:hint="eastAsia" w:ascii="宋体" w:hAnsi="宋体" w:cs="宋体"/>
          <w:b/>
          <w:bCs/>
          <w:sz w:val="24"/>
          <w:highlight w:val="none"/>
        </w:rPr>
      </w:r>
      <w:r/>
    </w:p>
    <w:p>
      <w:pPr>
        <w:pStyle w:val="1101"/>
        <w:contextualSpacing/>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2.1、产品到达交货地点后，采购人和中标人在2日内共同检验产品数量、质量等状况，由中标人负责并承担相关费用，采购人应积极配合。中标人进行安装调试并经过性能测试后，由采购人组织验收，验收合格后在《验收评价表》上签字确认。</w:t>
      </w:r>
      <w:r>
        <w:rPr>
          <w:rFonts w:hint="eastAsia" w:ascii="宋体" w:hAnsi="宋体" w:cs="宋体"/>
          <w:sz w:val="24"/>
          <w:highlight w:val="none"/>
        </w:rPr>
      </w:r>
      <w:r/>
    </w:p>
    <w:p>
      <w:pPr>
        <w:pStyle w:val="1101"/>
        <w:contextualSpacing/>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2.2、对产品的外观或质量问题，采购人应在发现和应当发现之日起30日内向中标人提出书面异议，中标人在接到书面异议后，应当在2日内负责处理。采购人逾期提出的，对所交产品视为符合合同的规定。</w:t>
      </w:r>
      <w:r>
        <w:rPr>
          <w:rFonts w:hint="eastAsia" w:ascii="宋体" w:hAnsi="宋体" w:cs="宋体"/>
          <w:sz w:val="24"/>
          <w:highlight w:val="none"/>
        </w:rPr>
      </w:r>
      <w:r/>
    </w:p>
    <w:p>
      <w:pPr>
        <w:pStyle w:val="1101"/>
        <w:contextualSpacing/>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2.3、经双方共同验收，产品性能参数达不到采购合同要求的，采购人可以拒收，并可以解除合同。 </w:t>
      </w:r>
      <w:r>
        <w:rPr>
          <w:rFonts w:hint="eastAsia" w:ascii="宋体" w:hAnsi="宋体" w:cs="宋体"/>
          <w:sz w:val="24"/>
          <w:highlight w:val="none"/>
        </w:rPr>
      </w:r>
      <w:r/>
    </w:p>
    <w:p>
      <w:pPr>
        <w:pStyle w:val="1101"/>
        <w:contextualSpacing/>
        <w:ind w:firstLine="482"/>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3.其他要求</w:t>
      </w:r>
      <w:r>
        <w:rPr>
          <w:rFonts w:hint="eastAsia" w:ascii="宋体" w:hAnsi="宋体" w:cs="宋体"/>
          <w:b/>
          <w:bCs/>
          <w:sz w:val="24"/>
          <w:highlight w:val="none"/>
        </w:rPr>
      </w:r>
      <w:r/>
    </w:p>
    <w:p>
      <w:pPr>
        <w:pStyle w:val="1101"/>
        <w:ind w:firstLine="480"/>
        <w:spacing w:line="400" w:lineRule="exact"/>
        <w:widowControl/>
        <w:rPr>
          <w:rFonts w:ascii="宋体" w:hAnsi="宋体" w:cs="宋体"/>
          <w:sz w:val="24"/>
          <w:highlight w:val="none"/>
        </w:rPr>
      </w:pPr>
      <w:r>
        <w:rPr>
          <w:rFonts w:hint="eastAsia" w:ascii="宋体" w:hAnsi="宋体" w:cs="宋体"/>
          <w:sz w:val="24"/>
          <w:highlight w:val="none"/>
        </w:rPr>
        <w:t xml:space="preserve">3.1、投标人须保证所提供货物是全新的、未使用过的原厂正品，</w:t>
      </w:r>
      <w:r>
        <w:rPr>
          <w:rFonts w:hint="eastAsia" w:ascii="宋体" w:hAnsi="宋体" w:cs="宋体"/>
          <w:sz w:val="24"/>
          <w:highlight w:val="none"/>
        </w:rPr>
        <w:t xml:space="preserve">保证所提供的货物均为正规的厂家生产的合格以上、无侵权产品。符合国家有关质量和包装标准。若投标人提供假冒伪劣、以次充好产品的，一经发现，除按采购人要求无条件退货或换货外，其他损失均由投标人承担。</w:t>
      </w:r>
      <w:r>
        <w:rPr>
          <w:rFonts w:ascii="宋体" w:hAnsi="宋体" w:cs="宋体"/>
          <w:sz w:val="24"/>
          <w:highlight w:val="none"/>
        </w:rPr>
      </w:r>
      <w:r/>
    </w:p>
    <w:p>
      <w:pPr>
        <w:pStyle w:val="1101"/>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3.2、货物有包装的，包装必须完整，采购人有权拒收包装不整齐、已拆封及货物已损坏的商品。</w:t>
      </w:r>
      <w:r>
        <w:rPr>
          <w:rFonts w:hint="eastAsia" w:ascii="宋体" w:hAnsi="宋体" w:cs="宋体"/>
          <w:sz w:val="24"/>
          <w:highlight w:val="none"/>
        </w:rPr>
      </w:r>
      <w:r/>
    </w:p>
    <w:p>
      <w:pPr>
        <w:pStyle w:val="1101"/>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3.3、投标人应根据采购人要求按招标文件规定的型号向采购人提供要求数量的货物。不得擅自变更（含规格、型号、数量等），否则，采购人有权拒收。投标人应更换被拒收的货物，使之符合要求，且承担由此发生的一切费用。</w:t>
      </w:r>
      <w:r>
        <w:rPr>
          <w:rFonts w:hint="eastAsia" w:ascii="宋体" w:hAnsi="宋体" w:cs="宋体"/>
          <w:sz w:val="24"/>
          <w:highlight w:val="none"/>
        </w:rPr>
      </w:r>
      <w:r/>
    </w:p>
    <w:p>
      <w:pPr>
        <w:pStyle w:val="1101"/>
        <w:ind w:firstLine="480"/>
        <w:spacing w:line="400" w:lineRule="exact"/>
        <w:widowControl/>
        <w:rPr>
          <w:rFonts w:ascii="宋体" w:hAnsi="宋体" w:cs="宋体"/>
          <w:b/>
          <w:bCs/>
          <w:sz w:val="24"/>
          <w:highlight w:val="none"/>
        </w:rPr>
      </w:pPr>
      <w:r>
        <w:rPr>
          <w:rFonts w:hint="eastAsia" w:ascii="宋体" w:hAnsi="宋体" w:cs="宋体"/>
          <w:sz w:val="24"/>
          <w:highlight w:val="none"/>
        </w:rPr>
        <w:t xml:space="preserve">3.4、投标人的投标文件必须对招标文件中所列明的各条技术要求做出明确响应。投标文件中列明的货物质量必须符合相关的标准和规范。</w:t>
      </w:r>
      <w:r>
        <w:rPr>
          <w:rFonts w:ascii="宋体" w:hAnsi="宋体" w:cs="宋体"/>
          <w:b/>
          <w:bCs/>
          <w:sz w:val="24"/>
          <w:highlight w:val="none"/>
        </w:rPr>
      </w:r>
      <w:r/>
    </w:p>
    <w:p>
      <w:pPr>
        <w:pStyle w:val="1101"/>
        <w:ind w:firstLine="480"/>
        <w:spacing w:line="400" w:lineRule="exact"/>
        <w:widowControl/>
        <w:rPr>
          <w:rFonts w:ascii="宋体" w:hAnsi="宋体" w:cs="宋体"/>
          <w:b/>
          <w:bCs/>
          <w:sz w:val="24"/>
          <w:highlight w:val="none"/>
        </w:rPr>
      </w:pPr>
      <w:r>
        <w:rPr>
          <w:rFonts w:hint="eastAsia" w:ascii="宋体" w:hAnsi="宋体" w:cs="宋体"/>
          <w:sz w:val="24"/>
          <w:highlight w:val="none"/>
        </w:rPr>
        <w:t xml:space="preserve">3.5、本项目涉及的货物由投标人负责制造（采购）、运输、安装、调试等工作，投标文件中须提供详细的运输、安装、交付方案。</w:t>
      </w:r>
      <w:r>
        <w:rPr>
          <w:rFonts w:ascii="宋体" w:hAnsi="宋体" w:cs="宋体"/>
          <w:b/>
          <w:bCs/>
          <w:sz w:val="24"/>
          <w:highlight w:val="none"/>
        </w:rPr>
      </w:r>
      <w:r/>
    </w:p>
    <w:p>
      <w:pPr>
        <w:pStyle w:val="1181"/>
        <w:ind w:firstLine="480"/>
        <w:jc w:val="both"/>
        <w:spacing w:line="400" w:lineRule="exact"/>
        <w:rPr>
          <w:rFonts w:ascii="宋体" w:hAnsi="宋体" w:cs="宋体"/>
          <w:color w:val="000000"/>
          <w:highlight w:val="none"/>
        </w:rPr>
      </w:pPr>
      <w:r>
        <w:rPr>
          <w:rFonts w:hint="eastAsia" w:ascii="宋体" w:hAnsi="宋体" w:cs="宋体"/>
          <w:color w:val="000000"/>
          <w:highlight w:val="none"/>
        </w:rPr>
        <w:t xml:space="preserve">3.6、在安装、调试、检测、验收、交付过程中，如发现有漏项、缺件，中标人应无条件、无偿补齐，所发生的一切费用，视为已包含在投标报价之中，且不因此而影响交付采购人的使用时间。</w:t>
      </w:r>
      <w:r>
        <w:rPr>
          <w:rFonts w:ascii="宋体" w:hAnsi="宋体" w:cs="宋体"/>
          <w:color w:val="000000"/>
          <w:highlight w:val="none"/>
        </w:rPr>
      </w:r>
      <w:r/>
    </w:p>
    <w:p>
      <w:pPr>
        <w:pStyle w:val="1181"/>
        <w:ind w:firstLine="480"/>
        <w:jc w:val="both"/>
        <w:spacing w:line="400" w:lineRule="exact"/>
        <w:rPr>
          <w:rFonts w:ascii="宋体" w:hAnsi="宋体" w:cs="宋体"/>
          <w:color w:val="000000"/>
          <w:highlight w:val="none"/>
        </w:rPr>
      </w:pPr>
      <w:r>
        <w:rPr>
          <w:rFonts w:hint="eastAsia" w:ascii="宋体" w:hAnsi="宋体" w:cs="宋体"/>
          <w:color w:val="000000"/>
          <w:highlight w:val="none"/>
        </w:rPr>
        <w:t xml:space="preserve">3.7、如果投标人没有以书面形式对本招标文件的条文提出异议，则意味着投标人所提供的设备完全符合招标文件的要求，如有偏离，请在“采购需求偏离表”中详细列出。</w:t>
      </w:r>
      <w:r>
        <w:rPr>
          <w:rFonts w:ascii="宋体" w:hAnsi="宋体" w:cs="宋体"/>
          <w:color w:val="000000"/>
          <w:highlight w:val="none"/>
        </w:rPr>
      </w:r>
      <w:r/>
    </w:p>
    <w:p>
      <w:pPr>
        <w:pStyle w:val="1101"/>
        <w:contextualSpacing/>
        <w:ind w:firstLine="480"/>
        <w:jc w:val="left"/>
        <w:spacing w:line="400" w:lineRule="exact"/>
        <w:rPr>
          <w:rFonts w:hint="eastAsia" w:ascii="宋体" w:hAnsi="宋体" w:cs="宋体"/>
          <w:sz w:val="24"/>
          <w:highlight w:val="none"/>
        </w:rPr>
      </w:pPr>
      <w:r>
        <w:rPr>
          <w:rFonts w:hint="eastAsia" w:ascii="宋体" w:hAnsi="宋体" w:cs="宋体"/>
          <w:sz w:val="24"/>
          <w:highlight w:val="none"/>
        </w:rPr>
      </w:r>
      <w:r/>
    </w:p>
    <w:p>
      <w:pPr>
        <w:pStyle w:val="1101"/>
        <w:contextualSpacing/>
        <w:jc w:val="center"/>
        <w:spacing w:line="400" w:lineRule="exact"/>
        <w:rPr>
          <w:b/>
          <w:sz w:val="36"/>
          <w:szCs w:val="36"/>
          <w:highlight w:val="none"/>
        </w:rPr>
      </w:pPr>
      <w:r>
        <w:rPr>
          <w:rFonts w:hint="eastAsia" w:ascii="宋体" w:hAnsi="宋体" w:cs="宋体"/>
          <w:sz w:val="24"/>
          <w:highlight w:val="none"/>
        </w:rPr>
        <w:br w:type="column"/>
      </w:r>
      <w:r>
        <w:rPr>
          <w:b/>
          <w:sz w:val="36"/>
          <w:szCs w:val="36"/>
          <w:highlight w:val="none"/>
        </w:rPr>
        <w:t xml:space="preserve">第六章   拟签订的合同文本</w:t>
      </w:r>
      <w:bookmarkEnd w:id="385"/>
      <w:r>
        <w:rPr>
          <w:b/>
          <w:sz w:val="36"/>
          <w:szCs w:val="36"/>
          <w:highlight w:val="none"/>
        </w:rPr>
      </w:r>
      <w:r/>
    </w:p>
    <w:p>
      <w:pPr>
        <w:pStyle w:val="1101"/>
        <w:spacing w:line="360" w:lineRule="auto"/>
        <w:tabs>
          <w:tab w:val="left" w:pos="900" w:leader="none"/>
          <w:tab w:val="left" w:pos="1080" w:leader="none"/>
        </w:tabs>
        <w:rPr>
          <w:sz w:val="18"/>
          <w:szCs w:val="18"/>
          <w:highlight w:val="none"/>
        </w:rPr>
      </w:pPr>
      <w:r>
        <w:rPr>
          <w:sz w:val="18"/>
          <w:szCs w:val="18"/>
          <w:highlight w:val="none"/>
        </w:rPr>
      </w:r>
      <w:r/>
    </w:p>
    <w:p>
      <w:pPr>
        <w:pStyle w:val="1101"/>
        <w:jc w:val="center"/>
        <w:spacing w:before="156" w:after="156"/>
        <w:rPr>
          <w:highlight w:val="none"/>
        </w:rPr>
        <w:pBdr>
          <w:top w:val="none" w:color="000000" w:sz="0" w:space="0"/>
          <w:left w:val="none" w:color="000000" w:sz="0" w:space="0"/>
          <w:bottom w:val="none" w:color="000000" w:sz="0" w:space="0"/>
          <w:right w:val="none" w:color="000000" w:sz="0" w:space="0"/>
        </w:pBdr>
      </w:pPr>
      <w:r>
        <w:rPr>
          <w:rFonts w:ascii="宋体" w:hAnsi="宋体" w:cs="宋体"/>
          <w:b/>
          <w:sz w:val="30"/>
          <w:highlight w:val="none"/>
        </w:rPr>
        <w:t xml:space="preserve">常州市政府采购合同（货物）</w:t>
      </w:r>
      <w:r>
        <w:rPr>
          <w:highlight w:val="none"/>
        </w:rPr>
      </w:r>
      <w:r/>
    </w:p>
    <w:p>
      <w:pPr>
        <w:pStyle w:val="1101"/>
        <w:spacing w:before="120" w:after="120"/>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项目名称：</w:t>
      </w:r>
      <w:r>
        <w:rPr>
          <w:rFonts w:ascii="宋体" w:hAnsi="宋体" w:cs="宋体"/>
          <w:sz w:val="24"/>
          <w:highlight w:val="none"/>
        </w:rPr>
      </w:r>
      <w:r/>
    </w:p>
    <w:p>
      <w:pPr>
        <w:pStyle w:val="1101"/>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项目编号：</w:t>
      </w:r>
      <w:r>
        <w:rPr>
          <w:highlight w:val="none"/>
        </w:rPr>
      </w:r>
      <w:r/>
    </w:p>
    <w:p>
      <w:pPr>
        <w:pStyle w:val="1101"/>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甲方：（买方）_________</w:t>
      </w:r>
      <w:r>
        <w:rPr>
          <w:highlight w:val="none"/>
        </w:rPr>
      </w:r>
      <w:r/>
    </w:p>
    <w:p>
      <w:pPr>
        <w:pStyle w:val="1101"/>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乙方：（卖方）_________</w:t>
      </w:r>
      <w:r>
        <w:rPr>
          <w:highlight w:val="none"/>
        </w:rPr>
      </w:r>
      <w:r/>
    </w:p>
    <w:p>
      <w:pPr>
        <w:pStyle w:val="1101"/>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甲、乙双方根据</w:t>
      </w:r>
      <w:r>
        <w:rPr>
          <w:rFonts w:ascii="宋体" w:hAnsi="宋体" w:cs="宋体"/>
          <w:sz w:val="24"/>
          <w:highlight w:val="none"/>
          <w:u w:val="single"/>
        </w:rPr>
        <w:t xml:space="preserve">         </w:t>
      </w:r>
      <w:r>
        <w:rPr>
          <w:rFonts w:ascii="宋体" w:hAnsi="宋体" w:cs="宋体"/>
          <w:sz w:val="24"/>
          <w:highlight w:val="none"/>
        </w:rPr>
        <w:t xml:space="preserve">项目公开招标的结果，签署本合同。</w:t>
      </w:r>
      <w:r>
        <w:rPr>
          <w:highlight w:val="none"/>
        </w:rPr>
      </w:r>
      <w:r/>
    </w:p>
    <w:p>
      <w:pPr>
        <w:pStyle w:val="1101"/>
        <w:ind w:firstLine="482"/>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一、合同内容</w:t>
      </w:r>
      <w:r>
        <w:rPr>
          <w:highlight w:val="none"/>
        </w:rPr>
      </w:r>
      <w:r/>
    </w:p>
    <w:p>
      <w:pPr>
        <w:pStyle w:val="1101"/>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1.1 标的名称：</w:t>
      </w:r>
      <w:r>
        <w:rPr>
          <w:highlight w:val="none"/>
        </w:rPr>
      </w:r>
      <w:r/>
    </w:p>
    <w:p>
      <w:pPr>
        <w:pStyle w:val="1101"/>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1.2 标的质量：</w:t>
      </w:r>
      <w:r>
        <w:rPr>
          <w:highlight w:val="none"/>
        </w:rPr>
      </w:r>
      <w:r/>
    </w:p>
    <w:p>
      <w:pPr>
        <w:pStyle w:val="1101"/>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1.3 标的数量（规模）：</w:t>
      </w:r>
      <w:r>
        <w:rPr>
          <w:highlight w:val="none"/>
        </w:rPr>
      </w:r>
      <w:r/>
    </w:p>
    <w:p>
      <w:pPr>
        <w:pStyle w:val="1101"/>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1.4 履行时间（期限）：</w:t>
      </w:r>
      <w:r>
        <w:rPr>
          <w:highlight w:val="none"/>
        </w:rPr>
      </w:r>
      <w:r/>
    </w:p>
    <w:p>
      <w:pPr>
        <w:pStyle w:val="1101"/>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1.5 履行地点：</w:t>
      </w:r>
      <w:r>
        <w:rPr>
          <w:highlight w:val="none"/>
        </w:rPr>
      </w:r>
      <w:r/>
    </w:p>
    <w:p>
      <w:pPr>
        <w:pStyle w:val="1101"/>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1.6 履行方式：</w:t>
      </w:r>
      <w:r>
        <w:rPr>
          <w:highlight w:val="none"/>
        </w:rPr>
      </w:r>
      <w:r/>
    </w:p>
    <w:p>
      <w:pPr>
        <w:pStyle w:val="1101"/>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1.7 包装方式：</w:t>
      </w:r>
      <w:r>
        <w:rPr>
          <w:highlight w:val="none"/>
        </w:rPr>
      </w:r>
      <w:r/>
    </w:p>
    <w:p>
      <w:pPr>
        <w:pStyle w:val="1101"/>
        <w:ind w:firstLine="482"/>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二、合同金额</w:t>
      </w:r>
      <w:r>
        <w:rPr>
          <w:highlight w:val="none"/>
        </w:rPr>
      </w:r>
      <w:r/>
    </w:p>
    <w:p>
      <w:pPr>
        <w:pStyle w:val="1101"/>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 本合同金额为（大写）：_______圆（___元）人民币。</w:t>
      </w:r>
      <w:r>
        <w:rPr>
          <w:highlight w:val="none"/>
        </w:rPr>
      </w:r>
      <w:r/>
    </w:p>
    <w:p>
      <w:pPr>
        <w:pStyle w:val="1101"/>
        <w:ind w:firstLine="482"/>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三、技术资料</w:t>
      </w:r>
      <w:r>
        <w:rPr>
          <w:highlight w:val="none"/>
        </w:rPr>
      </w:r>
      <w:r/>
    </w:p>
    <w:p>
      <w:pPr>
        <w:pStyle w:val="1101"/>
        <w:ind w:firstLine="480"/>
        <w:spacing w:line="400" w:lineRule="exac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3.1乙方应按招标文件规定的时间向甲方提供使用货物(包含与货物相关的服务)的有关技术资料。</w:t>
      </w:r>
      <w:r>
        <w:rPr>
          <w:rFonts w:hint="eastAsia" w:ascii="宋体" w:hAnsi="宋体" w:cs="宋体"/>
          <w:highlight w:val="none"/>
        </w:rPr>
      </w:r>
      <w:r/>
    </w:p>
    <w:p>
      <w:pPr>
        <w:pStyle w:val="1101"/>
        <w:ind w:firstLine="480"/>
        <w:spacing w:line="400" w:lineRule="exac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宋体"/>
          <w:highlight w:val="none"/>
        </w:rPr>
      </w:r>
      <w:r/>
    </w:p>
    <w:p>
      <w:pPr>
        <w:pStyle w:val="1101"/>
        <w:ind w:firstLine="482"/>
        <w:spacing w:line="400" w:lineRule="exac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四、知识产权</w:t>
      </w:r>
      <w:r>
        <w:rPr>
          <w:rFonts w:hint="eastAsia" w:ascii="宋体" w:hAnsi="宋体" w:cs="宋体"/>
          <w:highlight w:val="none"/>
        </w:rPr>
      </w:r>
      <w:r/>
    </w:p>
    <w:p>
      <w:pPr>
        <w:pStyle w:val="1101"/>
        <w:ind w:firstLine="480"/>
        <w:spacing w:line="400" w:lineRule="exac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rPr>
          <w:rFonts w:hint="eastAsia" w:ascii="宋体" w:hAnsi="宋体" w:cs="宋体"/>
          <w:highlight w:val="none"/>
        </w:rPr>
      </w:r>
      <w:r/>
    </w:p>
    <w:p>
      <w:pPr>
        <w:pStyle w:val="1101"/>
        <w:ind w:firstLine="482"/>
        <w:spacing w:line="400" w:lineRule="exac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五、产权担保</w:t>
      </w:r>
      <w:r>
        <w:rPr>
          <w:rFonts w:hint="eastAsia" w:ascii="宋体" w:hAnsi="宋体" w:cs="宋体"/>
          <w:highlight w:val="none"/>
        </w:rPr>
      </w:r>
      <w:r/>
    </w:p>
    <w:p>
      <w:pPr>
        <w:pStyle w:val="1101"/>
        <w:ind w:firstLine="480"/>
        <w:spacing w:line="400" w:lineRule="exac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5.1 乙方保证所交付的货物（包含与货物相关的服务）的所有权完全属于乙方且无任何抵押、查封等产权瑕疵。</w:t>
      </w:r>
      <w:r>
        <w:rPr>
          <w:rFonts w:hint="eastAsia" w:ascii="宋体" w:hAnsi="宋体" w:cs="宋体"/>
          <w:highlight w:val="none"/>
        </w:rPr>
      </w:r>
      <w:r/>
    </w:p>
    <w:p>
      <w:pPr>
        <w:pStyle w:val="1101"/>
        <w:ind w:firstLine="482"/>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六、履约保证金</w:t>
      </w:r>
      <w:r>
        <w:rPr>
          <w:highlight w:val="none"/>
        </w:rPr>
      </w:r>
      <w:r/>
    </w:p>
    <w:p>
      <w:pPr>
        <w:pStyle w:val="1101"/>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6.1 不收取履约保证金。</w:t>
      </w:r>
      <w:r>
        <w:rPr>
          <w:highlight w:val="none"/>
        </w:rPr>
      </w:r>
      <w:r/>
    </w:p>
    <w:p>
      <w:pPr>
        <w:pStyle w:val="1101"/>
        <w:ind w:firstLine="482"/>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七、合同转包或分包</w:t>
      </w:r>
      <w:r>
        <w:rPr>
          <w:highlight w:val="none"/>
        </w:rPr>
      </w:r>
      <w:r/>
    </w:p>
    <w:p>
      <w:pPr>
        <w:pStyle w:val="1101"/>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7.1乙方不得将合同标的转包给他人履行。</w:t>
      </w:r>
      <w:r>
        <w:rPr>
          <w:highlight w:val="none"/>
        </w:rPr>
      </w:r>
      <w:r/>
    </w:p>
    <w:p>
      <w:pPr>
        <w:pStyle w:val="1101"/>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7.2乙方不得将合同标的分包给他人履行。</w:t>
      </w:r>
      <w:r>
        <w:rPr>
          <w:highlight w:val="none"/>
        </w:rPr>
      </w:r>
      <w:r/>
    </w:p>
    <w:p>
      <w:pPr>
        <w:pStyle w:val="1101"/>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7.3乙方如有转包或未经甲方同意的分包行为，甲方有权</w:t>
      </w:r>
      <w:r>
        <w:rPr>
          <w:rFonts w:hint="eastAsia" w:ascii="宋体" w:hAnsi="宋体" w:cs="宋体"/>
          <w:sz w:val="24"/>
          <w:highlight w:val="none"/>
        </w:rPr>
        <w:t xml:space="preserve">解除</w:t>
      </w:r>
      <w:r>
        <w:rPr>
          <w:rFonts w:ascii="宋体" w:hAnsi="宋体" w:cs="宋体"/>
          <w:sz w:val="24"/>
          <w:highlight w:val="none"/>
        </w:rPr>
        <w:t xml:space="preserve">合同。</w:t>
      </w:r>
      <w:r>
        <w:rPr>
          <w:highlight w:val="none"/>
        </w:rPr>
      </w:r>
      <w:r/>
    </w:p>
    <w:p>
      <w:pPr>
        <w:pStyle w:val="1101"/>
        <w:ind w:firstLine="482"/>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八、合同款项支付</w:t>
      </w:r>
      <w:r>
        <w:rPr>
          <w:highlight w:val="none"/>
        </w:rPr>
      </w:r>
      <w:r/>
    </w:p>
    <w:p>
      <w:pPr>
        <w:pStyle w:val="1101"/>
        <w:ind w:firstLine="480"/>
        <w:spacing w:line="400" w:lineRule="exact"/>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8.1乙方应向采购单位（甲方）提供下列单据，采购单位（甲方）按合同规定审核后付款：</w:t>
      </w:r>
      <w:r>
        <w:rPr>
          <w:rFonts w:hint="eastAsia" w:ascii="宋体" w:hAnsi="宋体" w:cs="宋体"/>
          <w:bCs/>
          <w:sz w:val="24"/>
          <w:highlight w:val="none"/>
        </w:rPr>
      </w:r>
      <w:r/>
    </w:p>
    <w:p>
      <w:pPr>
        <w:pStyle w:val="1101"/>
        <w:ind w:firstLine="480"/>
        <w:spacing w:line="400" w:lineRule="exact"/>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（1） 增值税发票；</w:t>
      </w:r>
      <w:r>
        <w:rPr>
          <w:rFonts w:hint="eastAsia" w:ascii="宋体" w:hAnsi="宋体" w:cs="宋体"/>
          <w:bCs/>
          <w:sz w:val="24"/>
          <w:highlight w:val="none"/>
        </w:rPr>
      </w:r>
      <w:r/>
    </w:p>
    <w:p>
      <w:pPr>
        <w:pStyle w:val="1101"/>
        <w:ind w:firstLine="480"/>
        <w:spacing w:line="400" w:lineRule="exact"/>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（2） 制造厂家出具的质量检验证书等；</w:t>
      </w:r>
      <w:r>
        <w:rPr>
          <w:rFonts w:hint="eastAsia" w:ascii="宋体" w:hAnsi="宋体" w:cs="宋体"/>
          <w:bCs/>
          <w:sz w:val="24"/>
          <w:highlight w:val="none"/>
        </w:rPr>
      </w:r>
      <w:r/>
    </w:p>
    <w:p>
      <w:pPr>
        <w:pStyle w:val="1101"/>
        <w:ind w:firstLine="480"/>
        <w:spacing w:line="400" w:lineRule="exact"/>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（3） 装箱单；</w:t>
      </w:r>
      <w:r>
        <w:rPr>
          <w:rFonts w:hint="eastAsia" w:ascii="宋体" w:hAnsi="宋体" w:cs="宋体"/>
          <w:bCs/>
          <w:sz w:val="24"/>
          <w:highlight w:val="none"/>
        </w:rPr>
      </w:r>
      <w:r/>
    </w:p>
    <w:p>
      <w:pPr>
        <w:pStyle w:val="1101"/>
        <w:ind w:firstLine="480"/>
        <w:spacing w:line="400" w:lineRule="exact"/>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（4） 采购单位加盖公章证明交付使用合格的履约验收单。</w:t>
      </w:r>
      <w:r>
        <w:rPr>
          <w:rFonts w:hint="eastAsia" w:ascii="宋体" w:hAnsi="宋体" w:cs="宋体"/>
          <w:bCs/>
          <w:sz w:val="24"/>
          <w:highlight w:val="none"/>
        </w:rPr>
      </w:r>
      <w:r/>
    </w:p>
    <w:p>
      <w:pPr>
        <w:pStyle w:val="1101"/>
        <w:ind w:firstLine="480"/>
        <w:spacing w:line="400" w:lineRule="exact"/>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8.2乙方向甲方提供设备、安装完毕并验收合格后，甲方凭收讫货物的验收凭证、验收合格文件等材料在收到乙方提供发票后30天内一次性付清设备款项，即合同金额的100%。</w:t>
      </w:r>
      <w:r>
        <w:rPr>
          <w:rFonts w:hint="eastAsia" w:ascii="宋体" w:hAnsi="宋体" w:cs="宋体"/>
          <w:bCs/>
          <w:sz w:val="24"/>
          <w:highlight w:val="none"/>
        </w:rPr>
      </w:r>
      <w:r/>
    </w:p>
    <w:p>
      <w:pPr>
        <w:pStyle w:val="1101"/>
        <w:ind w:firstLine="480"/>
        <w:spacing w:line="400" w:lineRule="exact"/>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8.3本项目以人民币通过转账的方式付款。</w:t>
      </w:r>
      <w:r>
        <w:rPr>
          <w:rFonts w:hint="eastAsia" w:ascii="宋体" w:hAnsi="宋体" w:cs="宋体"/>
          <w:bCs/>
          <w:sz w:val="24"/>
          <w:highlight w:val="none"/>
        </w:rPr>
      </w:r>
      <w:r/>
    </w:p>
    <w:p>
      <w:pPr>
        <w:pStyle w:val="1101"/>
        <w:ind w:firstLine="482"/>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九、税费</w:t>
      </w:r>
      <w:r>
        <w:rPr>
          <w:highlight w:val="none"/>
        </w:rPr>
      </w:r>
      <w:r/>
    </w:p>
    <w:p>
      <w:pPr>
        <w:pStyle w:val="1101"/>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9.1本合同执行中相关的一切税费均由乙方负担。</w:t>
      </w:r>
      <w:r>
        <w:rPr>
          <w:highlight w:val="none"/>
        </w:rPr>
      </w:r>
      <w:r/>
    </w:p>
    <w:p>
      <w:pPr>
        <w:pStyle w:val="1101"/>
        <w:ind w:firstLine="482"/>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十、质保范围和</w:t>
      </w:r>
      <w:r>
        <w:rPr>
          <w:rFonts w:hint="eastAsia" w:ascii="宋体" w:hAnsi="宋体" w:cs="宋体"/>
          <w:b/>
          <w:sz w:val="24"/>
          <w:highlight w:val="none"/>
        </w:rPr>
        <w:t xml:space="preserve">质保</w:t>
      </w:r>
      <w:r>
        <w:rPr>
          <w:rFonts w:ascii="宋体" w:hAnsi="宋体" w:cs="宋体"/>
          <w:b/>
          <w:sz w:val="24"/>
          <w:highlight w:val="none"/>
        </w:rPr>
        <w:t xml:space="preserve">期及售后服务</w:t>
      </w:r>
      <w:r>
        <w:rPr>
          <w:highlight w:val="none"/>
        </w:rPr>
      </w:r>
      <w:r/>
    </w:p>
    <w:p>
      <w:pPr>
        <w:pStyle w:val="1101"/>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10.1 乙方应按招标文件规定的货物性能、技术要求、质量标准向甲方提供未经使用的全新产品。</w:t>
      </w:r>
      <w:r>
        <w:rPr>
          <w:highlight w:val="none"/>
        </w:rPr>
      </w:r>
      <w:r/>
    </w:p>
    <w:p>
      <w:pPr>
        <w:pStyle w:val="1101"/>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10.2 乙方提供的货物在质量期内因货物本身的质量问题发生故障，乙方应负责免费更换。对达不到技术要求者，根据实际情况，经双方协商，可按以下办法处理：</w:t>
      </w:r>
      <w:r>
        <w:rPr>
          <w:highlight w:val="none"/>
        </w:rPr>
      </w:r>
      <w:r/>
    </w:p>
    <w:p>
      <w:pPr>
        <w:pStyle w:val="1101"/>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w:t>
      </w:r>
      <w:r>
        <w:rPr>
          <w:rFonts w:ascii="宋体" w:hAnsi="宋体" w:cs="宋体"/>
          <w:sz w:val="24"/>
          <w:highlight w:val="none"/>
        </w:rPr>
        <w:t xml:space="preserve">更换：由乙方承担所发生的全部费用。</w:t>
      </w:r>
      <w:r>
        <w:rPr>
          <w:highlight w:val="none"/>
        </w:rPr>
      </w:r>
      <w:r/>
    </w:p>
    <w:p>
      <w:pPr>
        <w:pStyle w:val="1101"/>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w:t>
      </w:r>
      <w:r>
        <w:rPr>
          <w:rFonts w:ascii="宋体" w:hAnsi="宋体" w:cs="宋体"/>
          <w:sz w:val="24"/>
          <w:highlight w:val="none"/>
        </w:rPr>
        <w:t xml:space="preserve">贬值处理：由甲乙双方合议定价。</w:t>
      </w:r>
      <w:r>
        <w:rPr>
          <w:highlight w:val="none"/>
        </w:rPr>
      </w:r>
      <w:r/>
    </w:p>
    <w:p>
      <w:pPr>
        <w:pStyle w:val="1101"/>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w:t>
      </w:r>
      <w:r>
        <w:rPr>
          <w:rFonts w:ascii="宋体" w:hAnsi="宋体" w:cs="宋体"/>
          <w:sz w:val="24"/>
          <w:highlight w:val="none"/>
        </w:rPr>
        <w:t xml:space="preserve">退货处理：乙方应退还甲方支付的合同款，同时应承担该货物的直接费用（运输、保险、检验、货款利息及银行手续费等）。</w:t>
      </w:r>
      <w:r>
        <w:rPr>
          <w:highlight w:val="none"/>
        </w:rPr>
      </w:r>
      <w:r/>
    </w:p>
    <w:p>
      <w:pPr>
        <w:pStyle w:val="1101"/>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10.3 如在使用过程中发生质量问题，乙方在接到甲方通知后在_______小时内到达甲方现场。</w:t>
      </w:r>
      <w:r>
        <w:rPr>
          <w:highlight w:val="none"/>
        </w:rPr>
      </w:r>
      <w:r/>
    </w:p>
    <w:p>
      <w:pPr>
        <w:pStyle w:val="1101"/>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10.4 在</w:t>
      </w:r>
      <w:r>
        <w:rPr>
          <w:rFonts w:hint="eastAsia" w:ascii="宋体" w:hAnsi="宋体" w:cs="宋体"/>
          <w:sz w:val="24"/>
          <w:highlight w:val="none"/>
        </w:rPr>
        <w:t xml:space="preserve">质保期</w:t>
      </w:r>
      <w:r>
        <w:rPr>
          <w:rFonts w:ascii="宋体" w:hAnsi="宋体" w:cs="宋体"/>
          <w:sz w:val="24"/>
          <w:highlight w:val="none"/>
        </w:rPr>
        <w:t xml:space="preserve">内，乙方应对货物出现的质量及安全问题负责处理解决并承担一切费用。</w:t>
      </w:r>
      <w:r>
        <w:rPr>
          <w:highlight w:val="none"/>
        </w:rPr>
      </w:r>
      <w:r/>
    </w:p>
    <w:p>
      <w:pPr>
        <w:pStyle w:val="1101"/>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10.5上述的货物免费</w:t>
      </w:r>
      <w:r>
        <w:rPr>
          <w:rFonts w:hint="eastAsia" w:ascii="宋体" w:hAnsi="宋体" w:cs="宋体"/>
          <w:sz w:val="24"/>
          <w:highlight w:val="none"/>
        </w:rPr>
        <w:t xml:space="preserve">质保期</w:t>
      </w:r>
      <w:r>
        <w:rPr>
          <w:rFonts w:ascii="宋体" w:hAnsi="宋体" w:cs="宋体"/>
          <w:sz w:val="24"/>
          <w:highlight w:val="none"/>
        </w:rPr>
        <w:t xml:space="preserve">为</w:t>
      </w:r>
      <w:r>
        <w:rPr>
          <w:rFonts w:hint="eastAsia" w:ascii="宋体" w:hAnsi="宋体" w:cs="宋体"/>
          <w:sz w:val="24"/>
          <w:highlight w:val="none"/>
          <w:u w:val="single"/>
        </w:rPr>
        <w:t xml:space="preserve">     </w:t>
      </w:r>
      <w:r>
        <w:rPr>
          <w:rFonts w:ascii="宋体" w:hAnsi="宋体" w:cs="宋体"/>
          <w:sz w:val="24"/>
          <w:highlight w:val="none"/>
        </w:rPr>
        <w:t xml:space="preserve">年（自交货验收合格之日起计），因人为因素出现的故障不在免费保修范围内。超过</w:t>
      </w:r>
      <w:r>
        <w:rPr>
          <w:rFonts w:hint="eastAsia" w:ascii="宋体" w:hAnsi="宋体" w:cs="宋体"/>
          <w:sz w:val="24"/>
          <w:highlight w:val="none"/>
        </w:rPr>
        <w:t xml:space="preserve">质保期</w:t>
      </w:r>
      <w:r>
        <w:rPr>
          <w:rFonts w:ascii="宋体" w:hAnsi="宋体" w:cs="宋体"/>
          <w:sz w:val="24"/>
          <w:highlight w:val="none"/>
        </w:rPr>
        <w:t xml:space="preserve">的机器设备，终</w:t>
      </w:r>
      <w:r>
        <w:rPr>
          <w:rFonts w:hint="eastAsia" w:ascii="宋体" w:hAnsi="宋体" w:cs="宋体"/>
          <w:sz w:val="24"/>
          <w:highlight w:val="none"/>
        </w:rPr>
        <w:t xml:space="preserve">身</w:t>
      </w:r>
      <w:r>
        <w:rPr>
          <w:rFonts w:ascii="宋体" w:hAnsi="宋体" w:cs="宋体"/>
          <w:sz w:val="24"/>
          <w:highlight w:val="none"/>
        </w:rPr>
        <w:t xml:space="preserve">维修，维修时只收部件成本费。</w:t>
      </w:r>
      <w:r>
        <w:rPr>
          <w:highlight w:val="none"/>
        </w:rPr>
      </w:r>
      <w:r/>
    </w:p>
    <w:p>
      <w:pPr>
        <w:pStyle w:val="1101"/>
        <w:ind w:firstLine="482"/>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十一、项目验收</w:t>
      </w:r>
      <w:r>
        <w:rPr>
          <w:highlight w:val="none"/>
        </w:rPr>
      </w:r>
      <w:r/>
    </w:p>
    <w:p>
      <w:pPr>
        <w:pStyle w:val="1101"/>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11.1 甲方依法组织履约验收工作。</w:t>
      </w:r>
      <w:r>
        <w:rPr>
          <w:highlight w:val="none"/>
        </w:rPr>
      </w:r>
      <w:r/>
    </w:p>
    <w:p>
      <w:pPr>
        <w:pStyle w:val="1101"/>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highlight w:val="none"/>
        </w:rPr>
      </w:r>
      <w:r/>
    </w:p>
    <w:p>
      <w:pPr>
        <w:pStyle w:val="1101"/>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11.3 对于实际使用人和甲方分离的项目，甲方邀请实际使用人参与验收。</w:t>
      </w:r>
      <w:r>
        <w:rPr>
          <w:highlight w:val="none"/>
        </w:rPr>
      </w:r>
      <w:r/>
    </w:p>
    <w:p>
      <w:pPr>
        <w:pStyle w:val="1101"/>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11.4 如有必要，甲方邀请参加本项目的其他供应商或第三方专业机构及专家参与验收，相关意见将作为验收书的参考资料。</w:t>
      </w:r>
      <w:r>
        <w:rPr>
          <w:highlight w:val="none"/>
        </w:rPr>
      </w:r>
      <w:r/>
    </w:p>
    <w:p>
      <w:pPr>
        <w:pStyle w:val="1101"/>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highlight w:val="none"/>
        </w:rPr>
      </w:r>
      <w:r/>
    </w:p>
    <w:p>
      <w:pPr>
        <w:pStyle w:val="1101"/>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highlight w:val="none"/>
        </w:rPr>
      </w:r>
      <w:r/>
    </w:p>
    <w:p>
      <w:pPr>
        <w:pStyle w:val="1101"/>
        <w:ind w:firstLine="482"/>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十二、货物的包装、发运及运输</w:t>
      </w:r>
      <w:r>
        <w:rPr>
          <w:highlight w:val="none"/>
        </w:rPr>
      </w:r>
      <w:r/>
    </w:p>
    <w:p>
      <w:pPr>
        <w:pStyle w:val="1101"/>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highlight w:val="none"/>
        </w:rPr>
      </w:r>
      <w:r/>
    </w:p>
    <w:p>
      <w:pPr>
        <w:pStyle w:val="1101"/>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12.2 使用说明书、质量检验证明书、随配附件和工具以及清单一并附于货物内。</w:t>
      </w:r>
      <w:r>
        <w:rPr>
          <w:highlight w:val="none"/>
        </w:rPr>
      </w:r>
      <w:r/>
    </w:p>
    <w:p>
      <w:pPr>
        <w:pStyle w:val="1101"/>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12.3 乙方在货物发运手续办理完毕后24小时内或货到甲方48小时前通知甲方，以准备接货。</w:t>
      </w:r>
      <w:r>
        <w:rPr>
          <w:highlight w:val="none"/>
        </w:rPr>
      </w:r>
      <w:r/>
    </w:p>
    <w:p>
      <w:pPr>
        <w:pStyle w:val="1101"/>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12.4 货物在交付甲方前发生的风险均由乙方负责。</w:t>
      </w:r>
      <w:r>
        <w:rPr>
          <w:highlight w:val="none"/>
        </w:rPr>
      </w:r>
      <w:r/>
    </w:p>
    <w:p>
      <w:pPr>
        <w:pStyle w:val="1101"/>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12.5 货物在规定的交付期限内由乙方送达甲方指定的地点视为交付，乙方同时需通知甲方货物已送达。</w:t>
      </w:r>
      <w:r>
        <w:rPr>
          <w:highlight w:val="none"/>
        </w:rPr>
      </w:r>
      <w:r/>
    </w:p>
    <w:p>
      <w:pPr>
        <w:pStyle w:val="1101"/>
        <w:ind w:firstLine="482"/>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十三、违约责任</w:t>
      </w:r>
      <w:r>
        <w:rPr>
          <w:highlight w:val="none"/>
        </w:rPr>
      </w:r>
      <w:r/>
    </w:p>
    <w:p>
      <w:pPr>
        <w:pStyle w:val="1101"/>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13.1 甲方无正当理由拒收货物的，甲方向乙方偿付拒收货款总值</w:t>
      </w:r>
      <w:r>
        <w:rPr>
          <w:rFonts w:ascii="宋体" w:hAnsi="宋体" w:cs="宋体"/>
          <w:sz w:val="24"/>
          <w:highlight w:val="none"/>
          <w:u w:val="single"/>
        </w:rPr>
        <w:t xml:space="preserve"> </w:t>
      </w:r>
      <w:r>
        <w:rPr>
          <w:rFonts w:hint="eastAsia" w:ascii="宋体" w:hAnsi="宋体" w:cs="宋体"/>
          <w:sz w:val="24"/>
          <w:highlight w:val="none"/>
          <w:u w:val="single"/>
        </w:rPr>
        <w:t xml:space="preserve">5%</w:t>
      </w:r>
      <w:r>
        <w:rPr>
          <w:rFonts w:ascii="宋体" w:hAnsi="宋体" w:cs="宋体"/>
          <w:sz w:val="24"/>
          <w:highlight w:val="none"/>
          <w:u w:val="single"/>
        </w:rPr>
        <w:t xml:space="preserve"> </w:t>
      </w:r>
      <w:r>
        <w:rPr>
          <w:rFonts w:ascii="宋体" w:hAnsi="宋体" w:cs="宋体"/>
          <w:sz w:val="24"/>
          <w:highlight w:val="none"/>
        </w:rPr>
        <w:t xml:space="preserve">的违约金。</w:t>
      </w:r>
      <w:r>
        <w:rPr>
          <w:highlight w:val="none"/>
        </w:rPr>
      </w:r>
      <w:r/>
    </w:p>
    <w:p>
      <w:pPr>
        <w:pStyle w:val="1101"/>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13.2 甲方无故逾期验收和办理货款支付手续的,甲方应按逾期付款总额每日</w:t>
      </w:r>
      <w:r>
        <w:rPr>
          <w:rFonts w:ascii="宋体" w:hAnsi="宋体" w:cs="宋体"/>
          <w:sz w:val="24"/>
          <w:highlight w:val="none"/>
          <w:u w:val="single"/>
        </w:rPr>
        <w:t xml:space="preserve"> </w:t>
      </w:r>
      <w:r>
        <w:rPr>
          <w:rFonts w:hint="eastAsia" w:ascii="宋体" w:hAnsi="宋体" w:cs="宋体"/>
          <w:sz w:val="24"/>
          <w:highlight w:val="none"/>
          <w:u w:val="single"/>
        </w:rPr>
        <w:t xml:space="preserve">0.02%</w:t>
      </w:r>
      <w:r>
        <w:rPr>
          <w:rFonts w:ascii="宋体" w:hAnsi="宋体" w:cs="宋体"/>
          <w:sz w:val="24"/>
          <w:highlight w:val="none"/>
          <w:u w:val="single"/>
        </w:rPr>
        <w:t xml:space="preserve"> </w:t>
      </w:r>
      <w:r>
        <w:rPr>
          <w:rFonts w:ascii="宋体" w:hAnsi="宋体" w:cs="宋体"/>
          <w:sz w:val="24"/>
          <w:highlight w:val="none"/>
        </w:rPr>
        <w:t xml:space="preserve">向乙方支付违约金。</w:t>
      </w:r>
      <w:r>
        <w:rPr>
          <w:highlight w:val="none"/>
        </w:rPr>
      </w:r>
      <w:r/>
    </w:p>
    <w:p>
      <w:pPr>
        <w:pStyle w:val="1101"/>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ascii="宋体" w:hAnsi="宋体" w:cs="宋体"/>
          <w:sz w:val="24"/>
          <w:highlight w:val="none"/>
          <w:u w:val="single"/>
        </w:rPr>
        <w:t xml:space="preserve"> </w:t>
      </w:r>
      <w:r>
        <w:rPr>
          <w:rFonts w:hint="eastAsia" w:ascii="宋体" w:hAnsi="宋体" w:cs="宋体"/>
          <w:sz w:val="24"/>
          <w:highlight w:val="none"/>
          <w:u w:val="single"/>
        </w:rPr>
        <w:t xml:space="preserve">10%</w:t>
      </w:r>
      <w:r>
        <w:rPr>
          <w:rFonts w:ascii="宋体" w:hAnsi="宋体" w:cs="宋体"/>
          <w:sz w:val="24"/>
          <w:highlight w:val="none"/>
          <w:u w:val="single"/>
        </w:rPr>
        <w:t xml:space="preserve"> </w:t>
      </w:r>
      <w:r>
        <w:rPr>
          <w:rFonts w:ascii="宋体" w:hAnsi="宋体" w:cs="宋体"/>
          <w:sz w:val="24"/>
          <w:highlight w:val="none"/>
        </w:rPr>
        <w:t xml:space="preserve">的违约金，如造成甲方损失超过违约金的，超出部分由乙方继续承担赔偿责任。 </w:t>
      </w:r>
      <w:r>
        <w:rPr>
          <w:highlight w:val="none"/>
        </w:rPr>
      </w:r>
      <w:r/>
    </w:p>
    <w:p>
      <w:pPr>
        <w:pStyle w:val="1101"/>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rPr>
          <w:highlight w:val="none"/>
        </w:rPr>
      </w:r>
      <w:r/>
    </w:p>
    <w:p>
      <w:pPr>
        <w:pStyle w:val="1101"/>
        <w:ind w:firstLine="482"/>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十四、不可抗力事件处理</w:t>
      </w:r>
      <w:r>
        <w:rPr>
          <w:highlight w:val="none"/>
        </w:rPr>
      </w:r>
      <w:r/>
    </w:p>
    <w:p>
      <w:pPr>
        <w:pStyle w:val="1101"/>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14.1 在合同有效期内，任何一方因不可抗力事件导致不能履行合同，则合同履行期可延长，其延长期与不可抗力影响期相同。</w:t>
      </w:r>
      <w:r>
        <w:rPr>
          <w:highlight w:val="none"/>
        </w:rPr>
      </w:r>
      <w:r/>
    </w:p>
    <w:p>
      <w:pPr>
        <w:pStyle w:val="1101"/>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14.2 不可抗力事件发生后，应立即通知对方，并寄送有关权威机构出具的证明。</w:t>
      </w:r>
      <w:r>
        <w:rPr>
          <w:highlight w:val="none"/>
        </w:rPr>
      </w:r>
      <w:r/>
    </w:p>
    <w:p>
      <w:pPr>
        <w:pStyle w:val="1101"/>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14.3 不可抗力事件延续120天以上，双方应通过友好协商，确定是否继续履行合同。</w:t>
      </w:r>
      <w:r>
        <w:rPr>
          <w:highlight w:val="none"/>
        </w:rPr>
      </w:r>
      <w:r/>
    </w:p>
    <w:p>
      <w:pPr>
        <w:pStyle w:val="1101"/>
        <w:ind w:firstLine="482"/>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十五、解决争议的方法</w:t>
      </w:r>
      <w:r>
        <w:rPr>
          <w:highlight w:val="none"/>
        </w:rPr>
      </w:r>
      <w:r/>
    </w:p>
    <w:p>
      <w:pPr>
        <w:pStyle w:val="1101"/>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15.1甲乙双方因合同签订、履行而发生的一切争议，应通过友好协商解决。如协商不成由甲方住所地人民法院管辖。</w:t>
      </w:r>
      <w:r>
        <w:rPr>
          <w:highlight w:val="none"/>
        </w:rPr>
      </w:r>
      <w:r/>
    </w:p>
    <w:p>
      <w:pPr>
        <w:pStyle w:val="1101"/>
        <w:ind w:firstLine="482"/>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十六、合同生效及其它</w:t>
      </w:r>
      <w:r>
        <w:rPr>
          <w:highlight w:val="none"/>
        </w:rPr>
      </w:r>
      <w:r/>
    </w:p>
    <w:p>
      <w:pPr>
        <w:pStyle w:val="1101"/>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16.1 合同经双方法定代表人或授权委托代表人签字并加盖单位公章后生效。</w:t>
      </w:r>
      <w:r>
        <w:rPr>
          <w:highlight w:val="none"/>
        </w:rPr>
      </w:r>
      <w:r/>
    </w:p>
    <w:p>
      <w:pPr>
        <w:pStyle w:val="1101"/>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16.2本合同未尽事宜，遵照《民法典》、《政府采购法》有关条文执行。</w:t>
      </w:r>
      <w:r>
        <w:rPr>
          <w:highlight w:val="none"/>
        </w:rPr>
      </w:r>
      <w:r/>
    </w:p>
    <w:p>
      <w:pPr>
        <w:pStyle w:val="1101"/>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16.3 本合同正本一式</w:t>
      </w:r>
      <w:r>
        <w:rPr>
          <w:rFonts w:hint="eastAsia" w:ascii="宋体" w:hAnsi="宋体" w:cs="宋体"/>
          <w:sz w:val="24"/>
          <w:highlight w:val="none"/>
        </w:rPr>
        <w:t xml:space="preserve">六</w:t>
      </w:r>
      <w:r>
        <w:rPr>
          <w:rFonts w:ascii="宋体" w:hAnsi="宋体" w:cs="宋体"/>
          <w:sz w:val="24"/>
          <w:highlight w:val="none"/>
        </w:rPr>
        <w:t xml:space="preserve">份，具有同等法律效力，甲方、乙方</w:t>
      </w:r>
      <w:r>
        <w:rPr>
          <w:rFonts w:hint="eastAsia" w:ascii="宋体" w:hAnsi="宋体" w:cs="宋体"/>
          <w:sz w:val="24"/>
          <w:highlight w:val="none"/>
        </w:rPr>
        <w:t xml:space="preserve">、代理机构</w:t>
      </w:r>
      <w:r>
        <w:rPr>
          <w:rFonts w:ascii="宋体" w:hAnsi="宋体" w:cs="宋体"/>
          <w:sz w:val="24"/>
          <w:highlight w:val="none"/>
        </w:rPr>
        <w:t xml:space="preserve">各执</w:t>
      </w:r>
      <w:r>
        <w:rPr>
          <w:rFonts w:hint="eastAsia" w:ascii="宋体" w:hAnsi="宋体" w:cs="宋体"/>
          <w:sz w:val="24"/>
          <w:highlight w:val="none"/>
        </w:rPr>
        <w:t xml:space="preserve">二</w:t>
      </w:r>
      <w:r>
        <w:rPr>
          <w:rFonts w:ascii="宋体" w:hAnsi="宋体" w:cs="宋体"/>
          <w:sz w:val="24"/>
          <w:highlight w:val="none"/>
        </w:rPr>
        <w:t xml:space="preserve">份。</w:t>
      </w:r>
      <w:r>
        <w:rPr>
          <w:highlight w:val="none"/>
        </w:rPr>
      </w:r>
      <w:r/>
    </w:p>
    <w:p>
      <w:pPr>
        <w:pStyle w:val="1101"/>
        <w:spacing w:line="4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pStyle w:val="1101"/>
        <w:spacing w:line="4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pStyle w:val="1101"/>
        <w:spacing w:line="4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甲方：               乙方： </w:t>
      </w:r>
      <w:r>
        <w:rPr>
          <w:rFonts w:ascii="宋体" w:hAnsi="宋体" w:cs="宋体"/>
          <w:sz w:val="24"/>
          <w:highlight w:val="none"/>
        </w:rPr>
      </w:r>
      <w:r/>
    </w:p>
    <w:p>
      <w:pPr>
        <w:pStyle w:val="1101"/>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地址：               地址： </w:t>
      </w:r>
      <w:r>
        <w:rPr>
          <w:highlight w:val="none"/>
        </w:rPr>
      </w:r>
      <w:r/>
    </w:p>
    <w:p>
      <w:pPr>
        <w:pStyle w:val="1101"/>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法定代表人或授权代表：       法定代表人或授权代表：</w:t>
      </w:r>
      <w:r>
        <w:rPr>
          <w:highlight w:val="none"/>
        </w:rPr>
      </w:r>
      <w:r/>
    </w:p>
    <w:p>
      <w:pPr>
        <w:pStyle w:val="1101"/>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联系电话：             联系电话：          </w:t>
      </w:r>
      <w:r>
        <w:rPr>
          <w:highlight w:val="none"/>
        </w:rPr>
      </w:r>
      <w:r/>
    </w:p>
    <w:p>
      <w:pPr>
        <w:pStyle w:val="1101"/>
        <w:ind w:firstLine="420"/>
        <w:jc w:val="center"/>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rPr>
          <w:rFonts w:ascii="宋体" w:hAnsi="宋体" w:cs="宋体"/>
          <w:sz w:val="24"/>
          <w:highlight w:val="none"/>
        </w:rPr>
        <w:t xml:space="preserve">   </w:t>
      </w:r>
      <w:r>
        <w:rPr>
          <w:highlight w:val="none"/>
        </w:rPr>
      </w:r>
      <w:r/>
    </w:p>
    <w:p>
      <w:pPr>
        <w:pStyle w:val="1101"/>
        <w:spacing w:line="400" w:lineRule="exact"/>
        <w:rPr>
          <w:b/>
          <w:sz w:val="36"/>
          <w:szCs w:val="36"/>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签订日期：   年 月 日</w:t>
      </w:r>
      <w:r>
        <w:rPr>
          <w:b/>
          <w:sz w:val="36"/>
          <w:szCs w:val="36"/>
          <w:highlight w:val="none"/>
        </w:rPr>
      </w:r>
      <w:r/>
    </w:p>
    <w:p>
      <w:pPr>
        <w:pStyle w:val="1101"/>
        <w:rPr>
          <w:b/>
          <w:sz w:val="36"/>
          <w:szCs w:val="36"/>
          <w:highlight w:val="none"/>
        </w:rPr>
      </w:pPr>
      <w:r>
        <w:rPr>
          <w:b/>
          <w:sz w:val="36"/>
          <w:szCs w:val="36"/>
          <w:highlight w:val="none"/>
        </w:rPr>
      </w:r>
      <w:r/>
    </w:p>
    <w:p>
      <w:pPr>
        <w:pStyle w:val="1101"/>
        <w:jc w:val="center"/>
        <w:spacing w:line="360" w:lineRule="auto"/>
        <w:rPr>
          <w:b/>
          <w:sz w:val="36"/>
          <w:szCs w:val="36"/>
          <w:highlight w:val="none"/>
        </w:rPr>
        <w:outlineLvl w:val="0"/>
      </w:pPr>
      <w:r/>
      <w:bookmarkStart w:id="391" w:name="_Toc1889"/>
      <w:r>
        <w:rPr>
          <w:b/>
          <w:sz w:val="36"/>
          <w:szCs w:val="36"/>
          <w:highlight w:val="none"/>
        </w:rPr>
        <w:br w:type="page" w:clear="all"/>
      </w:r>
      <w:r>
        <w:rPr>
          <w:b/>
          <w:sz w:val="36"/>
          <w:szCs w:val="36"/>
          <w:highlight w:val="none"/>
        </w:rPr>
        <w:t xml:space="preserve">第七章   投标文件格式</w:t>
      </w:r>
      <w:bookmarkEnd w:id="391"/>
      <w:r>
        <w:rPr>
          <w:b/>
          <w:sz w:val="36"/>
          <w:szCs w:val="36"/>
          <w:highlight w:val="none"/>
        </w:rPr>
      </w:r>
      <w:r/>
    </w:p>
    <w:p>
      <w:pPr>
        <w:pStyle w:val="1101"/>
        <w:ind w:left="142"/>
        <w:spacing w:line="360" w:lineRule="auto"/>
        <w:tabs>
          <w:tab w:val="left" w:pos="900" w:leader="none"/>
          <w:tab w:val="left" w:pos="1980" w:leader="none"/>
        </w:tabs>
        <w:rPr>
          <w:b/>
          <w:sz w:val="24"/>
          <w:highlight w:val="none"/>
        </w:rPr>
      </w:pPr>
      <w:r>
        <w:rPr>
          <w:b/>
          <w:sz w:val="24"/>
          <w:highlight w:val="none"/>
        </w:rPr>
      </w:r>
      <w:r/>
    </w:p>
    <w:p>
      <w:pPr>
        <w:pStyle w:val="1101"/>
        <w:ind w:left="142"/>
        <w:spacing w:line="400" w:lineRule="exact"/>
        <w:tabs>
          <w:tab w:val="left" w:pos="900" w:leader="none"/>
          <w:tab w:val="left" w:pos="1980" w:leader="none"/>
        </w:tabs>
        <w:rPr>
          <w:rFonts w:ascii="宋体" w:hAnsi="宋体" w:cs="宋体"/>
          <w:sz w:val="24"/>
          <w:highlight w:val="none"/>
        </w:rPr>
      </w:pPr>
      <w:r>
        <w:rPr>
          <w:rFonts w:hint="eastAsia" w:ascii="宋体" w:hAnsi="宋体" w:cs="宋体"/>
          <w:b/>
          <w:sz w:val="24"/>
          <w:highlight w:val="none"/>
        </w:rPr>
        <w:t xml:space="preserve">投标人编制文件须知</w:t>
      </w:r>
      <w:r>
        <w:rPr>
          <w:rFonts w:ascii="宋体" w:hAnsi="宋体" w:cs="宋体"/>
          <w:sz w:val="24"/>
          <w:highlight w:val="none"/>
        </w:rPr>
      </w:r>
      <w:r/>
    </w:p>
    <w:p>
      <w:pPr>
        <w:pStyle w:val="1101"/>
        <w:ind w:left="142"/>
        <w:spacing w:line="400" w:lineRule="exact"/>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ascii="宋体" w:hAnsi="宋体" w:cs="宋体"/>
          <w:sz w:val="24"/>
          <w:highlight w:val="none"/>
        </w:rPr>
      </w:r>
      <w:r/>
    </w:p>
    <w:p>
      <w:pPr>
        <w:pStyle w:val="1101"/>
        <w:ind w:left="142"/>
        <w:spacing w:line="400" w:lineRule="exact"/>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t xml:space="preserve">对于招标文件中标记了“实质性格式”文件的，</w:t>
      </w:r>
      <w:r>
        <w:rPr>
          <w:rFonts w:hint="eastAsia" w:ascii="宋体" w:hAnsi="宋体" w:cs="宋体"/>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highlight w:val="none"/>
        </w:rPr>
        <w:t xml:space="preserve">否则</w:t>
      </w:r>
      <w:r>
        <w:rPr>
          <w:rFonts w:hint="eastAsia" w:ascii="宋体" w:hAnsi="宋体" w:cs="宋体"/>
          <w:b/>
          <w:sz w:val="24"/>
          <w:highlight w:val="none"/>
        </w:rPr>
        <w:t xml:space="preserve">投标无效</w:t>
      </w:r>
      <w:r>
        <w:rPr>
          <w:rFonts w:hint="eastAsia" w:ascii="宋体" w:hAnsi="宋体" w:cs="宋体"/>
          <w:sz w:val="24"/>
          <w:highlight w:val="none"/>
        </w:rPr>
        <w:t xml:space="preserve">。未标记“实质性格式”的文件和招标文件未提供格式的内容，可由投标人自行编写。</w:t>
      </w:r>
      <w:r>
        <w:rPr>
          <w:rFonts w:ascii="宋体" w:hAnsi="宋体" w:cs="宋体"/>
          <w:sz w:val="24"/>
          <w:highlight w:val="none"/>
        </w:rPr>
      </w:r>
      <w:r/>
    </w:p>
    <w:p>
      <w:pPr>
        <w:pStyle w:val="1101"/>
        <w:ind w:left="142"/>
        <w:spacing w:line="400" w:lineRule="exact"/>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3、全部声明和问题的回答及所附材料必须是真实的、准确的和完整的。</w:t>
      </w:r>
      <w:r>
        <w:rPr>
          <w:rFonts w:ascii="宋体" w:hAnsi="宋体" w:cs="宋体"/>
          <w:sz w:val="24"/>
          <w:highlight w:val="none"/>
        </w:rPr>
      </w:r>
      <w:r/>
    </w:p>
    <w:p>
      <w:pPr>
        <w:pStyle w:val="1101"/>
        <w:jc w:val="left"/>
        <w:widowControl/>
        <w:rPr>
          <w:sz w:val="24"/>
          <w:highlight w:val="none"/>
        </w:rPr>
      </w:pPr>
      <w:r>
        <w:rPr>
          <w:sz w:val="24"/>
          <w:highlight w:val="none"/>
        </w:rPr>
        <w:br w:type="page" w:clear="all"/>
      </w:r>
      <w:r>
        <w:rPr>
          <w:sz w:val="24"/>
          <w:highlight w:val="none"/>
        </w:rPr>
      </w:r>
      <w:r/>
    </w:p>
    <w:p>
      <w:pPr>
        <w:pStyle w:val="1101"/>
        <w:jc w:val="left"/>
        <w:keepLines/>
        <w:keepNext/>
        <w:spacing w:before="120" w:line="300" w:lineRule="auto"/>
        <w:rPr>
          <w:b/>
          <w:sz w:val="30"/>
          <w:szCs w:val="20"/>
          <w:highlight w:val="none"/>
        </w:rPr>
        <w:outlineLvl w:val="1"/>
      </w:pPr>
      <w:r/>
      <w:bookmarkEnd w:id="336"/>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rPr>
          <w:b/>
          <w:spacing w:val="20"/>
          <w:sz w:val="24"/>
          <w:highlight w:val="none"/>
        </w:rPr>
        <w:t xml:space="preserve">一、资格证明文件格式</w:t>
      </w:r>
      <w:r>
        <w:rPr>
          <w:b/>
          <w:sz w:val="30"/>
          <w:szCs w:val="20"/>
          <w:highlight w:val="none"/>
        </w:rPr>
      </w:r>
      <w:r/>
    </w:p>
    <w:p>
      <w:pPr>
        <w:pStyle w:val="1101"/>
        <w:rPr>
          <w:b/>
          <w:spacing w:val="20"/>
          <w:szCs w:val="21"/>
          <w:highlight w:val="none"/>
        </w:rPr>
      </w:pPr>
      <w:r>
        <w:rPr>
          <w:b/>
          <w:spacing w:val="20"/>
          <w:szCs w:val="21"/>
          <w:highlight w:val="none"/>
        </w:rPr>
      </w:r>
      <w:r/>
    </w:p>
    <w:p>
      <w:pPr>
        <w:pStyle w:val="1101"/>
        <w:rPr>
          <w:b/>
          <w:sz w:val="24"/>
          <w:highlight w:val="none"/>
        </w:rPr>
      </w:pPr>
      <w:r>
        <w:rPr>
          <w:b/>
          <w:spacing w:val="20"/>
          <w:sz w:val="24"/>
          <w:highlight w:val="none"/>
        </w:rPr>
        <w:t xml:space="preserve">投标文件</w:t>
      </w:r>
      <w:r>
        <w:rPr>
          <w:b/>
          <w:sz w:val="24"/>
          <w:highlight w:val="none"/>
        </w:rPr>
        <w:t xml:space="preserve">封面（非实质性格式）</w:t>
      </w:r>
      <w:r>
        <w:rPr>
          <w:b/>
          <w:sz w:val="24"/>
          <w:highlight w:val="none"/>
        </w:rPr>
      </w:r>
      <w:r/>
    </w:p>
    <w:p>
      <w:pPr>
        <w:pStyle w:val="1101"/>
        <w:jc w:val="center"/>
        <w:rPr>
          <w:szCs w:val="21"/>
          <w:highlight w:val="none"/>
        </w:rPr>
      </w:pPr>
      <w:r>
        <w:rPr>
          <w:szCs w:val="21"/>
          <w:highlight w:val="none"/>
        </w:rPr>
      </w:r>
      <w:r/>
    </w:p>
    <w:p>
      <w:pPr>
        <w:pStyle w:val="1101"/>
        <w:jc w:val="center"/>
        <w:rPr>
          <w:b/>
          <w:spacing w:val="60"/>
          <w:sz w:val="84"/>
          <w:szCs w:val="84"/>
          <w:highlight w:val="none"/>
        </w:rPr>
      </w:pPr>
      <w:r>
        <w:rPr>
          <w:b/>
          <w:spacing w:val="60"/>
          <w:sz w:val="84"/>
          <w:szCs w:val="84"/>
          <w:highlight w:val="none"/>
        </w:rPr>
        <w:t xml:space="preserve">投 标 文 件</w:t>
      </w:r>
      <w:r>
        <w:rPr>
          <w:b/>
          <w:spacing w:val="60"/>
          <w:sz w:val="84"/>
          <w:szCs w:val="84"/>
          <w:highlight w:val="none"/>
        </w:rPr>
      </w:r>
      <w:r/>
    </w:p>
    <w:p>
      <w:pPr>
        <w:pStyle w:val="1101"/>
        <w:ind w:firstLine="963"/>
        <w:rPr>
          <w:b/>
          <w:spacing w:val="60"/>
          <w:sz w:val="52"/>
          <w:szCs w:val="52"/>
          <w:highlight w:val="none"/>
        </w:rPr>
      </w:pPr>
      <w:r>
        <w:rPr>
          <w:b/>
          <w:spacing w:val="60"/>
          <w:sz w:val="52"/>
          <w:szCs w:val="52"/>
          <w:highlight w:val="none"/>
        </w:rPr>
      </w:r>
      <w:r/>
    </w:p>
    <w:p>
      <w:pPr>
        <w:pStyle w:val="1101"/>
        <w:ind w:firstLine="963"/>
        <w:rPr>
          <w:b/>
          <w:spacing w:val="60"/>
          <w:sz w:val="52"/>
          <w:szCs w:val="52"/>
          <w:highlight w:val="none"/>
        </w:rPr>
      </w:pPr>
      <w:r>
        <w:rPr>
          <w:b/>
          <w:spacing w:val="60"/>
          <w:sz w:val="52"/>
          <w:szCs w:val="52"/>
          <w:highlight w:val="none"/>
        </w:rPr>
      </w:r>
      <w:r/>
    </w:p>
    <w:p>
      <w:pPr>
        <w:pStyle w:val="1101"/>
        <w:ind w:firstLine="542"/>
        <w:rPr>
          <w:b/>
          <w:spacing w:val="20"/>
          <w:sz w:val="32"/>
          <w:szCs w:val="32"/>
          <w:highlight w:val="none"/>
        </w:rPr>
      </w:pPr>
      <w:r>
        <w:rPr>
          <w:b/>
          <w:spacing w:val="20"/>
          <w:sz w:val="32"/>
          <w:szCs w:val="32"/>
          <w:highlight w:val="none"/>
        </w:rPr>
      </w:r>
      <w:r/>
    </w:p>
    <w:p>
      <w:pPr>
        <w:pStyle w:val="1101"/>
        <w:ind w:firstLine="542"/>
        <w:rPr>
          <w:b/>
          <w:spacing w:val="20"/>
          <w:sz w:val="32"/>
          <w:szCs w:val="32"/>
          <w:highlight w:val="none"/>
        </w:rPr>
      </w:pPr>
      <w:r>
        <w:rPr>
          <w:b/>
          <w:spacing w:val="20"/>
          <w:sz w:val="32"/>
          <w:szCs w:val="32"/>
          <w:highlight w:val="none"/>
        </w:rPr>
      </w:r>
      <w:r/>
    </w:p>
    <w:p>
      <w:pPr>
        <w:pStyle w:val="1101"/>
        <w:ind w:firstLine="1084"/>
        <w:rPr>
          <w:rFonts w:ascii="宋体" w:hAnsi="宋体"/>
          <w:b/>
          <w:sz w:val="36"/>
          <w:highlight w:val="none"/>
        </w:rPr>
      </w:pPr>
      <w:r>
        <w:rPr>
          <w:rFonts w:hint="eastAsia" w:ascii="宋体" w:hAnsi="宋体"/>
          <w:b/>
          <w:sz w:val="36"/>
          <w:highlight w:val="none"/>
        </w:rPr>
        <w:t xml:space="preserve">项 目 名 称：</w:t>
      </w:r>
      <w:r>
        <w:rPr>
          <w:rFonts w:ascii="宋体" w:hAnsi="宋体"/>
          <w:b/>
          <w:sz w:val="36"/>
          <w:highlight w:val="none"/>
        </w:rPr>
      </w:r>
      <w:r/>
    </w:p>
    <w:p>
      <w:pPr>
        <w:pStyle w:val="1101"/>
        <w:ind w:firstLine="1084"/>
        <w:rPr>
          <w:rFonts w:hint="eastAsia" w:ascii="宋体" w:hAnsi="宋体"/>
          <w:b/>
          <w:sz w:val="36"/>
          <w:highlight w:val="none"/>
        </w:rPr>
      </w:pPr>
      <w:r>
        <w:rPr>
          <w:rFonts w:hint="eastAsia" w:ascii="宋体" w:hAnsi="宋体"/>
          <w:b/>
          <w:sz w:val="36"/>
          <w:highlight w:val="none"/>
        </w:rPr>
        <w:t xml:space="preserve">项 目 编 号：</w:t>
      </w:r>
      <w:r>
        <w:rPr>
          <w:rFonts w:hint="eastAsia" w:ascii="宋体" w:hAnsi="宋体"/>
          <w:b/>
          <w:sz w:val="36"/>
          <w:highlight w:val="none"/>
        </w:rPr>
      </w:r>
      <w:r/>
    </w:p>
    <w:p>
      <w:pPr>
        <w:pStyle w:val="1101"/>
        <w:ind w:firstLine="1084"/>
        <w:rPr>
          <w:rFonts w:hint="eastAsia" w:ascii="宋体" w:hAnsi="宋体"/>
          <w:b/>
          <w:sz w:val="36"/>
          <w:highlight w:val="none"/>
        </w:rPr>
      </w:pPr>
      <w:r>
        <w:rPr>
          <w:rFonts w:hint="eastAsia" w:ascii="宋体" w:hAnsi="宋体"/>
          <w:b/>
          <w:sz w:val="36"/>
          <w:highlight w:val="none"/>
        </w:rPr>
        <w:t xml:space="preserve">投标人名称：</w:t>
      </w:r>
      <w:r>
        <w:rPr>
          <w:rFonts w:hint="eastAsia" w:ascii="宋体" w:hAnsi="宋体"/>
          <w:b/>
          <w:sz w:val="36"/>
          <w:highlight w:val="none"/>
        </w:rPr>
      </w:r>
      <w:r/>
    </w:p>
    <w:p>
      <w:pPr>
        <w:pStyle w:val="1101"/>
        <w:ind w:firstLine="1084"/>
        <w:rPr>
          <w:rFonts w:hint="eastAsia" w:ascii="宋体" w:hAnsi="宋体"/>
          <w:b/>
          <w:sz w:val="36"/>
          <w:highlight w:val="none"/>
        </w:rPr>
      </w:pPr>
      <w:r>
        <w:rPr>
          <w:rFonts w:hint="eastAsia" w:ascii="宋体" w:hAnsi="宋体"/>
          <w:b/>
          <w:sz w:val="36"/>
          <w:highlight w:val="none"/>
        </w:rPr>
        <w:t xml:space="preserve">日       期：</w:t>
      </w:r>
      <w:r>
        <w:rPr>
          <w:rFonts w:hint="eastAsia" w:ascii="宋体" w:hAnsi="宋体"/>
          <w:b/>
          <w:sz w:val="36"/>
          <w:highlight w:val="none"/>
        </w:rPr>
      </w:r>
      <w:r/>
    </w:p>
    <w:p>
      <w:pPr>
        <w:pStyle w:val="1101"/>
        <w:jc w:val="center"/>
        <w:rPr>
          <w:b/>
          <w:sz w:val="32"/>
          <w:szCs w:val="32"/>
          <w:highlight w:val="none"/>
        </w:rPr>
      </w:pPr>
      <w:r>
        <w:rPr>
          <w:b/>
          <w:sz w:val="32"/>
          <w:szCs w:val="32"/>
          <w:highlight w:val="none"/>
        </w:rPr>
      </w:r>
      <w:r/>
    </w:p>
    <w:p>
      <w:pPr>
        <w:pStyle w:val="1101"/>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rPr>
          <w:rFonts w:ascii="宋体" w:hAnsi="宋体"/>
          <w:b/>
          <w:sz w:val="32"/>
          <w:szCs w:val="32"/>
          <w:highlight w:val="none"/>
        </w:rPr>
      </w:r>
      <w:r/>
    </w:p>
    <w:p>
      <w:pPr>
        <w:pStyle w:val="1101"/>
        <w:rPr>
          <w:b/>
          <w:highlight w:val="none"/>
        </w:rPr>
      </w:pPr>
      <w:r>
        <w:rPr>
          <w:b/>
          <w:highlight w:val="none"/>
        </w:rPr>
      </w:r>
      <w:r/>
    </w:p>
    <w:p>
      <w:pPr>
        <w:pStyle w:val="1101"/>
        <w:spacing w:line="400" w:lineRule="exact"/>
        <w:rPr>
          <w:color w:val="000000"/>
          <w:sz w:val="24"/>
          <w:szCs w:val="20"/>
          <w:highlight w:val="none"/>
        </w:rPr>
        <w:outlineLvl w:val="2"/>
      </w:pPr>
      <w:r>
        <w:rPr>
          <w:color w:val="000000"/>
          <w:sz w:val="24"/>
          <w:szCs w:val="20"/>
          <w:highlight w:val="none"/>
        </w:rPr>
        <w:t xml:space="preserve">1 </w:t>
      </w:r>
      <w:r>
        <w:rPr>
          <w:sz w:val="24"/>
          <w:highlight w:val="none"/>
        </w:rPr>
        <w:t xml:space="preserve">满足《中华人民共和国政府采购法》第二十二条规定及法律法规的其他规定</w:t>
      </w:r>
      <w:r>
        <w:rPr>
          <w:color w:val="000000"/>
          <w:sz w:val="24"/>
          <w:szCs w:val="20"/>
          <w:highlight w:val="none"/>
        </w:rPr>
      </w:r>
      <w:r/>
    </w:p>
    <w:p>
      <w:pPr>
        <w:pStyle w:val="1104"/>
        <w:spacing w:before="0" w:after="0" w:line="400" w:lineRule="exact"/>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投标人资格声明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1101"/>
        <w:jc w:val="center"/>
        <w:spacing w:before="120" w:line="360" w:lineRule="auto"/>
        <w:widowControl/>
        <w:rPr>
          <w:rFonts w:ascii="宋体" w:hAnsi="宋体" w:cs="宋体"/>
          <w:b/>
          <w:sz w:val="28"/>
          <w:szCs w:val="28"/>
          <w:highlight w:val="none"/>
        </w:rPr>
      </w:pPr>
      <w:r>
        <w:rPr>
          <w:rFonts w:ascii="宋体" w:hAnsi="宋体" w:cs="宋体"/>
          <w:b/>
          <w:sz w:val="28"/>
          <w:szCs w:val="28"/>
          <w:highlight w:val="none"/>
        </w:rPr>
      </w:r>
      <w:r/>
    </w:p>
    <w:p>
      <w:pPr>
        <w:pStyle w:val="1101"/>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rPr>
          <w:rFonts w:ascii="宋体" w:hAnsi="宋体" w:cs="宋体"/>
          <w:szCs w:val="21"/>
          <w:highlight w:val="none"/>
        </w:rPr>
      </w:r>
      <w:r/>
    </w:p>
    <w:p>
      <w:pPr>
        <w:pStyle w:val="1125"/>
        <w:ind w:firstLine="480"/>
        <w:spacing w:line="460" w:lineRule="exact"/>
        <w:rPr>
          <w:highlight w:val="none"/>
        </w:rPr>
      </w:pPr>
      <w:r>
        <w:rPr>
          <w:highlight w:val="none"/>
        </w:rPr>
      </w:r>
      <w:r/>
    </w:p>
    <w:p>
      <w:pPr>
        <w:pStyle w:val="1125"/>
        <w:ind w:firstLine="480"/>
        <w:spacing w:line="400" w:lineRule="exact"/>
        <w:rPr>
          <w:rFonts w:hint="eastAsia" w:eastAsia="宋体"/>
          <w:highlight w:val="none"/>
          <w:lang w:eastAsia="zh-CN"/>
        </w:rPr>
      </w:pPr>
      <w:r>
        <w:rPr>
          <w:rFonts w:hint="eastAsia"/>
          <w:highlight w:val="none"/>
        </w:rPr>
        <w:t xml:space="preserve">致：</w:t>
      </w:r>
      <w:r>
        <w:rPr>
          <w:rFonts w:hint="eastAsia"/>
          <w:highlight w:val="none"/>
          <w:lang w:eastAsia="zh-CN"/>
        </w:rPr>
        <w:t xml:space="preserve">常州润邦招标代理有限公司</w:t>
      </w:r>
      <w:r>
        <w:rPr>
          <w:rFonts w:hint="eastAsia" w:eastAsia="宋体"/>
          <w:highlight w:val="none"/>
          <w:lang w:eastAsia="zh-CN"/>
        </w:rPr>
      </w:r>
      <w:r/>
    </w:p>
    <w:p>
      <w:pPr>
        <w:pStyle w:val="1125"/>
        <w:ind w:firstLine="960"/>
        <w:spacing w:line="400" w:lineRule="exact"/>
        <w:rPr>
          <w:highlight w:val="none"/>
          <w:u w:val="single"/>
        </w:rPr>
      </w:pPr>
      <w:r>
        <w:rPr>
          <w:rFonts w:hint="eastAsia"/>
          <w:highlight w:val="none"/>
          <w:u w:val="single"/>
        </w:rPr>
        <w:t xml:space="preserve">（采购人名称）</w:t>
      </w:r>
      <w:r>
        <w:rPr>
          <w:highlight w:val="none"/>
          <w:u w:val="single"/>
        </w:rPr>
      </w:r>
      <w:r/>
    </w:p>
    <w:p>
      <w:pPr>
        <w:pStyle w:val="1125"/>
        <w:ind w:firstLine="480"/>
        <w:spacing w:line="400" w:lineRule="exact"/>
        <w:rPr>
          <w:highlight w:val="none"/>
        </w:rPr>
      </w:pPr>
      <w:r>
        <w:rPr>
          <w:highlight w:val="none"/>
        </w:rPr>
      </w:r>
      <w:r/>
    </w:p>
    <w:p>
      <w:pPr>
        <w:pStyle w:val="1125"/>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rPr>
          <w:highlight w:val="none"/>
        </w:rPr>
      </w:r>
      <w:r/>
    </w:p>
    <w:p>
      <w:pPr>
        <w:pStyle w:val="1125"/>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rPr>
          <w:highlight w:val="none"/>
        </w:rPr>
      </w:r>
      <w:r/>
    </w:p>
    <w:p>
      <w:pPr>
        <w:pStyle w:val="1125"/>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rPr>
          <w:highlight w:val="none"/>
        </w:rPr>
      </w:r>
      <w:r/>
    </w:p>
    <w:p>
      <w:pPr>
        <w:pStyle w:val="1125"/>
        <w:ind w:firstLine="480"/>
        <w:spacing w:line="460" w:lineRule="exact"/>
        <w:rPr>
          <w:highlight w:val="none"/>
        </w:rPr>
      </w:pPr>
      <w:r>
        <w:rPr>
          <w:rFonts w:hint="eastAsia"/>
          <w:highlight w:val="none"/>
        </w:rPr>
        <w:t xml:space="preserve">三、我单位依法进行纳税和社会保险申报并实际履行了义务。</w:t>
      </w:r>
      <w:r>
        <w:rPr>
          <w:highlight w:val="none"/>
        </w:rPr>
      </w:r>
      <w:r/>
    </w:p>
    <w:p>
      <w:pPr>
        <w:pStyle w:val="1125"/>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rPr>
          <w:highlight w:val="none"/>
        </w:rPr>
      </w:r>
      <w:r/>
    </w:p>
    <w:p>
      <w:pPr>
        <w:pStyle w:val="1125"/>
        <w:ind w:firstLine="480"/>
        <w:spacing w:line="460" w:lineRule="exact"/>
        <w:rPr>
          <w:highlight w:val="none"/>
        </w:rPr>
      </w:pPr>
      <w:r>
        <w:rPr>
          <w:rFonts w:hint="eastAsia"/>
          <w:highlight w:val="none"/>
        </w:rPr>
        <w:t xml:space="preserve">主要设备有：</w:t>
      </w:r>
      <w:r>
        <w:rPr>
          <w:highlight w:val="none"/>
          <w:u w:val="single"/>
        </w:rPr>
        <w:t xml:space="preserve">            </w:t>
      </w:r>
      <w:r>
        <w:rPr>
          <w:highlight w:val="none"/>
        </w:rPr>
      </w:r>
      <w:r/>
    </w:p>
    <w:p>
      <w:pPr>
        <w:pStyle w:val="1125"/>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rPr>
          <w:highlight w:val="none"/>
        </w:rPr>
      </w:r>
      <w:r/>
    </w:p>
    <w:p>
      <w:pPr>
        <w:pStyle w:val="1125"/>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none"/>
        </w:rPr>
      </w:r>
      <w:r/>
    </w:p>
    <w:p>
      <w:pPr>
        <w:pStyle w:val="1125"/>
        <w:ind w:firstLine="480"/>
        <w:spacing w:line="460" w:lineRule="exact"/>
        <w:rPr>
          <w:highlight w:val="none"/>
        </w:rPr>
      </w:pPr>
      <w:r>
        <w:rPr>
          <w:rFonts w:hint="eastAsia"/>
          <w:highlight w:val="none"/>
        </w:rPr>
        <w:t xml:space="preserve">六、我单位具备法律、行政法规规定的其他条件。</w:t>
      </w:r>
      <w:r>
        <w:rPr>
          <w:highlight w:val="none"/>
        </w:rPr>
      </w:r>
      <w:r/>
    </w:p>
    <w:p>
      <w:pPr>
        <w:pStyle w:val="1125"/>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rPr>
          <w:highlight w:val="none"/>
        </w:rPr>
      </w:r>
      <w:r/>
    </w:p>
    <w:p>
      <w:pPr>
        <w:pStyle w:val="1125"/>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rPr>
          <w:highlight w:val="none"/>
        </w:rPr>
      </w:r>
      <w:r/>
    </w:p>
    <w:p>
      <w:pPr>
        <w:pStyle w:val="1125"/>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rPr>
          <w:highlight w:val="none"/>
        </w:rPr>
      </w:r>
      <w:r/>
    </w:p>
    <w:p>
      <w:pPr>
        <w:pStyle w:val="1125"/>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rPr>
          <w:highlight w:val="none"/>
        </w:rPr>
      </w:r>
      <w:r/>
    </w:p>
    <w:p>
      <w:pPr>
        <w:pStyle w:val="1125"/>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rPr>
          <w:highlight w:val="none"/>
        </w:rPr>
      </w:r>
      <w:r/>
    </w:p>
    <w:p>
      <w:pPr>
        <w:pStyle w:val="1125"/>
        <w:ind w:firstLine="480"/>
        <w:spacing w:line="460" w:lineRule="exact"/>
        <w:rPr>
          <w:highlight w:val="none"/>
        </w:rPr>
      </w:pPr>
      <w:r>
        <w:rPr>
          <w:rFonts w:hint="eastAsia"/>
          <w:highlight w:val="none"/>
        </w:rPr>
        <w:t xml:space="preserve">九、</w:t>
      </w:r>
      <w:r>
        <w:rPr>
          <w:highlight w:val="none"/>
        </w:rPr>
        <w:t xml:space="preserve">我单位无以下不良信用记录情形：</w:t>
      </w:r>
      <w:r>
        <w:rPr>
          <w:highlight w:val="none"/>
        </w:rPr>
      </w:r>
      <w:r/>
    </w:p>
    <w:p>
      <w:pPr>
        <w:pStyle w:val="1125"/>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rPr>
          <w:highlight w:val="none"/>
        </w:rPr>
      </w:r>
      <w:r/>
    </w:p>
    <w:p>
      <w:pPr>
        <w:pStyle w:val="1125"/>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rPr>
          <w:highlight w:val="none"/>
        </w:rPr>
      </w:r>
      <w:r/>
    </w:p>
    <w:p>
      <w:pPr>
        <w:pStyle w:val="1125"/>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rPr>
          <w:highlight w:val="none"/>
        </w:rPr>
      </w:r>
      <w:r/>
    </w:p>
    <w:p>
      <w:pPr>
        <w:pStyle w:val="1125"/>
        <w:ind w:firstLine="480"/>
        <w:spacing w:line="400" w:lineRule="exact"/>
        <w:rPr>
          <w:highlight w:val="none"/>
        </w:rPr>
      </w:pPr>
      <w:r>
        <w:rPr>
          <w:highlight w:val="none"/>
        </w:rPr>
      </w:r>
      <w:r/>
    </w:p>
    <w:p>
      <w:pPr>
        <w:pStyle w:val="1125"/>
        <w:ind w:firstLine="480"/>
        <w:spacing w:line="40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rPr>
          <w:highlight w:val="none"/>
        </w:rPr>
      </w:r>
      <w:r/>
    </w:p>
    <w:p>
      <w:pPr>
        <w:pStyle w:val="1125"/>
        <w:ind w:firstLine="480"/>
        <w:spacing w:line="400" w:lineRule="exact"/>
        <w:rPr>
          <w:highlight w:val="none"/>
        </w:rPr>
      </w:pPr>
      <w:r>
        <w:rPr>
          <w:highlight w:val="none"/>
        </w:rPr>
      </w:r>
      <w:r/>
    </w:p>
    <w:p>
      <w:pPr>
        <w:pStyle w:val="1125"/>
        <w:ind w:firstLine="480"/>
        <w:spacing w:line="400" w:lineRule="exact"/>
        <w:rPr>
          <w:highlight w:val="none"/>
        </w:rPr>
      </w:pPr>
      <w:r>
        <w:rPr>
          <w:highlight w:val="none"/>
        </w:rPr>
      </w:r>
      <w:r/>
    </w:p>
    <w:p>
      <w:pPr>
        <w:pStyle w:val="1125"/>
        <w:ind w:firstLine="480"/>
        <w:spacing w:line="400" w:lineRule="exact"/>
        <w:rPr>
          <w:highlight w:val="none"/>
        </w:rPr>
      </w:pPr>
      <w:r>
        <w:rPr>
          <w:rFonts w:hint="eastAsia"/>
          <w:highlight w:val="none"/>
        </w:rPr>
        <w:t xml:space="preserve">                                   投标人：（加盖公章）</w:t>
      </w:r>
      <w:r>
        <w:rPr>
          <w:highlight w:val="none"/>
        </w:rPr>
      </w:r>
      <w:r/>
    </w:p>
    <w:p>
      <w:pPr>
        <w:pStyle w:val="1125"/>
        <w:ind w:firstLine="480"/>
        <w:spacing w:line="400" w:lineRule="exact"/>
        <w:rPr>
          <w:highlight w:val="none"/>
        </w:rPr>
      </w:pPr>
      <w:r>
        <w:rPr>
          <w:rFonts w:hint="eastAsia"/>
          <w:highlight w:val="none"/>
        </w:rPr>
        <w:t xml:space="preserve">                                   法定代表人（或单位负责人）签字或盖章：</w:t>
      </w:r>
      <w:r>
        <w:rPr>
          <w:highlight w:val="none"/>
        </w:rPr>
      </w:r>
      <w:r/>
    </w:p>
    <w:p>
      <w:pPr>
        <w:pStyle w:val="1125"/>
        <w:ind w:firstLine="4920"/>
        <w:spacing w:line="400" w:lineRule="exact"/>
        <w:rPr>
          <w:highlight w:val="none"/>
        </w:rPr>
      </w:pPr>
      <w:r>
        <w:rPr>
          <w:rFonts w:hint="eastAsia"/>
          <w:highlight w:val="none"/>
        </w:rPr>
        <w:t xml:space="preserve">日期：    年    月    日</w:t>
      </w:r>
      <w:r>
        <w:rPr>
          <w:highlight w:val="none"/>
        </w:rPr>
      </w:r>
      <w:r/>
    </w:p>
    <w:p>
      <w:pPr>
        <w:pStyle w:val="1101"/>
        <w:spacing w:line="400" w:lineRule="exact"/>
        <w:rPr>
          <w:sz w:val="24"/>
          <w:highlight w:val="none"/>
        </w:rPr>
      </w:pPr>
      <w:r>
        <w:rPr>
          <w:sz w:val="24"/>
          <w:highlight w:val="none"/>
        </w:rPr>
      </w:r>
      <w:r/>
    </w:p>
    <w:p>
      <w:pPr>
        <w:pStyle w:val="1101"/>
        <w:spacing w:line="400" w:lineRule="exact"/>
        <w:rPr>
          <w:sz w:val="24"/>
          <w:highlight w:val="none"/>
        </w:rPr>
      </w:pPr>
      <w:r>
        <w:rPr>
          <w:sz w:val="24"/>
          <w:highlight w:val="none"/>
        </w:rPr>
      </w:r>
      <w:r/>
    </w:p>
    <w:p>
      <w:pPr>
        <w:pStyle w:val="1101"/>
        <w:spacing w:line="400" w:lineRule="exact"/>
        <w:rPr>
          <w:sz w:val="24"/>
          <w:highlight w:val="none"/>
        </w:rPr>
      </w:pPr>
      <w:r>
        <w:rPr>
          <w:sz w:val="24"/>
          <w:highlight w:val="none"/>
        </w:rPr>
      </w:r>
      <w:r/>
    </w:p>
    <w:p>
      <w:pPr>
        <w:pStyle w:val="1101"/>
        <w:spacing w:line="400" w:lineRule="exact"/>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rPr>
          <w:sz w:val="24"/>
          <w:highlight w:val="none"/>
        </w:rPr>
      </w:r>
      <w:r/>
    </w:p>
    <w:p>
      <w:pPr>
        <w:pStyle w:val="1101"/>
        <w:spacing w:line="400" w:lineRule="exact"/>
        <w:tabs>
          <w:tab w:val="left" w:pos="5580" w:leader="none"/>
        </w:tabs>
        <w:rPr>
          <w:sz w:val="24"/>
          <w:highlight w:val="none"/>
        </w:rPr>
        <w:sectPr>
          <w:footnotePr/>
          <w:endnotePr/>
          <w:type w:val="nextPage"/>
          <w:pgSz w:w="11907" w:h="16840" w:orient="portrait"/>
          <w:pgMar w:top="1440" w:right="1417" w:bottom="1440" w:left="1417" w:header="851" w:footer="850" w:gutter="0"/>
          <w:cols w:num="1" w:sep="0" w:space="1701" w:equalWidth="1"/>
          <w:docGrid w:linePitch="360"/>
          <w:titlePg/>
        </w:sectPr>
      </w:pPr>
      <w:r>
        <w:rPr>
          <w:sz w:val="24"/>
          <w:highlight w:val="none"/>
        </w:rPr>
      </w:r>
      <w:r/>
    </w:p>
    <w:p>
      <w:pPr>
        <w:pStyle w:val="1101"/>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rPr>
          <w:rFonts w:hint="eastAsia"/>
          <w:color w:val="000000"/>
          <w:sz w:val="24"/>
          <w:szCs w:val="20"/>
          <w:highlight w:val="none"/>
        </w:rPr>
        <w:t xml:space="preserve">：</w:t>
      </w:r>
      <w:r>
        <w:rPr>
          <w:color w:val="000000"/>
          <w:sz w:val="24"/>
          <w:szCs w:val="20"/>
          <w:highlight w:val="none"/>
        </w:rPr>
      </w:r>
      <w:r/>
    </w:p>
    <w:p>
      <w:pPr>
        <w:pStyle w:val="1101"/>
        <w:spacing w:line="360" w:lineRule="auto"/>
        <w:rPr>
          <w:color w:val="000000"/>
          <w:sz w:val="24"/>
          <w:szCs w:val="20"/>
          <w:highlight w:val="none"/>
        </w:rPr>
        <w:outlineLvl w:val="2"/>
      </w:pPr>
      <w:r>
        <w:rPr>
          <w:color w:val="000000"/>
          <w:sz w:val="24"/>
          <w:szCs w:val="20"/>
          <w:highlight w:val="none"/>
        </w:rPr>
        <w:t xml:space="preserve">2-1中小企业声明函</w:t>
      </w:r>
      <w:r>
        <w:rPr>
          <w:color w:val="000000"/>
          <w:sz w:val="24"/>
          <w:szCs w:val="20"/>
          <w:highlight w:val="none"/>
        </w:rPr>
      </w:r>
      <w:r/>
    </w:p>
    <w:p>
      <w:pPr>
        <w:pStyle w:val="1101"/>
        <w:spacing w:line="360" w:lineRule="auto"/>
        <w:tabs>
          <w:tab w:val="left" w:pos="5580" w:leader="none"/>
        </w:tabs>
        <w:rPr>
          <w:sz w:val="24"/>
          <w:highlight w:val="none"/>
        </w:rPr>
      </w:pPr>
      <w:r>
        <w:rPr>
          <w:sz w:val="24"/>
          <w:highlight w:val="none"/>
        </w:rPr>
      </w:r>
      <w:r/>
    </w:p>
    <w:p>
      <w:pPr>
        <w:pStyle w:val="1101"/>
        <w:spacing w:line="360" w:lineRule="auto"/>
        <w:tabs>
          <w:tab w:val="left" w:pos="5580" w:leader="none"/>
        </w:tabs>
        <w:rPr>
          <w:sz w:val="24"/>
          <w:highlight w:val="none"/>
        </w:rPr>
      </w:pPr>
      <w:r>
        <w:rPr>
          <w:sz w:val="24"/>
          <w:highlight w:val="none"/>
        </w:rPr>
        <w:t xml:space="preserve">说明：</w:t>
      </w:r>
      <w:r>
        <w:rPr>
          <w:sz w:val="24"/>
          <w:highlight w:val="none"/>
        </w:rPr>
      </w:r>
      <w:r/>
    </w:p>
    <w:p>
      <w:pPr>
        <w:pStyle w:val="1101"/>
        <w:spacing w:line="360" w:lineRule="auto"/>
        <w:tabs>
          <w:tab w:val="left" w:pos="5580" w:leader="none"/>
        </w:tabs>
        <w:rPr>
          <w:sz w:val="24"/>
          <w:highlight w:val="none"/>
        </w:rPr>
      </w:pPr>
      <w:r>
        <w:rPr>
          <w:sz w:val="24"/>
          <w:highlight w:val="none"/>
        </w:rPr>
        <w:t xml:space="preserve">（1）如本项目（包）不专门面向中小企业预留采购份额，</w:t>
      </w:r>
      <w:r>
        <w:rPr>
          <w:rFonts w:hint="eastAsia"/>
          <w:sz w:val="24"/>
          <w:highlight w:val="none"/>
        </w:rPr>
        <w:t xml:space="preserve">资格证明文件部分</w:t>
      </w:r>
      <w:r>
        <w:rPr>
          <w:sz w:val="24"/>
          <w:highlight w:val="none"/>
        </w:rPr>
        <w:t xml:space="preserve">无需提供《中小企业声明函》。</w:t>
      </w:r>
      <w:r>
        <w:rPr>
          <w:sz w:val="24"/>
          <w:highlight w:val="none"/>
        </w:rPr>
      </w:r>
      <w:r/>
    </w:p>
    <w:p>
      <w:pPr>
        <w:pStyle w:val="1101"/>
        <w:spacing w:line="360" w:lineRule="auto"/>
        <w:tabs>
          <w:tab w:val="left" w:pos="5580" w:leader="none"/>
        </w:tabs>
        <w:rPr>
          <w:sz w:val="24"/>
          <w:highlight w:val="none"/>
        </w:rPr>
      </w:pPr>
      <w:r>
        <w:rPr>
          <w:sz w:val="24"/>
          <w:highlight w:val="none"/>
        </w:rPr>
        <w:t xml:space="preserve">（2）如本项目（包）专门面向中小/小微企业采购，须提供《中小企业声明函》</w:t>
      </w:r>
      <w:r>
        <w:rPr>
          <w:color w:val="000000"/>
          <w:sz w:val="24"/>
          <w:szCs w:val="20"/>
          <w:highlight w:val="none"/>
        </w:rPr>
        <w:t xml:space="preserve">（实质性格式）</w:t>
      </w:r>
      <w:r>
        <w:rPr>
          <w:sz w:val="24"/>
          <w:highlight w:val="none"/>
        </w:rPr>
        <w:t xml:space="preserve">。</w:t>
      </w:r>
      <w:r>
        <w:rPr>
          <w:sz w:val="24"/>
          <w:highlight w:val="none"/>
        </w:rPr>
      </w:r>
      <w:r/>
    </w:p>
    <w:p>
      <w:pPr>
        <w:pStyle w:val="1101"/>
        <w:spacing w:line="360" w:lineRule="auto"/>
        <w:tabs>
          <w:tab w:val="left" w:pos="5580" w:leader="none"/>
        </w:tabs>
        <w:rPr>
          <w:sz w:val="24"/>
          <w:highlight w:val="none"/>
        </w:rPr>
      </w:pPr>
      <w:r>
        <w:rPr>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highlight w:val="none"/>
        </w:rPr>
      </w:r>
      <w:r/>
    </w:p>
    <w:p>
      <w:pPr>
        <w:pStyle w:val="1101"/>
        <w:spacing w:line="360" w:lineRule="auto"/>
        <w:tabs>
          <w:tab w:val="left" w:pos="5580" w:leader="none"/>
        </w:tabs>
        <w:rPr>
          <w:sz w:val="24"/>
          <w:highlight w:val="none"/>
        </w:rPr>
      </w:pPr>
      <w:r>
        <w:rPr>
          <w:rFonts w:hint="eastAsia"/>
          <w:sz w:val="24"/>
          <w:highlight w:val="none"/>
        </w:rPr>
        <w:t xml:space="preserve">（4）其他</w:t>
      </w:r>
      <w:r>
        <w:rPr>
          <w:sz w:val="24"/>
          <w:highlight w:val="none"/>
        </w:rPr>
      </w:r>
      <w:r/>
    </w:p>
    <w:p>
      <w:pPr>
        <w:pStyle w:val="1101"/>
        <w:spacing w:line="360" w:lineRule="auto"/>
        <w:tabs>
          <w:tab w:val="left" w:pos="5580" w:leader="none"/>
        </w:tabs>
        <w:rPr>
          <w:sz w:val="24"/>
          <w:highlight w:val="none"/>
        </w:rPr>
      </w:pPr>
      <w:r>
        <w:rPr>
          <w:rFonts w:hint="eastAsia"/>
          <w:sz w:val="24"/>
          <w:highlight w:val="none"/>
        </w:rPr>
        <w:t xml:space="preserve">1）中小企业参加政府采购活动，应当出具此格式文件。《中小企业声明函》由参加政府采购活动的投标人出具。联合体投标的，《中小企业声明函》由牵头人出具。</w:t>
      </w:r>
      <w:r>
        <w:rPr>
          <w:sz w:val="24"/>
          <w:highlight w:val="none"/>
        </w:rPr>
      </w:r>
      <w:r/>
    </w:p>
    <w:p>
      <w:pPr>
        <w:pStyle w:val="1101"/>
        <w:spacing w:line="360" w:lineRule="auto"/>
        <w:tabs>
          <w:tab w:val="left" w:pos="5580" w:leader="none"/>
        </w:tabs>
        <w:rPr>
          <w:sz w:val="24"/>
          <w:highlight w:val="none"/>
        </w:rPr>
      </w:pPr>
      <w:r>
        <w:rPr>
          <w:rFonts w:hint="eastAsia"/>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highlight w:val="none"/>
        </w:rPr>
      </w:r>
      <w:r/>
    </w:p>
    <w:p>
      <w:pPr>
        <w:pStyle w:val="1101"/>
        <w:spacing w:line="360" w:lineRule="auto"/>
        <w:tabs>
          <w:tab w:val="left" w:pos="5580" w:leader="none"/>
        </w:tabs>
        <w:rPr>
          <w:sz w:val="24"/>
          <w:highlight w:val="none"/>
        </w:rPr>
      </w:pPr>
      <w:r>
        <w:rPr>
          <w:rFonts w:hint="eastAsia"/>
          <w:sz w:val="24"/>
          <w:highlight w:val="none"/>
        </w:rPr>
        <w:t xml:space="preserve">3）对于多标的的采购项目，投标人应充分、准确地了解所投产品制造企业信息。对相关情况了解不清楚的，不建议填报本声明函。</w:t>
      </w:r>
      <w:r>
        <w:rPr>
          <w:sz w:val="24"/>
          <w:highlight w:val="none"/>
        </w:rPr>
      </w:r>
      <w:r/>
    </w:p>
    <w:p>
      <w:pPr>
        <w:pStyle w:val="1101"/>
        <w:spacing w:line="360" w:lineRule="auto"/>
        <w:tabs>
          <w:tab w:val="left" w:pos="5580" w:leader="none"/>
        </w:tabs>
        <w:rPr>
          <w:rFonts w:hint="eastAsia"/>
          <w:sz w:val="24"/>
          <w:highlight w:val="none"/>
        </w:rPr>
      </w:pPr>
      <w:r>
        <w:rPr>
          <w:rFonts w:hint="eastAsia"/>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sz w:val="24"/>
          <w:highlight w:val="none"/>
        </w:rPr>
      </w:r>
      <w:r/>
    </w:p>
    <w:p>
      <w:pPr>
        <w:pStyle w:val="1101"/>
        <w:jc w:val="left"/>
        <w:spacing w:line="360" w:lineRule="auto"/>
        <w:tabs>
          <w:tab w:val="left" w:pos="5580" w:leader="none"/>
        </w:tabs>
        <w:rPr>
          <w:rFonts w:ascii="宋体" w:hAnsi="宋体"/>
          <w:b/>
          <w:sz w:val="24"/>
          <w:highlight w:val="none"/>
        </w:rPr>
      </w:pP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6</w:t>
      </w:r>
      <w:r>
        <w:rPr>
          <w:rFonts w:hint="eastAsia" w:ascii="宋体" w:hAnsi="宋体"/>
          <w:b/>
          <w:sz w:val="24"/>
          <w:highlight w:val="none"/>
          <w:lang w:eastAsia="zh-CN"/>
        </w:rPr>
        <w:t xml:space="preserve">）</w:t>
      </w:r>
      <w:r>
        <w:rPr>
          <w:rFonts w:hint="eastAsia" w:ascii="宋体" w:hAnsi="宋体"/>
          <w:b/>
          <w:sz w:val="24"/>
          <w:highlight w:val="none"/>
        </w:rPr>
        <w:t xml:space="preserve">填写请参考“常州市政府采购中心关于规范填写《中小企业声明函》的温馨提示”（网址：http://zfcg.changzhou.gov.cn/html/ns/tzgg/980332060316367.html）</w:t>
      </w:r>
      <w:r>
        <w:rPr>
          <w:rFonts w:ascii="宋体" w:hAnsi="宋体"/>
          <w:b/>
          <w:sz w:val="24"/>
          <w:highlight w:val="none"/>
        </w:rPr>
      </w:r>
      <w:r/>
    </w:p>
    <w:p>
      <w:pPr>
        <w:pStyle w:val="1101"/>
        <w:spacing w:line="360" w:lineRule="auto"/>
        <w:tabs>
          <w:tab w:val="left" w:pos="5580" w:leader="none"/>
        </w:tabs>
        <w:rPr>
          <w:sz w:val="24"/>
          <w:highlight w:val="none"/>
        </w:rPr>
      </w:pPr>
      <w:r>
        <w:rPr>
          <w:sz w:val="24"/>
          <w:highlight w:val="none"/>
        </w:rPr>
      </w:r>
      <w:r/>
    </w:p>
    <w:p>
      <w:pPr>
        <w:pStyle w:val="1101"/>
        <w:jc w:val="left"/>
        <w:widowControl/>
        <w:rPr>
          <w:sz w:val="24"/>
          <w:highlight w:val="none"/>
        </w:rPr>
      </w:pPr>
      <w:r>
        <w:rPr>
          <w:sz w:val="24"/>
          <w:highlight w:val="none"/>
        </w:rPr>
        <w:br w:type="page" w:clear="all"/>
      </w:r>
      <w:r>
        <w:rPr>
          <w:sz w:val="24"/>
          <w:highlight w:val="none"/>
        </w:rPr>
      </w:r>
      <w:r/>
    </w:p>
    <w:p>
      <w:pPr>
        <w:pStyle w:val="1101"/>
        <w:jc w:val="center"/>
        <w:spacing w:before="240" w:after="240" w:line="360" w:lineRule="auto"/>
        <w:rPr>
          <w:b/>
          <w:color w:val="000000"/>
          <w:sz w:val="36"/>
          <w:szCs w:val="36"/>
          <w:highlight w:val="none"/>
        </w:rPr>
      </w:pPr>
      <w:r>
        <w:rPr>
          <w:rFonts w:hint="eastAsia"/>
          <w:b/>
          <w:bCs/>
          <w:color w:val="000000"/>
          <w:sz w:val="36"/>
          <w:szCs w:val="36"/>
          <w:highlight w:val="none"/>
        </w:rPr>
        <w:t xml:space="preserve">中小企业声明函（货物）格式</w:t>
      </w:r>
      <w:r>
        <w:rPr>
          <w:b/>
          <w:color w:val="000000"/>
          <w:sz w:val="36"/>
          <w:szCs w:val="36"/>
          <w:highlight w:val="none"/>
        </w:rPr>
      </w:r>
      <w:r/>
    </w:p>
    <w:p>
      <w:pPr>
        <w:pStyle w:val="1101"/>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号）的规定，本公司（联合体）参加</w:t>
      </w:r>
      <w:r>
        <w:rPr>
          <w:i/>
          <w:iCs/>
          <w:spacing w:val="6"/>
          <w:sz w:val="24"/>
          <w:highlight w:val="none"/>
          <w:u w:val="single"/>
        </w:rPr>
        <w:t xml:space="preserve">（单位名称）</w:t>
      </w:r>
      <w:r>
        <w:rPr>
          <w:spacing w:val="6"/>
          <w:sz w:val="24"/>
          <w:highlight w:val="none"/>
        </w:rPr>
        <w:t xml:space="preserve">的</w:t>
      </w:r>
      <w:r>
        <w:rPr>
          <w:i/>
          <w:iCs/>
          <w:spacing w:val="6"/>
          <w:sz w:val="24"/>
          <w:highlight w:val="none"/>
          <w:u w:val="single"/>
        </w:rPr>
        <w:t xml:space="preserve">（项目名称）</w:t>
      </w:r>
      <w:r>
        <w:rPr>
          <w:spacing w:val="6"/>
          <w:sz w:val="24"/>
          <w:highlight w:val="none"/>
        </w:rPr>
        <w:t xml:space="preserve">采购活动，提供的货物全部由符合政策要求的中小企业制造。相关企业（含联合体中的中小企业、签订分包意向协议的中小企业）的具体情况如下：</w:t>
      </w:r>
      <w:r>
        <w:rPr>
          <w:spacing w:val="6"/>
          <w:sz w:val="24"/>
          <w:highlight w:val="none"/>
        </w:rPr>
      </w:r>
      <w:r/>
    </w:p>
    <w:p>
      <w:pPr>
        <w:pStyle w:val="1101"/>
        <w:ind w:firstLine="504"/>
        <w:spacing w:line="360" w:lineRule="auto"/>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行业；制造商为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rPr>
          <w:spacing w:val="6"/>
          <w:sz w:val="24"/>
          <w:highlight w:val="none"/>
        </w:rPr>
      </w:r>
      <w:r/>
    </w:p>
    <w:p>
      <w:pPr>
        <w:pStyle w:val="1101"/>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行业；制造商为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rPr>
          <w:spacing w:val="6"/>
          <w:sz w:val="24"/>
          <w:highlight w:val="none"/>
        </w:rPr>
      </w:r>
      <w:r/>
    </w:p>
    <w:p>
      <w:pPr>
        <w:pStyle w:val="1101"/>
        <w:ind w:firstLine="504"/>
        <w:spacing w:line="360" w:lineRule="auto"/>
        <w:rPr>
          <w:spacing w:val="6"/>
          <w:sz w:val="24"/>
          <w:highlight w:val="none"/>
        </w:rPr>
      </w:pPr>
      <w:r>
        <w:rPr>
          <w:spacing w:val="6"/>
          <w:sz w:val="24"/>
          <w:highlight w:val="none"/>
        </w:rPr>
        <w:t xml:space="preserve">……</w:t>
      </w:r>
      <w:r>
        <w:rPr>
          <w:spacing w:val="6"/>
          <w:sz w:val="24"/>
          <w:highlight w:val="none"/>
        </w:rPr>
      </w:r>
      <w:r/>
    </w:p>
    <w:p>
      <w:pPr>
        <w:pStyle w:val="1101"/>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rPr>
          <w:spacing w:val="6"/>
          <w:sz w:val="24"/>
          <w:highlight w:val="none"/>
        </w:rPr>
      </w:r>
      <w:r/>
    </w:p>
    <w:p>
      <w:pPr>
        <w:pStyle w:val="1101"/>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rPr>
          <w:spacing w:val="6"/>
          <w:sz w:val="24"/>
          <w:highlight w:val="none"/>
        </w:rPr>
      </w:r>
      <w:r/>
    </w:p>
    <w:p>
      <w:pPr>
        <w:pStyle w:val="1101"/>
        <w:ind w:firstLine="504"/>
        <w:spacing w:line="360" w:lineRule="auto"/>
        <w:rPr>
          <w:spacing w:val="6"/>
          <w:sz w:val="24"/>
          <w:highlight w:val="none"/>
        </w:rPr>
      </w:pPr>
      <w:r>
        <w:rPr>
          <w:spacing w:val="6"/>
          <w:sz w:val="24"/>
          <w:highlight w:val="none"/>
        </w:rPr>
      </w:r>
      <w:r/>
    </w:p>
    <w:p>
      <w:pPr>
        <w:pStyle w:val="1101"/>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1101"/>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1101"/>
        <w:ind w:right="360" w:firstLine="480"/>
        <w:jc w:val="right"/>
        <w:spacing w:line="360" w:lineRule="auto"/>
        <w:rPr>
          <w:color w:val="000000"/>
          <w:sz w:val="24"/>
          <w:highlight w:val="none"/>
        </w:rPr>
      </w:pPr>
      <w:r>
        <w:rPr>
          <w:color w:val="000000"/>
          <w:sz w:val="24"/>
          <w:highlight w:val="none"/>
        </w:rPr>
      </w:r>
      <w:r/>
    </w:p>
    <w:p>
      <w:pPr>
        <w:pStyle w:val="1101"/>
        <w:ind w:right="360" w:firstLine="480"/>
        <w:jc w:val="right"/>
        <w:spacing w:line="360" w:lineRule="auto"/>
        <w:rPr>
          <w:color w:val="000000"/>
          <w:sz w:val="24"/>
          <w:highlight w:val="none"/>
        </w:rPr>
      </w:pPr>
      <w:r>
        <w:rPr>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101"/>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1101"/>
        <w:spacing w:line="360" w:lineRule="auto"/>
        <w:rPr>
          <w:rFonts w:hint="eastAsia"/>
          <w:color w:val="000000"/>
          <w:sz w:val="24"/>
          <w:szCs w:val="20"/>
          <w:highlight w:val="none"/>
        </w:rPr>
        <w:outlineLvl w:val="2"/>
      </w:pPr>
      <w:r>
        <w:rPr>
          <w:rFonts w:hint="eastAsia"/>
          <w:color w:val="000000"/>
          <w:sz w:val="24"/>
          <w:szCs w:val="20"/>
          <w:highlight w:val="none"/>
        </w:rPr>
      </w:r>
      <w:r/>
    </w:p>
    <w:p>
      <w:pPr>
        <w:pStyle w:val="1101"/>
        <w:spacing w:line="360" w:lineRule="auto"/>
        <w:rPr>
          <w:color w:val="000000"/>
          <w:sz w:val="24"/>
          <w:szCs w:val="20"/>
          <w:highlight w:val="none"/>
        </w:rPr>
        <w:outlineLvl w:val="2"/>
      </w:pPr>
      <w:r>
        <w:rPr>
          <w:color w:val="000000"/>
          <w:sz w:val="24"/>
          <w:szCs w:val="20"/>
          <w:highlight w:val="none"/>
        </w:rPr>
        <w:br w:type="page" w:clear="all"/>
      </w:r>
      <w:r>
        <w:rPr>
          <w:color w:val="000000"/>
          <w:sz w:val="24"/>
          <w:szCs w:val="20"/>
          <w:highlight w:val="none"/>
        </w:rPr>
      </w:r>
      <w:r/>
    </w:p>
    <w:p>
      <w:pPr>
        <w:pStyle w:val="1101"/>
        <w:jc w:val="center"/>
        <w:spacing w:before="240" w:after="240" w:line="360" w:lineRule="auto"/>
        <w:rPr>
          <w:b/>
          <w:color w:val="000000"/>
          <w:sz w:val="36"/>
          <w:szCs w:val="36"/>
          <w:highlight w:val="none"/>
        </w:rPr>
      </w:pPr>
      <w:r>
        <w:rPr>
          <w:rFonts w:hint="eastAsia"/>
          <w:b/>
          <w:bCs/>
          <w:color w:val="000000"/>
          <w:sz w:val="36"/>
          <w:szCs w:val="36"/>
          <w:highlight w:val="none"/>
        </w:rPr>
        <w:t xml:space="preserve">残疾人福利性单位声明函格式</w:t>
      </w:r>
      <w:r>
        <w:rPr>
          <w:b/>
          <w:color w:val="000000"/>
          <w:sz w:val="36"/>
          <w:szCs w:val="36"/>
          <w:highlight w:val="none"/>
        </w:rPr>
        <w:t xml:space="preserve">       </w:t>
      </w:r>
      <w:r>
        <w:rPr>
          <w:b/>
          <w:color w:val="000000"/>
          <w:sz w:val="36"/>
          <w:szCs w:val="36"/>
          <w:highlight w:val="none"/>
        </w:rPr>
      </w:r>
      <w:r/>
    </w:p>
    <w:p>
      <w:pPr>
        <w:pStyle w:val="1101"/>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rPr>
          <w:spacing w:val="6"/>
          <w:sz w:val="24"/>
          <w:highlight w:val="none"/>
        </w:rPr>
      </w:r>
      <w:r/>
    </w:p>
    <w:p>
      <w:pPr>
        <w:pStyle w:val="1101"/>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rPr>
          <w:b/>
          <w:spacing w:val="6"/>
          <w:sz w:val="24"/>
          <w:highlight w:val="none"/>
        </w:rPr>
      </w:r>
      <w:r/>
    </w:p>
    <w:p>
      <w:pPr>
        <w:pStyle w:val="1101"/>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highlight w:val="none"/>
        </w:rPr>
      </w:r>
      <w:r/>
    </w:p>
    <w:p>
      <w:pPr>
        <w:pStyle w:val="1101"/>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rPr>
          <w:spacing w:val="6"/>
          <w:sz w:val="24"/>
          <w:highlight w:val="none"/>
        </w:rPr>
      </w:r>
      <w:r/>
    </w:p>
    <w:p>
      <w:pPr>
        <w:pStyle w:val="1101"/>
        <w:ind w:firstLine="504"/>
        <w:spacing w:line="588" w:lineRule="exact"/>
        <w:rPr>
          <w:spacing w:val="6"/>
          <w:sz w:val="24"/>
          <w:highlight w:val="none"/>
        </w:rPr>
      </w:pPr>
      <w:r>
        <w:rPr>
          <w:spacing w:val="6"/>
          <w:sz w:val="24"/>
          <w:highlight w:val="none"/>
        </w:rPr>
      </w:r>
      <w:r/>
    </w:p>
    <w:p>
      <w:pPr>
        <w:pStyle w:val="1101"/>
        <w:ind w:firstLine="504"/>
        <w:spacing w:line="588" w:lineRule="exact"/>
        <w:rPr>
          <w:spacing w:val="6"/>
          <w:sz w:val="24"/>
          <w:highlight w:val="none"/>
        </w:rPr>
      </w:pPr>
      <w:r>
        <w:rPr>
          <w:spacing w:val="6"/>
          <w:sz w:val="24"/>
          <w:highlight w:val="none"/>
        </w:rPr>
      </w:r>
      <w:r/>
    </w:p>
    <w:p>
      <w:pPr>
        <w:pStyle w:val="1101"/>
        <w:ind w:right="1560" w:firstLine="504"/>
        <w:jc w:val="center"/>
        <w:spacing w:line="588" w:lineRule="exact"/>
        <w:tabs>
          <w:tab w:val="left" w:pos="4860" w:leader="none"/>
        </w:tabs>
        <w:rPr>
          <w:spacing w:val="6"/>
          <w:sz w:val="24"/>
          <w:highlight w:val="none"/>
        </w:rPr>
      </w:pPr>
      <w:r>
        <w:rPr>
          <w:spacing w:val="6"/>
          <w:sz w:val="24"/>
          <w:highlight w:val="none"/>
        </w:rPr>
        <w:t xml:space="preserve">               单位名称（加盖公章）：</w:t>
      </w:r>
      <w:r>
        <w:rPr>
          <w:spacing w:val="6"/>
          <w:sz w:val="24"/>
          <w:highlight w:val="none"/>
        </w:rPr>
      </w:r>
      <w:r/>
    </w:p>
    <w:p>
      <w:pPr>
        <w:pStyle w:val="1101"/>
        <w:ind w:right="1560" w:firstLine="504"/>
        <w:jc w:val="center"/>
        <w:spacing w:line="588" w:lineRule="exact"/>
        <w:tabs>
          <w:tab w:val="left" w:pos="4860" w:leader="none"/>
        </w:tabs>
        <w:rPr>
          <w:rFonts w:hint="eastAsia"/>
          <w:spacing w:val="6"/>
          <w:sz w:val="24"/>
          <w:highlight w:val="none"/>
        </w:rPr>
      </w:pPr>
      <w:r>
        <w:rPr>
          <w:spacing w:val="6"/>
          <w:sz w:val="24"/>
          <w:highlight w:val="none"/>
        </w:rPr>
        <w:t xml:space="preserve">       日  期：</w:t>
      </w:r>
      <w:r>
        <w:rPr>
          <w:rFonts w:hint="eastAsia"/>
          <w:spacing w:val="6"/>
          <w:sz w:val="24"/>
          <w:highlight w:val="none"/>
        </w:rPr>
      </w:r>
      <w:r/>
    </w:p>
    <w:p>
      <w:pPr>
        <w:pStyle w:val="1101"/>
        <w:spacing w:line="360" w:lineRule="auto"/>
        <w:rPr>
          <w:color w:val="000000"/>
          <w:sz w:val="24"/>
          <w:szCs w:val="20"/>
          <w:highlight w:val="none"/>
        </w:rPr>
        <w:outlineLvl w:val="2"/>
      </w:pPr>
      <w:r>
        <w:rPr>
          <w:color w:val="000000"/>
          <w:sz w:val="24"/>
          <w:szCs w:val="20"/>
          <w:highlight w:val="none"/>
        </w:rPr>
      </w:r>
      <w:r/>
    </w:p>
    <w:p>
      <w:pPr>
        <w:pStyle w:val="1101"/>
        <w:spacing w:line="360" w:lineRule="auto"/>
        <w:rPr>
          <w:rFonts w:hint="eastAsia"/>
          <w:color w:val="000000"/>
          <w:sz w:val="24"/>
          <w:szCs w:val="20"/>
          <w:highlight w:val="none"/>
        </w:rPr>
        <w:outlineLvl w:val="2"/>
      </w:pPr>
      <w:r>
        <w:rPr>
          <w:rFonts w:hint="eastAsia"/>
          <w:color w:val="000000"/>
          <w:sz w:val="24"/>
          <w:szCs w:val="20"/>
          <w:highlight w:val="none"/>
        </w:rPr>
      </w:r>
      <w:r/>
    </w:p>
    <w:p>
      <w:pPr>
        <w:pStyle w:val="1101"/>
        <w:spacing w:line="360" w:lineRule="auto"/>
        <w:rPr>
          <w:rFonts w:hint="eastAsia"/>
          <w:color w:val="000000"/>
          <w:sz w:val="24"/>
          <w:szCs w:val="20"/>
          <w:highlight w:val="none"/>
        </w:rPr>
        <w:outlineLvl w:val="2"/>
      </w:pPr>
      <w:r>
        <w:rPr>
          <w:rFonts w:hint="eastAsia"/>
          <w:color w:val="000000"/>
          <w:sz w:val="24"/>
          <w:szCs w:val="20"/>
          <w:highlight w:val="none"/>
        </w:rPr>
      </w:r>
      <w:r/>
    </w:p>
    <w:p>
      <w:pPr>
        <w:pStyle w:val="1101"/>
        <w:spacing w:line="360" w:lineRule="auto"/>
        <w:rPr>
          <w:rFonts w:hint="eastAsia"/>
          <w:color w:val="000000"/>
          <w:sz w:val="24"/>
          <w:szCs w:val="20"/>
          <w:highlight w:val="none"/>
        </w:rPr>
        <w:outlineLvl w:val="2"/>
      </w:pPr>
      <w:r>
        <w:rPr>
          <w:rFonts w:hint="eastAsia"/>
          <w:color w:val="000000"/>
          <w:sz w:val="24"/>
          <w:szCs w:val="20"/>
          <w:highlight w:val="none"/>
        </w:rPr>
      </w:r>
      <w:r/>
    </w:p>
    <w:p>
      <w:pPr>
        <w:pStyle w:val="1101"/>
        <w:spacing w:line="360" w:lineRule="auto"/>
        <w:rPr>
          <w:color w:val="000000"/>
          <w:sz w:val="24"/>
          <w:szCs w:val="20"/>
          <w:highlight w:val="none"/>
        </w:rPr>
        <w:outlineLvl w:val="2"/>
      </w:pPr>
      <w:r>
        <w:rPr>
          <w:rFonts w:hint="eastAsia"/>
          <w:color w:val="000000"/>
          <w:sz w:val="24"/>
          <w:szCs w:val="20"/>
          <w:highlight w:val="none"/>
        </w:rPr>
        <w:t xml:space="preserve">4 营业执照</w:t>
      </w:r>
      <w:r>
        <w:rPr>
          <w:color w:val="000000"/>
          <w:sz w:val="24"/>
          <w:szCs w:val="20"/>
          <w:highlight w:val="none"/>
        </w:rPr>
      </w:r>
      <w:r/>
    </w:p>
    <w:p>
      <w:pPr>
        <w:pStyle w:val="1101"/>
        <w:jc w:val="left"/>
        <w:widowControl/>
        <w:rPr>
          <w:color w:val="000000"/>
          <w:sz w:val="24"/>
          <w:highlight w:val="none"/>
        </w:rPr>
      </w:pPr>
      <w:r>
        <w:rPr>
          <w:color w:val="000000"/>
          <w:sz w:val="24"/>
          <w:highlight w:val="none"/>
        </w:rPr>
      </w:r>
      <w:r/>
    </w:p>
    <w:p>
      <w:pPr>
        <w:pStyle w:val="1101"/>
        <w:jc w:val="center"/>
        <w:widowControl/>
        <w:rPr>
          <w:rFonts w:ascii="宋体" w:hAnsi="宋体"/>
          <w:b/>
          <w:sz w:val="32"/>
          <w:szCs w:val="32"/>
          <w:highlight w:val="none"/>
        </w:rPr>
      </w:pPr>
      <w:r>
        <w:rPr>
          <w:sz w:val="24"/>
          <w:szCs w:val="20"/>
          <w:highlight w:val="none"/>
        </w:rPr>
        <w:br w:type="page" w:clear="all"/>
      </w:r>
      <w:r>
        <w:rPr>
          <w:rFonts w:ascii="宋体" w:hAnsi="宋体"/>
          <w:b/>
          <w:sz w:val="32"/>
          <w:szCs w:val="32"/>
          <w:highlight w:val="none"/>
        </w:rPr>
        <w:t xml:space="preserve">二、商务技术文件格式</w:t>
      </w:r>
      <w:bookmarkStart w:id="392" w:name="_Toc480942349"/>
      <w:r/>
      <w:bookmarkStart w:id="393" w:name="_Toc520356217"/>
      <w:r/>
      <w:bookmarkStart w:id="394" w:name="_Toc226965746"/>
      <w:r/>
      <w:bookmarkStart w:id="395" w:name="_Toc226337252"/>
      <w:r/>
      <w:bookmarkStart w:id="396" w:name="_Toc150774761"/>
      <w:r/>
      <w:bookmarkStart w:id="397" w:name="_Toc226309800"/>
      <w:r/>
      <w:bookmarkStart w:id="398" w:name="_Toc150480794"/>
      <w:r/>
      <w:bookmarkStart w:id="399" w:name="_Ref467988698"/>
      <w:r/>
      <w:bookmarkStart w:id="400" w:name="_Toc226965829"/>
      <w:r/>
      <w:bookmarkStart w:id="401" w:name="_Toc142311058"/>
      <w:r/>
      <w:bookmarkStart w:id="402" w:name="_Toc195842921"/>
      <w:r/>
      <w:bookmarkStart w:id="403" w:name="_Toc127151556"/>
      <w:r>
        <w:rPr>
          <w:rFonts w:ascii="宋体" w:hAnsi="宋体"/>
          <w:b/>
          <w:sz w:val="32"/>
          <w:szCs w:val="32"/>
          <w:highlight w:val="none"/>
        </w:rPr>
      </w:r>
      <w:r/>
    </w:p>
    <w:p>
      <w:pPr>
        <w:pStyle w:val="1101"/>
        <w:jc w:val="center"/>
        <w:widowControl/>
        <w:rPr>
          <w:rFonts w:ascii="宋体" w:hAnsi="宋体"/>
          <w:b/>
          <w:sz w:val="32"/>
          <w:szCs w:val="32"/>
          <w:highlight w:val="none"/>
        </w:rPr>
      </w:pPr>
      <w:r>
        <w:rPr>
          <w:rFonts w:ascii="宋体" w:hAnsi="宋体"/>
          <w:b/>
          <w:sz w:val="32"/>
          <w:szCs w:val="32"/>
          <w:highlight w:val="none"/>
        </w:rPr>
      </w:r>
      <w:r/>
    </w:p>
    <w:p>
      <w:pPr>
        <w:pStyle w:val="1101"/>
        <w:spacing w:line="360" w:lineRule="auto"/>
        <w:rPr>
          <w:color w:val="000000"/>
          <w:sz w:val="24"/>
          <w:szCs w:val="20"/>
          <w:highlight w:val="none"/>
        </w:rPr>
        <w:outlineLvl w:val="2"/>
      </w:pPr>
      <w:r>
        <w:rPr>
          <w:rFonts w:hint="eastAsia"/>
          <w:color w:val="000000"/>
          <w:sz w:val="24"/>
          <w:highlight w:val="none"/>
        </w:rPr>
        <w:t xml:space="preserve">1</w:t>
      </w:r>
      <w:r>
        <w:rPr>
          <w:color w:val="000000"/>
          <w:sz w:val="24"/>
          <w:highlight w:val="none"/>
        </w:rPr>
        <w:t xml:space="preserve">投标</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Pr>
          <w:rFonts w:hint="eastAsia"/>
          <w:color w:val="000000"/>
          <w:sz w:val="24"/>
          <w:highlight w:val="none"/>
        </w:rPr>
        <w:t xml:space="preserve">函</w:t>
      </w:r>
      <w:r>
        <w:rPr>
          <w:b/>
          <w:bCs/>
          <w:color w:val="000000"/>
          <w:sz w:val="24"/>
          <w:szCs w:val="20"/>
          <w:highlight w:val="none"/>
        </w:rPr>
        <w:t xml:space="preserve">（实质性格式）</w:t>
      </w:r>
      <w:r>
        <w:rPr>
          <w:color w:val="000000"/>
          <w:sz w:val="24"/>
          <w:szCs w:val="20"/>
          <w:highlight w:val="none"/>
        </w:rPr>
      </w:r>
      <w:r/>
    </w:p>
    <w:p>
      <w:pPr>
        <w:pStyle w:val="1101"/>
        <w:spacing w:line="360" w:lineRule="auto"/>
        <w:tabs>
          <w:tab w:val="left" w:pos="5580" w:leader="none"/>
        </w:tabs>
        <w:rPr>
          <w:color w:val="000000"/>
          <w:sz w:val="24"/>
          <w:highlight w:val="none"/>
        </w:rPr>
      </w:pPr>
      <w:r>
        <w:rPr>
          <w:color w:val="000000"/>
          <w:sz w:val="24"/>
          <w:highlight w:val="none"/>
        </w:rPr>
      </w:r>
      <w:r/>
    </w:p>
    <w:p>
      <w:pPr>
        <w:pStyle w:val="1101"/>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1101"/>
        <w:spacing w:line="400" w:lineRule="exact"/>
        <w:tabs>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（采购人或采购代理机构）</w:t>
      </w:r>
      <w:r>
        <w:rPr>
          <w:rFonts w:ascii="宋体" w:hAnsi="宋体" w:cs="宋体"/>
          <w:color w:val="000000"/>
          <w:sz w:val="24"/>
          <w:highlight w:val="none"/>
        </w:rPr>
      </w:r>
      <w:r/>
    </w:p>
    <w:p>
      <w:pPr>
        <w:pStyle w:val="1101"/>
        <w:spacing w:line="400" w:lineRule="exact"/>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pStyle w:val="1101"/>
        <w:ind w:firstLine="408"/>
        <w:spacing w:line="400" w:lineRule="exact"/>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我方参加你方就___________（项目名称，项目编号/包号）组织的招标活动，并对此项目进行投标。</w:t>
      </w:r>
      <w:r>
        <w:rPr>
          <w:rFonts w:ascii="宋体" w:hAnsi="宋体" w:cs="宋体"/>
          <w:color w:val="000000"/>
          <w:sz w:val="24"/>
          <w:szCs w:val="20"/>
          <w:highlight w:val="none"/>
        </w:rPr>
      </w:r>
      <w:r/>
    </w:p>
    <w:p>
      <w:pPr>
        <w:pStyle w:val="1101"/>
        <w:ind w:firstLine="408"/>
        <w:spacing w:line="400" w:lineRule="exact"/>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1. 我方</w:t>
      </w:r>
      <w:r>
        <w:rPr>
          <w:rFonts w:hint="eastAsia" w:ascii="宋体" w:hAnsi="宋体" w:cs="宋体"/>
          <w:color w:val="000000"/>
          <w:sz w:val="24"/>
          <w:highlight w:val="none"/>
        </w:rPr>
        <w:t xml:space="preserve">已详细审查全部招标文件</w:t>
      </w:r>
      <w:r>
        <w:rPr>
          <w:rFonts w:hint="eastAsia" w:ascii="宋体" w:hAnsi="宋体" w:cs="宋体"/>
          <w:color w:val="000000"/>
          <w:sz w:val="24"/>
          <w:szCs w:val="20"/>
          <w:highlight w:val="none"/>
        </w:rPr>
        <w:t xml:space="preserve">，自愿参与投标并承诺如下：</w:t>
      </w:r>
      <w:r>
        <w:rPr>
          <w:rFonts w:ascii="宋体" w:hAnsi="宋体" w:cs="宋体"/>
          <w:color w:val="000000"/>
          <w:sz w:val="24"/>
          <w:szCs w:val="20"/>
          <w:highlight w:val="none"/>
        </w:rPr>
      </w:r>
      <w:r/>
    </w:p>
    <w:p>
      <w:pPr>
        <w:pStyle w:val="1101"/>
        <w:ind w:left="360" w:firstLine="72"/>
        <w:spacing w:line="400" w:lineRule="exact"/>
        <w:tabs>
          <w:tab w:val="left" w:pos="720" w:leader="none"/>
          <w:tab w:val="left" w:pos="90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（1）本投标有效期为自提交投标文件的截止之日起</w:t>
      </w:r>
      <w:r>
        <w:rPr>
          <w:rFonts w:hint="eastAsia" w:ascii="宋体" w:hAnsi="宋体" w:cs="宋体"/>
          <w:sz w:val="24"/>
          <w:highlight w:val="none"/>
        </w:rPr>
        <w:t xml:space="preserve">60</w:t>
      </w:r>
      <w:r>
        <w:rPr>
          <w:rFonts w:hint="eastAsia" w:ascii="宋体" w:hAnsi="宋体" w:cs="宋体"/>
          <w:color w:val="000000"/>
          <w:sz w:val="24"/>
          <w:szCs w:val="20"/>
          <w:highlight w:val="none"/>
        </w:rPr>
        <w:t xml:space="preserve">个日历日。</w:t>
      </w:r>
      <w:r>
        <w:rPr>
          <w:rFonts w:ascii="宋体" w:hAnsi="宋体" w:cs="宋体"/>
          <w:color w:val="000000"/>
          <w:sz w:val="24"/>
          <w:szCs w:val="20"/>
          <w:highlight w:val="none"/>
        </w:rPr>
      </w:r>
      <w:r/>
    </w:p>
    <w:p>
      <w:pPr>
        <w:pStyle w:val="1101"/>
        <w:ind w:left="360" w:firstLine="72"/>
        <w:spacing w:line="400" w:lineRule="exact"/>
        <w:tabs>
          <w:tab w:val="left" w:pos="720" w:leader="none"/>
          <w:tab w:val="left" w:pos="90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（2）除合同条款及采购需求偏离表列出的偏离外，我方响应招标文件的全部要求。</w:t>
      </w:r>
      <w:r>
        <w:rPr>
          <w:rFonts w:ascii="宋体" w:hAnsi="宋体" w:cs="宋体"/>
          <w:color w:val="000000"/>
          <w:sz w:val="24"/>
          <w:szCs w:val="20"/>
          <w:highlight w:val="none"/>
        </w:rPr>
      </w:r>
      <w:r/>
    </w:p>
    <w:p>
      <w:pPr>
        <w:pStyle w:val="1101"/>
        <w:ind w:firstLine="420"/>
        <w:spacing w:line="400" w:lineRule="exact"/>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（3）我方已提供的全部文件资料是真实、准确的，并对此承担一切法律后果。</w:t>
      </w:r>
      <w:r>
        <w:rPr>
          <w:rFonts w:ascii="宋体" w:hAnsi="宋体" w:cs="宋体"/>
          <w:color w:val="000000"/>
          <w:sz w:val="24"/>
          <w:szCs w:val="20"/>
          <w:highlight w:val="none"/>
        </w:rPr>
      </w:r>
      <w:r/>
    </w:p>
    <w:p>
      <w:pPr>
        <w:pStyle w:val="1101"/>
        <w:ind w:firstLine="420"/>
        <w:spacing w:line="400" w:lineRule="exact"/>
        <w:tabs>
          <w:tab w:val="left" w:pos="5580" w:leader="none"/>
        </w:tabs>
        <w:rPr>
          <w:rFonts w:ascii="宋体" w:hAnsi="宋体" w:cs="宋体"/>
          <w:color w:val="000000"/>
          <w:sz w:val="24"/>
          <w:highlight w:val="none"/>
        </w:rPr>
      </w:pPr>
      <w:r>
        <w:rPr>
          <w:rFonts w:hint="eastAsia" w:ascii="宋体" w:hAnsi="宋体" w:cs="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s="宋体"/>
          <w:color w:val="000000"/>
          <w:sz w:val="24"/>
          <w:highlight w:val="none"/>
        </w:rPr>
      </w:r>
      <w:r/>
    </w:p>
    <w:p>
      <w:pPr>
        <w:pStyle w:val="1101"/>
        <w:ind w:left="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 其他补充条款（如有）：</w:t>
      </w:r>
      <w:r>
        <w:rPr>
          <w:rFonts w:hint="eastAsia" w:ascii="宋体" w:hAnsi="宋体" w:cs="宋体"/>
          <w:color w:val="000000"/>
          <w:sz w:val="24"/>
          <w:szCs w:val="20"/>
          <w:highlight w:val="none"/>
        </w:rPr>
        <w:t xml:space="preserve">___________</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10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与本投标有关的一切正式往来信函请寄：</w:t>
      </w:r>
      <w:r>
        <w:rPr>
          <w:rFonts w:ascii="宋体" w:hAnsi="宋体" w:cs="宋体"/>
          <w:color w:val="000000"/>
          <w:sz w:val="24"/>
          <w:highlight w:val="none"/>
        </w:rPr>
      </w:r>
      <w:r/>
    </w:p>
    <w:p>
      <w:pPr>
        <w:pStyle w:val="1101"/>
        <w:ind w:left="420"/>
        <w:spacing w:line="400" w:lineRule="exact"/>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pStyle w:val="1101"/>
        <w:ind w:left="420"/>
        <w:spacing w:line="400" w:lineRule="exact"/>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1101"/>
        <w:ind w:left="420"/>
        <w:spacing w:line="400" w:lineRule="exact"/>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1101"/>
        <w:ind w:left="420"/>
        <w:spacing w:line="400" w:lineRule="exact"/>
        <w:tabs>
          <w:tab w:val="left" w:pos="5580" w:leader="none"/>
        </w:tabs>
        <w:rPr>
          <w:color w:val="000000"/>
          <w:sz w:val="24"/>
          <w:szCs w:val="20"/>
          <w:highlight w:val="none"/>
        </w:rPr>
      </w:pPr>
      <w:r>
        <w:rPr>
          <w:color w:val="000000"/>
          <w:sz w:val="24"/>
          <w:szCs w:val="20"/>
          <w:highlight w:val="none"/>
        </w:rPr>
      </w:r>
      <w:r/>
    </w:p>
    <w:p>
      <w:pPr>
        <w:pStyle w:val="1101"/>
        <w:ind w:left="420"/>
        <w:spacing w:line="400" w:lineRule="exact"/>
        <w:tabs>
          <w:tab w:val="left" w:pos="5580" w:leader="none"/>
        </w:tabs>
        <w:rPr>
          <w:color w:val="000000"/>
          <w:sz w:val="24"/>
          <w:szCs w:val="20"/>
          <w:highlight w:val="none"/>
        </w:rPr>
      </w:pPr>
      <w:r>
        <w:rPr>
          <w:color w:val="000000"/>
          <w:sz w:val="24"/>
          <w:szCs w:val="20"/>
          <w:highlight w:val="none"/>
        </w:rPr>
        <w:t xml:space="preserve">投标人名称（加盖公章） ___________</w:t>
      </w:r>
      <w:r>
        <w:rPr>
          <w:color w:val="000000"/>
          <w:sz w:val="24"/>
          <w:szCs w:val="20"/>
          <w:highlight w:val="none"/>
        </w:rPr>
      </w:r>
      <w:r/>
    </w:p>
    <w:p>
      <w:pPr>
        <w:pStyle w:val="1101"/>
        <w:ind w:left="420"/>
        <w:spacing w:line="400" w:lineRule="exact"/>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1101"/>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1101"/>
        <w:jc w:val="left"/>
        <w:widowControl/>
        <w:rPr>
          <w:color w:val="000000"/>
          <w:sz w:val="24"/>
          <w:highlight w:val="none"/>
        </w:rPr>
      </w:pPr>
      <w:r/>
      <w:bookmarkStart w:id="404" w:name="_Hlt520355938"/>
      <w:r/>
      <w:bookmarkEnd w:id="404"/>
      <w:r/>
      <w:bookmarkStart w:id="405" w:name="_Hlt520356243"/>
      <w:r/>
      <w:bookmarkEnd w:id="405"/>
      <w:r>
        <w:rPr>
          <w:color w:val="000000"/>
          <w:sz w:val="24"/>
          <w:highlight w:val="none"/>
        </w:rPr>
        <w:br w:type="page" w:clear="all"/>
      </w:r>
      <w:r>
        <w:rPr>
          <w:color w:val="000000"/>
          <w:sz w:val="24"/>
          <w:highlight w:val="none"/>
        </w:rPr>
      </w:r>
      <w:r/>
    </w:p>
    <w:p>
      <w:pPr>
        <w:pStyle w:val="1101"/>
        <w:jc w:val="left"/>
        <w:widowControl/>
        <w:rPr>
          <w:color w:val="000000"/>
          <w:sz w:val="24"/>
          <w:highlight w:val="none"/>
        </w:rPr>
      </w:pPr>
      <w:r>
        <w:rPr>
          <w:rFonts w:hint="eastAsia"/>
          <w:color w:val="000000"/>
          <w:sz w:val="24"/>
          <w:highlight w:val="none"/>
        </w:rPr>
        <w:t xml:space="preserve">2法定代表人资格证明书/授权委托书</w:t>
      </w:r>
      <w:r>
        <w:rPr>
          <w:b/>
          <w:bCs/>
          <w:color w:val="000000"/>
          <w:sz w:val="24"/>
          <w:szCs w:val="20"/>
          <w:highlight w:val="none"/>
        </w:rPr>
        <w:t xml:space="preserve">（实质性格式）</w:t>
      </w:r>
      <w:r>
        <w:rPr>
          <w:color w:val="000000"/>
          <w:sz w:val="24"/>
          <w:highlight w:val="none"/>
        </w:rPr>
      </w:r>
      <w:r/>
    </w:p>
    <w:p>
      <w:pPr>
        <w:pStyle w:val="1101"/>
        <w:jc w:val="center"/>
        <w:spacing w:line="360" w:lineRule="auto"/>
        <w:rPr>
          <w:rFonts w:ascii="宋体" w:hAnsi="宋体"/>
          <w:b/>
          <w:sz w:val="32"/>
          <w:szCs w:val="32"/>
          <w:highlight w:val="none"/>
        </w:rPr>
      </w:pPr>
      <w:r>
        <w:rPr>
          <w:rFonts w:ascii="宋体" w:hAnsi="宋体"/>
          <w:b/>
          <w:sz w:val="32"/>
          <w:szCs w:val="32"/>
          <w:highlight w:val="none"/>
        </w:rPr>
      </w:r>
      <w:r/>
    </w:p>
    <w:p>
      <w:pPr>
        <w:pStyle w:val="1101"/>
        <w:jc w:val="center"/>
        <w:spacing w:line="360" w:lineRule="auto"/>
        <w:rPr>
          <w:b/>
          <w:color w:val="000000"/>
          <w:sz w:val="36"/>
          <w:szCs w:val="36"/>
          <w:highlight w:val="none"/>
        </w:rPr>
      </w:pPr>
      <w:r>
        <w:rPr>
          <w:rFonts w:hint="eastAsia"/>
          <w:b/>
          <w:color w:val="000000"/>
          <w:sz w:val="36"/>
          <w:szCs w:val="36"/>
          <w:highlight w:val="none"/>
        </w:rPr>
        <w:t xml:space="preserve">法定代表人（单位负责人）资格证明书</w:t>
      </w:r>
      <w:r>
        <w:rPr>
          <w:b/>
          <w:color w:val="000000"/>
          <w:sz w:val="36"/>
          <w:szCs w:val="36"/>
          <w:highlight w:val="none"/>
        </w:rPr>
      </w:r>
      <w:r/>
    </w:p>
    <w:p>
      <w:pPr>
        <w:pStyle w:val="1101"/>
        <w:spacing w:line="400" w:lineRule="exact"/>
        <w:rPr>
          <w:rFonts w:ascii="宋体" w:hAnsi="宋体"/>
          <w:sz w:val="24"/>
          <w:highlight w:val="none"/>
        </w:rPr>
      </w:pPr>
      <w:r>
        <w:rPr>
          <w:rFonts w:hint="eastAsia" w:ascii="宋体" w:hAnsi="宋体"/>
          <w:sz w:val="24"/>
          <w:highlight w:val="none"/>
        </w:rPr>
        <w:t xml:space="preserve">单位名称:</w:t>
      </w:r>
      <w:r>
        <w:rPr>
          <w:rFonts w:ascii="宋体" w:hAnsi="宋体"/>
          <w:sz w:val="24"/>
          <w:highlight w:val="none"/>
        </w:rPr>
      </w:r>
      <w:r/>
    </w:p>
    <w:p>
      <w:pPr>
        <w:pStyle w:val="1101"/>
        <w:spacing w:line="400" w:lineRule="exact"/>
        <w:rPr>
          <w:rFonts w:ascii="宋体" w:hAnsi="宋体"/>
          <w:sz w:val="24"/>
          <w:highlight w:val="none"/>
        </w:rPr>
      </w:pPr>
      <w:r>
        <w:rPr>
          <w:rFonts w:hint="eastAsia" w:ascii="宋体" w:hAnsi="宋体"/>
          <w:sz w:val="24"/>
          <w:highlight w:val="none"/>
        </w:rPr>
        <w:t xml:space="preserve">地址:</w:t>
      </w:r>
      <w:r>
        <w:rPr>
          <w:rFonts w:ascii="宋体" w:hAnsi="宋体"/>
          <w:sz w:val="24"/>
          <w:highlight w:val="none"/>
        </w:rPr>
      </w:r>
      <w:r/>
    </w:p>
    <w:p>
      <w:pPr>
        <w:pStyle w:val="1101"/>
        <w:spacing w:line="400" w:lineRule="exact"/>
        <w:rPr>
          <w:rFonts w:ascii="宋体" w:hAnsi="宋体"/>
          <w:sz w:val="24"/>
          <w:highlight w:val="none"/>
        </w:rPr>
      </w:pPr>
      <w:r>
        <w:rPr>
          <w:rFonts w:hint="eastAsia" w:ascii="宋体" w:hAnsi="宋体"/>
          <w:sz w:val="24"/>
          <w:highlight w:val="none"/>
        </w:rPr>
        <w:t xml:space="preserve">姓名:     性别:       年龄:      职务:</w:t>
      </w:r>
      <w:r>
        <w:rPr>
          <w:rFonts w:ascii="宋体" w:hAnsi="宋体"/>
          <w:sz w:val="24"/>
          <w:highlight w:val="none"/>
        </w:rPr>
      </w:r>
      <w:r/>
    </w:p>
    <w:p>
      <w:pPr>
        <w:pStyle w:val="1101"/>
        <w:spacing w:line="40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的法定代表人（单位负责人）。为参与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rPr>
          <w:rFonts w:ascii="宋体" w:hAnsi="宋体"/>
          <w:sz w:val="24"/>
          <w:highlight w:val="none"/>
        </w:rPr>
      </w:r>
      <w:r/>
    </w:p>
    <w:p>
      <w:pPr>
        <w:pStyle w:val="1101"/>
        <w:spacing w:line="400" w:lineRule="exact"/>
        <w:rPr>
          <w:rFonts w:ascii="宋体" w:hAnsi="宋体"/>
          <w:sz w:val="24"/>
          <w:highlight w:val="none"/>
        </w:rPr>
      </w:pPr>
      <w:r>
        <w:rPr>
          <w:rFonts w:hint="eastAsia" w:ascii="宋体" w:hAnsi="宋体"/>
          <w:sz w:val="24"/>
          <w:highlight w:val="none"/>
        </w:rPr>
        <w:t xml:space="preserve">特此证明。</w:t>
      </w:r>
      <w:r>
        <w:rPr>
          <w:rFonts w:ascii="宋体" w:hAnsi="宋体"/>
          <w:sz w:val="24"/>
          <w:highlight w:val="none"/>
        </w:rPr>
      </w:r>
      <w:r/>
    </w:p>
    <w:p>
      <w:pPr>
        <w:pStyle w:val="1101"/>
        <w:spacing w:line="560" w:lineRule="exact"/>
        <w:rPr>
          <w:rFonts w:ascii="宋体" w:hAnsi="宋体"/>
          <w:sz w:val="24"/>
          <w:highlight w:val="none"/>
        </w:rPr>
      </w:pPr>
      <w:r>
        <w:rPr>
          <w:rFonts w:ascii="宋体" w:hAnsi="宋体"/>
          <w:sz w:val="24"/>
          <w:highlight w:val="none"/>
        </w:rPr>
      </w:r>
      <w:r/>
    </w:p>
    <w:p>
      <w:pPr>
        <w:pStyle w:val="1113"/>
        <w:ind w:right="-46"/>
        <w:spacing w:line="583" w:lineRule="auto"/>
        <w:tabs>
          <w:tab w:val="left" w:pos="567" w:leader="none"/>
        </w:tabs>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电子件。</w:t>
      </w:r>
      <w:r>
        <w:rPr>
          <w:spacing w:val="-3"/>
          <w:highlight w:val="none"/>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885"/>
        </w:trPr>
        <w:tc>
          <w:tcPr>
            <w:tcW w:w="4673" w:type="dxa"/>
            <w:vAlign w:val="top"/>
            <w:textDirection w:val="lrTb"/>
            <w:noWrap w:val="false"/>
          </w:tcPr>
          <w:p>
            <w:pPr>
              <w:pStyle w:val="110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0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0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10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0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0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101"/>
        <w:spacing w:line="400" w:lineRule="exact"/>
        <w:rPr>
          <w:rFonts w:ascii="宋体" w:hAnsi="宋体"/>
          <w:sz w:val="24"/>
          <w:highlight w:val="none"/>
        </w:rPr>
      </w:pPr>
      <w:r>
        <w:rPr>
          <w:rFonts w:hint="eastAsia" w:ascii="宋体" w:hAnsi="宋体"/>
          <w:sz w:val="24"/>
          <w:highlight w:val="none"/>
        </w:rPr>
        <w:t xml:space="preserve">                     投标人名称：（加盖公章）</w:t>
      </w:r>
      <w:r>
        <w:rPr>
          <w:rFonts w:ascii="宋体" w:hAnsi="宋体"/>
          <w:sz w:val="24"/>
          <w:highlight w:val="none"/>
        </w:rPr>
      </w:r>
      <w:r/>
    </w:p>
    <w:p>
      <w:pPr>
        <w:pStyle w:val="1101"/>
        <w:spacing w:line="400" w:lineRule="exact"/>
        <w:rPr>
          <w:rFonts w:ascii="宋体" w:hAnsi="宋体"/>
          <w:sz w:val="24"/>
          <w:highlight w:val="none"/>
        </w:rPr>
      </w:pPr>
      <w:r>
        <w:rPr>
          <w:rFonts w:hint="eastAsia" w:ascii="宋体" w:hAnsi="宋体"/>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rPr>
          <w:rFonts w:ascii="宋体" w:hAnsi="宋体"/>
          <w:sz w:val="24"/>
          <w:highlight w:val="none"/>
        </w:rPr>
      </w:r>
      <w:r/>
    </w:p>
    <w:p>
      <w:pPr>
        <w:pStyle w:val="1101"/>
        <w:ind w:firstLine="4320"/>
        <w:spacing w:line="400" w:lineRule="exact"/>
        <w:rPr>
          <w:rFonts w:ascii="宋体" w:hAnsi="宋体"/>
          <w:sz w:val="24"/>
          <w:highlight w:val="none"/>
        </w:rPr>
      </w:pPr>
      <w:r>
        <w:rPr>
          <w:rFonts w:hint="eastAsia" w:ascii="宋体" w:hAnsi="宋体"/>
          <w:sz w:val="24"/>
          <w:highlight w:val="none"/>
        </w:rPr>
        <w:t xml:space="preserve">日期：    年    月    日</w:t>
      </w:r>
      <w:r>
        <w:rPr>
          <w:rFonts w:ascii="宋体" w:hAnsi="宋体"/>
          <w:sz w:val="24"/>
          <w:highlight w:val="none"/>
        </w:rPr>
      </w:r>
      <w:r/>
    </w:p>
    <w:p>
      <w:pPr>
        <w:pStyle w:val="1101"/>
        <w:jc w:val="left"/>
        <w:spacing w:line="400" w:lineRule="exact"/>
        <w:widowControl/>
        <w:rPr>
          <w:color w:val="000000"/>
          <w:sz w:val="24"/>
          <w:highlight w:val="none"/>
        </w:rPr>
      </w:pPr>
      <w:r>
        <w:rPr>
          <w:color w:val="000000"/>
          <w:sz w:val="24"/>
          <w:highlight w:val="none"/>
        </w:rPr>
      </w:r>
      <w:r/>
    </w:p>
    <w:p>
      <w:pPr>
        <w:pStyle w:val="1101"/>
        <w:jc w:val="left"/>
        <w:spacing w:line="400" w:lineRule="exact"/>
        <w:widowControl/>
        <w:rPr>
          <w:color w:val="000000"/>
          <w:sz w:val="24"/>
          <w:highlight w:val="none"/>
        </w:rPr>
      </w:pPr>
      <w:r>
        <w:rPr>
          <w:color w:val="000000"/>
          <w:sz w:val="24"/>
          <w:highlight w:val="none"/>
        </w:rPr>
      </w:r>
      <w:r/>
    </w:p>
    <w:p>
      <w:pPr>
        <w:pStyle w:val="1101"/>
        <w:jc w:val="left"/>
        <w:spacing w:line="400" w:lineRule="exact"/>
        <w:widowControl/>
        <w:rPr>
          <w:color w:val="000000"/>
          <w:sz w:val="24"/>
          <w:highlight w:val="none"/>
        </w:rPr>
      </w:pPr>
      <w:r>
        <w:rPr>
          <w:color w:val="000000"/>
          <w:sz w:val="24"/>
          <w:highlight w:val="none"/>
        </w:rPr>
      </w:r>
      <w:r/>
    </w:p>
    <w:p>
      <w:pPr>
        <w:pStyle w:val="1101"/>
        <w:jc w:val="left"/>
        <w:spacing w:line="400" w:lineRule="exac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01"/>
        <w:jc w:val="left"/>
        <w:spacing w:line="400" w:lineRule="exac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01"/>
        <w:jc w:val="left"/>
        <w:spacing w:line="400" w:lineRule="exac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01"/>
        <w:jc w:val="left"/>
        <w:spacing w:line="400" w:lineRule="exac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01"/>
        <w:jc w:val="left"/>
        <w:rPr>
          <w:rFonts w:ascii="宋体" w:hAnsi="宋体" w:cs="宋体"/>
          <w:bCs/>
          <w:highlight w:val="none"/>
        </w:rPr>
      </w:pPr>
      <w:r>
        <w:rPr>
          <w:rFonts w:hint="eastAsia" w:ascii="宋体" w:hAnsi="宋体" w:cs="宋体"/>
          <w:sz w:val="24"/>
          <w:szCs w:val="20"/>
          <w:highlight w:val="none"/>
        </w:rPr>
        <w:br w:type="page" w:clear="all"/>
      </w:r>
      <w:r>
        <w:rPr>
          <w:rFonts w:ascii="宋体" w:hAnsi="宋体" w:cs="宋体"/>
          <w:bCs/>
          <w:highlight w:val="none"/>
        </w:rPr>
      </w:r>
      <w:r/>
    </w:p>
    <w:p>
      <w:pPr>
        <w:pStyle w:val="1101"/>
        <w:jc w:val="left"/>
        <w:widowControl/>
        <w:rPr>
          <w:color w:val="000000"/>
          <w:sz w:val="24"/>
          <w:highlight w:val="none"/>
        </w:rPr>
      </w:pPr>
      <w:r>
        <w:rPr>
          <w:color w:val="000000"/>
          <w:sz w:val="24"/>
          <w:highlight w:val="none"/>
        </w:rPr>
      </w:r>
      <w:r/>
    </w:p>
    <w:p>
      <w:pPr>
        <w:pStyle w:val="1101"/>
        <w:jc w:val="center"/>
        <w:spacing w:line="360" w:lineRule="auto"/>
        <w:rPr>
          <w:b/>
          <w:color w:val="000000"/>
          <w:sz w:val="36"/>
          <w:szCs w:val="36"/>
          <w:highlight w:val="none"/>
        </w:rPr>
      </w:pPr>
      <w:r>
        <w:rPr>
          <w:rFonts w:hint="eastAsia"/>
          <w:b/>
          <w:color w:val="000000"/>
          <w:sz w:val="36"/>
          <w:szCs w:val="36"/>
          <w:highlight w:val="none"/>
        </w:rPr>
        <w:t xml:space="preserve">授权委托书</w:t>
      </w:r>
      <w:r>
        <w:rPr>
          <w:b/>
          <w:color w:val="000000"/>
          <w:sz w:val="36"/>
          <w:szCs w:val="36"/>
          <w:highlight w:val="none"/>
        </w:rPr>
      </w:r>
      <w:r/>
    </w:p>
    <w:p>
      <w:pPr>
        <w:pStyle w:val="1101"/>
        <w:ind w:firstLine="420"/>
        <w:spacing w:line="360" w:lineRule="auto"/>
        <w:rPr>
          <w:color w:val="000000"/>
          <w:sz w:val="24"/>
          <w:szCs w:val="20"/>
          <w:highlight w:val="none"/>
        </w:rPr>
      </w:pPr>
      <w:r>
        <w:rPr>
          <w:color w:val="000000"/>
          <w:sz w:val="24"/>
          <w:szCs w:val="20"/>
          <w:highlight w:val="none"/>
        </w:rPr>
      </w:r>
      <w:r/>
    </w:p>
    <w:p>
      <w:pPr>
        <w:pStyle w:val="1101"/>
        <w:ind w:firstLine="420"/>
        <w:spacing w:line="360" w:lineRule="auto"/>
        <w:rPr>
          <w:color w:val="000000"/>
          <w:sz w:val="24"/>
          <w:szCs w:val="20"/>
          <w:highlight w:val="none"/>
        </w:rPr>
      </w:pPr>
      <w:r>
        <w:rPr>
          <w:color w:val="000000"/>
          <w:sz w:val="24"/>
          <w:szCs w:val="20"/>
          <w:highlight w:val="none"/>
        </w:rPr>
        <w:t xml:space="preserve">本人</w:t>
      </w:r>
      <w:r>
        <w:rPr>
          <w:color w:val="000000"/>
          <w:sz w:val="24"/>
          <w:highlight w:val="none"/>
          <w:lang w:val="zh-CN"/>
        </w:rPr>
        <w:t xml:space="preserve">_______</w:t>
      </w:r>
      <w:r>
        <w:rPr>
          <w:color w:val="000000"/>
          <w:sz w:val="24"/>
          <w:szCs w:val="20"/>
          <w:highlight w:val="none"/>
        </w:rPr>
        <w:t xml:space="preserve">（姓名）系</w:t>
      </w:r>
      <w:r>
        <w:rPr>
          <w:color w:val="000000"/>
          <w:sz w:val="24"/>
          <w:highlight w:val="none"/>
          <w:lang w:val="zh-CN"/>
        </w:rPr>
        <w:t xml:space="preserve">________________</w:t>
      </w:r>
      <w:r>
        <w:rPr>
          <w:color w:val="000000"/>
          <w:sz w:val="24"/>
          <w:szCs w:val="20"/>
          <w:highlight w:val="none"/>
        </w:rPr>
        <w:t xml:space="preserve">（</w:t>
      </w:r>
      <w:r>
        <w:rPr>
          <w:rFonts w:hint="eastAsia"/>
          <w:color w:val="000000"/>
          <w:sz w:val="24"/>
          <w:szCs w:val="20"/>
          <w:highlight w:val="none"/>
        </w:rPr>
        <w:t xml:space="preserve">投标单位</w:t>
      </w:r>
      <w:r>
        <w:rPr>
          <w:color w:val="000000"/>
          <w:sz w:val="24"/>
          <w:szCs w:val="20"/>
          <w:highlight w:val="none"/>
        </w:rPr>
        <w:t xml:space="preserve">名称）的法定代表人（单位负责人），现委托</w:t>
      </w:r>
      <w:r>
        <w:rPr>
          <w:color w:val="000000"/>
          <w:sz w:val="24"/>
          <w:highlight w:val="none"/>
          <w:lang w:val="zh-CN"/>
        </w:rPr>
        <w:t xml:space="preserve">_______</w:t>
      </w:r>
      <w:r>
        <w:rPr>
          <w:color w:val="000000"/>
          <w:sz w:val="24"/>
          <w:szCs w:val="20"/>
          <w:highlight w:val="none"/>
        </w:rPr>
        <w:t xml:space="preserve">（姓名）为我方代理人。代理人根据授权，以我方名义签署、澄清确认、递交、撤回、修改</w:t>
      </w:r>
      <w:r>
        <w:rPr>
          <w:color w:val="000000"/>
          <w:sz w:val="24"/>
          <w:highlight w:val="none"/>
          <w:lang w:val="zh-CN"/>
        </w:rPr>
        <w:t xml:space="preserve">________________</w:t>
      </w:r>
      <w:r>
        <w:rPr>
          <w:color w:val="000000"/>
          <w:sz w:val="24"/>
          <w:szCs w:val="20"/>
          <w:highlight w:val="none"/>
        </w:rPr>
        <w:t xml:space="preserve">（项目名称）响应文件和处理有关事宜，其法律后果由我方承担。</w:t>
      </w:r>
      <w:r>
        <w:rPr>
          <w:color w:val="000000"/>
          <w:sz w:val="24"/>
          <w:szCs w:val="20"/>
          <w:highlight w:val="none"/>
        </w:rPr>
      </w:r>
      <w:r/>
    </w:p>
    <w:p>
      <w:pPr>
        <w:pStyle w:val="1101"/>
        <w:ind w:firstLine="420"/>
        <w:spacing w:line="360" w:lineRule="auto"/>
        <w:rPr>
          <w:color w:val="000000"/>
          <w:sz w:val="24"/>
          <w:szCs w:val="20"/>
          <w:highlight w:val="none"/>
        </w:rPr>
      </w:pPr>
      <w:r>
        <w:rPr>
          <w:color w:val="000000"/>
          <w:sz w:val="24"/>
          <w:szCs w:val="20"/>
          <w:highlight w:val="none"/>
        </w:rPr>
        <w:t xml:space="preserve">委托期限：自本授权委托书签署之日起至响应有效期届满之日止。</w:t>
      </w:r>
      <w:r>
        <w:rPr>
          <w:color w:val="000000"/>
          <w:sz w:val="24"/>
          <w:szCs w:val="20"/>
          <w:highlight w:val="none"/>
        </w:rPr>
      </w:r>
      <w:r/>
    </w:p>
    <w:p>
      <w:pPr>
        <w:pStyle w:val="1101"/>
        <w:ind w:firstLine="420"/>
        <w:spacing w:line="360" w:lineRule="auto"/>
        <w:rPr>
          <w:color w:val="000000"/>
          <w:sz w:val="24"/>
          <w:szCs w:val="20"/>
          <w:highlight w:val="none"/>
        </w:rPr>
      </w:pPr>
      <w:r>
        <w:rPr>
          <w:color w:val="000000"/>
          <w:sz w:val="24"/>
          <w:szCs w:val="20"/>
          <w:highlight w:val="none"/>
        </w:rPr>
        <w:t xml:space="preserve">代理人无转委托权。</w:t>
      </w:r>
      <w:r>
        <w:rPr>
          <w:color w:val="000000"/>
          <w:sz w:val="24"/>
          <w:szCs w:val="20"/>
          <w:highlight w:val="none"/>
        </w:rPr>
      </w:r>
      <w:r/>
    </w:p>
    <w:p>
      <w:pPr>
        <w:pStyle w:val="1101"/>
        <w:ind w:firstLine="420"/>
        <w:spacing w:line="360" w:lineRule="auto"/>
        <w:rPr>
          <w:color w:val="000000"/>
          <w:sz w:val="24"/>
          <w:szCs w:val="20"/>
          <w:highlight w:val="none"/>
        </w:rPr>
      </w:pPr>
      <w:r>
        <w:rPr>
          <w:color w:val="000000"/>
          <w:sz w:val="24"/>
          <w:szCs w:val="20"/>
          <w:highlight w:val="none"/>
        </w:rPr>
      </w:r>
      <w:r/>
    </w:p>
    <w:p>
      <w:pPr>
        <w:pStyle w:val="1101"/>
        <w:spacing w:line="360" w:lineRule="auto"/>
        <w:rPr>
          <w:color w:val="000000"/>
          <w:sz w:val="24"/>
          <w:highlight w:val="none"/>
          <w:lang w:val="zh-CN"/>
        </w:rPr>
      </w:pPr>
      <w:r>
        <w:rPr>
          <w:rFonts w:hint="eastAsia" w:ascii="宋体" w:hAnsi="宋体"/>
          <w:sz w:val="24"/>
          <w:highlight w:val="none"/>
        </w:rPr>
        <w:t xml:space="preserve">投标人名称（加盖公章）</w:t>
      </w:r>
      <w:r>
        <w:rPr>
          <w:color w:val="000000"/>
          <w:sz w:val="24"/>
          <w:highlight w:val="none"/>
          <w:lang w:val="zh-CN"/>
        </w:rPr>
        <w:t xml:space="preserve">：________________</w:t>
      </w:r>
      <w:r>
        <w:rPr>
          <w:color w:val="000000"/>
          <w:sz w:val="24"/>
          <w:highlight w:val="none"/>
          <w:lang w:val="zh-CN"/>
        </w:rPr>
      </w:r>
      <w:r/>
    </w:p>
    <w:p>
      <w:pPr>
        <w:pStyle w:val="1101"/>
        <w:spacing w:line="360" w:lineRule="auto"/>
        <w:rPr>
          <w:color w:val="000000"/>
          <w:sz w:val="24"/>
          <w:szCs w:val="20"/>
          <w:highlight w:val="none"/>
        </w:rPr>
      </w:pPr>
      <w:r>
        <w:rPr>
          <w:color w:val="000000"/>
          <w:sz w:val="24"/>
          <w:szCs w:val="20"/>
          <w:highlight w:val="none"/>
        </w:rPr>
        <w:t xml:space="preserve">法定代表人（单位负责人）（签字</w:t>
      </w:r>
      <w:r>
        <w:rPr>
          <w:rFonts w:hint="eastAsia" w:ascii="宋体" w:hAnsi="宋体"/>
          <w:color w:val="000000"/>
          <w:sz w:val="24"/>
          <w:szCs w:val="20"/>
          <w:highlight w:val="none"/>
        </w:rPr>
        <w:t xml:space="preserve">、签章</w:t>
      </w:r>
      <w:r>
        <w:rPr>
          <w:color w:val="000000"/>
          <w:sz w:val="24"/>
          <w:szCs w:val="20"/>
          <w:highlight w:val="none"/>
        </w:rPr>
        <w:t xml:space="preserve">或印鉴）：</w:t>
      </w:r>
      <w:r>
        <w:rPr>
          <w:color w:val="000000"/>
          <w:sz w:val="24"/>
          <w:highlight w:val="none"/>
          <w:lang w:val="zh-CN"/>
        </w:rPr>
        <w:t xml:space="preserve">________________</w:t>
      </w:r>
      <w:r>
        <w:rPr>
          <w:color w:val="000000"/>
          <w:sz w:val="24"/>
          <w:szCs w:val="20"/>
          <w:highlight w:val="none"/>
        </w:rPr>
      </w:r>
      <w:r/>
    </w:p>
    <w:p>
      <w:pPr>
        <w:pStyle w:val="1101"/>
        <w:spacing w:line="360" w:lineRule="auto"/>
        <w:rPr>
          <w:color w:val="000000"/>
          <w:sz w:val="24"/>
          <w:highlight w:val="none"/>
          <w:lang w:val="zh-CN"/>
        </w:rPr>
      </w:pPr>
      <w:r>
        <w:rPr>
          <w:color w:val="000000"/>
          <w:sz w:val="24"/>
          <w:highlight w:val="none"/>
        </w:rPr>
        <w:t xml:space="preserve">委托代理人（签字</w:t>
      </w:r>
      <w:r>
        <w:rPr>
          <w:rFonts w:hint="eastAsia" w:ascii="宋体" w:hAnsi="宋体"/>
          <w:color w:val="000000"/>
          <w:sz w:val="24"/>
          <w:szCs w:val="20"/>
          <w:highlight w:val="none"/>
        </w:rPr>
        <w:t xml:space="preserve">/签章</w:t>
      </w:r>
      <w:r>
        <w:rPr>
          <w:color w:val="000000"/>
          <w:sz w:val="24"/>
          <w:highlight w:val="none"/>
        </w:rPr>
        <w:t xml:space="preserve">）：</w:t>
      </w:r>
      <w:r>
        <w:rPr>
          <w:color w:val="000000"/>
          <w:sz w:val="24"/>
          <w:highlight w:val="none"/>
          <w:lang w:val="zh-CN"/>
        </w:rPr>
        <w:t xml:space="preserve">________________</w:t>
      </w:r>
      <w:r>
        <w:rPr>
          <w:color w:val="000000"/>
          <w:sz w:val="24"/>
          <w:highlight w:val="none"/>
          <w:lang w:val="zh-CN"/>
        </w:rPr>
      </w:r>
      <w:r/>
    </w:p>
    <w:p>
      <w:pPr>
        <w:pStyle w:val="1101"/>
        <w:spacing w:line="360" w:lineRule="auto"/>
        <w:rPr>
          <w:color w:val="000000"/>
          <w:sz w:val="24"/>
          <w:highlight w:val="none"/>
          <w:lang w:val="zh-CN"/>
        </w:rPr>
      </w:pPr>
      <w:r>
        <w:rPr>
          <w:color w:val="000000"/>
          <w:sz w:val="24"/>
          <w:highlight w:val="none"/>
        </w:rPr>
        <w:t xml:space="preserve">日期：_____年______月______日</w:t>
      </w:r>
      <w:r>
        <w:rPr>
          <w:color w:val="000000"/>
          <w:sz w:val="24"/>
          <w:highlight w:val="none"/>
          <w:lang w:val="zh-CN"/>
        </w:rPr>
      </w:r>
      <w:r/>
    </w:p>
    <w:p>
      <w:pPr>
        <w:pStyle w:val="1101"/>
        <w:ind w:firstLine="480"/>
        <w:spacing w:line="360" w:lineRule="auto"/>
        <w:tabs>
          <w:tab w:val="left" w:pos="5580" w:leader="none"/>
        </w:tabs>
        <w:rPr>
          <w:color w:val="000000"/>
          <w:sz w:val="24"/>
          <w:szCs w:val="20"/>
          <w:highlight w:val="none"/>
        </w:rPr>
      </w:pPr>
      <w:r>
        <w:rPr>
          <w:color w:val="000000"/>
          <w:sz w:val="24"/>
          <w:szCs w:val="20"/>
          <w:highlight w:val="none"/>
        </w:rPr>
      </w:r>
      <w:r/>
    </w:p>
    <w:p>
      <w:pPr>
        <w:pStyle w:val="1101"/>
        <w:jc w:val="left"/>
        <w:spacing w:line="360" w:lineRule="auto"/>
        <w:tabs>
          <w:tab w:val="left" w:pos="5580" w:leader="none"/>
        </w:tabs>
        <w:rPr>
          <w:color w:val="000000"/>
          <w:sz w:val="24"/>
          <w:szCs w:val="20"/>
          <w:highlight w:val="none"/>
        </w:rPr>
      </w:pPr>
      <w:r>
        <w:rPr>
          <w:color w:val="000000"/>
          <w:sz w:val="24"/>
          <w:szCs w:val="20"/>
          <w:highlight w:val="none"/>
        </w:rPr>
        <w:t xml:space="preserve">法定代表人（单位负责人）有效期内的身份证</w:t>
      </w:r>
      <w:r>
        <w:rPr>
          <w:b/>
          <w:color w:val="000000"/>
          <w:sz w:val="24"/>
          <w:szCs w:val="20"/>
          <w:highlight w:val="none"/>
        </w:rPr>
        <w:t xml:space="preserve">正反面</w:t>
      </w:r>
      <w:r>
        <w:rPr>
          <w:rFonts w:hint="eastAsia"/>
          <w:b/>
          <w:color w:val="000000"/>
          <w:sz w:val="24"/>
          <w:szCs w:val="20"/>
          <w:highlight w:val="none"/>
        </w:rPr>
        <w:t xml:space="preserve">电子件</w:t>
      </w:r>
      <w:r>
        <w:rPr>
          <w:color w:val="000000"/>
          <w:sz w:val="24"/>
          <w:szCs w:val="20"/>
          <w:highlight w:val="none"/>
        </w:rPr>
        <w:t xml:space="preserve">：</w:t>
      </w:r>
      <w:r>
        <w:rPr>
          <w:color w:val="000000"/>
          <w:sz w:val="24"/>
          <w:szCs w:val="20"/>
          <w:highlight w:val="none"/>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01"/>
              <w:jc w:val="left"/>
              <w:spacing w:line="360" w:lineRule="auto"/>
              <w:tabs>
                <w:tab w:val="left" w:pos="5580" w:leader="none"/>
              </w:tabs>
              <w:rPr>
                <w:color w:val="000000"/>
                <w:sz w:val="24"/>
                <w:szCs w:val="20"/>
                <w:highlight w:val="none"/>
              </w:rPr>
            </w:pPr>
            <w:r>
              <w:rPr>
                <w:color w:val="000000"/>
                <w:sz w:val="24"/>
                <w:szCs w:val="20"/>
                <w:highlight w:val="none"/>
              </w:rPr>
            </w:r>
            <w:r/>
          </w:p>
          <w:p>
            <w:pPr>
              <w:pStyle w:val="1101"/>
              <w:jc w:val="left"/>
              <w:spacing w:line="360" w:lineRule="auto"/>
              <w:tabs>
                <w:tab w:val="left" w:pos="5580" w:leader="none"/>
              </w:tabs>
              <w:rPr>
                <w:color w:val="000000"/>
                <w:sz w:val="24"/>
                <w:szCs w:val="20"/>
                <w:highlight w:val="none"/>
              </w:rPr>
            </w:pPr>
            <w:r>
              <w:rPr>
                <w:color w:val="000000"/>
                <w:sz w:val="24"/>
                <w:szCs w:val="20"/>
                <w:highlight w:val="none"/>
              </w:rPr>
            </w:r>
            <w:r/>
          </w:p>
          <w:p>
            <w:pPr>
              <w:pStyle w:val="1101"/>
              <w:jc w:val="left"/>
              <w:spacing w:line="360" w:lineRule="auto"/>
              <w:tabs>
                <w:tab w:val="left" w:pos="5580" w:leader="none"/>
              </w:tabs>
              <w:rPr>
                <w:color w:val="000000"/>
                <w:sz w:val="24"/>
                <w:szCs w:val="20"/>
                <w:highlight w:val="none"/>
              </w:rPr>
            </w:pPr>
            <w:r>
              <w:rPr>
                <w:color w:val="000000"/>
                <w:sz w:val="24"/>
                <w:szCs w:val="20"/>
                <w:highlight w:val="none"/>
              </w:rPr>
            </w:r>
            <w:r/>
          </w:p>
        </w:tc>
        <w:tc>
          <w:tcPr>
            <w:tcW w:w="4536" w:type="dxa"/>
            <w:vAlign w:val="top"/>
            <w:textDirection w:val="lrTb"/>
            <w:noWrap w:val="false"/>
          </w:tcPr>
          <w:p>
            <w:pPr>
              <w:pStyle w:val="1101"/>
              <w:jc w:val="left"/>
              <w:spacing w:line="360" w:lineRule="auto"/>
              <w:tabs>
                <w:tab w:val="left" w:pos="5580" w:leader="none"/>
              </w:tabs>
              <w:rPr>
                <w:color w:val="000000"/>
                <w:sz w:val="24"/>
                <w:szCs w:val="20"/>
                <w:highlight w:val="none"/>
              </w:rPr>
            </w:pPr>
            <w:r>
              <w:rPr>
                <w:color w:val="000000"/>
                <w:sz w:val="24"/>
                <w:szCs w:val="20"/>
                <w:highlight w:val="none"/>
              </w:rPr>
            </w:r>
            <w:r/>
          </w:p>
          <w:p>
            <w:pPr>
              <w:pStyle w:val="1101"/>
              <w:jc w:val="left"/>
              <w:spacing w:line="360" w:lineRule="auto"/>
              <w:tabs>
                <w:tab w:val="left" w:pos="5580" w:leader="none"/>
              </w:tabs>
              <w:rPr>
                <w:color w:val="000000"/>
                <w:sz w:val="24"/>
                <w:szCs w:val="20"/>
                <w:highlight w:val="none"/>
              </w:rPr>
            </w:pPr>
            <w:r>
              <w:rPr>
                <w:color w:val="000000"/>
                <w:sz w:val="24"/>
                <w:szCs w:val="20"/>
                <w:highlight w:val="none"/>
              </w:rPr>
            </w:r>
            <w:r/>
          </w:p>
          <w:p>
            <w:pPr>
              <w:pStyle w:val="1101"/>
              <w:jc w:val="left"/>
              <w:spacing w:line="360" w:lineRule="auto"/>
              <w:tabs>
                <w:tab w:val="left" w:pos="5580" w:leader="none"/>
              </w:tabs>
              <w:rPr>
                <w:color w:val="000000"/>
                <w:sz w:val="24"/>
                <w:szCs w:val="20"/>
                <w:highlight w:val="none"/>
              </w:rPr>
            </w:pPr>
            <w:r>
              <w:rPr>
                <w:color w:val="000000"/>
                <w:sz w:val="24"/>
                <w:szCs w:val="20"/>
                <w:highlight w:val="none"/>
              </w:rPr>
            </w:r>
            <w:r/>
          </w:p>
        </w:tc>
      </w:tr>
    </w:tbl>
    <w:p>
      <w:pPr>
        <w:pStyle w:val="1101"/>
        <w:jc w:val="left"/>
        <w:spacing w:line="360" w:lineRule="auto"/>
        <w:tabs>
          <w:tab w:val="left" w:pos="5580" w:leader="none"/>
        </w:tabs>
        <w:rPr>
          <w:color w:val="000000"/>
          <w:sz w:val="24"/>
          <w:szCs w:val="20"/>
          <w:highlight w:val="none"/>
        </w:rPr>
      </w:pPr>
      <w:r>
        <w:rPr>
          <w:color w:val="000000"/>
          <w:sz w:val="24"/>
          <w:szCs w:val="20"/>
          <w:highlight w:val="none"/>
        </w:rPr>
        <w:t xml:space="preserve">委托代理人有效期内的身份证</w:t>
      </w:r>
      <w:r>
        <w:rPr>
          <w:b/>
          <w:color w:val="000000"/>
          <w:sz w:val="24"/>
          <w:szCs w:val="20"/>
          <w:highlight w:val="none"/>
        </w:rPr>
        <w:t xml:space="preserve">正反面</w:t>
      </w:r>
      <w:r>
        <w:rPr>
          <w:rFonts w:hint="eastAsia"/>
          <w:b/>
          <w:color w:val="000000"/>
          <w:sz w:val="24"/>
          <w:szCs w:val="20"/>
          <w:highlight w:val="none"/>
        </w:rPr>
        <w:t xml:space="preserve">电子件</w:t>
      </w:r>
      <w:r>
        <w:rPr>
          <w:color w:val="000000"/>
          <w:sz w:val="24"/>
          <w:szCs w:val="20"/>
          <w:highlight w:val="none"/>
        </w:rPr>
        <w:t xml:space="preserve">：</w:t>
      </w:r>
      <w:r>
        <w:rPr>
          <w:color w:val="000000"/>
          <w:sz w:val="24"/>
          <w:szCs w:val="20"/>
          <w:highlight w:val="none"/>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400"/>
        </w:trPr>
        <w:tc>
          <w:tcPr>
            <w:tcW w:w="4673" w:type="dxa"/>
            <w:vAlign w:val="top"/>
            <w:textDirection w:val="lrTb"/>
            <w:noWrap w:val="false"/>
          </w:tcPr>
          <w:p>
            <w:pPr>
              <w:pStyle w:val="1101"/>
              <w:jc w:val="left"/>
              <w:spacing w:line="360" w:lineRule="auto"/>
              <w:tabs>
                <w:tab w:val="left" w:pos="5580" w:leader="none"/>
              </w:tabs>
              <w:rPr>
                <w:color w:val="000000"/>
                <w:sz w:val="24"/>
                <w:szCs w:val="20"/>
                <w:highlight w:val="none"/>
              </w:rPr>
            </w:pPr>
            <w:r>
              <w:rPr>
                <w:color w:val="000000"/>
                <w:sz w:val="24"/>
                <w:szCs w:val="20"/>
                <w:highlight w:val="none"/>
              </w:rPr>
            </w:r>
            <w:r/>
          </w:p>
          <w:p>
            <w:pPr>
              <w:pStyle w:val="1101"/>
              <w:jc w:val="left"/>
              <w:spacing w:line="360" w:lineRule="auto"/>
              <w:tabs>
                <w:tab w:val="left" w:pos="5580" w:leader="none"/>
              </w:tabs>
              <w:rPr>
                <w:color w:val="000000"/>
                <w:sz w:val="24"/>
                <w:szCs w:val="20"/>
                <w:highlight w:val="none"/>
              </w:rPr>
            </w:pPr>
            <w:r>
              <w:rPr>
                <w:color w:val="000000"/>
                <w:sz w:val="24"/>
                <w:szCs w:val="20"/>
                <w:highlight w:val="none"/>
              </w:rPr>
            </w:r>
            <w:r/>
          </w:p>
          <w:p>
            <w:pPr>
              <w:pStyle w:val="1101"/>
              <w:jc w:val="left"/>
              <w:spacing w:line="360" w:lineRule="auto"/>
              <w:tabs>
                <w:tab w:val="left" w:pos="5580" w:leader="none"/>
              </w:tabs>
              <w:rPr>
                <w:color w:val="000000"/>
                <w:sz w:val="24"/>
                <w:szCs w:val="20"/>
                <w:highlight w:val="none"/>
              </w:rPr>
            </w:pPr>
            <w:r>
              <w:rPr>
                <w:color w:val="000000"/>
                <w:sz w:val="24"/>
                <w:szCs w:val="20"/>
                <w:highlight w:val="none"/>
              </w:rPr>
            </w:r>
            <w:r/>
          </w:p>
        </w:tc>
        <w:tc>
          <w:tcPr>
            <w:tcW w:w="4536" w:type="dxa"/>
            <w:vAlign w:val="top"/>
            <w:textDirection w:val="lrTb"/>
            <w:noWrap w:val="false"/>
          </w:tcPr>
          <w:p>
            <w:pPr>
              <w:pStyle w:val="1101"/>
              <w:jc w:val="left"/>
              <w:spacing w:line="360" w:lineRule="auto"/>
              <w:tabs>
                <w:tab w:val="left" w:pos="5580" w:leader="none"/>
              </w:tabs>
              <w:rPr>
                <w:color w:val="000000"/>
                <w:sz w:val="24"/>
                <w:szCs w:val="20"/>
                <w:highlight w:val="none"/>
              </w:rPr>
            </w:pPr>
            <w:r>
              <w:rPr>
                <w:color w:val="000000"/>
                <w:sz w:val="24"/>
                <w:szCs w:val="20"/>
                <w:highlight w:val="none"/>
              </w:rPr>
            </w:r>
            <w:r/>
          </w:p>
          <w:p>
            <w:pPr>
              <w:pStyle w:val="1101"/>
              <w:jc w:val="left"/>
              <w:spacing w:line="360" w:lineRule="auto"/>
              <w:tabs>
                <w:tab w:val="left" w:pos="5580" w:leader="none"/>
              </w:tabs>
              <w:rPr>
                <w:color w:val="000000"/>
                <w:sz w:val="24"/>
                <w:szCs w:val="20"/>
                <w:highlight w:val="none"/>
              </w:rPr>
            </w:pPr>
            <w:r>
              <w:rPr>
                <w:color w:val="000000"/>
                <w:sz w:val="24"/>
                <w:szCs w:val="20"/>
                <w:highlight w:val="none"/>
              </w:rPr>
            </w:r>
            <w:r/>
          </w:p>
          <w:p>
            <w:pPr>
              <w:pStyle w:val="1101"/>
              <w:jc w:val="left"/>
              <w:spacing w:line="360" w:lineRule="auto"/>
              <w:tabs>
                <w:tab w:val="left" w:pos="5580" w:leader="none"/>
              </w:tabs>
              <w:rPr>
                <w:color w:val="000000"/>
                <w:sz w:val="24"/>
                <w:szCs w:val="20"/>
                <w:highlight w:val="none"/>
              </w:rPr>
            </w:pPr>
            <w:r>
              <w:rPr>
                <w:color w:val="000000"/>
                <w:sz w:val="24"/>
                <w:szCs w:val="20"/>
                <w:highlight w:val="none"/>
              </w:rPr>
            </w:r>
            <w:r/>
          </w:p>
        </w:tc>
      </w:tr>
    </w:tbl>
    <w:p>
      <w:pPr>
        <w:pStyle w:val="1101"/>
        <w:jc w:val="left"/>
        <w:spacing w:line="400" w:lineRule="exact"/>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101"/>
        <w:jc w:val="left"/>
        <w:spacing w:line="400" w:lineRule="exact"/>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101"/>
        <w:jc w:val="left"/>
        <w:spacing w:line="400" w:lineRule="exact"/>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2.若法定代表人（单位负责人）参与开标的，则可不提供本《授权委托书》，但须提供《法定代表人（单位负责人）身份证明》（实质性格式）。</w:t>
      </w:r>
      <w:r>
        <w:rPr>
          <w:rFonts w:ascii="宋体" w:hAnsi="宋体"/>
          <w:color w:val="000000"/>
          <w:sz w:val="24"/>
          <w:szCs w:val="20"/>
          <w:highlight w:val="none"/>
        </w:rPr>
      </w:r>
      <w:r/>
    </w:p>
    <w:p>
      <w:pPr>
        <w:pStyle w:val="1101"/>
        <w:jc w:val="left"/>
        <w:spacing w:line="400" w:lineRule="exact"/>
        <w:tabs>
          <w:tab w:val="left" w:pos="5580" w:leader="none"/>
        </w:tabs>
        <w:rPr>
          <w:color w:val="000000"/>
          <w:sz w:val="24"/>
          <w:highlight w:val="non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供应商为自然人的情形，仅提供身份证扫描件并签名，可不提供《法定代表人（单位负责人）身份证明》和《授权委托书》。</w:t>
      </w:r>
      <w:r>
        <w:rPr>
          <w:color w:val="000000"/>
          <w:sz w:val="24"/>
          <w:highlight w:val="none"/>
        </w:rPr>
      </w:r>
      <w:r/>
    </w:p>
    <w:p>
      <w:pPr>
        <w:pStyle w:val="1101"/>
        <w:jc w:val="left"/>
        <w:widowControl/>
        <w:rPr>
          <w:color w:val="000000"/>
          <w:sz w:val="24"/>
          <w:highlight w:val="none"/>
        </w:rPr>
      </w:pPr>
      <w:r>
        <w:rPr>
          <w:rFonts w:hint="eastAsia"/>
          <w:color w:val="000000"/>
          <w:sz w:val="24"/>
          <w:highlight w:val="none"/>
        </w:rPr>
        <w:br w:type="page" w:clear="all"/>
      </w:r>
      <w:r>
        <w:rPr>
          <w:rFonts w:hint="eastAsia"/>
          <w:color w:val="000000"/>
          <w:sz w:val="24"/>
          <w:highlight w:val="none"/>
        </w:rPr>
        <w:t xml:space="preserve">3  政府采购供应商信用承诺书</w:t>
      </w:r>
      <w:r>
        <w:rPr>
          <w:color w:val="000000"/>
          <w:sz w:val="24"/>
          <w:szCs w:val="20"/>
          <w:highlight w:val="none"/>
        </w:rPr>
        <w:t xml:space="preserve">（实质性格式）</w:t>
      </w:r>
      <w:r>
        <w:rPr>
          <w:color w:val="000000"/>
          <w:sz w:val="24"/>
          <w:highlight w:val="none"/>
        </w:rPr>
      </w:r>
      <w:r/>
    </w:p>
    <w:p>
      <w:pPr>
        <w:pStyle w:val="1101"/>
        <w:ind w:firstLine="321"/>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pStyle w:val="1101"/>
        <w:jc w:val="center"/>
        <w:spacing w:line="360" w:lineRule="auto"/>
        <w:rPr>
          <w:b/>
          <w:color w:val="000000"/>
          <w:sz w:val="36"/>
          <w:szCs w:val="36"/>
          <w:highlight w:val="none"/>
        </w:rPr>
      </w:pPr>
      <w:r>
        <w:rPr>
          <w:rFonts w:hint="eastAsia"/>
          <w:b/>
          <w:color w:val="000000"/>
          <w:sz w:val="36"/>
          <w:szCs w:val="36"/>
          <w:highlight w:val="none"/>
        </w:rPr>
        <w:t xml:space="preserve">政府采购供应商信用承诺书</w:t>
      </w:r>
      <w:r>
        <w:rPr>
          <w:b/>
          <w:color w:val="000000"/>
          <w:sz w:val="36"/>
          <w:szCs w:val="36"/>
          <w:highlight w:val="none"/>
        </w:rPr>
      </w:r>
      <w:r/>
    </w:p>
    <w:p>
      <w:pPr>
        <w:pStyle w:val="1101"/>
        <w:ind w:firstLine="640"/>
        <w:rPr>
          <w:highlight w:val="none"/>
        </w:rPr>
      </w:pPr>
      <w:r>
        <w:rPr>
          <w:highlight w:val="none"/>
        </w:rPr>
      </w:r>
      <w:r/>
    </w:p>
    <w:p>
      <w:pPr>
        <w:pStyle w:val="1101"/>
        <w:ind w:firstLine="482"/>
        <w:spacing w:line="400" w:lineRule="exact"/>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rPr>
          <w:rFonts w:ascii="宋体" w:hAnsi="宋体"/>
          <w:sz w:val="24"/>
          <w:highlight w:val="none"/>
        </w:rPr>
      </w:r>
      <w:r/>
    </w:p>
    <w:p>
      <w:pPr>
        <w:pStyle w:val="1101"/>
        <w:ind w:firstLine="482"/>
        <w:spacing w:line="400" w:lineRule="exact"/>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rPr>
          <w:rFonts w:ascii="宋体" w:hAnsi="宋体"/>
          <w:sz w:val="24"/>
          <w:highlight w:val="none"/>
        </w:rPr>
      </w:r>
      <w:r/>
    </w:p>
    <w:p>
      <w:pPr>
        <w:pStyle w:val="1101"/>
        <w:ind w:firstLine="482"/>
        <w:spacing w:line="400" w:lineRule="exact"/>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highlight w:val="none"/>
        </w:rPr>
      </w:r>
      <w:r/>
    </w:p>
    <w:p>
      <w:pPr>
        <w:pStyle w:val="1101"/>
        <w:ind w:firstLine="482"/>
        <w:spacing w:line="400" w:lineRule="exact"/>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三、本单位提供给注册登记部门、行业管理部门、司法部门、行业组织以及在政府采购活动中提交的所有资料均合法、真实、有效，无任何伪造、修改、虚假成分，并对所提供资料的真实性负责。</w:t>
      </w:r>
      <w:r>
        <w:rPr>
          <w:rFonts w:ascii="宋体" w:hAnsi="宋体"/>
          <w:sz w:val="24"/>
          <w:highlight w:val="none"/>
        </w:rPr>
      </w:r>
      <w:r/>
    </w:p>
    <w:p>
      <w:pPr>
        <w:pStyle w:val="1101"/>
        <w:ind w:firstLine="482"/>
        <w:spacing w:line="400" w:lineRule="exact"/>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sz w:val="24"/>
          <w:highlight w:val="none"/>
        </w:rPr>
      </w:r>
      <w:r/>
    </w:p>
    <w:p>
      <w:pPr>
        <w:pStyle w:val="1101"/>
        <w:ind w:firstLine="482"/>
        <w:spacing w:line="400" w:lineRule="exact"/>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rPr>
          <w:rFonts w:ascii="宋体" w:hAnsi="宋体"/>
          <w:sz w:val="24"/>
          <w:highlight w:val="none"/>
        </w:rPr>
      </w:r>
      <w:r/>
    </w:p>
    <w:p>
      <w:pPr>
        <w:pStyle w:val="1101"/>
        <w:ind w:firstLine="482"/>
        <w:spacing w:line="400" w:lineRule="exact"/>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highlight w:val="none"/>
        </w:rPr>
      </w:r>
      <w:r/>
    </w:p>
    <w:p>
      <w:pPr>
        <w:pStyle w:val="1101"/>
        <w:ind w:firstLine="482"/>
        <w:spacing w:line="400" w:lineRule="exact"/>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rPr>
          <w:rFonts w:ascii="宋体" w:hAnsi="宋体"/>
          <w:sz w:val="24"/>
          <w:highlight w:val="none"/>
        </w:rPr>
      </w:r>
      <w:r/>
    </w:p>
    <w:p>
      <w:pPr>
        <w:pStyle w:val="1101"/>
        <w:ind w:firstLine="482"/>
        <w:spacing w:line="400" w:lineRule="exact"/>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rPr>
          <w:rFonts w:ascii="宋体" w:hAnsi="宋体"/>
          <w:sz w:val="24"/>
          <w:highlight w:val="none"/>
        </w:rPr>
      </w:r>
      <w:r/>
    </w:p>
    <w:p>
      <w:pPr>
        <w:pStyle w:val="1101"/>
        <w:ind w:firstLine="482"/>
        <w:spacing w:line="400" w:lineRule="exact"/>
        <w:rPr>
          <w:rFonts w:ascii="宋体" w:hAnsi="宋体"/>
          <w:sz w:val="24"/>
          <w:highlight w:val="none"/>
        </w:rPr>
      </w:pPr>
      <w:r>
        <w:rPr>
          <w:rFonts w:hint="eastAsia" w:ascii="宋体" w:hAnsi="宋体"/>
          <w:sz w:val="24"/>
          <w:highlight w:val="none"/>
        </w:rPr>
        <w:t xml:space="preserve">九、根据政府采购相关法律法规的规定需要作出的其他承诺。 </w:t>
      </w:r>
      <w:r>
        <w:rPr>
          <w:rFonts w:ascii="宋体" w:hAnsi="宋体"/>
          <w:sz w:val="24"/>
          <w:highlight w:val="none"/>
        </w:rPr>
      </w:r>
      <w:r/>
    </w:p>
    <w:p>
      <w:pPr>
        <w:pStyle w:val="1101"/>
        <w:ind w:firstLine="482"/>
        <w:spacing w:line="400" w:lineRule="exact"/>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rPr>
          <w:rFonts w:ascii="宋体" w:hAnsi="宋体"/>
          <w:sz w:val="24"/>
          <w:highlight w:val="none"/>
        </w:rPr>
      </w:r>
      <w:r/>
    </w:p>
    <w:p>
      <w:pPr>
        <w:pStyle w:val="1101"/>
        <w:ind w:firstLine="482"/>
        <w:spacing w:line="400" w:lineRule="exact"/>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rPr>
          <w:rFonts w:ascii="宋体" w:hAnsi="宋体"/>
          <w:sz w:val="24"/>
          <w:highlight w:val="none"/>
        </w:rPr>
      </w:r>
      <w:r/>
    </w:p>
    <w:p>
      <w:pPr>
        <w:pStyle w:val="1208"/>
        <w:ind w:right="1050" w:firstLine="2880"/>
        <w:jc w:val="both"/>
        <w:spacing w:line="400" w:lineRule="exact"/>
        <w:rPr>
          <w:rFonts w:ascii="宋体" w:hAnsi="宋体" w:eastAsia="宋体"/>
          <w:sz w:val="24"/>
          <w:szCs w:val="22"/>
          <w:highlight w:val="none"/>
        </w:rPr>
      </w:pPr>
      <w:r>
        <w:rPr>
          <w:rFonts w:ascii="宋体" w:hAnsi="宋体" w:eastAsia="宋体"/>
          <w:sz w:val="24"/>
          <w:szCs w:val="22"/>
          <w:highlight w:val="none"/>
        </w:rPr>
      </w:r>
      <w:r/>
    </w:p>
    <w:p>
      <w:pPr>
        <w:pStyle w:val="1101"/>
        <w:spacing w:line="400" w:lineRule="exact"/>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1101"/>
        <w:spacing w:line="400" w:lineRule="exact"/>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01"/>
        <w:jc w:val="left"/>
        <w:widowControl/>
        <w:rPr>
          <w:rFonts w:hint="eastAsia"/>
          <w:color w:val="000000"/>
          <w:sz w:val="24"/>
          <w:szCs w:val="20"/>
          <w:highlight w:val="none"/>
        </w:rPr>
      </w:pPr>
      <w:r/>
      <w:bookmarkStart w:id="406" w:name="_Hlt520343392"/>
      <w:r/>
      <w:bookmarkEnd w:id="406"/>
      <w:r/>
      <w:bookmarkStart w:id="407" w:name="_Hlt520271212"/>
      <w:r/>
      <w:bookmarkEnd w:id="407"/>
      <w:r/>
      <w:bookmarkStart w:id="408" w:name="_Hlt520350918"/>
      <w:r/>
      <w:bookmarkEnd w:id="408"/>
      <w:r/>
      <w:bookmarkStart w:id="409" w:name="_Hlt520343000"/>
      <w:r/>
      <w:bookmarkEnd w:id="409"/>
      <w:r/>
      <w:bookmarkStart w:id="410" w:name="_Hlt520355504"/>
      <w:r/>
      <w:bookmarkEnd w:id="410"/>
      <w:r/>
      <w:bookmarkStart w:id="411" w:name="_Hlt520274121"/>
      <w:r/>
      <w:bookmarkEnd w:id="411"/>
      <w:r/>
      <w:bookmarkStart w:id="412" w:name="_Hlt520274393"/>
      <w:r/>
      <w:bookmarkEnd w:id="412"/>
      <w:r/>
      <w:bookmarkStart w:id="413" w:name="_Hlt520274065"/>
      <w:r/>
      <w:bookmarkEnd w:id="413"/>
      <w:r/>
      <w:bookmarkStart w:id="414" w:name="_Hlt520274407"/>
      <w:r/>
      <w:bookmarkEnd w:id="414"/>
      <w:r/>
      <w:bookmarkStart w:id="415" w:name="_Hlt520273711"/>
      <w:r/>
      <w:bookmarkEnd w:id="415"/>
      <w:r/>
      <w:bookmarkStart w:id="416" w:name="_Toc150480795"/>
      <w:r/>
      <w:bookmarkStart w:id="417" w:name="_Toc226965747"/>
      <w:r/>
      <w:bookmarkStart w:id="418" w:name="_Toc265228395"/>
      <w:r/>
      <w:bookmarkStart w:id="419" w:name="_Toc480942350"/>
      <w:r/>
      <w:bookmarkStart w:id="420" w:name="_Toc150774762"/>
      <w:r/>
      <w:bookmarkStart w:id="421" w:name="_Toc305158825"/>
      <w:r/>
      <w:bookmarkStart w:id="422" w:name="_Toc264969247"/>
      <w:r/>
      <w:bookmarkStart w:id="423" w:name="_Toc226337253"/>
      <w:r/>
      <w:bookmarkStart w:id="424" w:name="_Toc520356218"/>
      <w:r/>
      <w:bookmarkStart w:id="425" w:name="_Toc226965830"/>
      <w:r/>
      <w:bookmarkStart w:id="426" w:name="_Toc127151557"/>
      <w:r/>
      <w:bookmarkStart w:id="427" w:name="_Ref467988705"/>
      <w:r/>
      <w:bookmarkStart w:id="428" w:name="_Toc195842922"/>
      <w:r/>
      <w:bookmarkStart w:id="429" w:name="_Toc142311059"/>
      <w:r/>
      <w:bookmarkStart w:id="430" w:name="_Toc305158899"/>
      <w:r/>
      <w:bookmarkStart w:id="431" w:name="_Toc226309801"/>
      <w:r>
        <w:rPr>
          <w:color w:val="000000"/>
          <w:sz w:val="24"/>
          <w:szCs w:val="20"/>
          <w:highlight w:val="none"/>
        </w:rPr>
        <w:br w:type="page" w:clear="all"/>
      </w:r>
      <w:r>
        <w:rPr>
          <w:rFonts w:hint="eastAsia"/>
          <w:color w:val="000000"/>
          <w:sz w:val="24"/>
          <w:szCs w:val="20"/>
          <w:highlight w:val="none"/>
        </w:rPr>
        <w:t xml:space="preserve">4.投标供应商管理关系或控股关系信息情况表（实质性格式）</w:t>
      </w:r>
      <w:r>
        <w:rPr>
          <w:rFonts w:hint="eastAsia"/>
          <w:color w:val="000000"/>
          <w:sz w:val="24"/>
          <w:szCs w:val="20"/>
          <w:highlight w:val="none"/>
        </w:rPr>
      </w:r>
      <w:r/>
    </w:p>
    <w:p>
      <w:pPr>
        <w:pStyle w:val="1113"/>
        <w:tabs>
          <w:tab w:val="left" w:pos="567" w:leader="none"/>
        </w:tabs>
        <w:rPr>
          <w:highlight w:val="none"/>
        </w:rPr>
      </w:pPr>
      <w:r>
        <w:rPr>
          <w:highlight w:val="none"/>
        </w:rPr>
      </w:r>
      <w:r/>
    </w:p>
    <w:p>
      <w:pPr>
        <w:pStyle w:val="1101"/>
        <w:jc w:val="center"/>
        <w:spacing w:line="360" w:lineRule="auto"/>
        <w:rPr>
          <w:rFonts w:hint="eastAsia"/>
          <w:b/>
          <w:color w:val="000000"/>
          <w:sz w:val="36"/>
          <w:szCs w:val="36"/>
          <w:highlight w:val="none"/>
        </w:rPr>
      </w:pPr>
      <w:r>
        <w:rPr>
          <w:rFonts w:hint="eastAsia"/>
          <w:b/>
          <w:color w:val="000000"/>
          <w:sz w:val="36"/>
          <w:szCs w:val="36"/>
          <w:highlight w:val="none"/>
        </w:rPr>
        <w:t xml:space="preserve">投标供应商管理关系或控股关系信息情况表</w:t>
      </w:r>
      <w:r>
        <w:rPr>
          <w:rFonts w:hint="eastAsia"/>
          <w:b/>
          <w:color w:val="000000"/>
          <w:sz w:val="36"/>
          <w:szCs w:val="36"/>
          <w:highlight w:val="none"/>
        </w:rPr>
      </w:r>
      <w:r/>
    </w:p>
    <w:tbl>
      <w:tblPr>
        <w:tblW w:w="8751"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trHeight w:val="463"/>
        </w:trPr>
        <w:tc>
          <w:tcPr>
            <w:tcW w:w="2496" w:type="dxa"/>
            <w:vAlign w:val="center"/>
            <w:textDirection w:val="lrTb"/>
            <w:noWrap w:val="false"/>
          </w:tcPr>
          <w:p>
            <w:pPr>
              <w:pStyle w:val="1101"/>
              <w:ind w:firstLine="560"/>
              <w:jc w:val="left"/>
              <w:spacing w:line="520" w:lineRule="exact"/>
              <w:rPr>
                <w:rFonts w:ascii="宋体" w:hAnsi="宋体" w:cs="宋体"/>
                <w:sz w:val="24"/>
                <w:highlight w:val="none"/>
              </w:rPr>
            </w:pPr>
            <w:r>
              <w:rPr>
                <w:rFonts w:hint="eastAsia" w:ascii="宋体" w:hAnsi="宋体" w:cs="宋体"/>
                <w:sz w:val="24"/>
                <w:highlight w:val="none"/>
              </w:rPr>
              <w:t xml:space="preserve">法定代表人</w:t>
            </w:r>
            <w:r>
              <w:rPr>
                <w:rFonts w:ascii="宋体" w:hAnsi="宋体" w:cs="宋体"/>
                <w:sz w:val="24"/>
                <w:highlight w:val="none"/>
              </w:rPr>
            </w:r>
            <w:r/>
          </w:p>
        </w:tc>
        <w:tc>
          <w:tcPr>
            <w:tcW w:w="1994" w:type="dxa"/>
            <w:vAlign w:val="center"/>
            <w:textDirection w:val="lrTb"/>
            <w:noWrap w:val="false"/>
          </w:tcPr>
          <w:p>
            <w:pPr>
              <w:pStyle w:val="1101"/>
              <w:ind w:firstLine="560"/>
              <w:jc w:val="left"/>
              <w:spacing w:line="520" w:lineRule="exact"/>
              <w:rPr>
                <w:rFonts w:ascii="宋体" w:hAnsi="宋体" w:cs="宋体"/>
                <w:sz w:val="24"/>
                <w:highlight w:val="none"/>
              </w:rPr>
            </w:pPr>
            <w:r>
              <w:rPr>
                <w:rFonts w:ascii="宋体" w:hAnsi="宋体" w:cs="宋体"/>
                <w:sz w:val="24"/>
                <w:highlight w:val="none"/>
              </w:rPr>
            </w:r>
            <w:r/>
          </w:p>
        </w:tc>
        <w:tc>
          <w:tcPr>
            <w:tcW w:w="1453" w:type="dxa"/>
            <w:vAlign w:val="center"/>
            <w:textDirection w:val="lrTb"/>
            <w:noWrap w:val="false"/>
          </w:tcPr>
          <w:p>
            <w:pPr>
              <w:pStyle w:val="1101"/>
              <w:jc w:val="left"/>
              <w:spacing w:line="520" w:lineRule="exact"/>
              <w:rPr>
                <w:rFonts w:ascii="宋体" w:hAnsi="宋体" w:cs="宋体"/>
                <w:sz w:val="24"/>
                <w:highlight w:val="none"/>
              </w:rPr>
            </w:pPr>
            <w:r>
              <w:rPr>
                <w:rFonts w:hint="eastAsia" w:ascii="宋体" w:hAnsi="宋体" w:cs="宋体"/>
                <w:sz w:val="24"/>
                <w:highlight w:val="none"/>
              </w:rPr>
              <w:t xml:space="preserve">成立日期</w:t>
            </w:r>
            <w:r>
              <w:rPr>
                <w:rFonts w:ascii="宋体" w:hAnsi="宋体" w:cs="宋体"/>
                <w:sz w:val="24"/>
                <w:highlight w:val="none"/>
              </w:rPr>
            </w:r>
            <w:r/>
          </w:p>
        </w:tc>
        <w:tc>
          <w:tcPr>
            <w:tcW w:w="2806" w:type="dxa"/>
            <w:vAlign w:val="center"/>
            <w:textDirection w:val="lrTb"/>
            <w:noWrap w:val="false"/>
          </w:tcPr>
          <w:p>
            <w:pPr>
              <w:pStyle w:val="1101"/>
              <w:ind w:firstLine="560"/>
              <w:jc w:val="left"/>
              <w:spacing w:line="520" w:lineRule="exact"/>
              <w:rPr>
                <w:rFonts w:ascii="宋体" w:hAnsi="宋体" w:cs="宋体"/>
                <w:sz w:val="24"/>
                <w:highlight w:val="none"/>
              </w:rPr>
            </w:pPr>
            <w:r>
              <w:rPr>
                <w:rFonts w:ascii="宋体" w:hAnsi="宋体" w:cs="宋体"/>
                <w:sz w:val="24"/>
                <w:highlight w:val="none"/>
              </w:rPr>
            </w:r>
            <w:r/>
          </w:p>
        </w:tc>
      </w:tr>
      <w:tr>
        <w:trPr>
          <w:cantSplit/>
          <w:trHeight w:val="412"/>
        </w:trPr>
        <w:tc>
          <w:tcPr>
            <w:tcW w:w="2496" w:type="dxa"/>
            <w:vAlign w:val="center"/>
            <w:textDirection w:val="lrTb"/>
            <w:noWrap w:val="false"/>
          </w:tcPr>
          <w:p>
            <w:pPr>
              <w:pStyle w:val="1101"/>
              <w:ind w:firstLine="560"/>
              <w:jc w:val="left"/>
              <w:spacing w:line="520" w:lineRule="exact"/>
              <w:rPr>
                <w:rFonts w:ascii="宋体" w:hAnsi="宋体" w:cs="宋体"/>
                <w:sz w:val="24"/>
                <w:highlight w:val="none"/>
              </w:rPr>
            </w:pPr>
            <w:r>
              <w:rPr>
                <w:rFonts w:hint="eastAsia" w:ascii="宋体" w:hAnsi="宋体" w:cs="宋体"/>
                <w:sz w:val="24"/>
                <w:highlight w:val="none"/>
              </w:rPr>
              <w:t xml:space="preserve">企业地址</w:t>
            </w:r>
            <w:r>
              <w:rPr>
                <w:rFonts w:ascii="宋体" w:hAnsi="宋体" w:cs="宋体"/>
                <w:sz w:val="24"/>
                <w:highlight w:val="none"/>
              </w:rPr>
            </w:r>
            <w:r/>
          </w:p>
        </w:tc>
        <w:tc>
          <w:tcPr>
            <w:tcW w:w="1994" w:type="dxa"/>
            <w:vAlign w:val="center"/>
            <w:textDirection w:val="lrTb"/>
            <w:noWrap w:val="false"/>
          </w:tcPr>
          <w:p>
            <w:pPr>
              <w:pStyle w:val="1101"/>
              <w:ind w:firstLine="560"/>
              <w:jc w:val="left"/>
              <w:spacing w:line="520" w:lineRule="exact"/>
              <w:rPr>
                <w:rFonts w:ascii="宋体" w:hAnsi="宋体" w:cs="宋体"/>
                <w:sz w:val="24"/>
                <w:highlight w:val="none"/>
              </w:rPr>
            </w:pPr>
            <w:r>
              <w:rPr>
                <w:rFonts w:ascii="宋体" w:hAnsi="宋体" w:cs="宋体"/>
                <w:sz w:val="24"/>
                <w:highlight w:val="none"/>
              </w:rPr>
            </w:r>
            <w:r/>
          </w:p>
        </w:tc>
        <w:tc>
          <w:tcPr>
            <w:tcW w:w="1453" w:type="dxa"/>
            <w:vAlign w:val="center"/>
            <w:textDirection w:val="lrTb"/>
            <w:noWrap w:val="false"/>
          </w:tcPr>
          <w:p>
            <w:pPr>
              <w:pStyle w:val="1101"/>
              <w:jc w:val="left"/>
              <w:spacing w:line="520" w:lineRule="exact"/>
              <w:rPr>
                <w:rFonts w:ascii="宋体" w:hAnsi="宋体" w:cs="宋体"/>
                <w:sz w:val="24"/>
                <w:highlight w:val="none"/>
              </w:rPr>
            </w:pPr>
            <w:r>
              <w:rPr>
                <w:rFonts w:hint="eastAsia" w:ascii="宋体" w:hAnsi="宋体" w:cs="宋体"/>
                <w:sz w:val="24"/>
                <w:highlight w:val="none"/>
              </w:rPr>
              <w:t xml:space="preserve">注册资本</w:t>
            </w:r>
            <w:r>
              <w:rPr>
                <w:rFonts w:ascii="宋体" w:hAnsi="宋体" w:cs="宋体"/>
                <w:sz w:val="24"/>
                <w:highlight w:val="none"/>
              </w:rPr>
            </w:r>
            <w:r/>
          </w:p>
        </w:tc>
        <w:tc>
          <w:tcPr>
            <w:tcW w:w="2806" w:type="dxa"/>
            <w:vAlign w:val="center"/>
            <w:textDirection w:val="lrTb"/>
            <w:noWrap w:val="false"/>
          </w:tcPr>
          <w:p>
            <w:pPr>
              <w:pStyle w:val="1101"/>
              <w:ind w:firstLine="560"/>
              <w:jc w:val="left"/>
              <w:spacing w:line="520" w:lineRule="exact"/>
              <w:rPr>
                <w:rFonts w:ascii="宋体" w:hAnsi="宋体" w:cs="宋体"/>
                <w:sz w:val="24"/>
                <w:highlight w:val="none"/>
              </w:rPr>
            </w:pPr>
            <w:r>
              <w:rPr>
                <w:rFonts w:hint="eastAsia" w:ascii="宋体" w:hAnsi="宋体" w:cs="宋体"/>
                <w:sz w:val="24"/>
                <w:highlight w:val="none"/>
              </w:rPr>
              <w:t xml:space="preserve">万元</w:t>
            </w:r>
            <w:r>
              <w:rPr>
                <w:rFonts w:ascii="宋体" w:hAnsi="宋体" w:cs="宋体"/>
                <w:sz w:val="24"/>
                <w:highlight w:val="none"/>
              </w:rPr>
            </w:r>
            <w:r/>
          </w:p>
        </w:tc>
      </w:tr>
      <w:tr>
        <w:trPr>
          <w:cantSplit/>
          <w:trHeight w:val="412"/>
        </w:trPr>
        <w:tc>
          <w:tcPr>
            <w:tcW w:w="2496" w:type="dxa"/>
            <w:vAlign w:val="center"/>
            <w:textDirection w:val="lrTb"/>
            <w:noWrap w:val="false"/>
          </w:tcPr>
          <w:p>
            <w:pPr>
              <w:pStyle w:val="1101"/>
              <w:jc w:val="left"/>
              <w:spacing w:line="520" w:lineRule="exact"/>
              <w:rPr>
                <w:rFonts w:ascii="宋体" w:hAnsi="宋体" w:cs="宋体"/>
                <w:sz w:val="24"/>
                <w:highlight w:val="none"/>
              </w:rPr>
            </w:pPr>
            <w:r>
              <w:rPr>
                <w:rFonts w:hint="eastAsia" w:ascii="宋体" w:hAnsi="宋体" w:cs="宋体"/>
                <w:sz w:val="24"/>
                <w:highlight w:val="none"/>
              </w:rPr>
              <w:t xml:space="preserve">统一社会信用代码</w:t>
            </w:r>
            <w:r>
              <w:rPr>
                <w:rFonts w:ascii="宋体" w:hAnsi="宋体" w:cs="宋体"/>
                <w:sz w:val="24"/>
                <w:highlight w:val="none"/>
              </w:rPr>
            </w:r>
            <w:r/>
          </w:p>
        </w:tc>
        <w:tc>
          <w:tcPr>
            <w:gridSpan w:val="3"/>
            <w:tcW w:w="6255" w:type="dxa"/>
            <w:vAlign w:val="center"/>
            <w:textDirection w:val="lrTb"/>
            <w:noWrap w:val="false"/>
          </w:tcPr>
          <w:p>
            <w:pPr>
              <w:pStyle w:val="1101"/>
              <w:ind w:firstLine="560"/>
              <w:jc w:val="left"/>
              <w:spacing w:line="520" w:lineRule="exact"/>
              <w:rPr>
                <w:rFonts w:ascii="宋体" w:hAnsi="宋体" w:cs="宋体"/>
                <w:sz w:val="24"/>
                <w:highlight w:val="none"/>
              </w:rPr>
            </w:pPr>
            <w:r>
              <w:rPr>
                <w:rFonts w:ascii="宋体" w:hAnsi="宋体" w:cs="宋体"/>
                <w:sz w:val="24"/>
                <w:highlight w:val="none"/>
              </w:rPr>
            </w:r>
            <w:r/>
          </w:p>
        </w:tc>
      </w:tr>
      <w:tr>
        <w:trPr>
          <w:cantSplit/>
          <w:trHeight w:val="412"/>
        </w:trPr>
        <w:tc>
          <w:tcPr>
            <w:tcW w:w="2496" w:type="dxa"/>
            <w:vAlign w:val="center"/>
            <w:textDirection w:val="lrTb"/>
            <w:noWrap w:val="false"/>
          </w:tcPr>
          <w:p>
            <w:pPr>
              <w:pStyle w:val="1101"/>
              <w:ind w:firstLine="560"/>
              <w:jc w:val="left"/>
              <w:spacing w:line="520" w:lineRule="exact"/>
              <w:rPr>
                <w:rFonts w:ascii="宋体" w:hAnsi="宋体" w:cs="宋体"/>
                <w:sz w:val="24"/>
                <w:highlight w:val="none"/>
              </w:rPr>
            </w:pPr>
            <w:r>
              <w:rPr>
                <w:rFonts w:hint="eastAsia" w:ascii="宋体" w:hAnsi="宋体" w:cs="宋体"/>
                <w:sz w:val="24"/>
                <w:highlight w:val="none"/>
              </w:rPr>
              <w:t xml:space="preserve">经营范围</w:t>
            </w:r>
            <w:r>
              <w:rPr>
                <w:rFonts w:ascii="宋体" w:hAnsi="宋体" w:cs="宋体"/>
                <w:sz w:val="24"/>
                <w:highlight w:val="none"/>
              </w:rPr>
            </w:r>
            <w:r/>
          </w:p>
        </w:tc>
        <w:tc>
          <w:tcPr>
            <w:gridSpan w:val="3"/>
            <w:tcW w:w="6255" w:type="dxa"/>
            <w:vAlign w:val="center"/>
            <w:textDirection w:val="lrTb"/>
            <w:noWrap w:val="false"/>
          </w:tcPr>
          <w:p>
            <w:pPr>
              <w:pStyle w:val="1101"/>
              <w:ind w:firstLine="560"/>
              <w:jc w:val="left"/>
              <w:spacing w:line="520" w:lineRule="exact"/>
              <w:rPr>
                <w:rFonts w:ascii="宋体" w:hAnsi="宋体" w:cs="宋体"/>
                <w:sz w:val="24"/>
                <w:highlight w:val="none"/>
              </w:rPr>
            </w:pPr>
            <w:r>
              <w:rPr>
                <w:rFonts w:ascii="宋体" w:hAnsi="宋体" w:cs="宋体"/>
                <w:sz w:val="24"/>
                <w:highlight w:val="none"/>
              </w:rPr>
            </w:r>
            <w:r/>
          </w:p>
        </w:tc>
      </w:tr>
      <w:tr>
        <w:trPr>
          <w:cantSplit/>
          <w:trHeight w:val="77"/>
        </w:trPr>
        <w:tc>
          <w:tcPr>
            <w:tcW w:w="2496" w:type="dxa"/>
            <w:vAlign w:val="center"/>
            <w:textDirection w:val="lrTb"/>
            <w:noWrap w:val="false"/>
          </w:tcPr>
          <w:p>
            <w:pPr>
              <w:pStyle w:val="1101"/>
              <w:ind w:firstLine="560"/>
              <w:jc w:val="left"/>
              <w:spacing w:line="520" w:lineRule="exact"/>
              <w:rPr>
                <w:rFonts w:ascii="宋体" w:hAnsi="宋体" w:cs="宋体"/>
                <w:sz w:val="24"/>
                <w:highlight w:val="none"/>
              </w:rPr>
            </w:pPr>
            <w:r>
              <w:rPr>
                <w:rFonts w:hint="eastAsia" w:ascii="宋体" w:hAnsi="宋体" w:cs="宋体"/>
                <w:sz w:val="24"/>
                <w:highlight w:val="none"/>
              </w:rPr>
              <w:t xml:space="preserve">股东信息</w:t>
            </w:r>
            <w:r>
              <w:rPr>
                <w:rFonts w:ascii="宋体" w:hAnsi="宋体" w:cs="宋体"/>
                <w:sz w:val="24"/>
                <w:highlight w:val="none"/>
              </w:rPr>
            </w:r>
            <w:r/>
          </w:p>
        </w:tc>
        <w:tc>
          <w:tcPr>
            <w:gridSpan w:val="3"/>
            <w:tcW w:w="6255" w:type="dxa"/>
            <w:vAlign w:val="center"/>
            <w:textDirection w:val="lrTb"/>
            <w:noWrap w:val="false"/>
          </w:tcPr>
          <w:p>
            <w:pPr>
              <w:pStyle w:val="1101"/>
              <w:jc w:val="left"/>
              <w:spacing w:line="480" w:lineRule="exact"/>
              <w:rPr>
                <w:rFonts w:ascii="宋体" w:hAnsi="宋体" w:cs="宋体"/>
                <w:sz w:val="24"/>
                <w:highlight w:val="none"/>
              </w:rPr>
            </w:pPr>
            <w:r>
              <w:rPr>
                <w:rFonts w:hint="eastAsia" w:ascii="宋体" w:hAnsi="宋体" w:cs="宋体"/>
                <w:sz w:val="24"/>
                <w:highlight w:val="none"/>
              </w:rPr>
              <w:t xml:space="preserve">股东1（姓名或单位名称）：</w:t>
            </w:r>
            <w:r>
              <w:rPr>
                <w:rFonts w:ascii="宋体" w:hAnsi="宋体" w:cs="宋体"/>
                <w:sz w:val="24"/>
                <w:highlight w:val="none"/>
              </w:rPr>
            </w:r>
            <w:r/>
          </w:p>
          <w:p>
            <w:pPr>
              <w:pStyle w:val="1101"/>
              <w:jc w:val="left"/>
              <w:spacing w:line="480" w:lineRule="exact"/>
              <w:rPr>
                <w:rFonts w:ascii="宋体" w:hAnsi="宋体" w:cs="宋体"/>
                <w:sz w:val="24"/>
                <w:highlight w:val="none"/>
              </w:rPr>
            </w:pPr>
            <w:r>
              <w:rPr>
                <w:rFonts w:hint="eastAsia" w:ascii="宋体" w:hAnsi="宋体" w:cs="宋体"/>
                <w:sz w:val="24"/>
                <w:highlight w:val="none"/>
              </w:rPr>
              <w:t xml:space="preserve">股东1持股比例：</w:t>
            </w:r>
            <w:r>
              <w:rPr>
                <w:rFonts w:ascii="宋体" w:hAnsi="宋体" w:cs="宋体"/>
                <w:sz w:val="24"/>
                <w:highlight w:val="none"/>
              </w:rPr>
            </w:r>
            <w:r/>
          </w:p>
          <w:p>
            <w:pPr>
              <w:pStyle w:val="1101"/>
              <w:jc w:val="left"/>
              <w:spacing w:line="480" w:lineRule="exact"/>
              <w:rPr>
                <w:rFonts w:ascii="宋体" w:hAnsi="宋体" w:cs="宋体"/>
                <w:sz w:val="24"/>
                <w:highlight w:val="none"/>
              </w:rPr>
            </w:pPr>
            <w:r>
              <w:rPr>
                <w:rFonts w:ascii="宋体" w:hAnsi="宋体" w:cs="宋体"/>
                <w:sz w:val="24"/>
                <w:highlight w:val="none"/>
              </w:rPr>
            </w:r>
            <w:r/>
          </w:p>
          <w:p>
            <w:pPr>
              <w:pStyle w:val="1101"/>
              <w:jc w:val="left"/>
              <w:spacing w:line="480" w:lineRule="exact"/>
              <w:rPr>
                <w:rFonts w:ascii="宋体" w:hAnsi="宋体" w:cs="宋体"/>
                <w:sz w:val="24"/>
                <w:highlight w:val="none"/>
              </w:rPr>
            </w:pPr>
            <w:r>
              <w:rPr>
                <w:rFonts w:hint="eastAsia" w:ascii="宋体" w:hAnsi="宋体" w:cs="宋体"/>
                <w:sz w:val="24"/>
                <w:highlight w:val="none"/>
              </w:rPr>
              <w:t xml:space="preserve">股东2（姓名或单位名称）：</w:t>
            </w:r>
            <w:r>
              <w:rPr>
                <w:rFonts w:ascii="宋体" w:hAnsi="宋体" w:cs="宋体"/>
                <w:sz w:val="24"/>
                <w:highlight w:val="none"/>
              </w:rPr>
            </w:r>
            <w:r/>
          </w:p>
          <w:p>
            <w:pPr>
              <w:pStyle w:val="1101"/>
              <w:jc w:val="left"/>
              <w:spacing w:line="480" w:lineRule="exact"/>
              <w:rPr>
                <w:rFonts w:ascii="宋体" w:hAnsi="宋体" w:cs="宋体"/>
                <w:sz w:val="24"/>
                <w:highlight w:val="none"/>
              </w:rPr>
            </w:pPr>
            <w:r>
              <w:rPr>
                <w:rFonts w:hint="eastAsia" w:ascii="宋体" w:hAnsi="宋体" w:cs="宋体"/>
                <w:sz w:val="24"/>
                <w:highlight w:val="none"/>
              </w:rPr>
              <w:t xml:space="preserve">股东2持股比例：</w:t>
            </w:r>
            <w:r>
              <w:rPr>
                <w:rFonts w:ascii="宋体" w:hAnsi="宋体" w:cs="宋体"/>
                <w:sz w:val="24"/>
                <w:highlight w:val="none"/>
              </w:rPr>
            </w:r>
            <w:r/>
          </w:p>
          <w:p>
            <w:pPr>
              <w:pStyle w:val="1101"/>
              <w:jc w:val="left"/>
              <w:spacing w:line="480" w:lineRule="exact"/>
              <w:rPr>
                <w:rFonts w:ascii="宋体" w:hAnsi="宋体" w:cs="宋体"/>
                <w:sz w:val="24"/>
                <w:highlight w:val="none"/>
              </w:rPr>
            </w:pPr>
            <w:r>
              <w:rPr>
                <w:rFonts w:ascii="宋体" w:hAnsi="宋体" w:cs="宋体"/>
                <w:sz w:val="24"/>
                <w:highlight w:val="none"/>
              </w:rPr>
            </w:r>
            <w:r/>
          </w:p>
          <w:p>
            <w:pPr>
              <w:pStyle w:val="1101"/>
              <w:jc w:val="left"/>
              <w:spacing w:line="480" w:lineRule="exact"/>
              <w:rPr>
                <w:rFonts w:ascii="宋体" w:hAnsi="宋体" w:cs="宋体"/>
                <w:sz w:val="24"/>
                <w:highlight w:val="none"/>
              </w:rPr>
            </w:pPr>
            <w:r>
              <w:rPr>
                <w:rFonts w:hint="eastAsia" w:ascii="宋体" w:hAnsi="宋体" w:cs="宋体"/>
                <w:sz w:val="24"/>
                <w:highlight w:val="none"/>
              </w:rPr>
              <w:t xml:space="preserve">（不够的可自行增加）</w:t>
            </w:r>
            <w:r>
              <w:rPr>
                <w:rFonts w:ascii="宋体" w:hAnsi="宋体" w:cs="宋体"/>
                <w:sz w:val="24"/>
                <w:highlight w:val="none"/>
              </w:rPr>
            </w:r>
            <w:r/>
          </w:p>
        </w:tc>
      </w:tr>
      <w:tr>
        <w:trPr>
          <w:cantSplit/>
          <w:trHeight w:val="964"/>
        </w:trPr>
        <w:tc>
          <w:tcPr>
            <w:tcW w:w="2496" w:type="dxa"/>
            <w:vAlign w:val="center"/>
            <w:textDirection w:val="lrTb"/>
            <w:noWrap w:val="false"/>
          </w:tcPr>
          <w:p>
            <w:pPr>
              <w:pStyle w:val="1101"/>
              <w:jc w:val="left"/>
              <w:spacing w:line="520" w:lineRule="exact"/>
              <w:rPr>
                <w:rFonts w:ascii="宋体" w:hAnsi="宋体" w:cs="宋体"/>
                <w:sz w:val="24"/>
                <w:highlight w:val="none"/>
              </w:rPr>
            </w:pPr>
            <w:r>
              <w:rPr>
                <w:rFonts w:hint="eastAsia" w:ascii="宋体" w:hAnsi="宋体" w:cs="宋体"/>
                <w:sz w:val="24"/>
                <w:highlight w:val="none"/>
              </w:rPr>
              <w:t xml:space="preserve">公司是否有直接控股、管理关系的关联企业（在</w:t>
            </w:r>
            <w:r>
              <w:rPr>
                <w:rFonts w:ascii="Wingdings 2" w:hAnsi="Wingdings 2" w:eastAsia="Wingdings 2" w:cs="Wingdings 2"/>
                <w:sz w:val="24"/>
                <w:highlight w:val="none"/>
              </w:rPr>
              <w:t xml:space="preserve">£</w:t>
            </w:r>
            <w:r>
              <w:rPr>
                <w:rFonts w:hint="eastAsia" w:ascii="宋体" w:hAnsi="宋体" w:cs="宋体"/>
                <w:sz w:val="24"/>
                <w:highlight w:val="none"/>
              </w:rPr>
              <w:t xml:space="preserve"> 中进行勾选）</w:t>
            </w:r>
            <w:r>
              <w:rPr>
                <w:rFonts w:ascii="宋体" w:hAnsi="宋体" w:cs="宋体"/>
                <w:sz w:val="24"/>
                <w:highlight w:val="none"/>
              </w:rPr>
            </w:r>
            <w:r/>
          </w:p>
        </w:tc>
        <w:tc>
          <w:tcPr>
            <w:gridSpan w:val="3"/>
            <w:tcW w:w="6255" w:type="dxa"/>
            <w:vAlign w:val="center"/>
            <w:textDirection w:val="lrTb"/>
            <w:noWrap w:val="false"/>
          </w:tcPr>
          <w:p>
            <w:pPr>
              <w:pStyle w:val="1101"/>
              <w:jc w:val="left"/>
              <w:spacing w:line="500" w:lineRule="exact"/>
              <w:rPr>
                <w:rFonts w:ascii="宋体" w:hAnsi="宋体" w:cs="宋体"/>
                <w:sz w:val="24"/>
                <w:highlight w:val="none"/>
              </w:rPr>
            </w:pPr>
            <w:r>
              <w:rPr>
                <w:rFonts w:ascii="Wingdings 2" w:hAnsi="Wingdings 2" w:eastAsia="Wingdings 2" w:cs="Wingdings 2"/>
                <w:sz w:val="24"/>
                <w:highlight w:val="none"/>
              </w:rPr>
              <w:t xml:space="preserve">£</w:t>
            </w:r>
            <w:r>
              <w:rPr>
                <w:rFonts w:hint="eastAsia" w:ascii="宋体" w:hAnsi="宋体" w:cs="宋体"/>
                <w:sz w:val="24"/>
                <w:highlight w:val="none"/>
              </w:rPr>
              <w:t xml:space="preserve"> 无直接控股、管理关系的关联企业</w:t>
            </w:r>
            <w:r>
              <w:rPr>
                <w:rFonts w:ascii="宋体" w:hAnsi="宋体" w:cs="宋体"/>
                <w:sz w:val="24"/>
                <w:highlight w:val="none"/>
              </w:rPr>
            </w:r>
            <w:r/>
          </w:p>
          <w:p>
            <w:pPr>
              <w:pStyle w:val="1101"/>
              <w:jc w:val="left"/>
              <w:spacing w:line="500" w:lineRule="exact"/>
              <w:rPr>
                <w:rFonts w:ascii="宋体" w:hAnsi="宋体" w:cs="宋体"/>
                <w:sz w:val="24"/>
                <w:highlight w:val="none"/>
              </w:rPr>
            </w:pPr>
            <w:r>
              <w:rPr>
                <w:rFonts w:ascii="Wingdings 2" w:hAnsi="Wingdings 2" w:eastAsia="Wingdings 2" w:cs="Wingdings 2"/>
                <w:sz w:val="24"/>
                <w:highlight w:val="none"/>
              </w:rPr>
              <w:t xml:space="preserve">£</w:t>
            </w:r>
            <w:r>
              <w:rPr>
                <w:rFonts w:hint="eastAsia" w:ascii="宋体" w:hAnsi="宋体" w:cs="宋体"/>
                <w:sz w:val="24"/>
                <w:highlight w:val="none"/>
              </w:rPr>
              <w:t xml:space="preserve"> 有直接控股、管理关系的关联企业，关联信息如下：</w:t>
            </w:r>
            <w:r>
              <w:rPr>
                <w:rFonts w:ascii="宋体" w:hAnsi="宋体" w:cs="宋体"/>
                <w:sz w:val="24"/>
                <w:highlight w:val="none"/>
              </w:rPr>
            </w:r>
            <w:r/>
          </w:p>
          <w:p>
            <w:pPr>
              <w:pStyle w:val="1101"/>
              <w:jc w:val="left"/>
              <w:spacing w:line="500" w:lineRule="exact"/>
              <w:rPr>
                <w:rFonts w:ascii="宋体" w:hAnsi="宋体" w:cs="宋体"/>
                <w:sz w:val="24"/>
                <w:highlight w:val="none"/>
              </w:rPr>
            </w:pPr>
            <w:r>
              <w:rPr>
                <w:rFonts w:hint="eastAsia" w:ascii="宋体" w:hAnsi="宋体" w:cs="宋体"/>
                <w:sz w:val="24"/>
                <w:highlight w:val="none"/>
              </w:rPr>
              <w:t xml:space="preserve">企业1名称：</w:t>
            </w:r>
            <w:r>
              <w:rPr>
                <w:rFonts w:ascii="宋体" w:hAnsi="宋体" w:cs="宋体"/>
                <w:sz w:val="24"/>
                <w:highlight w:val="none"/>
              </w:rPr>
            </w:r>
            <w:r/>
          </w:p>
          <w:p>
            <w:pPr>
              <w:pStyle w:val="1101"/>
              <w:jc w:val="left"/>
              <w:spacing w:line="500" w:lineRule="exact"/>
              <w:rPr>
                <w:rFonts w:ascii="宋体" w:hAnsi="宋体" w:cs="宋体"/>
                <w:sz w:val="24"/>
                <w:highlight w:val="none"/>
              </w:rPr>
            </w:pPr>
            <w:r>
              <w:rPr>
                <w:rFonts w:hint="eastAsia" w:ascii="宋体" w:hAnsi="宋体" w:cs="宋体"/>
                <w:sz w:val="24"/>
                <w:highlight w:val="none"/>
              </w:rPr>
              <w:t xml:space="preserve">（直接控股</w:t>
            </w:r>
            <w:r>
              <w:rPr>
                <w:rFonts w:ascii="Wingdings 2" w:hAnsi="Wingdings 2" w:eastAsia="Wingdings 2" w:cs="Wingdings 2"/>
                <w:sz w:val="24"/>
                <w:highlight w:val="none"/>
              </w:rPr>
              <w:t xml:space="preserve">£</w:t>
            </w:r>
            <w:r>
              <w:rPr>
                <w:rFonts w:hint="eastAsia" w:ascii="宋体" w:hAnsi="宋体" w:cs="宋体"/>
                <w:sz w:val="24"/>
                <w:highlight w:val="none"/>
              </w:rPr>
              <w:t xml:space="preserve"> （持股比例：    % ；管理关系</w:t>
            </w:r>
            <w:r>
              <w:rPr>
                <w:rFonts w:ascii="Wingdings 2" w:hAnsi="Wingdings 2" w:eastAsia="Wingdings 2" w:cs="Wingdings 2"/>
                <w:sz w:val="24"/>
                <w:highlight w:val="none"/>
              </w:rPr>
              <w:t xml:space="preserve">£</w:t>
            </w:r>
            <w:r>
              <w:rPr>
                <w:rFonts w:hint="eastAsia" w:ascii="宋体" w:hAnsi="宋体" w:cs="宋体"/>
                <w:sz w:val="24"/>
                <w:highlight w:val="none"/>
              </w:rPr>
              <w:t xml:space="preserve"> ）</w:t>
            </w:r>
            <w:r>
              <w:rPr>
                <w:rFonts w:ascii="宋体" w:hAnsi="宋体" w:cs="宋体"/>
                <w:sz w:val="24"/>
                <w:highlight w:val="none"/>
              </w:rPr>
            </w:r>
            <w:r/>
          </w:p>
          <w:p>
            <w:pPr>
              <w:pStyle w:val="1101"/>
              <w:jc w:val="left"/>
              <w:spacing w:line="500" w:lineRule="exact"/>
              <w:rPr>
                <w:rFonts w:ascii="宋体" w:hAnsi="宋体" w:cs="宋体"/>
                <w:sz w:val="24"/>
                <w:highlight w:val="none"/>
              </w:rPr>
            </w:pPr>
            <w:r>
              <w:rPr>
                <w:rFonts w:hint="eastAsia" w:ascii="宋体" w:hAnsi="宋体" w:cs="宋体"/>
                <w:sz w:val="24"/>
                <w:highlight w:val="none"/>
              </w:rPr>
              <w:t xml:space="preserve">企业2名称：</w:t>
            </w:r>
            <w:r>
              <w:rPr>
                <w:rFonts w:ascii="宋体" w:hAnsi="宋体" w:cs="宋体"/>
                <w:sz w:val="24"/>
                <w:highlight w:val="none"/>
              </w:rPr>
            </w:r>
            <w:r/>
          </w:p>
          <w:p>
            <w:pPr>
              <w:pStyle w:val="1101"/>
              <w:jc w:val="left"/>
              <w:spacing w:line="500" w:lineRule="exact"/>
              <w:rPr>
                <w:rFonts w:ascii="宋体" w:hAnsi="宋体" w:cs="宋体"/>
                <w:sz w:val="24"/>
                <w:highlight w:val="none"/>
              </w:rPr>
            </w:pPr>
            <w:r>
              <w:rPr>
                <w:rFonts w:hint="eastAsia" w:ascii="宋体" w:hAnsi="宋体" w:cs="宋体"/>
                <w:sz w:val="24"/>
                <w:highlight w:val="none"/>
              </w:rPr>
              <w:t xml:space="preserve">（直接控股</w:t>
            </w:r>
            <w:r>
              <w:rPr>
                <w:rFonts w:ascii="Wingdings 2" w:hAnsi="Wingdings 2" w:eastAsia="Wingdings 2" w:cs="Wingdings 2"/>
                <w:sz w:val="24"/>
                <w:highlight w:val="none"/>
              </w:rPr>
              <w:t xml:space="preserve">£</w:t>
            </w:r>
            <w:r>
              <w:rPr>
                <w:rFonts w:hint="eastAsia" w:ascii="宋体" w:hAnsi="宋体" w:cs="宋体"/>
                <w:sz w:val="24"/>
                <w:highlight w:val="none"/>
              </w:rPr>
              <w:t xml:space="preserve"> （持股比例：    % ；管理关系</w:t>
            </w:r>
            <w:r>
              <w:rPr>
                <w:rFonts w:ascii="Wingdings 2" w:hAnsi="Wingdings 2" w:eastAsia="Wingdings 2" w:cs="Wingdings 2"/>
                <w:sz w:val="24"/>
                <w:highlight w:val="none"/>
              </w:rPr>
              <w:t xml:space="preserve">£</w:t>
            </w:r>
            <w:r>
              <w:rPr>
                <w:rFonts w:hint="eastAsia" w:ascii="宋体" w:hAnsi="宋体" w:cs="宋体"/>
                <w:sz w:val="24"/>
                <w:highlight w:val="none"/>
              </w:rPr>
              <w:t xml:space="preserve"> ）</w:t>
            </w:r>
            <w:r>
              <w:rPr>
                <w:rFonts w:ascii="宋体" w:hAnsi="宋体" w:cs="宋体"/>
                <w:sz w:val="24"/>
                <w:highlight w:val="none"/>
              </w:rPr>
            </w:r>
            <w:r/>
          </w:p>
          <w:p>
            <w:pPr>
              <w:pStyle w:val="1101"/>
              <w:jc w:val="left"/>
              <w:spacing w:line="500" w:lineRule="exact"/>
              <w:rPr>
                <w:rFonts w:ascii="宋体" w:hAnsi="宋体" w:cs="宋体"/>
                <w:sz w:val="24"/>
                <w:highlight w:val="none"/>
              </w:rPr>
            </w:pPr>
            <w:r>
              <w:rPr>
                <w:rFonts w:hint="eastAsia" w:ascii="宋体" w:hAnsi="宋体" w:cs="宋体"/>
                <w:sz w:val="24"/>
                <w:highlight w:val="none"/>
              </w:rPr>
              <w:t xml:space="preserve">（不够的可自行增加）</w:t>
            </w:r>
            <w:r>
              <w:rPr>
                <w:rFonts w:ascii="宋体" w:hAnsi="宋体" w:cs="宋体"/>
                <w:sz w:val="24"/>
                <w:highlight w:val="none"/>
              </w:rPr>
            </w:r>
            <w:r/>
          </w:p>
        </w:tc>
      </w:tr>
      <w:tr>
        <w:trPr>
          <w:cantSplit/>
          <w:trHeight w:val="2502"/>
        </w:trPr>
        <w:tc>
          <w:tcPr>
            <w:gridSpan w:val="4"/>
            <w:tcW w:w="8751" w:type="dxa"/>
            <w:vAlign w:val="center"/>
            <w:textDirection w:val="lrTb"/>
            <w:noWrap w:val="false"/>
          </w:tcPr>
          <w:p>
            <w:pPr>
              <w:pStyle w:val="1101"/>
              <w:ind w:firstLine="561"/>
              <w:jc w:val="left"/>
              <w:spacing w:line="500" w:lineRule="exact"/>
              <w:rPr>
                <w:rFonts w:ascii="宋体" w:hAnsi="宋体" w:cs="宋体"/>
                <w:sz w:val="24"/>
                <w:highlight w:val="none"/>
              </w:rPr>
            </w:pPr>
            <w:r>
              <w:rPr>
                <w:rFonts w:hint="eastAsia" w:ascii="宋体" w:hAnsi="宋体" w:cs="宋体"/>
                <w:sz w:val="24"/>
                <w:highlight w:val="none"/>
              </w:rPr>
              <w:t xml:space="preserve">上述信息内容与本单位提供给注册登记部门、行业管理部门、司法部门、行业组织以及在政府采购活动中提交的所有资料均合法、真实、有效，无任何伪造、修改、虚假成</w:t>
            </w:r>
            <w:r>
              <w:rPr>
                <w:rFonts w:hint="eastAsia" w:ascii="宋体" w:hAnsi="宋体" w:cs="宋体"/>
                <w:sz w:val="24"/>
                <w:highlight w:val="none"/>
                <w:lang w:val="en-US" w:eastAsia="zh-CN"/>
              </w:rPr>
              <w:t xml:space="preserve">分</w:t>
            </w:r>
            <w:r>
              <w:rPr>
                <w:rFonts w:hint="eastAsia" w:ascii="宋体" w:hAnsi="宋体" w:cs="宋体"/>
                <w:sz w:val="24"/>
                <w:highlight w:val="none"/>
              </w:rPr>
              <w:t xml:space="preserve">，对所提供信息的真实性、完整性、准确性负责。</w:t>
            </w:r>
            <w:r>
              <w:rPr>
                <w:rFonts w:ascii="宋体" w:hAnsi="宋体" w:cs="宋体"/>
                <w:sz w:val="24"/>
                <w:highlight w:val="none"/>
              </w:rPr>
            </w:r>
            <w:r/>
          </w:p>
          <w:p>
            <w:pPr>
              <w:pStyle w:val="1101"/>
              <w:ind w:firstLine="561"/>
              <w:jc w:val="left"/>
              <w:spacing w:line="500" w:lineRule="exact"/>
              <w:rPr>
                <w:rFonts w:ascii="宋体" w:hAnsi="宋体" w:cs="宋体"/>
                <w:sz w:val="24"/>
                <w:highlight w:val="none"/>
              </w:rPr>
            </w:pPr>
            <w:r>
              <w:rPr>
                <w:rFonts w:hint="eastAsia" w:ascii="宋体" w:hAnsi="宋体" w:cs="宋体"/>
                <w:sz w:val="24"/>
                <w:highlight w:val="none"/>
              </w:rPr>
              <w:t xml:space="preserve">供应商（盖章）：</w:t>
            </w:r>
            <w:r>
              <w:rPr>
                <w:rFonts w:ascii="宋体" w:hAnsi="宋体" w:cs="宋体"/>
                <w:sz w:val="24"/>
                <w:highlight w:val="none"/>
              </w:rPr>
            </w:r>
            <w:r/>
          </w:p>
          <w:p>
            <w:pPr>
              <w:pStyle w:val="1101"/>
              <w:ind w:firstLine="561"/>
              <w:jc w:val="left"/>
              <w:spacing w:line="500" w:lineRule="exact"/>
              <w:rPr>
                <w:rFonts w:ascii="宋体" w:hAnsi="宋体" w:cs="宋体"/>
                <w:sz w:val="24"/>
                <w:highlight w:val="none"/>
              </w:rPr>
            </w:pPr>
            <w:r>
              <w:rPr>
                <w:rFonts w:hint="eastAsia" w:ascii="宋体" w:hAnsi="宋体" w:cs="宋体"/>
                <w:sz w:val="24"/>
                <w:highlight w:val="none"/>
              </w:rPr>
              <w:t xml:space="preserve">法定代表人（签字或盖章）：</w:t>
            </w:r>
            <w:r>
              <w:rPr>
                <w:rFonts w:ascii="宋体" w:hAnsi="宋体" w:cs="宋体"/>
                <w:sz w:val="24"/>
                <w:highlight w:val="none"/>
              </w:rPr>
            </w:r>
            <w:r/>
          </w:p>
          <w:p>
            <w:pPr>
              <w:pStyle w:val="1101"/>
              <w:ind w:firstLine="560"/>
              <w:jc w:val="left"/>
              <w:spacing w:line="520" w:lineRule="exact"/>
              <w:rPr>
                <w:rFonts w:ascii="宋体" w:hAnsi="宋体" w:cs="宋体"/>
                <w:sz w:val="24"/>
                <w:highlight w:val="none"/>
              </w:rPr>
            </w:pPr>
            <w:r>
              <w:rPr>
                <w:rFonts w:hint="eastAsia" w:ascii="宋体" w:hAnsi="宋体" w:cs="宋体"/>
                <w:sz w:val="24"/>
                <w:highlight w:val="none"/>
              </w:rPr>
              <w:t xml:space="preserve">                                              日期：   年  月  日</w:t>
            </w:r>
            <w:r>
              <w:rPr>
                <w:rFonts w:ascii="宋体" w:hAnsi="宋体" w:cs="宋体"/>
                <w:sz w:val="24"/>
                <w:highlight w:val="none"/>
              </w:rPr>
            </w:r>
            <w:r/>
          </w:p>
        </w:tc>
      </w:tr>
    </w:tbl>
    <w:p>
      <w:pPr>
        <w:pStyle w:val="1101"/>
        <w:spacing w:line="360" w:lineRule="auto"/>
        <w:rPr>
          <w:color w:val="000000"/>
          <w:sz w:val="24"/>
          <w:szCs w:val="20"/>
          <w:highlight w:val="none"/>
        </w:rPr>
        <w:outlineLvl w:val="2"/>
      </w:pPr>
      <w:r>
        <w:rPr>
          <w:rFonts w:hint="eastAsia"/>
          <w:color w:val="000000"/>
          <w:sz w:val="24"/>
          <w:szCs w:val="20"/>
          <w:highlight w:val="none"/>
        </w:rPr>
        <w:br w:type="page" w:clear="all"/>
      </w:r>
      <w:r>
        <w:rPr>
          <w:rFonts w:hint="eastAsia"/>
          <w:color w:val="000000"/>
          <w:sz w:val="24"/>
          <w:szCs w:val="20"/>
          <w:highlight w:val="none"/>
        </w:rPr>
        <w:t xml:space="preserve">5</w:t>
      </w:r>
      <w:r>
        <w:rPr>
          <w:color w:val="000000"/>
          <w:sz w:val="24"/>
          <w:szCs w:val="20"/>
          <w:highlight w:val="none"/>
        </w:rPr>
        <w:t xml:space="preserve">  开标一览表</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b/>
          <w:bCs/>
          <w:color w:val="000000"/>
          <w:sz w:val="24"/>
          <w:szCs w:val="20"/>
          <w:highlight w:val="none"/>
        </w:rPr>
        <w:t xml:space="preserve">（实质性格式）</w:t>
      </w:r>
      <w:r>
        <w:rPr>
          <w:color w:val="000000"/>
          <w:sz w:val="24"/>
          <w:szCs w:val="20"/>
          <w:highlight w:val="none"/>
        </w:rPr>
      </w:r>
      <w:r/>
    </w:p>
    <w:p>
      <w:pPr>
        <w:pStyle w:val="1101"/>
        <w:jc w:val="center"/>
        <w:spacing w:line="360" w:lineRule="exact"/>
        <w:rPr>
          <w:b/>
          <w:color w:val="000000"/>
          <w:sz w:val="36"/>
          <w:szCs w:val="36"/>
          <w:highlight w:val="none"/>
        </w:rPr>
      </w:pPr>
      <w:r/>
      <w:bookmarkStart w:id="432" w:name="_Toc265228396"/>
      <w:r/>
      <w:bookmarkStart w:id="433" w:name="_Toc164608827"/>
      <w:r/>
      <w:bookmarkStart w:id="434" w:name="_Toc164608672"/>
      <w:r/>
      <w:bookmarkStart w:id="435" w:name="_Toc226337254"/>
      <w:r/>
      <w:bookmarkStart w:id="436" w:name="_Toc226965831"/>
      <w:r/>
      <w:bookmarkStart w:id="437" w:name="_Toc226309802"/>
      <w:r/>
      <w:bookmarkStart w:id="438" w:name="_Toc305158826"/>
      <w:r/>
      <w:bookmarkStart w:id="439" w:name="_Toc226965748"/>
      <w:r/>
      <w:bookmarkStart w:id="440" w:name="_Toc264969248"/>
      <w:r/>
      <w:bookmarkStart w:id="441" w:name="_Toc195842923"/>
      <w:r/>
      <w:bookmarkStart w:id="442" w:name="_Toc305158900"/>
      <w:r>
        <w:rPr>
          <w:b/>
          <w:color w:val="000000"/>
          <w:sz w:val="36"/>
          <w:szCs w:val="36"/>
          <w:highlight w:val="none"/>
        </w:rPr>
      </w:r>
      <w:r/>
    </w:p>
    <w:p>
      <w:pPr>
        <w:pStyle w:val="1101"/>
        <w:jc w:val="center"/>
        <w:spacing w:line="360" w:lineRule="auto"/>
        <w:rPr>
          <w:b/>
          <w:color w:val="000000"/>
          <w:sz w:val="36"/>
          <w:szCs w:val="36"/>
          <w:highlight w:val="none"/>
        </w:rPr>
      </w:pPr>
      <w:r>
        <w:rPr>
          <w:rFonts w:hint="eastAsia"/>
          <w:b/>
          <w:color w:val="000000"/>
          <w:sz w:val="36"/>
          <w:szCs w:val="36"/>
          <w:highlight w:val="none"/>
        </w:rPr>
        <w:t xml:space="preserve">开标一览表</w:t>
      </w:r>
      <w:bookmarkEnd w:id="432"/>
      <w:r/>
      <w:bookmarkEnd w:id="433"/>
      <w:r/>
      <w:bookmarkEnd w:id="434"/>
      <w:r/>
      <w:bookmarkEnd w:id="435"/>
      <w:r/>
      <w:bookmarkEnd w:id="436"/>
      <w:r/>
      <w:bookmarkEnd w:id="437"/>
      <w:r/>
      <w:bookmarkEnd w:id="438"/>
      <w:r/>
      <w:bookmarkEnd w:id="439"/>
      <w:r/>
      <w:bookmarkEnd w:id="440"/>
      <w:r/>
      <w:bookmarkEnd w:id="441"/>
      <w:r/>
      <w:bookmarkEnd w:id="442"/>
      <w:r>
        <w:rPr>
          <w:b/>
          <w:color w:val="000000"/>
          <w:sz w:val="36"/>
          <w:szCs w:val="36"/>
          <w:highlight w:val="none"/>
        </w:rPr>
      </w:r>
      <w:r/>
    </w:p>
    <w:p>
      <w:pPr>
        <w:pStyle w:val="1101"/>
        <w:jc w:val="left"/>
        <w:spacing w:line="360" w:lineRule="auto"/>
        <w:tabs>
          <w:tab w:val="left" w:pos="1800" w:leader="none"/>
          <w:tab w:val="left" w:pos="5580" w:leader="none"/>
        </w:tabs>
        <w:rPr>
          <w:i/>
          <w:color w:val="ff0000"/>
          <w:sz w:val="24"/>
          <w:highlight w:val="none"/>
        </w:rPr>
      </w:pPr>
      <w:r>
        <w:rPr>
          <w:i/>
          <w:color w:val="ff0000"/>
          <w:sz w:val="24"/>
          <w:highlight w:val="none"/>
        </w:rPr>
      </w:r>
      <w:r/>
    </w:p>
    <w:p>
      <w:pPr>
        <w:pStyle w:val="1101"/>
        <w:ind w:firstLine="24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w:t>
      </w:r>
      <w:r>
        <w:rPr>
          <w:color w:val="000000"/>
          <w:sz w:val="24"/>
          <w:highlight w:val="none"/>
        </w:rPr>
      </w:r>
      <w:r/>
    </w:p>
    <w:p>
      <w:pPr>
        <w:pStyle w:val="1101"/>
        <w:ind w:firstLine="6240"/>
        <w:spacing w:line="360" w:lineRule="auto"/>
        <w:tabs>
          <w:tab w:val="left" w:pos="1800" w:leader="none"/>
          <w:tab w:val="left" w:pos="5580" w:leader="none"/>
        </w:tabs>
        <w:rPr>
          <w:color w:val="000000"/>
          <w:sz w:val="24"/>
          <w:highlight w:val="none"/>
          <w:u w:val="single"/>
        </w:rPr>
      </w:pPr>
      <w:r>
        <w:rPr>
          <w:color w:val="000000"/>
          <w:sz w:val="24"/>
          <w:highlight w:val="none"/>
        </w:rPr>
        <w:t xml:space="preserve">报价单位：人民币元</w:t>
      </w:r>
      <w:r>
        <w:rPr>
          <w:color w:val="000000"/>
          <w:sz w:val="24"/>
          <w:highlight w:val="none"/>
          <w:u w:val="single"/>
        </w:rPr>
      </w:r>
      <w:r/>
    </w:p>
    <w:tbl>
      <w:tblPr>
        <w:tblW w:w="837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12"/>
        <w:gridCol w:w="6362"/>
      </w:tblGrid>
      <w:tr>
        <w:trPr>
          <w:trHeight w:val="1130"/>
        </w:trPr>
        <w:tc>
          <w:tcPr>
            <w:tcW w:w="2012" w:type="dxa"/>
            <w:vAlign w:val="center"/>
            <w:textDirection w:val="lrTb"/>
            <w:noWrap w:val="false"/>
          </w:tcPr>
          <w:p>
            <w:pPr>
              <w:pStyle w:val="1101"/>
              <w:jc w:val="center"/>
              <w:rPr>
                <w:rFonts w:ascii="宋体" w:hAnsi="宋体" w:cs="宋体"/>
                <w:b/>
                <w:bCs/>
                <w:sz w:val="24"/>
                <w:highlight w:val="none"/>
              </w:rPr>
            </w:pPr>
            <w:r>
              <w:rPr>
                <w:rFonts w:hint="eastAsia" w:ascii="宋体" w:hAnsi="宋体" w:cs="宋体"/>
                <w:b/>
                <w:bCs/>
                <w:sz w:val="24"/>
                <w:highlight w:val="none"/>
              </w:rPr>
              <w:t xml:space="preserve">投标报价</w:t>
            </w:r>
            <w:r>
              <w:rPr>
                <w:rFonts w:ascii="宋体" w:hAnsi="宋体" w:cs="宋体"/>
                <w:b/>
                <w:bCs/>
                <w:sz w:val="24"/>
                <w:highlight w:val="none"/>
              </w:rPr>
            </w:r>
            <w:r/>
          </w:p>
          <w:p>
            <w:pPr>
              <w:pStyle w:val="1101"/>
              <w:jc w:val="center"/>
              <w:rPr>
                <w:rFonts w:ascii="宋体" w:hAnsi="宋体" w:cs="宋体"/>
                <w:b/>
                <w:bCs/>
                <w:sz w:val="24"/>
                <w:highlight w:val="none"/>
              </w:rPr>
            </w:pPr>
            <w:r>
              <w:rPr>
                <w:rFonts w:hint="eastAsia" w:ascii="宋体" w:hAnsi="宋体" w:cs="宋体"/>
                <w:b/>
                <w:bCs/>
                <w:sz w:val="24"/>
                <w:highlight w:val="none"/>
              </w:rPr>
              <w:t xml:space="preserve">（人民币：元）</w:t>
            </w:r>
            <w:r>
              <w:rPr>
                <w:rFonts w:ascii="宋体" w:hAnsi="宋体" w:cs="宋体"/>
                <w:b/>
                <w:bCs/>
                <w:sz w:val="24"/>
                <w:highlight w:val="none"/>
              </w:rPr>
            </w:r>
            <w:r/>
          </w:p>
        </w:tc>
        <w:tc>
          <w:tcPr>
            <w:tcW w:w="6362" w:type="dxa"/>
            <w:vAlign w:val="center"/>
            <w:textDirection w:val="lrTb"/>
            <w:noWrap w:val="false"/>
          </w:tcPr>
          <w:p>
            <w:pPr>
              <w:pStyle w:val="1101"/>
              <w:spacing w:line="360" w:lineRule="auto"/>
              <w:rPr>
                <w:rFonts w:ascii="宋体" w:hAnsi="宋体" w:cs="宋体"/>
                <w:sz w:val="24"/>
                <w:highlight w:val="none"/>
              </w:rPr>
            </w:pPr>
            <w:r>
              <w:rPr>
                <w:rFonts w:ascii="宋体" w:hAnsi="宋体" w:cs="宋体"/>
                <w:sz w:val="24"/>
                <w:highlight w:val="none"/>
              </w:rPr>
              <w:t xml:space="preserve">大写：人民币</w:t>
            </w:r>
            <w:r>
              <w:rPr>
                <w:rFonts w:ascii="宋体" w:hAnsi="宋体" w:cs="宋体"/>
                <w:sz w:val="24"/>
                <w:highlight w:val="none"/>
              </w:rPr>
            </w:r>
            <w:r/>
          </w:p>
          <w:p>
            <w:pPr>
              <w:pStyle w:val="1101"/>
              <w:spacing w:line="360" w:lineRule="auto"/>
              <w:rPr>
                <w:rFonts w:ascii="宋体" w:hAnsi="宋体" w:cs="宋体"/>
                <w:sz w:val="24"/>
                <w:highlight w:val="none"/>
              </w:rPr>
            </w:pPr>
            <w:r>
              <w:rPr>
                <w:rFonts w:ascii="宋体" w:hAnsi="宋体" w:cs="宋体"/>
                <w:sz w:val="24"/>
                <w:highlight w:val="none"/>
              </w:rPr>
              <w:t xml:space="preserve">小写：</w:t>
            </w:r>
            <w:r>
              <w:rPr>
                <w:rFonts w:ascii="Arial" w:hAnsi="Arial" w:cs="Arial"/>
                <w:sz w:val="24"/>
                <w:highlight w:val="none"/>
              </w:rPr>
              <w:t xml:space="preserve">¥</w:t>
            </w:r>
            <w:r>
              <w:rPr>
                <w:rFonts w:ascii="宋体" w:hAnsi="宋体" w:cs="宋体"/>
                <w:sz w:val="24"/>
                <w:highlight w:val="none"/>
              </w:rPr>
            </w:r>
            <w:r/>
          </w:p>
        </w:tc>
      </w:tr>
      <w:tr>
        <w:trPr>
          <w:trHeight w:val="1303"/>
        </w:trPr>
        <w:tc>
          <w:tcPr>
            <w:tcW w:w="2012" w:type="dxa"/>
            <w:vAlign w:val="center"/>
            <w:textDirection w:val="lrTb"/>
            <w:noWrap w:val="false"/>
          </w:tcPr>
          <w:p>
            <w:pPr>
              <w:pStyle w:val="1101"/>
              <w:jc w:val="center"/>
              <w:rPr>
                <w:rFonts w:ascii="宋体" w:hAnsi="宋体" w:cs="宋体"/>
                <w:b/>
                <w:bCs/>
                <w:sz w:val="24"/>
                <w:highlight w:val="none"/>
              </w:rPr>
            </w:pPr>
            <w:r>
              <w:rPr>
                <w:rFonts w:hint="eastAsia" w:ascii="宋体" w:hAnsi="宋体" w:cs="宋体"/>
                <w:b/>
                <w:bCs/>
                <w:sz w:val="24"/>
                <w:highlight w:val="none"/>
              </w:rPr>
              <w:t xml:space="preserve">供货期</w:t>
            </w:r>
            <w:r>
              <w:rPr>
                <w:rFonts w:ascii="宋体" w:hAnsi="宋体" w:cs="宋体"/>
                <w:b/>
                <w:bCs/>
                <w:sz w:val="24"/>
                <w:highlight w:val="none"/>
              </w:rPr>
            </w:r>
            <w:r/>
          </w:p>
          <w:p>
            <w:pPr>
              <w:pStyle w:val="1101"/>
              <w:jc w:val="center"/>
              <w:spacing w:line="400" w:lineRule="exact"/>
              <w:rPr>
                <w:sz w:val="24"/>
                <w:highlight w:val="none"/>
              </w:rPr>
            </w:pPr>
            <w:r>
              <w:rPr>
                <w:rFonts w:hint="eastAsia" w:ascii="宋体" w:hAnsi="宋体" w:cs="宋体"/>
                <w:b/>
                <w:bCs/>
                <w:sz w:val="24"/>
                <w:highlight w:val="none"/>
              </w:rPr>
              <w:t xml:space="preserve">（日历天）</w:t>
            </w:r>
            <w:r>
              <w:rPr>
                <w:sz w:val="24"/>
                <w:highlight w:val="none"/>
              </w:rPr>
            </w:r>
            <w:r/>
          </w:p>
        </w:tc>
        <w:tc>
          <w:tcPr>
            <w:tcW w:w="6362" w:type="dxa"/>
            <w:vAlign w:val="center"/>
            <w:textDirection w:val="lrTb"/>
            <w:noWrap w:val="false"/>
          </w:tcPr>
          <w:p>
            <w:pPr>
              <w:pStyle w:val="1101"/>
              <w:jc w:val="center"/>
              <w:rPr>
                <w:rFonts w:ascii="宋体" w:hAnsi="宋体" w:cs="宋体"/>
                <w:sz w:val="24"/>
                <w:highlight w:val="none"/>
              </w:rPr>
            </w:pPr>
            <w:r>
              <w:rPr>
                <w:rFonts w:ascii="宋体" w:hAnsi="宋体" w:cs="宋体"/>
                <w:sz w:val="24"/>
                <w:highlight w:val="none"/>
              </w:rPr>
            </w:r>
            <w:r/>
          </w:p>
        </w:tc>
      </w:tr>
      <w:tr>
        <w:trPr>
          <w:trHeight w:val="1026"/>
        </w:trPr>
        <w:tc>
          <w:tcPr>
            <w:tcW w:w="2012" w:type="dxa"/>
            <w:vAlign w:val="center"/>
            <w:textDirection w:val="lrTb"/>
            <w:noWrap w:val="false"/>
          </w:tcPr>
          <w:p>
            <w:pPr>
              <w:pStyle w:val="1169"/>
              <w:ind w:left="0" w:firstLine="0"/>
              <w:jc w:val="center"/>
              <w:spacing w:after="0" w:line="400" w:lineRule="exact"/>
              <w:rPr>
                <w:rFonts w:ascii="宋体" w:hAnsi="宋体" w:cs="宋体"/>
                <w:szCs w:val="24"/>
                <w:highlight w:val="none"/>
              </w:rPr>
            </w:pPr>
            <w:r>
              <w:rPr>
                <w:rFonts w:hint="eastAsia" w:ascii="宋体" w:hAnsi="宋体" w:cs="宋体"/>
                <w:b/>
                <w:bCs/>
                <w:szCs w:val="24"/>
                <w:highlight w:val="none"/>
              </w:rPr>
              <w:t xml:space="preserve">免费质保期</w:t>
            </w:r>
            <w:r>
              <w:rPr>
                <w:rFonts w:ascii="宋体" w:hAnsi="宋体" w:cs="宋体"/>
                <w:szCs w:val="24"/>
                <w:highlight w:val="none"/>
              </w:rPr>
            </w:r>
            <w:r/>
          </w:p>
        </w:tc>
        <w:tc>
          <w:tcPr>
            <w:tcW w:w="6362" w:type="dxa"/>
            <w:vAlign w:val="center"/>
            <w:textDirection w:val="lrTb"/>
            <w:noWrap w:val="false"/>
          </w:tcPr>
          <w:p>
            <w:pPr>
              <w:pStyle w:val="1101"/>
              <w:jc w:val="center"/>
              <w:rPr>
                <w:rFonts w:ascii="宋体" w:hAnsi="宋体" w:cs="宋体"/>
                <w:sz w:val="24"/>
                <w:highlight w:val="none"/>
              </w:rPr>
            </w:pPr>
            <w:r>
              <w:rPr>
                <w:rFonts w:ascii="宋体" w:hAnsi="宋体" w:cs="宋体"/>
                <w:sz w:val="24"/>
                <w:highlight w:val="none"/>
              </w:rPr>
            </w:r>
            <w:r/>
          </w:p>
        </w:tc>
      </w:tr>
    </w:tbl>
    <w:p>
      <w:pPr>
        <w:pStyle w:val="1101"/>
        <w:jc w:val="left"/>
        <w:rPr>
          <w:color w:val="000000"/>
          <w:sz w:val="24"/>
          <w:highlight w:val="none"/>
        </w:rPr>
      </w:pPr>
      <w:r>
        <w:rPr>
          <w:color w:val="000000"/>
          <w:sz w:val="24"/>
          <w:highlight w:val="none"/>
        </w:rPr>
      </w:r>
      <w:r/>
    </w:p>
    <w:p>
      <w:pPr>
        <w:pStyle w:val="1101"/>
        <w:jc w:val="left"/>
        <w:spacing w:line="400" w:lineRule="exact"/>
        <w:rPr>
          <w:rFonts w:ascii="宋体" w:hAnsi="宋体" w:cs="宋体"/>
          <w:sz w:val="24"/>
          <w:szCs w:val="20"/>
          <w:highlight w:val="none"/>
        </w:rPr>
      </w:pPr>
      <w:r>
        <w:rPr>
          <w:rFonts w:hint="eastAsia" w:ascii="宋体" w:hAnsi="宋体" w:cs="宋体"/>
          <w:sz w:val="24"/>
          <w:highlight w:val="none"/>
        </w:rPr>
        <w:t xml:space="preserve">注：1</w:t>
      </w:r>
      <w:r>
        <w:rPr>
          <w:rFonts w:hint="eastAsia" w:ascii="宋体" w:hAnsi="宋体" w:cs="宋体"/>
          <w:sz w:val="24"/>
          <w:szCs w:val="20"/>
          <w:highlight w:val="none"/>
        </w:rPr>
        <w:t xml:space="preserve">.此表中，每包的投标报价应和《投标分项报价表》中的总价相一致。</w:t>
      </w:r>
      <w:r>
        <w:rPr>
          <w:rFonts w:ascii="宋体" w:hAnsi="宋体" w:cs="宋体"/>
          <w:sz w:val="24"/>
          <w:szCs w:val="20"/>
          <w:highlight w:val="none"/>
        </w:rPr>
      </w:r>
      <w:r/>
    </w:p>
    <w:p>
      <w:pPr>
        <w:pStyle w:val="1101"/>
        <w:spacing w:before="25" w:after="25" w:line="360" w:lineRule="auto"/>
        <w:rPr>
          <w:color w:val="000000"/>
          <w:sz w:val="24"/>
          <w:highlight w:val="none"/>
          <w:lang w:val="zh-CN"/>
        </w:rPr>
      </w:pPr>
      <w:r>
        <w:rPr>
          <w:color w:val="000000"/>
          <w:sz w:val="24"/>
          <w:highlight w:val="none"/>
          <w:lang w:val="zh-CN"/>
        </w:rPr>
      </w:r>
      <w:r/>
    </w:p>
    <w:p>
      <w:pPr>
        <w:pStyle w:val="1101"/>
        <w:spacing w:before="25" w:after="25" w:line="360" w:lineRule="auto"/>
        <w:rPr>
          <w:color w:val="000000"/>
          <w:sz w:val="24"/>
          <w:highlight w:val="none"/>
          <w:lang w:val="zh-CN"/>
        </w:rPr>
      </w:pPr>
      <w:r>
        <w:rPr>
          <w:color w:val="000000"/>
          <w:sz w:val="24"/>
          <w:highlight w:val="none"/>
          <w:lang w:val="zh-CN"/>
        </w:rPr>
      </w:r>
      <w:r/>
    </w:p>
    <w:p>
      <w:pPr>
        <w:pStyle w:val="1101"/>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1101"/>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01"/>
        <w:spacing w:line="360" w:lineRule="auto"/>
        <w:rPr>
          <w:sz w:val="24"/>
          <w:szCs w:val="20"/>
          <w:highlight w:val="none"/>
        </w:rPr>
        <w:outlineLvl w:val="2"/>
      </w:pPr>
      <w:r/>
      <w:bookmarkStart w:id="443" w:name="_Toc305158901"/>
      <w:r/>
      <w:bookmarkStart w:id="444" w:name="_Toc127151558"/>
      <w:r/>
      <w:bookmarkStart w:id="445" w:name="_Toc150480796"/>
      <w:r/>
      <w:bookmarkStart w:id="446" w:name="_Toc265228397"/>
      <w:r/>
      <w:bookmarkStart w:id="447" w:name="_Toc226965749"/>
      <w:r/>
      <w:bookmarkStart w:id="448" w:name="_Toc226337255"/>
      <w:r/>
      <w:bookmarkStart w:id="449" w:name="_Toc150774763"/>
      <w:r/>
      <w:bookmarkStart w:id="450" w:name="_Toc226309803"/>
      <w:r/>
      <w:bookmarkStart w:id="451" w:name="_Toc305158827"/>
      <w:r/>
      <w:bookmarkStart w:id="452" w:name="_Toc226965832"/>
      <w:r/>
      <w:bookmarkStart w:id="453" w:name="_Toc264969249"/>
      <w:r/>
      <w:bookmarkStart w:id="454" w:name="_Toc142311060"/>
      <w:r/>
      <w:bookmarkStart w:id="455" w:name="_Toc195842924"/>
      <w:r>
        <w:rPr>
          <w:color w:val="000000"/>
          <w:sz w:val="24"/>
          <w:szCs w:val="20"/>
          <w:highlight w:val="none"/>
        </w:rPr>
        <w:br w:type="page" w:clear="all"/>
      </w:r>
      <w:r>
        <w:rPr>
          <w:rFonts w:hint="eastAsia"/>
          <w:sz w:val="24"/>
          <w:szCs w:val="20"/>
          <w:highlight w:val="none"/>
        </w:rPr>
        <w:t xml:space="preserve">6</w:t>
      </w:r>
      <w:r>
        <w:rPr>
          <w:sz w:val="24"/>
          <w:szCs w:val="20"/>
          <w:highlight w:val="none"/>
        </w:rPr>
        <w:t xml:space="preserve">  投标分项报价表</w:t>
      </w:r>
      <w:r>
        <w:rPr>
          <w:b/>
          <w:bCs/>
          <w:sz w:val="24"/>
          <w:szCs w:val="20"/>
          <w:highlight w:val="none"/>
        </w:rPr>
        <w:t xml:space="preserve">（实质性格式）</w:t>
      </w:r>
      <w:r>
        <w:rPr>
          <w:sz w:val="24"/>
          <w:szCs w:val="20"/>
          <w:highlight w:val="none"/>
        </w:rPr>
      </w:r>
      <w:r/>
    </w:p>
    <w:p>
      <w:pPr>
        <w:pStyle w:val="1101"/>
        <w:jc w:val="center"/>
        <w:spacing w:line="360" w:lineRule="exact"/>
        <w:rPr>
          <w:sz w:val="36"/>
          <w:szCs w:val="36"/>
          <w:highlight w:val="none"/>
        </w:rPr>
      </w:pPr>
      <w:r>
        <w:rPr>
          <w:sz w:val="36"/>
          <w:szCs w:val="36"/>
          <w:highlight w:val="none"/>
        </w:rPr>
      </w:r>
      <w:r/>
    </w:p>
    <w:p>
      <w:pPr>
        <w:pStyle w:val="1101"/>
        <w:jc w:val="center"/>
        <w:spacing w:line="360" w:lineRule="auto"/>
        <w:rPr>
          <w:b/>
          <w:sz w:val="36"/>
          <w:szCs w:val="36"/>
          <w:highlight w:val="none"/>
        </w:rPr>
      </w:pPr>
      <w:r>
        <w:rPr>
          <w:rFonts w:hint="eastAsia"/>
          <w:b/>
          <w:sz w:val="36"/>
          <w:szCs w:val="36"/>
          <w:highlight w:val="none"/>
        </w:rPr>
        <w:t xml:space="preserve">投标分项报价表</w:t>
      </w:r>
      <w:r>
        <w:rPr>
          <w:b/>
          <w:sz w:val="36"/>
          <w:szCs w:val="36"/>
          <w:highlight w:val="none"/>
        </w:rPr>
      </w:r>
      <w:r/>
    </w:p>
    <w:p>
      <w:pPr>
        <w:pStyle w:val="1101"/>
        <w:jc w:val="center"/>
        <w:spacing w:line="260" w:lineRule="exact"/>
        <w:rPr>
          <w:sz w:val="36"/>
          <w:szCs w:val="36"/>
          <w:highlight w:val="none"/>
        </w:rPr>
      </w:pPr>
      <w:r>
        <w:rPr>
          <w:sz w:val="36"/>
          <w:szCs w:val="36"/>
          <w:highlight w:val="none"/>
        </w:rPr>
      </w:r>
      <w:r/>
    </w:p>
    <w:p>
      <w:pPr>
        <w:pStyle w:val="1101"/>
        <w:tabs>
          <w:tab w:val="left" w:pos="1800" w:leader="none"/>
          <w:tab w:val="left" w:pos="5580" w:leader="none"/>
        </w:tabs>
        <w:rPr>
          <w:sz w:val="24"/>
          <w:highlight w:val="none"/>
        </w:rPr>
      </w:pPr>
      <w:r>
        <w:rPr>
          <w:sz w:val="24"/>
          <w:highlight w:val="none"/>
        </w:rPr>
        <w:t xml:space="preserve">项目编号/包号：___________ 项目名称：__________报价单位：人民币元</w:t>
      </w:r>
      <w:r>
        <w:rPr>
          <w:sz w:val="24"/>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5"/>
        <w:gridCol w:w="1955"/>
        <w:gridCol w:w="1027"/>
        <w:gridCol w:w="976"/>
        <w:gridCol w:w="976"/>
        <w:gridCol w:w="976"/>
        <w:gridCol w:w="507"/>
        <w:gridCol w:w="511"/>
        <w:gridCol w:w="769"/>
        <w:gridCol w:w="1090"/>
      </w:tblGrid>
      <w:tr>
        <w:trPr>
          <w:cantSplit/>
          <w:trHeight w:val="283"/>
          <w:tblHeader/>
        </w:trPr>
        <w:tc>
          <w:tcPr>
            <w:tcW w:w="267" w:type="dxa"/>
            <w:vAlign w:val="center"/>
            <w:vMerge w:val="restart"/>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t xml:space="preserve">序号</w:t>
            </w:r>
            <w:r>
              <w:rPr>
                <w:rFonts w:hint="eastAsia" w:ascii="宋体" w:hAnsi="宋体" w:cs="宋体"/>
                <w:sz w:val="24"/>
                <w:highlight w:val="none"/>
              </w:rPr>
            </w:r>
            <w:r/>
          </w:p>
        </w:tc>
        <w:tc>
          <w:tcPr>
            <w:tcW w:w="1052" w:type="dxa"/>
            <w:vAlign w:val="center"/>
            <w:vMerge w:val="restart"/>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t xml:space="preserve">分项名称</w:t>
            </w:r>
            <w:r>
              <w:rPr>
                <w:rFonts w:hint="eastAsia" w:ascii="宋体" w:hAnsi="宋体" w:cs="宋体"/>
                <w:sz w:val="24"/>
                <w:highlight w:val="none"/>
              </w:rPr>
            </w:r>
            <w:r/>
          </w:p>
        </w:tc>
        <w:tc>
          <w:tcPr>
            <w:tcW w:w="553" w:type="dxa"/>
            <w:vAlign w:val="center"/>
            <w:vMerge w:val="restart"/>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t xml:space="preserve">品牌型号</w:t>
            </w:r>
            <w:r>
              <w:rPr>
                <w:rFonts w:hint="eastAsia" w:ascii="宋体" w:hAnsi="宋体" w:cs="宋体"/>
                <w:sz w:val="24"/>
                <w:highlight w:val="none"/>
              </w:rPr>
            </w:r>
            <w:r/>
          </w:p>
        </w:tc>
        <w:tc>
          <w:tcPr>
            <w:tcW w:w="526" w:type="dxa"/>
            <w:vAlign w:val="center"/>
            <w:vMerge w:val="restart"/>
            <w:textDirection w:val="lrTb"/>
            <w:noWrap w:val="false"/>
          </w:tcPr>
          <w:p>
            <w:pPr>
              <w:pStyle w:val="1101"/>
              <w:jc w:val="center"/>
              <w:widowControl/>
              <w:rPr>
                <w:rFonts w:ascii="宋体" w:hAnsi="宋体" w:cs="宋体"/>
                <w:sz w:val="24"/>
                <w:highlight w:val="none"/>
              </w:rPr>
            </w:pPr>
            <w:r>
              <w:rPr>
                <w:rFonts w:hint="eastAsia" w:ascii="宋体" w:hAnsi="宋体" w:cs="宋体"/>
                <w:sz w:val="24"/>
                <w:highlight w:val="none"/>
              </w:rPr>
              <w:t xml:space="preserve">制造商名称</w:t>
            </w:r>
            <w:r>
              <w:rPr>
                <w:rFonts w:ascii="宋体" w:hAnsi="宋体" w:cs="宋体"/>
                <w:sz w:val="24"/>
                <w:highlight w:val="none"/>
              </w:rPr>
            </w:r>
            <w:r/>
          </w:p>
        </w:tc>
        <w:tc>
          <w:tcPr>
            <w:tcW w:w="526" w:type="dxa"/>
            <w:vAlign w:val="center"/>
            <w:vMerge w:val="restart"/>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t xml:space="preserve">产地</w:t>
            </w:r>
            <w:r>
              <w:rPr>
                <w:rFonts w:hint="eastAsia" w:ascii="宋体" w:hAnsi="宋体" w:cs="宋体"/>
                <w:sz w:val="24"/>
                <w:highlight w:val="none"/>
              </w:rPr>
            </w:r>
            <w:r/>
          </w:p>
        </w:tc>
        <w:tc>
          <w:tcPr>
            <w:tcW w:w="526" w:type="dxa"/>
            <w:vAlign w:val="center"/>
            <w:vMerge w:val="restart"/>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t xml:space="preserve">技术参数</w:t>
            </w:r>
            <w:r>
              <w:rPr>
                <w:rFonts w:hint="eastAsia" w:ascii="宋体" w:hAnsi="宋体" w:cs="宋体"/>
                <w:sz w:val="24"/>
                <w:highlight w:val="none"/>
              </w:rPr>
            </w:r>
            <w:r/>
          </w:p>
        </w:tc>
        <w:tc>
          <w:tcPr>
            <w:tcW w:w="273" w:type="dxa"/>
            <w:vAlign w:val="center"/>
            <w:vMerge w:val="restart"/>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t xml:space="preserve">数量</w:t>
            </w:r>
            <w:r>
              <w:rPr>
                <w:rFonts w:hint="eastAsia" w:ascii="宋体" w:hAnsi="宋体" w:cs="宋体"/>
                <w:sz w:val="24"/>
                <w:highlight w:val="none"/>
              </w:rPr>
            </w:r>
            <w:r/>
          </w:p>
        </w:tc>
        <w:tc>
          <w:tcPr>
            <w:tcW w:w="275" w:type="dxa"/>
            <w:vAlign w:val="center"/>
            <w:vMerge w:val="restart"/>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t xml:space="preserve">单位</w:t>
            </w:r>
            <w:r>
              <w:rPr>
                <w:rFonts w:hint="eastAsia" w:ascii="宋体" w:hAnsi="宋体" w:cs="宋体"/>
                <w:sz w:val="24"/>
                <w:highlight w:val="none"/>
              </w:rPr>
            </w:r>
            <w:r/>
          </w:p>
        </w:tc>
        <w:tc>
          <w:tcPr>
            <w:gridSpan w:val="2"/>
            <w:tcW w:w="1859"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t xml:space="preserve">投标价格（元）</w:t>
            </w:r>
            <w:r>
              <w:rPr>
                <w:rFonts w:hint="eastAsia" w:ascii="宋体" w:hAnsi="宋体" w:cs="宋体"/>
                <w:sz w:val="24"/>
                <w:highlight w:val="none"/>
              </w:rPr>
            </w:r>
            <w:r/>
          </w:p>
        </w:tc>
      </w:tr>
      <w:tr>
        <w:trPr>
          <w:cantSplit/>
          <w:trHeight w:val="283"/>
          <w:tblHeader/>
        </w:trPr>
        <w:tc>
          <w:tcPr>
            <w:tcW w:w="267" w:type="dxa"/>
            <w:vAlign w:val="center"/>
            <w:vMerge w:val="continue"/>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1052" w:type="dxa"/>
            <w:vAlign w:val="center"/>
            <w:vMerge w:val="continue"/>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553" w:type="dxa"/>
            <w:vAlign w:val="center"/>
            <w:vMerge w:val="continue"/>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526" w:type="dxa"/>
            <w:vAlign w:val="center"/>
            <w:vMerge w:val="continue"/>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526" w:type="dxa"/>
            <w:vAlign w:val="center"/>
            <w:vMerge w:val="continue"/>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526" w:type="dxa"/>
            <w:vAlign w:val="center"/>
            <w:vMerge w:val="continue"/>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273" w:type="dxa"/>
            <w:vAlign w:val="center"/>
            <w:vMerge w:val="continue"/>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275" w:type="dxa"/>
            <w:vAlign w:val="center"/>
            <w:vMerge w:val="continue"/>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414"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t xml:space="preserve">单价</w:t>
            </w:r>
            <w:r>
              <w:rPr>
                <w:rFonts w:hint="eastAsia" w:ascii="宋体" w:hAnsi="宋体" w:cs="宋体"/>
                <w:sz w:val="24"/>
                <w:highlight w:val="none"/>
              </w:rPr>
            </w:r>
            <w:r/>
          </w:p>
        </w:tc>
        <w:tc>
          <w:tcPr>
            <w:tcW w:w="584"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t xml:space="preserve">合价</w:t>
            </w:r>
            <w:r>
              <w:rPr>
                <w:rFonts w:hint="eastAsia" w:ascii="宋体" w:hAnsi="宋体" w:cs="宋体"/>
                <w:sz w:val="24"/>
                <w:highlight w:val="none"/>
              </w:rPr>
            </w:r>
            <w:r/>
          </w:p>
        </w:tc>
      </w:tr>
      <w:tr>
        <w:trPr>
          <w:trHeight w:val="283"/>
        </w:trPr>
        <w:tc>
          <w:tcPr>
            <w:tcW w:w="267"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1052"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553"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526"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526"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526"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273"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275"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414"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584"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267"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1052"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553"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526"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526"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526"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273"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275"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414"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584"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267"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1052" w:type="dxa"/>
            <w:vAlign w:val="center"/>
            <w:textDirection w:val="lrTb"/>
            <w:noWrap w:val="false"/>
          </w:tcPr>
          <w:p>
            <w:pPr>
              <w:pStyle w:val="1101"/>
              <w:jc w:val="center"/>
              <w:rPr>
                <w:rFonts w:hint="eastAsia" w:ascii="宋体" w:hAnsi="宋体" w:cs="宋体"/>
                <w:spacing w:val="-6"/>
                <w:sz w:val="24"/>
                <w:highlight w:val="none"/>
              </w:rPr>
            </w:pPr>
            <w:r>
              <w:rPr>
                <w:rFonts w:hint="eastAsia" w:ascii="宋体" w:hAnsi="宋体" w:cs="宋体"/>
                <w:spacing w:val="-6"/>
                <w:sz w:val="24"/>
                <w:highlight w:val="none"/>
              </w:rPr>
            </w:r>
            <w:r/>
          </w:p>
        </w:tc>
        <w:tc>
          <w:tcPr>
            <w:tcW w:w="553"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526"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526"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526"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273"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275"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414"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584"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267"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1052" w:type="dxa"/>
            <w:vAlign w:val="center"/>
            <w:textDirection w:val="lrTb"/>
            <w:noWrap w:val="false"/>
          </w:tcPr>
          <w:p>
            <w:pPr>
              <w:pStyle w:val="1101"/>
              <w:jc w:val="center"/>
              <w:rPr>
                <w:rFonts w:hint="eastAsia" w:ascii="宋体" w:hAnsi="宋体" w:cs="宋体"/>
                <w:spacing w:val="-6"/>
                <w:sz w:val="24"/>
                <w:highlight w:val="none"/>
              </w:rPr>
            </w:pPr>
            <w:r>
              <w:rPr>
                <w:rFonts w:hint="eastAsia" w:ascii="宋体" w:hAnsi="宋体" w:cs="宋体"/>
                <w:spacing w:val="-6"/>
                <w:sz w:val="24"/>
                <w:highlight w:val="none"/>
              </w:rPr>
            </w:r>
            <w:r/>
          </w:p>
        </w:tc>
        <w:tc>
          <w:tcPr>
            <w:tcW w:w="553"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526"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526"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526"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273"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275"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414"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584"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267"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1052"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553"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526"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526"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526"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273"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275"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414"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584"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267"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1052"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553"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526"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526"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526"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273"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275"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414"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584"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267"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1052"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553"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526"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526"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526"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273"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275"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414"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584"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267"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1052" w:type="dxa"/>
            <w:vAlign w:val="center"/>
            <w:textDirection w:val="lrTb"/>
            <w:noWrap w:val="false"/>
          </w:tcPr>
          <w:p>
            <w:pPr>
              <w:pStyle w:val="1101"/>
              <w:jc w:val="center"/>
              <w:rPr>
                <w:rFonts w:hint="eastAsia" w:ascii="宋体" w:hAnsi="宋体" w:cs="宋体"/>
                <w:spacing w:val="-6"/>
                <w:sz w:val="24"/>
                <w:highlight w:val="none"/>
              </w:rPr>
            </w:pPr>
            <w:r>
              <w:rPr>
                <w:rFonts w:hint="eastAsia" w:ascii="宋体" w:hAnsi="宋体" w:cs="宋体"/>
                <w:spacing w:val="-6"/>
                <w:sz w:val="24"/>
                <w:highlight w:val="none"/>
              </w:rPr>
            </w:r>
            <w:r/>
          </w:p>
        </w:tc>
        <w:tc>
          <w:tcPr>
            <w:tcW w:w="553"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526"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526"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526"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273"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275" w:type="dxa"/>
            <w:vAlign w:val="center"/>
            <w:textDirection w:val="lrTb"/>
            <w:noWrap w:val="false"/>
          </w:tcPr>
          <w:p>
            <w:pPr>
              <w:pStyle w:val="1101"/>
              <w:jc w:val="center"/>
              <w:rPr>
                <w:rFonts w:hint="eastAsia" w:ascii="宋体" w:hAnsi="宋体" w:cs="宋体"/>
                <w:sz w:val="24"/>
                <w:highlight w:val="none"/>
              </w:rPr>
            </w:pPr>
            <w:r>
              <w:rPr>
                <w:rFonts w:hint="eastAsia" w:ascii="宋体" w:hAnsi="宋体" w:cs="宋体"/>
                <w:sz w:val="24"/>
                <w:highlight w:val="none"/>
              </w:rPr>
            </w:r>
            <w:r/>
          </w:p>
        </w:tc>
        <w:tc>
          <w:tcPr>
            <w:tcW w:w="414"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584"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267"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1052" w:type="dxa"/>
            <w:vAlign w:val="center"/>
            <w:textDirection w:val="lrTb"/>
            <w:noWrap w:val="false"/>
          </w:tcPr>
          <w:p>
            <w:pPr>
              <w:pStyle w:val="1101"/>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553"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526"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526"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526"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273"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275"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414"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584"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267"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1052" w:type="dxa"/>
            <w:vAlign w:val="center"/>
            <w:textDirection w:val="lrTb"/>
            <w:noWrap w:val="false"/>
          </w:tcPr>
          <w:p>
            <w:pPr>
              <w:pStyle w:val="1101"/>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553"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526"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526"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526"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273"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275"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414"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584"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tcW w:w="267"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1052" w:type="dxa"/>
            <w:vAlign w:val="center"/>
            <w:textDirection w:val="lrTb"/>
            <w:noWrap w:val="false"/>
          </w:tcPr>
          <w:p>
            <w:pPr>
              <w:pStyle w:val="1101"/>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553"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526"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526"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526"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273"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275"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414"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c>
          <w:tcPr>
            <w:tcW w:w="584"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r>
            <w:r/>
          </w:p>
        </w:tc>
      </w:tr>
      <w:tr>
        <w:trPr>
          <w:trHeight w:val="283"/>
        </w:trPr>
        <w:tc>
          <w:tcPr>
            <w:gridSpan w:val="2"/>
            <w:tcW w:w="2450" w:type="dxa"/>
            <w:vAlign w:val="center"/>
            <w:textDirection w:val="lrTb"/>
            <w:noWrap w:val="false"/>
          </w:tcPr>
          <w:p>
            <w:pPr>
              <w:pStyle w:val="1101"/>
              <w:jc w:val="center"/>
              <w:widowControl/>
              <w:rPr>
                <w:rFonts w:hint="eastAsia" w:ascii="宋体" w:hAnsi="宋体" w:cs="宋体"/>
                <w:sz w:val="24"/>
                <w:highlight w:val="none"/>
              </w:rPr>
            </w:pPr>
            <w:r>
              <w:rPr>
                <w:rFonts w:hint="eastAsia" w:ascii="宋体" w:hAnsi="宋体" w:cs="宋体"/>
                <w:sz w:val="24"/>
                <w:highlight w:val="none"/>
              </w:rPr>
              <w:t xml:space="preserve">合计</w:t>
            </w:r>
            <w:r>
              <w:rPr>
                <w:rFonts w:hint="eastAsia" w:ascii="宋体" w:hAnsi="宋体" w:cs="宋体"/>
                <w:sz w:val="24"/>
                <w:highlight w:val="none"/>
              </w:rPr>
            </w:r>
            <w:r/>
          </w:p>
        </w:tc>
        <w:tc>
          <w:tcPr>
            <w:gridSpan w:val="8"/>
            <w:tcW w:w="6832" w:type="dxa"/>
            <w:vAlign w:val="center"/>
            <w:textDirection w:val="lrTb"/>
            <w:noWrap w:val="false"/>
          </w:tcPr>
          <w:p>
            <w:pPr>
              <w:pStyle w:val="1101"/>
              <w:rPr>
                <w:rFonts w:hint="eastAsia" w:ascii="宋体" w:hAnsi="宋体" w:cs="宋体"/>
                <w:sz w:val="24"/>
                <w:highlight w:val="none"/>
              </w:rPr>
            </w:pPr>
            <w:r>
              <w:rPr>
                <w:rFonts w:hint="eastAsia" w:ascii="宋体" w:hAnsi="宋体" w:cs="宋体"/>
                <w:sz w:val="24"/>
                <w:highlight w:val="none"/>
              </w:rPr>
              <w:t xml:space="preserve">大写：               人民币</w:t>
            </w:r>
            <w:r>
              <w:rPr>
                <w:rFonts w:hint="eastAsia" w:ascii="宋体" w:hAnsi="宋体" w:cs="宋体"/>
                <w:sz w:val="24"/>
                <w:highlight w:val="none"/>
              </w:rPr>
            </w:r>
            <w:r/>
          </w:p>
          <w:p>
            <w:pPr>
              <w:pStyle w:val="1101"/>
              <w:jc w:val="left"/>
              <w:widowControl/>
              <w:rPr>
                <w:rFonts w:hint="eastAsia" w:ascii="宋体" w:hAnsi="宋体" w:cs="宋体"/>
                <w:sz w:val="24"/>
                <w:highlight w:val="none"/>
              </w:rPr>
            </w:pPr>
            <w:r>
              <w:rPr>
                <w:rFonts w:hint="eastAsia" w:ascii="宋体" w:hAnsi="宋体" w:cs="宋体"/>
                <w:sz w:val="24"/>
                <w:highlight w:val="none"/>
              </w:rPr>
              <w:t xml:space="preserve">小写：¥</w:t>
            </w:r>
            <w:r>
              <w:rPr>
                <w:rFonts w:hint="eastAsia" w:ascii="宋体" w:hAnsi="宋体" w:cs="宋体"/>
                <w:sz w:val="24"/>
                <w:highlight w:val="none"/>
              </w:rPr>
            </w:r>
            <w:r/>
          </w:p>
        </w:tc>
      </w:tr>
      <w:tr>
        <w:trPr>
          <w:trHeight w:val="283"/>
        </w:trPr>
        <w:tc>
          <w:tcPr>
            <w:gridSpan w:val="10"/>
            <w:tcW w:w="9282" w:type="dxa"/>
            <w:vAlign w:val="center"/>
            <w:textDirection w:val="lrTb"/>
            <w:noWrap w:val="false"/>
          </w:tcPr>
          <w:p>
            <w:pPr>
              <w:pStyle w:val="1101"/>
              <w:jc w:val="left"/>
              <w:widowControl/>
              <w:rPr>
                <w:rFonts w:hint="eastAsia" w:ascii="宋体" w:hAnsi="宋体" w:cs="宋体"/>
                <w:sz w:val="24"/>
                <w:highlight w:val="none"/>
              </w:rPr>
            </w:pPr>
            <w:r>
              <w:rPr>
                <w:rFonts w:hint="eastAsia" w:ascii="方正魏碑_GBK" w:hAnsi="方正魏碑_GBK" w:eastAsia="方正魏碑_GBK" w:cs="方正魏碑_GBK"/>
                <w:sz w:val="24"/>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sz w:val="24"/>
                <w:highlight w:val="none"/>
                <w:u w:val="single"/>
              </w:rPr>
              <w:t xml:space="preserve">     </w:t>
            </w:r>
            <w:r>
              <w:rPr>
                <w:rFonts w:hint="eastAsia" w:ascii="方正魏碑_GBK" w:hAnsi="方正魏碑_GBK" w:eastAsia="方正魏碑_GBK" w:cs="方正魏碑_GBK"/>
                <w:sz w:val="24"/>
                <w:highlight w:val="none"/>
              </w:rPr>
              <w:t xml:space="preserve">%。</w:t>
            </w:r>
            <w:r>
              <w:rPr>
                <w:rFonts w:hint="eastAsia" w:ascii="宋体" w:hAnsi="宋体" w:cs="宋体"/>
                <w:sz w:val="24"/>
                <w:highlight w:val="none"/>
              </w:rPr>
            </w:r>
            <w:r/>
          </w:p>
        </w:tc>
      </w:tr>
    </w:tbl>
    <w:p>
      <w:pPr>
        <w:pStyle w:val="1101"/>
        <w:jc w:val="left"/>
        <w:tabs>
          <w:tab w:val="left" w:pos="1800" w:leader="none"/>
          <w:tab w:val="left" w:pos="5580" w:leader="none"/>
        </w:tabs>
        <w:rPr>
          <w:sz w:val="24"/>
          <w:highlight w:val="none"/>
        </w:rPr>
      </w:pPr>
      <w:r>
        <w:rPr>
          <w:sz w:val="24"/>
          <w:highlight w:val="none"/>
        </w:rPr>
      </w:r>
      <w:r/>
    </w:p>
    <w:p>
      <w:pPr>
        <w:pStyle w:val="1101"/>
        <w:jc w:val="left"/>
        <w:tabs>
          <w:tab w:val="left" w:pos="1800" w:leader="none"/>
          <w:tab w:val="left" w:pos="5580" w:leader="none"/>
        </w:tabs>
        <w:rPr>
          <w:sz w:val="24"/>
          <w:highlight w:val="none"/>
        </w:rPr>
      </w:pPr>
      <w:r>
        <w:rPr>
          <w:sz w:val="24"/>
          <w:highlight w:val="none"/>
        </w:rPr>
      </w:r>
      <w:r/>
    </w:p>
    <w:p>
      <w:pPr>
        <w:pStyle w:val="1101"/>
        <w:jc w:val="left"/>
        <w:spacing w:line="400" w:lineRule="exact"/>
        <w:tabs>
          <w:tab w:val="left" w:pos="1800" w:leader="none"/>
          <w:tab w:val="left" w:pos="5580" w:leader="none"/>
        </w:tabs>
        <w:rPr>
          <w:rFonts w:ascii="宋体" w:hAnsi="宋体" w:cs="宋体"/>
          <w:sz w:val="24"/>
          <w:highlight w:val="none"/>
        </w:rPr>
      </w:pPr>
      <w:r>
        <w:rPr>
          <w:rFonts w:hint="eastAsia" w:ascii="宋体" w:hAnsi="宋体" w:cs="宋体"/>
          <w:sz w:val="24"/>
          <w:highlight w:val="none"/>
        </w:rPr>
        <w:t xml:space="preserve">注：1.本表应按包分别填写。</w:t>
      </w:r>
      <w:r>
        <w:rPr>
          <w:rFonts w:ascii="宋体" w:hAnsi="宋体" w:cs="宋体"/>
          <w:sz w:val="24"/>
          <w:highlight w:val="none"/>
        </w:rPr>
      </w:r>
      <w:r/>
    </w:p>
    <w:p>
      <w:pPr>
        <w:pStyle w:val="1101"/>
        <w:ind w:firstLine="482"/>
        <w:jc w:val="left"/>
        <w:spacing w:line="400" w:lineRule="exact"/>
        <w:tabs>
          <w:tab w:val="left" w:pos="1800" w:leader="none"/>
          <w:tab w:val="left" w:pos="5580" w:leader="none"/>
        </w:tabs>
        <w:rPr>
          <w:rFonts w:ascii="宋体" w:hAnsi="宋体" w:cs="宋体"/>
          <w:b/>
          <w:bCs/>
          <w:sz w:val="24"/>
          <w:highlight w:val="none"/>
          <w:u w:val="single"/>
        </w:rPr>
      </w:pPr>
      <w:r>
        <w:rPr>
          <w:rFonts w:hint="eastAsia" w:ascii="宋体" w:hAnsi="宋体" w:cs="宋体"/>
          <w:b/>
          <w:bCs/>
          <w:sz w:val="24"/>
          <w:highlight w:val="none"/>
          <w:u w:val="single"/>
        </w:rPr>
        <w:t xml:space="preserve">2.如果不提供分项报价将视为没有实质性响应招标文件。</w:t>
      </w:r>
      <w:r>
        <w:rPr>
          <w:rFonts w:ascii="宋体" w:hAnsi="宋体" w:cs="宋体"/>
          <w:b/>
          <w:bCs/>
          <w:sz w:val="24"/>
          <w:highlight w:val="none"/>
          <w:u w:val="single"/>
        </w:rPr>
      </w:r>
      <w:r/>
    </w:p>
    <w:p>
      <w:pPr>
        <w:pStyle w:val="1101"/>
        <w:ind w:firstLine="480"/>
        <w:jc w:val="left"/>
        <w:spacing w:line="400" w:lineRule="exact"/>
        <w:tabs>
          <w:tab w:val="left" w:pos="1800" w:leader="none"/>
          <w:tab w:val="left" w:pos="5580" w:leader="none"/>
        </w:tabs>
        <w:rPr>
          <w:rFonts w:ascii="宋体" w:hAnsi="宋体" w:cs="宋体"/>
          <w:sz w:val="24"/>
          <w:highlight w:val="none"/>
        </w:rPr>
      </w:pPr>
      <w:r>
        <w:rPr>
          <w:rFonts w:hint="eastAsia" w:ascii="宋体" w:hAnsi="宋体" w:cs="宋体"/>
          <w:sz w:val="24"/>
          <w:highlight w:val="none"/>
        </w:rPr>
        <w:t xml:space="preserve">3.本表行数可以按照项目分项情况增加。</w:t>
      </w:r>
      <w:r>
        <w:rPr>
          <w:rFonts w:ascii="宋体" w:hAnsi="宋体" w:cs="宋体"/>
          <w:sz w:val="24"/>
          <w:highlight w:val="none"/>
        </w:rPr>
      </w:r>
      <w:r/>
    </w:p>
    <w:p>
      <w:pPr>
        <w:pStyle w:val="1101"/>
        <w:ind w:firstLine="480"/>
        <w:jc w:val="left"/>
        <w:spacing w:line="400" w:lineRule="exact"/>
        <w:tabs>
          <w:tab w:val="left" w:pos="1800" w:leader="none"/>
          <w:tab w:val="left" w:pos="5580" w:leader="none"/>
        </w:tabs>
        <w:rPr>
          <w:rFonts w:ascii="宋体" w:hAnsi="宋体" w:cs="宋体"/>
          <w:sz w:val="24"/>
          <w:highlight w:val="none"/>
        </w:rPr>
      </w:pPr>
      <w:r>
        <w:rPr>
          <w:rFonts w:hint="eastAsia" w:ascii="宋体" w:hAnsi="宋体" w:cs="宋体"/>
          <w:sz w:val="24"/>
          <w:highlight w:val="none"/>
        </w:rPr>
        <w:t xml:space="preserve">4.上述各项的详细规格、技术参数如表格中填写不下的，可以逐项另页描述。</w:t>
      </w:r>
      <w:r>
        <w:rPr>
          <w:rFonts w:ascii="宋体" w:hAnsi="宋体" w:cs="宋体"/>
          <w:sz w:val="24"/>
          <w:highlight w:val="none"/>
        </w:rPr>
      </w:r>
      <w:r/>
    </w:p>
    <w:p>
      <w:pPr>
        <w:pStyle w:val="1101"/>
        <w:ind w:firstLine="480"/>
        <w:jc w:val="left"/>
        <w:spacing w:line="400" w:lineRule="exact"/>
        <w:tabs>
          <w:tab w:val="left" w:pos="1800" w:leader="none"/>
          <w:tab w:val="left" w:pos="5580" w:leader="none"/>
        </w:tabs>
        <w:rPr>
          <w:rFonts w:hint="eastAsia" w:ascii="宋体" w:hAnsi="宋体" w:cs="宋体"/>
          <w:sz w:val="24"/>
          <w:highlight w:val="none"/>
        </w:rPr>
      </w:pPr>
      <w:r>
        <w:rPr>
          <w:rFonts w:hint="eastAsia" w:ascii="宋体" w:hAnsi="宋体" w:cs="宋体"/>
          <w:sz w:val="24"/>
          <w:highlight w:val="none"/>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sz w:val="24"/>
          <w:highlight w:val="none"/>
        </w:rPr>
      </w:r>
      <w:r/>
    </w:p>
    <w:p>
      <w:pPr>
        <w:pStyle w:val="1101"/>
        <w:spacing w:line="400" w:lineRule="exact"/>
        <w:rPr>
          <w:sz w:val="24"/>
          <w:highlight w:val="none"/>
          <w:lang w:val="zh-CN"/>
        </w:rPr>
      </w:pPr>
      <w:r>
        <w:rPr>
          <w:sz w:val="24"/>
          <w:highlight w:val="none"/>
          <w:lang w:val="zh-CN"/>
        </w:rPr>
        <w:t xml:space="preserve">                  </w:t>
      </w:r>
      <w:r>
        <w:rPr>
          <w:sz w:val="24"/>
          <w:highlight w:val="none"/>
          <w:lang w:val="zh-CN"/>
        </w:rPr>
      </w:r>
      <w:r/>
    </w:p>
    <w:p>
      <w:pPr>
        <w:pStyle w:val="1101"/>
        <w:spacing w:line="400" w:lineRule="exact"/>
        <w:rPr>
          <w:sz w:val="24"/>
          <w:highlight w:val="none"/>
          <w:lang w:val="zh-CN"/>
        </w:rPr>
      </w:pPr>
      <w:r>
        <w:rPr>
          <w:sz w:val="24"/>
          <w:highlight w:val="none"/>
        </w:rPr>
        <w:t xml:space="preserve">投标人名称（加盖公章）</w:t>
      </w:r>
      <w:r>
        <w:rPr>
          <w:sz w:val="24"/>
          <w:highlight w:val="none"/>
          <w:lang w:val="zh-CN"/>
        </w:rPr>
        <w:t xml:space="preserve">：____________</w:t>
      </w:r>
      <w:r>
        <w:rPr>
          <w:sz w:val="24"/>
          <w:highlight w:val="none"/>
          <w:lang w:val="zh-CN"/>
        </w:rPr>
      </w:r>
      <w:r/>
    </w:p>
    <w:p>
      <w:pPr>
        <w:pStyle w:val="1101"/>
        <w:spacing w:line="400" w:lineRule="exact"/>
        <w:rPr>
          <w:sz w:val="24"/>
          <w:highlight w:val="none"/>
          <w:lang w:val="zh-CN"/>
        </w:rPr>
      </w:pPr>
      <w:r>
        <w:rPr>
          <w:sz w:val="24"/>
          <w:szCs w:val="20"/>
          <w:highlight w:val="none"/>
        </w:rPr>
        <w:t xml:space="preserve">日期：_____年______月______日   </w:t>
      </w:r>
      <w:r>
        <w:rPr>
          <w:sz w:val="24"/>
          <w:highlight w:val="none"/>
          <w:lang w:val="zh-CN"/>
        </w:rPr>
      </w:r>
      <w:r/>
    </w:p>
    <w:p>
      <w:pPr>
        <w:pStyle w:val="1101"/>
        <w:jc w:val="left"/>
        <w:widowControl/>
        <w:rPr>
          <w:color w:val="000000"/>
          <w:sz w:val="24"/>
          <w:szCs w:val="20"/>
          <w:highlight w:val="none"/>
        </w:rPr>
      </w:pPr>
      <w:r>
        <w:rPr>
          <w:sz w:val="24"/>
          <w:szCs w:val="20"/>
          <w:highlight w:val="none"/>
        </w:rPr>
        <w:br w:type="page" w:clear="all"/>
      </w:r>
      <w:r>
        <w:rPr>
          <w:color w:val="000000"/>
          <w:sz w:val="24"/>
          <w:szCs w:val="20"/>
          <w:highlight w:val="none"/>
        </w:rPr>
      </w:r>
      <w:r/>
    </w:p>
    <w:p>
      <w:pPr>
        <w:pStyle w:val="1101"/>
        <w:spacing w:line="360" w:lineRule="auto"/>
        <w:rPr>
          <w:color w:val="000000"/>
          <w:sz w:val="24"/>
          <w:szCs w:val="20"/>
          <w:highlight w:val="none"/>
        </w:rPr>
        <w:outlineLvl w:val="2"/>
      </w:pPr>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Start w:id="456" w:name="_Toc305158830"/>
      <w:r/>
      <w:bookmarkStart w:id="457" w:name="_Toc305158904"/>
      <w:r/>
      <w:bookmarkStart w:id="458" w:name="_Toc264969252"/>
      <w:r/>
      <w:bookmarkStart w:id="459" w:name="_Toc265228400"/>
      <w:r/>
      <w:bookmarkStart w:id="460" w:name="_Toc226965752"/>
      <w:r/>
      <w:bookmarkStart w:id="461" w:name="_Toc226337258"/>
      <w:r/>
      <w:bookmarkStart w:id="462" w:name="_Toc150774765"/>
      <w:r/>
      <w:bookmarkStart w:id="463" w:name="_Toc226965835"/>
      <w:r/>
      <w:bookmarkStart w:id="464" w:name="_Toc195842927"/>
      <w:r/>
      <w:bookmarkStart w:id="465" w:name="_Toc226309806"/>
      <w:r/>
      <w:bookmarkStart w:id="466" w:name="_Toc127151562"/>
      <w:r/>
      <w:bookmarkStart w:id="467" w:name="_Toc142311062"/>
      <w:r/>
      <w:bookmarkStart w:id="468" w:name="_Toc150480798"/>
      <w:r/>
      <w:bookmarkStart w:id="469" w:name="_Toc264969251"/>
      <w:r/>
      <w:bookmarkStart w:id="470" w:name="_Toc150480797"/>
      <w:r/>
      <w:bookmarkStart w:id="471" w:name="_Toc305158903"/>
      <w:r/>
      <w:bookmarkStart w:id="472" w:name="_Toc226337257"/>
      <w:r/>
      <w:bookmarkStart w:id="473" w:name="_Toc195842926"/>
      <w:r/>
      <w:bookmarkStart w:id="474" w:name="_Toc265228399"/>
      <w:r/>
      <w:bookmarkStart w:id="475" w:name="_Toc305158829"/>
      <w:r/>
      <w:bookmarkStart w:id="476" w:name="_Toc226965751"/>
      <w:r/>
      <w:bookmarkStart w:id="477" w:name="_Toc127151561"/>
      <w:r/>
      <w:bookmarkStart w:id="478" w:name="_Toc142311061"/>
      <w:r/>
      <w:bookmarkStart w:id="479" w:name="_Toc226965834"/>
      <w:r/>
      <w:bookmarkStart w:id="480" w:name="_Toc226309805"/>
      <w:r/>
      <w:bookmarkStart w:id="481" w:name="_Toc150774764"/>
      <w:r>
        <w:rPr>
          <w:rFonts w:hint="eastAsia"/>
          <w:color w:val="000000"/>
          <w:sz w:val="24"/>
          <w:szCs w:val="20"/>
          <w:highlight w:val="none"/>
        </w:rPr>
        <w:t xml:space="preserve">7</w:t>
      </w:r>
      <w:r>
        <w:rPr>
          <w:color w:val="000000"/>
          <w:sz w:val="24"/>
          <w:szCs w:val="20"/>
          <w:highlight w:val="none"/>
        </w:rPr>
        <w:t xml:space="preserve"> 合同条款偏离表</w:t>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rPr>
          <w:color w:val="000000"/>
          <w:sz w:val="24"/>
          <w:szCs w:val="20"/>
          <w:highlight w:val="none"/>
        </w:rPr>
        <w:t xml:space="preserve">（实质性格式）</w:t>
      </w:r>
      <w:r>
        <w:rPr>
          <w:color w:val="000000"/>
          <w:sz w:val="24"/>
          <w:szCs w:val="20"/>
          <w:highlight w:val="none"/>
        </w:rPr>
      </w:r>
      <w:r/>
    </w:p>
    <w:p>
      <w:pPr>
        <w:pStyle w:val="1101"/>
        <w:spacing w:line="360" w:lineRule="auto"/>
        <w:rPr>
          <w:color w:val="000000"/>
          <w:sz w:val="24"/>
          <w:szCs w:val="20"/>
          <w:highlight w:val="none"/>
        </w:rPr>
      </w:pPr>
      <w:r>
        <w:rPr>
          <w:color w:val="000000"/>
          <w:sz w:val="24"/>
          <w:szCs w:val="20"/>
          <w:highlight w:val="none"/>
        </w:rPr>
      </w:r>
      <w:r/>
    </w:p>
    <w:p>
      <w:pPr>
        <w:pStyle w:val="1101"/>
        <w:jc w:val="center"/>
        <w:spacing w:line="360" w:lineRule="auto"/>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1101"/>
        <w:spacing w:line="360" w:lineRule="auto"/>
        <w:rPr>
          <w:color w:val="000000"/>
          <w:sz w:val="24"/>
          <w:szCs w:val="20"/>
          <w:highlight w:val="none"/>
        </w:rPr>
      </w:pPr>
      <w:r>
        <w:rPr>
          <w:color w:val="000000"/>
          <w:sz w:val="24"/>
          <w:szCs w:val="20"/>
          <w:highlight w:val="none"/>
        </w:rPr>
      </w:r>
      <w:r/>
    </w:p>
    <w:p>
      <w:pPr>
        <w:pStyle w:val="1101"/>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1"/>
        <w:gridCol w:w="1980"/>
        <w:gridCol w:w="1981"/>
        <w:gridCol w:w="2423"/>
        <w:gridCol w:w="782"/>
      </w:tblGrid>
      <w:tr>
        <w:trPr>
          <w:trHeight w:val="930"/>
        </w:trPr>
        <w:tc>
          <w:tcPr>
            <w:gridSpan w:val="6"/>
            <w:tcW w:w="9289" w:type="dxa"/>
            <w:vAlign w:val="center"/>
            <w:textDirection w:val="lrTb"/>
            <w:noWrap w:val="false"/>
          </w:tcPr>
          <w:p>
            <w:pPr>
              <w:pStyle w:val="1101"/>
              <w:jc w:val="left"/>
              <w:rPr>
                <w:rFonts w:ascii="宋体" w:hAnsi="宋体" w:cs="宋体"/>
                <w:b/>
                <w:color w:val="000000"/>
                <w:sz w:val="24"/>
                <w:highlight w:val="none"/>
              </w:rPr>
            </w:pPr>
            <w:r>
              <w:rPr>
                <w:rFonts w:hint="eastAsia" w:ascii="宋体" w:hAnsi="宋体" w:cs="宋体"/>
                <w:b/>
                <w:color w:val="000000"/>
                <w:sz w:val="24"/>
                <w:highlight w:val="none"/>
              </w:rPr>
              <w:t xml:space="preserve">对本项目合同条款的偏离情况（请进行勾选）：</w:t>
            </w:r>
            <w:r>
              <w:rPr>
                <w:rFonts w:ascii="宋体" w:hAnsi="宋体" w:cs="宋体"/>
                <w:b/>
                <w:color w:val="000000"/>
                <w:sz w:val="24"/>
                <w:highlight w:val="none"/>
              </w:rPr>
            </w:r>
            <w:r/>
          </w:p>
          <w:p>
            <w:pPr>
              <w:pStyle w:val="1101"/>
              <w:jc w:val="left"/>
              <w:rPr>
                <w:rFonts w:ascii="宋体" w:hAnsi="宋体" w:cs="宋体"/>
                <w:b/>
                <w:color w:val="000000"/>
                <w:sz w:val="24"/>
                <w:highlight w:val="none"/>
              </w:rPr>
            </w:pPr>
            <w:r>
              <w:rPr>
                <w:rFonts w:hint="eastAsia" w:ascii="宋体" w:hAnsi="宋体" w:cs="宋体"/>
                <w:b/>
                <w:color w:val="000000"/>
                <w:sz w:val="24"/>
                <w:highlight w:val="none"/>
              </w:rPr>
              <w:t xml:space="preserve">□无偏离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如无偏离，仅勾选无偏离即可</w:t>
            </w:r>
            <w:r>
              <w:rPr>
                <w:rFonts w:hint="eastAsia" w:ascii="宋体" w:hAnsi="宋体" w:cs="宋体"/>
                <w:color w:val="000000"/>
                <w:sz w:val="24"/>
                <w:highlight w:val="none"/>
              </w:rPr>
              <w:t xml:space="preserve">）</w:t>
            </w:r>
            <w:r>
              <w:rPr>
                <w:rFonts w:ascii="宋体" w:hAnsi="宋体" w:cs="宋体"/>
                <w:b/>
                <w:color w:val="000000"/>
                <w:sz w:val="24"/>
                <w:highlight w:val="none"/>
              </w:rPr>
            </w:r>
            <w:r/>
          </w:p>
          <w:p>
            <w:pPr>
              <w:pStyle w:val="1101"/>
              <w:jc w:val="left"/>
              <w:rPr>
                <w:rFonts w:ascii="宋体" w:hAnsi="宋体" w:cs="宋体"/>
                <w:color w:val="000000"/>
                <w:sz w:val="24"/>
                <w:highlight w:val="none"/>
              </w:rPr>
            </w:pPr>
            <w:r>
              <w:rPr>
                <w:rFonts w:hint="eastAsia" w:ascii="宋体" w:hAnsi="宋体" w:cs="宋体"/>
                <w:b/>
                <w:color w:val="000000"/>
                <w:sz w:val="24"/>
                <w:highlight w:val="none"/>
              </w:rPr>
              <w:t xml:space="preserve">□有偏离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如有偏离，</w:t>
            </w:r>
            <w:r>
              <w:rPr>
                <w:rFonts w:hint="eastAsia" w:ascii="宋体" w:hAnsi="宋体" w:cs="宋体"/>
                <w:color w:val="000000"/>
                <w:sz w:val="24"/>
                <w:highlight w:val="none"/>
              </w:rPr>
              <w:t xml:space="preserve">则应在本表中对偏离项逐一列明）</w:t>
            </w:r>
            <w:r>
              <w:rPr>
                <w:rFonts w:ascii="宋体" w:hAnsi="宋体" w:cs="宋体"/>
                <w:color w:val="000000"/>
                <w:sz w:val="24"/>
                <w:highlight w:val="none"/>
              </w:rPr>
            </w:r>
            <w:r/>
          </w:p>
        </w:tc>
      </w:tr>
      <w:tr>
        <w:trPr>
          <w:trHeight w:val="930"/>
        </w:trPr>
        <w:tc>
          <w:tcPr>
            <w:tcW w:w="834" w:type="dxa"/>
            <w:vAlign w:val="center"/>
            <w:textDirection w:val="lrTb"/>
            <w:noWrap w:val="false"/>
          </w:tcPr>
          <w:p>
            <w:pPr>
              <w:pStyle w:val="1101"/>
              <w:jc w:val="center"/>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1301" w:type="dxa"/>
            <w:vAlign w:val="center"/>
            <w:textDirection w:val="lrTb"/>
            <w:noWrap w:val="false"/>
          </w:tcPr>
          <w:p>
            <w:pPr>
              <w:pStyle w:val="1101"/>
              <w:jc w:val="center"/>
              <w:rPr>
                <w:rFonts w:ascii="宋体" w:hAnsi="宋体" w:cs="宋体"/>
                <w:color w:val="000000"/>
                <w:sz w:val="24"/>
                <w:highlight w:val="none"/>
              </w:rPr>
            </w:pPr>
            <w:r>
              <w:rPr>
                <w:rFonts w:hint="eastAsia" w:ascii="宋体" w:hAnsi="宋体" w:cs="宋体"/>
                <w:color w:val="000000"/>
                <w:sz w:val="24"/>
                <w:szCs w:val="21"/>
                <w:highlight w:val="none"/>
              </w:rPr>
              <w:t xml:space="preserve">招标文件</w:t>
            </w:r>
            <w:r>
              <w:rPr>
                <w:rFonts w:hint="eastAsia" w:ascii="宋体" w:hAnsi="宋体" w:cs="宋体"/>
                <w:color w:val="000000"/>
                <w:sz w:val="24"/>
                <w:highlight w:val="none"/>
              </w:rPr>
              <w:t xml:space="preserve">条目号（页码）</w:t>
            </w:r>
            <w:r>
              <w:rPr>
                <w:rFonts w:ascii="宋体" w:hAnsi="宋体" w:cs="宋体"/>
                <w:color w:val="000000"/>
                <w:sz w:val="24"/>
                <w:highlight w:val="none"/>
              </w:rPr>
            </w:r>
            <w:r/>
          </w:p>
        </w:tc>
        <w:tc>
          <w:tcPr>
            <w:tcW w:w="2007" w:type="dxa"/>
            <w:vAlign w:val="center"/>
            <w:textDirection w:val="lrTb"/>
            <w:noWrap w:val="false"/>
          </w:tcPr>
          <w:p>
            <w:pPr>
              <w:pStyle w:val="1101"/>
              <w:jc w:val="center"/>
              <w:rPr>
                <w:rFonts w:ascii="宋体" w:hAnsi="宋体" w:cs="宋体"/>
                <w:color w:val="000000"/>
                <w:sz w:val="24"/>
                <w:highlight w:val="none"/>
              </w:rPr>
            </w:pPr>
            <w:r>
              <w:rPr>
                <w:rFonts w:hint="eastAsia" w:ascii="宋体" w:hAnsi="宋体" w:cs="宋体"/>
                <w:color w:val="000000"/>
                <w:sz w:val="24"/>
                <w:szCs w:val="21"/>
                <w:highlight w:val="none"/>
              </w:rPr>
              <w:t xml:space="preserve">招标文件</w:t>
            </w:r>
            <w:r>
              <w:rPr>
                <w:rFonts w:hint="eastAsia" w:ascii="宋体" w:hAnsi="宋体" w:cs="宋体"/>
                <w:color w:val="000000"/>
                <w:sz w:val="24"/>
                <w:highlight w:val="none"/>
              </w:rPr>
              <w:t xml:space="preserve">要求</w:t>
            </w:r>
            <w:r>
              <w:rPr>
                <w:rFonts w:ascii="宋体" w:hAnsi="宋体" w:cs="宋体"/>
                <w:color w:val="000000"/>
                <w:sz w:val="24"/>
                <w:highlight w:val="none"/>
              </w:rPr>
            </w:r>
            <w:r/>
          </w:p>
        </w:tc>
        <w:tc>
          <w:tcPr>
            <w:tcW w:w="2008" w:type="dxa"/>
            <w:vAlign w:val="center"/>
            <w:textDirection w:val="lrTb"/>
            <w:noWrap w:val="false"/>
          </w:tcPr>
          <w:p>
            <w:pPr>
              <w:pStyle w:val="1101"/>
              <w:jc w:val="center"/>
              <w:rPr>
                <w:rFonts w:ascii="宋体" w:hAnsi="宋体" w:cs="宋体"/>
                <w:color w:val="000000"/>
                <w:sz w:val="24"/>
                <w:highlight w:val="none"/>
              </w:rPr>
            </w:pPr>
            <w:r>
              <w:rPr>
                <w:rFonts w:hint="eastAsia" w:ascii="宋体" w:hAnsi="宋体" w:cs="宋体"/>
                <w:color w:val="000000"/>
                <w:sz w:val="24"/>
                <w:highlight w:val="none"/>
              </w:rPr>
              <w:t xml:space="preserve">投标文件内容</w:t>
            </w:r>
            <w:r>
              <w:rPr>
                <w:rFonts w:ascii="宋体" w:hAnsi="宋体" w:cs="宋体"/>
                <w:color w:val="000000"/>
                <w:sz w:val="24"/>
                <w:highlight w:val="none"/>
              </w:rPr>
            </w:r>
            <w:r/>
          </w:p>
        </w:tc>
        <w:tc>
          <w:tcPr>
            <w:tcW w:w="2458" w:type="dxa"/>
            <w:vAlign w:val="center"/>
            <w:textDirection w:val="lrTb"/>
            <w:noWrap w:val="false"/>
          </w:tcPr>
          <w:p>
            <w:pPr>
              <w:pStyle w:val="1101"/>
              <w:jc w:val="center"/>
              <w:rPr>
                <w:rFonts w:ascii="宋体" w:hAnsi="宋体" w:cs="宋体"/>
                <w:color w:val="000000"/>
                <w:sz w:val="24"/>
                <w:highlight w:val="none"/>
              </w:rPr>
            </w:pPr>
            <w:r>
              <w:rPr>
                <w:rFonts w:hint="eastAsia" w:ascii="宋体" w:hAnsi="宋体" w:cs="宋体"/>
                <w:color w:val="000000"/>
                <w:sz w:val="24"/>
                <w:highlight w:val="none"/>
              </w:rPr>
              <w:t xml:space="preserve">偏离情况</w:t>
            </w:r>
            <w:r>
              <w:rPr>
                <w:rFonts w:ascii="宋体" w:hAnsi="宋体" w:cs="宋体"/>
                <w:color w:val="000000"/>
                <w:sz w:val="24"/>
                <w:highlight w:val="none"/>
              </w:rPr>
            </w:r>
            <w:r/>
          </w:p>
        </w:tc>
        <w:tc>
          <w:tcPr>
            <w:tcW w:w="788" w:type="dxa"/>
            <w:vAlign w:val="center"/>
            <w:textDirection w:val="lrTb"/>
            <w:noWrap w:val="false"/>
          </w:tcPr>
          <w:p>
            <w:pPr>
              <w:pStyle w:val="1101"/>
              <w:jc w:val="center"/>
              <w:rPr>
                <w:rFonts w:ascii="宋体" w:hAnsi="宋体" w:cs="宋体"/>
                <w:color w:val="000000"/>
                <w:sz w:val="24"/>
                <w:highlight w:val="none"/>
              </w:rPr>
            </w:pPr>
            <w:r>
              <w:rPr>
                <w:rFonts w:hint="eastAsia" w:ascii="宋体" w:hAnsi="宋体" w:cs="宋体"/>
                <w:color w:val="000000"/>
                <w:sz w:val="24"/>
                <w:highlight w:val="none"/>
              </w:rPr>
              <w:t xml:space="preserve">说明</w:t>
            </w:r>
            <w:r>
              <w:rPr>
                <w:rFonts w:ascii="宋体" w:hAnsi="宋体" w:cs="宋体"/>
                <w:color w:val="000000"/>
                <w:sz w:val="24"/>
                <w:highlight w:val="none"/>
              </w:rPr>
            </w:r>
            <w:r/>
          </w:p>
        </w:tc>
      </w:tr>
      <w:tr>
        <w:trPr>
          <w:trHeight w:val="930"/>
        </w:trPr>
        <w:tc>
          <w:tcPr>
            <w:tcW w:w="834" w:type="dxa"/>
            <w:vAlign w:val="center"/>
            <w:textDirection w:val="lrTb"/>
            <w:noWrap w:val="false"/>
          </w:tcPr>
          <w:p>
            <w:pPr>
              <w:pStyle w:val="1101"/>
              <w:jc w:val="center"/>
              <w:rPr>
                <w:rFonts w:ascii="宋体" w:hAnsi="宋体" w:cs="宋体"/>
                <w:color w:val="000000"/>
                <w:sz w:val="24"/>
                <w:highlight w:val="none"/>
              </w:rPr>
            </w:pPr>
            <w:r>
              <w:rPr>
                <w:rFonts w:ascii="宋体" w:hAnsi="宋体" w:cs="宋体"/>
                <w:color w:val="000000"/>
                <w:sz w:val="24"/>
                <w:highlight w:val="none"/>
              </w:rPr>
            </w:r>
            <w:r/>
          </w:p>
        </w:tc>
        <w:tc>
          <w:tcPr>
            <w:tcW w:w="1301" w:type="dxa"/>
            <w:vAlign w:val="center"/>
            <w:textDirection w:val="lrTb"/>
            <w:noWrap w:val="false"/>
          </w:tcPr>
          <w:p>
            <w:pPr>
              <w:pStyle w:val="1101"/>
              <w:jc w:val="center"/>
              <w:rPr>
                <w:rFonts w:ascii="宋体" w:hAnsi="宋体" w:cs="宋体"/>
                <w:color w:val="000000"/>
                <w:sz w:val="24"/>
                <w:highlight w:val="none"/>
              </w:rPr>
            </w:pPr>
            <w:r>
              <w:rPr>
                <w:rFonts w:ascii="宋体" w:hAnsi="宋体" w:cs="宋体"/>
                <w:color w:val="000000"/>
                <w:sz w:val="24"/>
                <w:highlight w:val="none"/>
              </w:rPr>
            </w:r>
            <w:r/>
          </w:p>
        </w:tc>
        <w:tc>
          <w:tcPr>
            <w:tcW w:w="2007" w:type="dxa"/>
            <w:vAlign w:val="center"/>
            <w:textDirection w:val="lrTb"/>
            <w:noWrap w:val="false"/>
          </w:tcPr>
          <w:p>
            <w:pPr>
              <w:pStyle w:val="1101"/>
              <w:jc w:val="center"/>
              <w:rPr>
                <w:rFonts w:ascii="宋体" w:hAnsi="宋体" w:cs="宋体"/>
                <w:color w:val="000000"/>
                <w:sz w:val="24"/>
                <w:highlight w:val="none"/>
              </w:rPr>
            </w:pPr>
            <w:r>
              <w:rPr>
                <w:rFonts w:ascii="宋体" w:hAnsi="宋体" w:cs="宋体"/>
                <w:color w:val="000000"/>
                <w:sz w:val="24"/>
                <w:highlight w:val="none"/>
              </w:rPr>
            </w:r>
            <w:r/>
          </w:p>
        </w:tc>
        <w:tc>
          <w:tcPr>
            <w:tcW w:w="2008" w:type="dxa"/>
            <w:vAlign w:val="center"/>
            <w:textDirection w:val="lrTb"/>
            <w:noWrap w:val="false"/>
          </w:tcPr>
          <w:p>
            <w:pPr>
              <w:pStyle w:val="1101"/>
              <w:jc w:val="center"/>
              <w:rPr>
                <w:rFonts w:ascii="宋体" w:hAnsi="宋体" w:cs="宋体"/>
                <w:color w:val="000000"/>
                <w:sz w:val="24"/>
                <w:highlight w:val="none"/>
              </w:rPr>
            </w:pPr>
            <w:r>
              <w:rPr>
                <w:rFonts w:ascii="宋体" w:hAnsi="宋体" w:cs="宋体"/>
                <w:color w:val="000000"/>
                <w:sz w:val="24"/>
                <w:highlight w:val="none"/>
              </w:rPr>
            </w:r>
            <w:r/>
          </w:p>
        </w:tc>
        <w:tc>
          <w:tcPr>
            <w:tcW w:w="2458" w:type="dxa"/>
            <w:vAlign w:val="center"/>
            <w:textDirection w:val="lrTb"/>
            <w:noWrap w:val="false"/>
          </w:tcPr>
          <w:p>
            <w:pPr>
              <w:pStyle w:val="1101"/>
              <w:jc w:val="center"/>
              <w:rPr>
                <w:rFonts w:ascii="宋体" w:hAnsi="宋体" w:cs="宋体"/>
                <w:color w:val="000000"/>
                <w:sz w:val="24"/>
                <w:highlight w:val="none"/>
              </w:rPr>
            </w:pPr>
            <w:r>
              <w:rPr>
                <w:rFonts w:ascii="宋体" w:hAnsi="宋体" w:cs="宋体"/>
                <w:color w:val="000000"/>
                <w:sz w:val="24"/>
                <w:highlight w:val="none"/>
              </w:rPr>
            </w:r>
            <w:r/>
          </w:p>
        </w:tc>
        <w:tc>
          <w:tcPr>
            <w:tcW w:w="788" w:type="dxa"/>
            <w:vAlign w:val="center"/>
            <w:textDirection w:val="lrTb"/>
            <w:noWrap w:val="false"/>
          </w:tcPr>
          <w:p>
            <w:pPr>
              <w:pStyle w:val="1101"/>
              <w:jc w:val="center"/>
              <w:rPr>
                <w:rFonts w:ascii="宋体" w:hAnsi="宋体" w:cs="宋体"/>
                <w:color w:val="000000"/>
                <w:sz w:val="24"/>
                <w:highlight w:val="none"/>
              </w:rPr>
            </w:pPr>
            <w:r>
              <w:rPr>
                <w:rFonts w:ascii="宋体" w:hAnsi="宋体" w:cs="宋体"/>
                <w:color w:val="000000"/>
                <w:sz w:val="24"/>
                <w:highlight w:val="none"/>
              </w:rPr>
            </w:r>
            <w:r/>
          </w:p>
        </w:tc>
      </w:tr>
      <w:tr>
        <w:trPr>
          <w:trHeight w:val="930"/>
        </w:trPr>
        <w:tc>
          <w:tcPr>
            <w:tcW w:w="834" w:type="dxa"/>
            <w:vAlign w:val="center"/>
            <w:textDirection w:val="lrTb"/>
            <w:noWrap w:val="false"/>
          </w:tcPr>
          <w:p>
            <w:pPr>
              <w:pStyle w:val="1101"/>
              <w:jc w:val="center"/>
              <w:rPr>
                <w:rFonts w:ascii="宋体" w:hAnsi="宋体" w:cs="宋体"/>
                <w:color w:val="000000"/>
                <w:sz w:val="24"/>
                <w:highlight w:val="none"/>
              </w:rPr>
            </w:pPr>
            <w:r>
              <w:rPr>
                <w:rFonts w:ascii="宋体" w:hAnsi="宋体" w:cs="宋体"/>
                <w:color w:val="000000"/>
                <w:sz w:val="24"/>
                <w:highlight w:val="none"/>
              </w:rPr>
            </w:r>
            <w:r/>
          </w:p>
        </w:tc>
        <w:tc>
          <w:tcPr>
            <w:tcW w:w="1301" w:type="dxa"/>
            <w:vAlign w:val="center"/>
            <w:textDirection w:val="lrTb"/>
            <w:noWrap w:val="false"/>
          </w:tcPr>
          <w:p>
            <w:pPr>
              <w:pStyle w:val="1101"/>
              <w:jc w:val="center"/>
              <w:rPr>
                <w:rFonts w:ascii="宋体" w:hAnsi="宋体" w:cs="宋体"/>
                <w:color w:val="000000"/>
                <w:sz w:val="24"/>
                <w:highlight w:val="none"/>
              </w:rPr>
            </w:pPr>
            <w:r>
              <w:rPr>
                <w:rFonts w:ascii="宋体" w:hAnsi="宋体" w:cs="宋体"/>
                <w:color w:val="000000"/>
                <w:sz w:val="24"/>
                <w:highlight w:val="none"/>
              </w:rPr>
            </w:r>
            <w:r/>
          </w:p>
        </w:tc>
        <w:tc>
          <w:tcPr>
            <w:tcW w:w="2007" w:type="dxa"/>
            <w:vAlign w:val="center"/>
            <w:textDirection w:val="lrTb"/>
            <w:noWrap w:val="false"/>
          </w:tcPr>
          <w:p>
            <w:pPr>
              <w:pStyle w:val="1101"/>
              <w:jc w:val="center"/>
              <w:rPr>
                <w:rFonts w:ascii="宋体" w:hAnsi="宋体" w:cs="宋体"/>
                <w:color w:val="000000"/>
                <w:sz w:val="24"/>
                <w:highlight w:val="none"/>
              </w:rPr>
            </w:pPr>
            <w:r>
              <w:rPr>
                <w:rFonts w:ascii="宋体" w:hAnsi="宋体" w:cs="宋体"/>
                <w:color w:val="000000"/>
                <w:sz w:val="24"/>
                <w:highlight w:val="none"/>
              </w:rPr>
            </w:r>
            <w:r/>
          </w:p>
        </w:tc>
        <w:tc>
          <w:tcPr>
            <w:tcW w:w="2008" w:type="dxa"/>
            <w:vAlign w:val="center"/>
            <w:textDirection w:val="lrTb"/>
            <w:noWrap w:val="false"/>
          </w:tcPr>
          <w:p>
            <w:pPr>
              <w:pStyle w:val="1101"/>
              <w:jc w:val="center"/>
              <w:rPr>
                <w:rFonts w:ascii="宋体" w:hAnsi="宋体" w:cs="宋体"/>
                <w:color w:val="000000"/>
                <w:sz w:val="24"/>
                <w:highlight w:val="none"/>
              </w:rPr>
            </w:pPr>
            <w:r>
              <w:rPr>
                <w:rFonts w:ascii="宋体" w:hAnsi="宋体" w:cs="宋体"/>
                <w:color w:val="000000"/>
                <w:sz w:val="24"/>
                <w:highlight w:val="none"/>
              </w:rPr>
            </w:r>
            <w:r/>
          </w:p>
        </w:tc>
        <w:tc>
          <w:tcPr>
            <w:tcW w:w="2458" w:type="dxa"/>
            <w:vAlign w:val="center"/>
            <w:textDirection w:val="lrTb"/>
            <w:noWrap w:val="false"/>
          </w:tcPr>
          <w:p>
            <w:pPr>
              <w:pStyle w:val="1101"/>
              <w:jc w:val="center"/>
              <w:rPr>
                <w:rFonts w:ascii="宋体" w:hAnsi="宋体" w:cs="宋体"/>
                <w:color w:val="000000"/>
                <w:sz w:val="24"/>
                <w:highlight w:val="none"/>
              </w:rPr>
            </w:pPr>
            <w:r>
              <w:rPr>
                <w:rFonts w:ascii="宋体" w:hAnsi="宋体" w:cs="宋体"/>
                <w:color w:val="000000"/>
                <w:sz w:val="24"/>
                <w:highlight w:val="none"/>
              </w:rPr>
            </w:r>
            <w:r/>
          </w:p>
        </w:tc>
        <w:tc>
          <w:tcPr>
            <w:tcW w:w="788" w:type="dxa"/>
            <w:vAlign w:val="center"/>
            <w:textDirection w:val="lrTb"/>
            <w:noWrap w:val="false"/>
          </w:tcPr>
          <w:p>
            <w:pPr>
              <w:pStyle w:val="1101"/>
              <w:jc w:val="center"/>
              <w:rPr>
                <w:rFonts w:ascii="宋体" w:hAnsi="宋体" w:cs="宋体"/>
                <w:color w:val="000000"/>
                <w:sz w:val="24"/>
                <w:highlight w:val="none"/>
              </w:rPr>
            </w:pPr>
            <w:r>
              <w:rPr>
                <w:rFonts w:ascii="宋体" w:hAnsi="宋体" w:cs="宋体"/>
                <w:color w:val="000000"/>
                <w:sz w:val="24"/>
                <w:highlight w:val="none"/>
              </w:rPr>
            </w:r>
            <w:r/>
          </w:p>
        </w:tc>
      </w:tr>
      <w:tr>
        <w:trPr>
          <w:trHeight w:val="930"/>
        </w:trPr>
        <w:tc>
          <w:tcPr>
            <w:tcW w:w="834" w:type="dxa"/>
            <w:vAlign w:val="center"/>
            <w:textDirection w:val="lrTb"/>
            <w:noWrap w:val="false"/>
          </w:tcPr>
          <w:p>
            <w:pPr>
              <w:pStyle w:val="1101"/>
              <w:jc w:val="center"/>
              <w:rPr>
                <w:rFonts w:ascii="宋体" w:hAnsi="宋体" w:cs="宋体"/>
                <w:color w:val="000000"/>
                <w:sz w:val="24"/>
                <w:highlight w:val="none"/>
              </w:rPr>
            </w:pPr>
            <w:r>
              <w:rPr>
                <w:rFonts w:ascii="宋体" w:hAnsi="宋体" w:cs="宋体"/>
                <w:color w:val="000000"/>
                <w:sz w:val="24"/>
                <w:highlight w:val="none"/>
              </w:rPr>
            </w:r>
            <w:r/>
          </w:p>
        </w:tc>
        <w:tc>
          <w:tcPr>
            <w:tcW w:w="1301" w:type="dxa"/>
            <w:vAlign w:val="center"/>
            <w:textDirection w:val="lrTb"/>
            <w:noWrap w:val="false"/>
          </w:tcPr>
          <w:p>
            <w:pPr>
              <w:pStyle w:val="1101"/>
              <w:jc w:val="center"/>
              <w:rPr>
                <w:rFonts w:ascii="宋体" w:hAnsi="宋体" w:cs="宋体"/>
                <w:color w:val="000000"/>
                <w:sz w:val="24"/>
                <w:highlight w:val="none"/>
              </w:rPr>
            </w:pPr>
            <w:r>
              <w:rPr>
                <w:rFonts w:ascii="宋体" w:hAnsi="宋体" w:cs="宋体"/>
                <w:color w:val="000000"/>
                <w:sz w:val="24"/>
                <w:highlight w:val="none"/>
              </w:rPr>
            </w:r>
            <w:r/>
          </w:p>
        </w:tc>
        <w:tc>
          <w:tcPr>
            <w:tcW w:w="2007" w:type="dxa"/>
            <w:vAlign w:val="center"/>
            <w:textDirection w:val="lrTb"/>
            <w:noWrap w:val="false"/>
          </w:tcPr>
          <w:p>
            <w:pPr>
              <w:pStyle w:val="1101"/>
              <w:jc w:val="center"/>
              <w:rPr>
                <w:rFonts w:ascii="宋体" w:hAnsi="宋体" w:cs="宋体"/>
                <w:color w:val="000000"/>
                <w:sz w:val="24"/>
                <w:highlight w:val="none"/>
              </w:rPr>
            </w:pPr>
            <w:r>
              <w:rPr>
                <w:rFonts w:ascii="宋体" w:hAnsi="宋体" w:cs="宋体"/>
                <w:color w:val="000000"/>
                <w:sz w:val="24"/>
                <w:highlight w:val="none"/>
              </w:rPr>
            </w:r>
            <w:r/>
          </w:p>
        </w:tc>
        <w:tc>
          <w:tcPr>
            <w:tcW w:w="2008" w:type="dxa"/>
            <w:vAlign w:val="center"/>
            <w:textDirection w:val="lrTb"/>
            <w:noWrap w:val="false"/>
          </w:tcPr>
          <w:p>
            <w:pPr>
              <w:pStyle w:val="1101"/>
              <w:jc w:val="center"/>
              <w:rPr>
                <w:rFonts w:ascii="宋体" w:hAnsi="宋体" w:cs="宋体"/>
                <w:color w:val="000000"/>
                <w:sz w:val="24"/>
                <w:highlight w:val="none"/>
              </w:rPr>
            </w:pPr>
            <w:r>
              <w:rPr>
                <w:rFonts w:ascii="宋体" w:hAnsi="宋体" w:cs="宋体"/>
                <w:color w:val="000000"/>
                <w:sz w:val="24"/>
                <w:highlight w:val="none"/>
              </w:rPr>
            </w:r>
            <w:r/>
          </w:p>
        </w:tc>
        <w:tc>
          <w:tcPr>
            <w:tcW w:w="2458" w:type="dxa"/>
            <w:vAlign w:val="center"/>
            <w:textDirection w:val="lrTb"/>
            <w:noWrap w:val="false"/>
          </w:tcPr>
          <w:p>
            <w:pPr>
              <w:pStyle w:val="1101"/>
              <w:jc w:val="center"/>
              <w:rPr>
                <w:rFonts w:ascii="宋体" w:hAnsi="宋体" w:cs="宋体"/>
                <w:color w:val="000000"/>
                <w:sz w:val="24"/>
                <w:highlight w:val="none"/>
              </w:rPr>
            </w:pPr>
            <w:r>
              <w:rPr>
                <w:rFonts w:ascii="宋体" w:hAnsi="宋体" w:cs="宋体"/>
                <w:color w:val="000000"/>
                <w:sz w:val="24"/>
                <w:highlight w:val="none"/>
              </w:rPr>
            </w:r>
            <w:r/>
          </w:p>
        </w:tc>
        <w:tc>
          <w:tcPr>
            <w:tcW w:w="788" w:type="dxa"/>
            <w:vAlign w:val="center"/>
            <w:textDirection w:val="lrTb"/>
            <w:noWrap w:val="false"/>
          </w:tcPr>
          <w:p>
            <w:pPr>
              <w:pStyle w:val="1101"/>
              <w:jc w:val="center"/>
              <w:rPr>
                <w:rFonts w:ascii="宋体" w:hAnsi="宋体" w:cs="宋体"/>
                <w:color w:val="000000"/>
                <w:sz w:val="24"/>
                <w:highlight w:val="none"/>
              </w:rPr>
            </w:pPr>
            <w:r>
              <w:rPr>
                <w:rFonts w:ascii="宋体" w:hAnsi="宋体" w:cs="宋体"/>
                <w:color w:val="000000"/>
                <w:sz w:val="24"/>
                <w:highlight w:val="none"/>
              </w:rPr>
            </w:r>
            <w:r/>
          </w:p>
        </w:tc>
      </w:tr>
      <w:tr>
        <w:trPr>
          <w:trHeight w:val="930"/>
        </w:trPr>
        <w:tc>
          <w:tcPr>
            <w:tcW w:w="834" w:type="dxa"/>
            <w:vAlign w:val="center"/>
            <w:textDirection w:val="lrTb"/>
            <w:noWrap w:val="false"/>
          </w:tcPr>
          <w:p>
            <w:pPr>
              <w:pStyle w:val="1101"/>
              <w:jc w:val="center"/>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tc>
        <w:tc>
          <w:tcPr>
            <w:tcW w:w="1301" w:type="dxa"/>
            <w:vAlign w:val="center"/>
            <w:textDirection w:val="lrTb"/>
            <w:noWrap w:val="false"/>
          </w:tcPr>
          <w:p>
            <w:pPr>
              <w:pStyle w:val="1101"/>
              <w:jc w:val="center"/>
              <w:rPr>
                <w:rFonts w:ascii="宋体" w:hAnsi="宋体" w:cs="宋体"/>
                <w:color w:val="000000"/>
                <w:sz w:val="24"/>
                <w:highlight w:val="none"/>
              </w:rPr>
            </w:pPr>
            <w:r>
              <w:rPr>
                <w:rFonts w:ascii="宋体" w:hAnsi="宋体" w:cs="宋体"/>
                <w:color w:val="000000"/>
                <w:sz w:val="24"/>
                <w:highlight w:val="none"/>
              </w:rPr>
            </w:r>
            <w:r/>
          </w:p>
        </w:tc>
        <w:tc>
          <w:tcPr>
            <w:tcW w:w="2007" w:type="dxa"/>
            <w:vAlign w:val="center"/>
            <w:textDirection w:val="lrTb"/>
            <w:noWrap w:val="false"/>
          </w:tcPr>
          <w:p>
            <w:pPr>
              <w:pStyle w:val="1101"/>
              <w:jc w:val="center"/>
              <w:rPr>
                <w:rFonts w:ascii="宋体" w:hAnsi="宋体" w:cs="宋体"/>
                <w:color w:val="000000"/>
                <w:sz w:val="24"/>
                <w:highlight w:val="none"/>
              </w:rPr>
            </w:pPr>
            <w:r>
              <w:rPr>
                <w:rFonts w:ascii="宋体" w:hAnsi="宋体" w:cs="宋体"/>
                <w:color w:val="000000"/>
                <w:sz w:val="24"/>
                <w:highlight w:val="none"/>
              </w:rPr>
            </w:r>
            <w:r/>
          </w:p>
        </w:tc>
        <w:tc>
          <w:tcPr>
            <w:tcW w:w="2008" w:type="dxa"/>
            <w:vAlign w:val="center"/>
            <w:textDirection w:val="lrTb"/>
            <w:noWrap w:val="false"/>
          </w:tcPr>
          <w:p>
            <w:pPr>
              <w:pStyle w:val="1101"/>
              <w:jc w:val="center"/>
              <w:rPr>
                <w:rFonts w:ascii="宋体" w:hAnsi="宋体" w:cs="宋体"/>
                <w:color w:val="000000"/>
                <w:sz w:val="24"/>
                <w:highlight w:val="none"/>
              </w:rPr>
            </w:pPr>
            <w:r>
              <w:rPr>
                <w:rFonts w:ascii="宋体" w:hAnsi="宋体" w:cs="宋体"/>
                <w:color w:val="000000"/>
                <w:sz w:val="24"/>
                <w:highlight w:val="none"/>
              </w:rPr>
            </w:r>
            <w:r/>
          </w:p>
        </w:tc>
        <w:tc>
          <w:tcPr>
            <w:tcW w:w="2458" w:type="dxa"/>
            <w:vAlign w:val="center"/>
            <w:textDirection w:val="lrTb"/>
            <w:noWrap w:val="false"/>
          </w:tcPr>
          <w:p>
            <w:pPr>
              <w:pStyle w:val="1101"/>
              <w:jc w:val="center"/>
              <w:rPr>
                <w:rFonts w:ascii="宋体" w:hAnsi="宋体" w:cs="宋体"/>
                <w:color w:val="000000"/>
                <w:sz w:val="24"/>
                <w:highlight w:val="none"/>
              </w:rPr>
            </w:pPr>
            <w:r>
              <w:rPr>
                <w:rFonts w:ascii="宋体" w:hAnsi="宋体" w:cs="宋体"/>
                <w:color w:val="000000"/>
                <w:sz w:val="24"/>
                <w:highlight w:val="none"/>
              </w:rPr>
            </w:r>
            <w:r/>
          </w:p>
        </w:tc>
        <w:tc>
          <w:tcPr>
            <w:tcW w:w="788" w:type="dxa"/>
            <w:vAlign w:val="center"/>
            <w:textDirection w:val="lrTb"/>
            <w:noWrap w:val="false"/>
          </w:tcPr>
          <w:p>
            <w:pPr>
              <w:pStyle w:val="1101"/>
              <w:jc w:val="center"/>
              <w:rPr>
                <w:rFonts w:ascii="宋体" w:hAnsi="宋体" w:cs="宋体"/>
                <w:color w:val="000000"/>
                <w:sz w:val="24"/>
                <w:highlight w:val="none"/>
              </w:rPr>
            </w:pPr>
            <w:r>
              <w:rPr>
                <w:rFonts w:ascii="宋体" w:hAnsi="宋体" w:cs="宋体"/>
                <w:color w:val="000000"/>
                <w:sz w:val="24"/>
                <w:highlight w:val="none"/>
              </w:rPr>
            </w:r>
            <w:r/>
          </w:p>
        </w:tc>
      </w:tr>
    </w:tbl>
    <w:p>
      <w:pPr>
        <w:pStyle w:val="1101"/>
        <w:jc w:val="left"/>
        <w:tabs>
          <w:tab w:val="left" w:pos="1800" w:leader="none"/>
          <w:tab w:val="left" w:pos="5580" w:leader="none"/>
        </w:tabs>
        <w:rPr>
          <w:color w:val="000000"/>
          <w:sz w:val="24"/>
          <w:highlight w:val="none"/>
        </w:rPr>
      </w:pPr>
      <w:r>
        <w:rPr>
          <w:color w:val="000000"/>
          <w:sz w:val="24"/>
          <w:highlight w:val="none"/>
        </w:rPr>
      </w:r>
      <w:r/>
    </w:p>
    <w:p>
      <w:pPr>
        <w:pStyle w:val="1101"/>
        <w:jc w:val="left"/>
        <w:spacing w:line="400" w:lineRule="exact"/>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注：</w:t>
      </w:r>
      <w:r>
        <w:rPr>
          <w:rFonts w:ascii="宋体" w:hAnsi="宋体" w:cs="宋体"/>
          <w:color w:val="000000"/>
          <w:sz w:val="24"/>
          <w:highlight w:val="none"/>
        </w:rPr>
      </w:r>
      <w:r/>
    </w:p>
    <w:p>
      <w:pPr>
        <w:pStyle w:val="1101"/>
        <w:jc w:val="left"/>
        <w:spacing w:line="400" w:lineRule="exact"/>
        <w:tabs>
          <w:tab w:val="left" w:pos="1800" w:leader="none"/>
          <w:tab w:val="left" w:pos="5580" w:leader="none"/>
        </w:tabs>
        <w:rPr>
          <w:rFonts w:ascii="宋体" w:hAnsi="宋体" w:cs="宋体"/>
          <w:sz w:val="24"/>
          <w:highlight w:val="none"/>
        </w:rPr>
      </w:pPr>
      <w:r>
        <w:rPr>
          <w:rFonts w:hint="eastAsia" w:ascii="宋体" w:hAnsi="宋体" w:cs="宋体"/>
          <w:color w:val="000000"/>
          <w:sz w:val="24"/>
          <w:highlight w:val="none"/>
        </w:rPr>
        <w:t xml:space="preserve">1. </w:t>
      </w:r>
      <w:r>
        <w:rPr>
          <w:rFonts w:hint="eastAsia" w:ascii="宋体" w:hAnsi="宋体" w:cs="宋体"/>
          <w:sz w:val="24"/>
          <w:highlight w:val="none"/>
        </w:rPr>
        <w:t xml:space="preserve">对合同条款中的所有要求，除本表所列明的所有偏离外，均视作供应商已对之理解和响应。</w:t>
      </w:r>
      <w:r>
        <w:rPr>
          <w:rFonts w:ascii="宋体" w:hAnsi="宋体" w:cs="宋体"/>
          <w:sz w:val="24"/>
          <w:highlight w:val="none"/>
        </w:rPr>
      </w:r>
      <w:r/>
    </w:p>
    <w:p>
      <w:pPr>
        <w:pStyle w:val="1101"/>
        <w:jc w:val="left"/>
        <w:spacing w:line="400" w:lineRule="exact"/>
        <w:tabs>
          <w:tab w:val="left" w:pos="1800" w:leader="none"/>
          <w:tab w:val="left" w:pos="5580" w:leader="none"/>
        </w:tabs>
        <w:rPr>
          <w:rFonts w:ascii="宋体" w:hAnsi="宋体" w:cs="宋体"/>
          <w:color w:val="000000"/>
          <w:sz w:val="24"/>
          <w:highlight w:val="none"/>
        </w:rPr>
      </w:pPr>
      <w:r>
        <w:rPr>
          <w:rFonts w:hint="eastAsia" w:ascii="宋体" w:hAnsi="宋体" w:cs="宋体"/>
          <w:sz w:val="24"/>
          <w:highlight w:val="none"/>
        </w:rPr>
        <w:t xml:space="preserve">2. “偏离情况”列应</w:t>
      </w:r>
      <w:r>
        <w:rPr>
          <w:rFonts w:hint="eastAsia" w:ascii="宋体" w:hAnsi="宋体" w:cs="宋体"/>
          <w:color w:val="000000"/>
          <w:sz w:val="24"/>
          <w:highlight w:val="none"/>
        </w:rPr>
        <w:t xml:space="preserve">据实</w:t>
      </w:r>
      <w:r>
        <w:rPr>
          <w:rFonts w:hint="eastAsia" w:ascii="宋体" w:hAnsi="宋体" w:cs="宋体"/>
          <w:sz w:val="24"/>
          <w:highlight w:val="none"/>
        </w:rPr>
        <w:t xml:space="preserve">填写“正偏离”、“负偏离”或“无偏离”。</w:t>
      </w:r>
      <w:r>
        <w:rPr>
          <w:rFonts w:ascii="宋体" w:hAnsi="宋体" w:cs="宋体"/>
          <w:color w:val="000000"/>
          <w:sz w:val="24"/>
          <w:highlight w:val="none"/>
        </w:rPr>
      </w:r>
      <w:r/>
    </w:p>
    <w:p>
      <w:pPr>
        <w:pStyle w:val="1101"/>
        <w:spacing w:line="400" w:lineRule="exact"/>
        <w:rPr>
          <w:rFonts w:ascii="宋体" w:hAnsi="宋体" w:cs="宋体"/>
          <w:color w:val="000000"/>
          <w:sz w:val="24"/>
          <w:szCs w:val="20"/>
          <w:highlight w:val="none"/>
        </w:rPr>
      </w:pPr>
      <w:r>
        <w:rPr>
          <w:rFonts w:ascii="宋体" w:hAnsi="宋体" w:cs="宋体"/>
          <w:color w:val="000000"/>
          <w:sz w:val="24"/>
          <w:szCs w:val="20"/>
          <w:highlight w:val="none"/>
        </w:rPr>
      </w:r>
      <w:r/>
    </w:p>
    <w:p>
      <w:pPr>
        <w:pStyle w:val="1101"/>
        <w:spacing w:line="400" w:lineRule="exact"/>
        <w:rPr>
          <w:rFonts w:ascii="宋体" w:hAnsi="宋体" w:cs="宋体"/>
          <w:color w:val="000000"/>
          <w:sz w:val="24"/>
          <w:highlight w:val="none"/>
          <w:lang w:val="zh-CN"/>
        </w:rPr>
      </w:pPr>
      <w:r>
        <w:rPr>
          <w:rFonts w:ascii="宋体" w:hAnsi="宋体" w:cs="宋体"/>
          <w:color w:val="000000"/>
          <w:sz w:val="24"/>
          <w:highlight w:val="none"/>
          <w:lang w:val="zh-CN"/>
        </w:rPr>
      </w:r>
      <w:r/>
    </w:p>
    <w:p>
      <w:pPr>
        <w:pStyle w:val="1101"/>
        <w:spacing w:line="400" w:lineRule="exact"/>
        <w:rPr>
          <w:rFonts w:ascii="宋体" w:hAnsi="宋体" w:cs="宋体"/>
          <w:color w:val="000000"/>
          <w:sz w:val="24"/>
          <w:highlight w:val="none"/>
          <w:lang w:val="zh-CN"/>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w:t>
      </w:r>
      <w:r>
        <w:rPr>
          <w:rFonts w:ascii="宋体" w:hAnsi="宋体" w:cs="宋体"/>
          <w:color w:val="000000"/>
          <w:sz w:val="24"/>
          <w:highlight w:val="none"/>
          <w:lang w:val="zh-CN"/>
        </w:rPr>
      </w:r>
      <w:r/>
    </w:p>
    <w:p>
      <w:pPr>
        <w:pStyle w:val="1101"/>
        <w:spacing w:line="400" w:lineRule="exact"/>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r>
        <w:rPr>
          <w:rFonts w:ascii="宋体" w:hAnsi="宋体" w:cs="宋体"/>
          <w:color w:val="000000"/>
          <w:sz w:val="24"/>
          <w:highlight w:val="none"/>
          <w:lang w:val="zh-CN"/>
        </w:rPr>
      </w:r>
      <w:r/>
    </w:p>
    <w:p>
      <w:pPr>
        <w:pStyle w:val="1101"/>
        <w:spacing w:line="360" w:lineRule="auto"/>
        <w:rPr>
          <w:color w:val="000000"/>
          <w:sz w:val="24"/>
          <w:szCs w:val="20"/>
          <w:highlight w:val="none"/>
        </w:rPr>
        <w:outlineLvl w:val="2"/>
      </w:pPr>
      <w:r>
        <w:rPr>
          <w:color w:val="000000"/>
          <w:sz w:val="24"/>
          <w:szCs w:val="20"/>
          <w:highlight w:val="none"/>
        </w:rPr>
        <w:br w:type="page" w:clear="all"/>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rPr>
          <w:rFonts w:hint="eastAsia"/>
          <w:color w:val="000000"/>
          <w:sz w:val="24"/>
          <w:szCs w:val="20"/>
          <w:highlight w:val="none"/>
        </w:rPr>
        <w:t xml:space="preserve">8 </w:t>
      </w:r>
      <w:r>
        <w:rPr>
          <w:color w:val="000000"/>
          <w:sz w:val="24"/>
          <w:szCs w:val="20"/>
          <w:highlight w:val="none"/>
        </w:rPr>
        <w:t xml:space="preserve">采购需求偏离表（实质性格式）</w:t>
      </w:r>
      <w:r>
        <w:rPr>
          <w:color w:val="000000"/>
          <w:sz w:val="24"/>
          <w:szCs w:val="20"/>
          <w:highlight w:val="none"/>
        </w:rPr>
      </w:r>
      <w:r/>
    </w:p>
    <w:p>
      <w:pPr>
        <w:pStyle w:val="1101"/>
        <w:jc w:val="center"/>
        <w:spacing w:line="360" w:lineRule="auto"/>
        <w:rPr>
          <w:b/>
          <w:color w:val="000000"/>
          <w:sz w:val="36"/>
          <w:szCs w:val="36"/>
          <w:highlight w:val="none"/>
        </w:rPr>
      </w:pPr>
      <w:r>
        <w:rPr>
          <w:b/>
          <w:color w:val="000000"/>
          <w:sz w:val="36"/>
          <w:szCs w:val="36"/>
          <w:highlight w:val="none"/>
        </w:rPr>
      </w:r>
      <w:r/>
    </w:p>
    <w:p>
      <w:pPr>
        <w:pStyle w:val="1101"/>
        <w:jc w:val="center"/>
        <w:spacing w:line="360" w:lineRule="auto"/>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1101"/>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rPr>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101"/>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1101"/>
              <w:jc w:val="center"/>
              <w:rPr>
                <w:color w:val="000000"/>
                <w:sz w:val="24"/>
                <w:highlight w:val="none"/>
              </w:rPr>
            </w:pPr>
            <w:r>
              <w:rPr>
                <w:color w:val="000000"/>
                <w:sz w:val="24"/>
                <w:highlight w:val="none"/>
              </w:rPr>
              <w:t xml:space="preserve">招标文件条目号(页码)</w:t>
            </w:r>
            <w:r>
              <w:rPr>
                <w:color w:val="000000"/>
                <w:sz w:val="24"/>
                <w:highlight w:val="none"/>
              </w:rPr>
            </w:r>
            <w:r/>
          </w:p>
        </w:tc>
        <w:tc>
          <w:tcPr>
            <w:tcW w:w="2384" w:type="dxa"/>
            <w:vAlign w:val="center"/>
            <w:textDirection w:val="lrTb"/>
            <w:noWrap w:val="false"/>
          </w:tcPr>
          <w:p>
            <w:pPr>
              <w:pStyle w:val="1101"/>
              <w:jc w:val="center"/>
              <w:rPr>
                <w:color w:val="000000"/>
                <w:sz w:val="24"/>
                <w:highlight w:val="none"/>
              </w:rPr>
            </w:pPr>
            <w:r>
              <w:rPr>
                <w:color w:val="000000"/>
                <w:sz w:val="24"/>
                <w:highlight w:val="none"/>
              </w:rPr>
              <w:t xml:space="preserve">招标文件要求</w:t>
            </w:r>
            <w:r>
              <w:rPr>
                <w:color w:val="000000"/>
                <w:sz w:val="24"/>
                <w:highlight w:val="none"/>
              </w:rPr>
            </w:r>
            <w:r/>
          </w:p>
        </w:tc>
        <w:tc>
          <w:tcPr>
            <w:tcW w:w="2126" w:type="dxa"/>
            <w:vAlign w:val="center"/>
            <w:textDirection w:val="lrTb"/>
            <w:noWrap w:val="false"/>
          </w:tcPr>
          <w:p>
            <w:pPr>
              <w:pStyle w:val="1101"/>
              <w:jc w:val="center"/>
              <w:rPr>
                <w:color w:val="000000"/>
                <w:sz w:val="24"/>
                <w:highlight w:val="none"/>
              </w:rPr>
            </w:pPr>
            <w:r>
              <w:rPr>
                <w:color w:val="000000"/>
                <w:sz w:val="24"/>
                <w:highlight w:val="none"/>
              </w:rPr>
              <w:t xml:space="preserve">投标响应内容</w:t>
            </w:r>
            <w:r>
              <w:rPr>
                <w:color w:val="000000"/>
                <w:sz w:val="24"/>
                <w:highlight w:val="none"/>
              </w:rPr>
            </w:r>
            <w:r/>
          </w:p>
        </w:tc>
        <w:tc>
          <w:tcPr>
            <w:tcW w:w="1875" w:type="dxa"/>
            <w:vAlign w:val="center"/>
            <w:textDirection w:val="lrTb"/>
            <w:noWrap w:val="false"/>
          </w:tcPr>
          <w:p>
            <w:pPr>
              <w:pStyle w:val="1101"/>
              <w:jc w:val="center"/>
              <w:rPr>
                <w:color w:val="000000"/>
                <w:sz w:val="24"/>
                <w:highlight w:val="none"/>
              </w:rPr>
            </w:pPr>
            <w:r>
              <w:rPr>
                <w:color w:val="000000"/>
                <w:sz w:val="24"/>
                <w:highlight w:val="none"/>
              </w:rPr>
              <w:t xml:space="preserve">偏离情况</w:t>
            </w:r>
            <w:r>
              <w:rPr>
                <w:color w:val="000000"/>
                <w:sz w:val="24"/>
                <w:highlight w:val="none"/>
              </w:rPr>
            </w:r>
            <w:r/>
          </w:p>
        </w:tc>
        <w:tc>
          <w:tcPr>
            <w:tcW w:w="1009" w:type="dxa"/>
            <w:vAlign w:val="center"/>
            <w:textDirection w:val="lrTb"/>
            <w:noWrap w:val="false"/>
          </w:tcPr>
          <w:p>
            <w:pPr>
              <w:pStyle w:val="1101"/>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1101"/>
              <w:jc w:val="center"/>
              <w:rPr>
                <w:color w:val="000000"/>
                <w:sz w:val="24"/>
                <w:highlight w:val="none"/>
              </w:rPr>
            </w:pPr>
            <w:r>
              <w:rPr>
                <w:color w:val="000000"/>
                <w:sz w:val="24"/>
                <w:highlight w:val="none"/>
              </w:rPr>
            </w:r>
            <w:r/>
          </w:p>
        </w:tc>
        <w:tc>
          <w:tcPr>
            <w:tcW w:w="1482" w:type="dxa"/>
            <w:vAlign w:val="center"/>
            <w:textDirection w:val="lrTb"/>
            <w:noWrap w:val="false"/>
          </w:tcPr>
          <w:p>
            <w:pPr>
              <w:pStyle w:val="1101"/>
              <w:jc w:val="center"/>
              <w:rPr>
                <w:color w:val="000000"/>
                <w:sz w:val="24"/>
                <w:highlight w:val="none"/>
              </w:rPr>
            </w:pPr>
            <w:r>
              <w:rPr>
                <w:color w:val="000000"/>
                <w:sz w:val="24"/>
                <w:highlight w:val="none"/>
              </w:rPr>
            </w:r>
            <w:r/>
          </w:p>
        </w:tc>
        <w:tc>
          <w:tcPr>
            <w:tcW w:w="2384" w:type="dxa"/>
            <w:vAlign w:val="center"/>
            <w:textDirection w:val="lrTb"/>
            <w:noWrap w:val="false"/>
          </w:tcPr>
          <w:p>
            <w:pPr>
              <w:pStyle w:val="1101"/>
              <w:jc w:val="center"/>
              <w:rPr>
                <w:color w:val="000000"/>
                <w:sz w:val="24"/>
                <w:highlight w:val="none"/>
              </w:rPr>
            </w:pPr>
            <w:r>
              <w:rPr>
                <w:color w:val="000000"/>
                <w:sz w:val="24"/>
                <w:highlight w:val="none"/>
              </w:rPr>
            </w:r>
            <w:r/>
          </w:p>
        </w:tc>
        <w:tc>
          <w:tcPr>
            <w:tcW w:w="2126" w:type="dxa"/>
            <w:vAlign w:val="center"/>
            <w:textDirection w:val="lrTb"/>
            <w:noWrap w:val="false"/>
          </w:tcPr>
          <w:p>
            <w:pPr>
              <w:pStyle w:val="1101"/>
              <w:jc w:val="center"/>
              <w:rPr>
                <w:color w:val="000000"/>
                <w:sz w:val="24"/>
                <w:highlight w:val="none"/>
              </w:rPr>
            </w:pPr>
            <w:r>
              <w:rPr>
                <w:color w:val="000000"/>
                <w:sz w:val="24"/>
                <w:highlight w:val="none"/>
              </w:rPr>
            </w:r>
            <w:r/>
          </w:p>
        </w:tc>
        <w:tc>
          <w:tcPr>
            <w:tcW w:w="1875" w:type="dxa"/>
            <w:vAlign w:val="center"/>
            <w:textDirection w:val="lrTb"/>
            <w:noWrap w:val="false"/>
          </w:tcPr>
          <w:p>
            <w:pPr>
              <w:pStyle w:val="1101"/>
              <w:jc w:val="center"/>
              <w:rPr>
                <w:color w:val="000000"/>
                <w:sz w:val="24"/>
                <w:highlight w:val="none"/>
              </w:rPr>
            </w:pPr>
            <w:r>
              <w:rPr>
                <w:color w:val="000000"/>
                <w:sz w:val="24"/>
                <w:highlight w:val="none"/>
              </w:rPr>
            </w:r>
            <w:r/>
          </w:p>
        </w:tc>
        <w:tc>
          <w:tcPr>
            <w:tcW w:w="1009" w:type="dxa"/>
            <w:vAlign w:val="center"/>
            <w:textDirection w:val="lrTb"/>
            <w:noWrap w:val="false"/>
          </w:tcPr>
          <w:p>
            <w:pPr>
              <w:pStyle w:val="1101"/>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101"/>
              <w:jc w:val="center"/>
              <w:rPr>
                <w:color w:val="000000"/>
                <w:sz w:val="24"/>
                <w:highlight w:val="none"/>
              </w:rPr>
            </w:pPr>
            <w:r>
              <w:rPr>
                <w:color w:val="000000"/>
                <w:sz w:val="24"/>
                <w:highlight w:val="none"/>
              </w:rPr>
            </w:r>
            <w:r/>
          </w:p>
        </w:tc>
        <w:tc>
          <w:tcPr>
            <w:tcW w:w="1482" w:type="dxa"/>
            <w:vAlign w:val="center"/>
            <w:textDirection w:val="lrTb"/>
            <w:noWrap w:val="false"/>
          </w:tcPr>
          <w:p>
            <w:pPr>
              <w:pStyle w:val="1101"/>
              <w:jc w:val="center"/>
              <w:rPr>
                <w:color w:val="000000"/>
                <w:sz w:val="24"/>
                <w:highlight w:val="none"/>
              </w:rPr>
            </w:pPr>
            <w:r>
              <w:rPr>
                <w:color w:val="000000"/>
                <w:sz w:val="24"/>
                <w:highlight w:val="none"/>
              </w:rPr>
            </w:r>
            <w:r/>
          </w:p>
        </w:tc>
        <w:tc>
          <w:tcPr>
            <w:tcW w:w="2384" w:type="dxa"/>
            <w:vAlign w:val="center"/>
            <w:textDirection w:val="lrTb"/>
            <w:noWrap w:val="false"/>
          </w:tcPr>
          <w:p>
            <w:pPr>
              <w:pStyle w:val="1101"/>
              <w:jc w:val="center"/>
              <w:rPr>
                <w:color w:val="000000"/>
                <w:sz w:val="24"/>
                <w:highlight w:val="none"/>
              </w:rPr>
            </w:pPr>
            <w:r>
              <w:rPr>
                <w:color w:val="000000"/>
                <w:sz w:val="24"/>
                <w:highlight w:val="none"/>
              </w:rPr>
            </w:r>
            <w:r/>
          </w:p>
        </w:tc>
        <w:tc>
          <w:tcPr>
            <w:tcW w:w="2126" w:type="dxa"/>
            <w:vAlign w:val="center"/>
            <w:textDirection w:val="lrTb"/>
            <w:noWrap w:val="false"/>
          </w:tcPr>
          <w:p>
            <w:pPr>
              <w:pStyle w:val="1101"/>
              <w:jc w:val="center"/>
              <w:rPr>
                <w:color w:val="000000"/>
                <w:sz w:val="24"/>
                <w:highlight w:val="none"/>
              </w:rPr>
            </w:pPr>
            <w:r>
              <w:rPr>
                <w:color w:val="000000"/>
                <w:sz w:val="24"/>
                <w:highlight w:val="none"/>
              </w:rPr>
            </w:r>
            <w:r/>
          </w:p>
        </w:tc>
        <w:tc>
          <w:tcPr>
            <w:tcW w:w="1875" w:type="dxa"/>
            <w:vAlign w:val="center"/>
            <w:textDirection w:val="lrTb"/>
            <w:noWrap w:val="false"/>
          </w:tcPr>
          <w:p>
            <w:pPr>
              <w:pStyle w:val="1101"/>
              <w:jc w:val="center"/>
              <w:rPr>
                <w:color w:val="000000"/>
                <w:sz w:val="24"/>
                <w:highlight w:val="none"/>
              </w:rPr>
            </w:pPr>
            <w:r>
              <w:rPr>
                <w:color w:val="000000"/>
                <w:sz w:val="24"/>
                <w:highlight w:val="none"/>
              </w:rPr>
            </w:r>
            <w:r/>
          </w:p>
        </w:tc>
        <w:tc>
          <w:tcPr>
            <w:tcW w:w="1009" w:type="dxa"/>
            <w:vAlign w:val="center"/>
            <w:textDirection w:val="lrTb"/>
            <w:noWrap w:val="false"/>
          </w:tcPr>
          <w:p>
            <w:pPr>
              <w:pStyle w:val="1101"/>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101"/>
              <w:jc w:val="center"/>
              <w:rPr>
                <w:color w:val="000000"/>
                <w:sz w:val="24"/>
                <w:highlight w:val="none"/>
              </w:rPr>
            </w:pPr>
            <w:r>
              <w:rPr>
                <w:color w:val="000000"/>
                <w:sz w:val="24"/>
                <w:highlight w:val="none"/>
              </w:rPr>
            </w:r>
            <w:r/>
          </w:p>
        </w:tc>
        <w:tc>
          <w:tcPr>
            <w:tcW w:w="1482" w:type="dxa"/>
            <w:vAlign w:val="center"/>
            <w:textDirection w:val="lrTb"/>
            <w:noWrap w:val="false"/>
          </w:tcPr>
          <w:p>
            <w:pPr>
              <w:pStyle w:val="1101"/>
              <w:jc w:val="center"/>
              <w:rPr>
                <w:color w:val="000000"/>
                <w:sz w:val="24"/>
                <w:highlight w:val="none"/>
              </w:rPr>
            </w:pPr>
            <w:r>
              <w:rPr>
                <w:color w:val="000000"/>
                <w:sz w:val="24"/>
                <w:highlight w:val="none"/>
              </w:rPr>
            </w:r>
            <w:r/>
          </w:p>
        </w:tc>
        <w:tc>
          <w:tcPr>
            <w:tcW w:w="2384" w:type="dxa"/>
            <w:vAlign w:val="center"/>
            <w:textDirection w:val="lrTb"/>
            <w:noWrap w:val="false"/>
          </w:tcPr>
          <w:p>
            <w:pPr>
              <w:pStyle w:val="1101"/>
              <w:jc w:val="center"/>
              <w:rPr>
                <w:color w:val="000000"/>
                <w:sz w:val="24"/>
                <w:highlight w:val="none"/>
              </w:rPr>
            </w:pPr>
            <w:r>
              <w:rPr>
                <w:color w:val="000000"/>
                <w:sz w:val="24"/>
                <w:highlight w:val="none"/>
              </w:rPr>
            </w:r>
            <w:r/>
          </w:p>
        </w:tc>
        <w:tc>
          <w:tcPr>
            <w:tcW w:w="2126" w:type="dxa"/>
            <w:vAlign w:val="center"/>
            <w:textDirection w:val="lrTb"/>
            <w:noWrap w:val="false"/>
          </w:tcPr>
          <w:p>
            <w:pPr>
              <w:pStyle w:val="1101"/>
              <w:jc w:val="center"/>
              <w:rPr>
                <w:color w:val="000000"/>
                <w:sz w:val="24"/>
                <w:highlight w:val="none"/>
              </w:rPr>
            </w:pPr>
            <w:r>
              <w:rPr>
                <w:color w:val="000000"/>
                <w:sz w:val="24"/>
                <w:highlight w:val="none"/>
              </w:rPr>
            </w:r>
            <w:r/>
          </w:p>
        </w:tc>
        <w:tc>
          <w:tcPr>
            <w:tcW w:w="1875" w:type="dxa"/>
            <w:vAlign w:val="center"/>
            <w:textDirection w:val="lrTb"/>
            <w:noWrap w:val="false"/>
          </w:tcPr>
          <w:p>
            <w:pPr>
              <w:pStyle w:val="1101"/>
              <w:jc w:val="center"/>
              <w:rPr>
                <w:color w:val="000000"/>
                <w:sz w:val="24"/>
                <w:highlight w:val="none"/>
              </w:rPr>
            </w:pPr>
            <w:r>
              <w:rPr>
                <w:color w:val="000000"/>
                <w:sz w:val="24"/>
                <w:highlight w:val="none"/>
              </w:rPr>
            </w:r>
            <w:r/>
          </w:p>
        </w:tc>
        <w:tc>
          <w:tcPr>
            <w:tcW w:w="1009" w:type="dxa"/>
            <w:vAlign w:val="center"/>
            <w:textDirection w:val="lrTb"/>
            <w:noWrap w:val="false"/>
          </w:tcPr>
          <w:p>
            <w:pPr>
              <w:pStyle w:val="1101"/>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101"/>
              <w:jc w:val="center"/>
              <w:rPr>
                <w:color w:val="000000"/>
                <w:sz w:val="24"/>
                <w:highlight w:val="none"/>
              </w:rPr>
            </w:pPr>
            <w:r>
              <w:rPr>
                <w:color w:val="000000"/>
                <w:sz w:val="24"/>
                <w:highlight w:val="none"/>
              </w:rPr>
            </w:r>
            <w:r/>
          </w:p>
        </w:tc>
        <w:tc>
          <w:tcPr>
            <w:tcW w:w="1482" w:type="dxa"/>
            <w:vAlign w:val="center"/>
            <w:textDirection w:val="lrTb"/>
            <w:noWrap w:val="false"/>
          </w:tcPr>
          <w:p>
            <w:pPr>
              <w:pStyle w:val="1101"/>
              <w:jc w:val="center"/>
              <w:rPr>
                <w:color w:val="000000"/>
                <w:sz w:val="24"/>
                <w:highlight w:val="none"/>
              </w:rPr>
            </w:pPr>
            <w:r>
              <w:rPr>
                <w:color w:val="000000"/>
                <w:sz w:val="24"/>
                <w:highlight w:val="none"/>
              </w:rPr>
            </w:r>
            <w:r/>
          </w:p>
        </w:tc>
        <w:tc>
          <w:tcPr>
            <w:tcW w:w="2384" w:type="dxa"/>
            <w:vAlign w:val="center"/>
            <w:textDirection w:val="lrTb"/>
            <w:noWrap w:val="false"/>
          </w:tcPr>
          <w:p>
            <w:pPr>
              <w:pStyle w:val="1101"/>
              <w:jc w:val="center"/>
              <w:rPr>
                <w:color w:val="000000"/>
                <w:sz w:val="24"/>
                <w:highlight w:val="none"/>
              </w:rPr>
            </w:pPr>
            <w:r>
              <w:rPr>
                <w:color w:val="000000"/>
                <w:sz w:val="24"/>
                <w:highlight w:val="none"/>
              </w:rPr>
            </w:r>
            <w:r/>
          </w:p>
        </w:tc>
        <w:tc>
          <w:tcPr>
            <w:tcW w:w="2126" w:type="dxa"/>
            <w:vAlign w:val="center"/>
            <w:textDirection w:val="lrTb"/>
            <w:noWrap w:val="false"/>
          </w:tcPr>
          <w:p>
            <w:pPr>
              <w:pStyle w:val="1101"/>
              <w:jc w:val="center"/>
              <w:rPr>
                <w:color w:val="000000"/>
                <w:sz w:val="24"/>
                <w:highlight w:val="none"/>
              </w:rPr>
            </w:pPr>
            <w:r>
              <w:rPr>
                <w:color w:val="000000"/>
                <w:sz w:val="24"/>
                <w:highlight w:val="none"/>
              </w:rPr>
            </w:r>
            <w:r/>
          </w:p>
        </w:tc>
        <w:tc>
          <w:tcPr>
            <w:tcW w:w="1875" w:type="dxa"/>
            <w:vAlign w:val="center"/>
            <w:textDirection w:val="lrTb"/>
            <w:noWrap w:val="false"/>
          </w:tcPr>
          <w:p>
            <w:pPr>
              <w:pStyle w:val="1101"/>
              <w:jc w:val="center"/>
              <w:rPr>
                <w:color w:val="000000"/>
                <w:sz w:val="24"/>
                <w:highlight w:val="none"/>
              </w:rPr>
            </w:pPr>
            <w:r>
              <w:rPr>
                <w:color w:val="000000"/>
                <w:sz w:val="24"/>
                <w:highlight w:val="none"/>
              </w:rPr>
            </w:r>
            <w:r/>
          </w:p>
        </w:tc>
        <w:tc>
          <w:tcPr>
            <w:tcW w:w="1009" w:type="dxa"/>
            <w:vAlign w:val="center"/>
            <w:textDirection w:val="lrTb"/>
            <w:noWrap w:val="false"/>
          </w:tcPr>
          <w:p>
            <w:pPr>
              <w:pStyle w:val="1101"/>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101"/>
              <w:jc w:val="center"/>
              <w:rPr>
                <w:color w:val="000000"/>
                <w:sz w:val="24"/>
                <w:highlight w:val="none"/>
              </w:rPr>
            </w:pPr>
            <w:r>
              <w:rPr>
                <w:color w:val="000000"/>
                <w:sz w:val="24"/>
                <w:highlight w:val="none"/>
              </w:rPr>
            </w:r>
            <w:r/>
          </w:p>
        </w:tc>
        <w:tc>
          <w:tcPr>
            <w:tcW w:w="1482" w:type="dxa"/>
            <w:vAlign w:val="center"/>
            <w:textDirection w:val="lrTb"/>
            <w:noWrap w:val="false"/>
          </w:tcPr>
          <w:p>
            <w:pPr>
              <w:pStyle w:val="1101"/>
              <w:jc w:val="center"/>
              <w:rPr>
                <w:color w:val="000000"/>
                <w:sz w:val="24"/>
                <w:highlight w:val="none"/>
              </w:rPr>
            </w:pPr>
            <w:r>
              <w:rPr>
                <w:color w:val="000000"/>
                <w:sz w:val="24"/>
                <w:highlight w:val="none"/>
              </w:rPr>
            </w:r>
            <w:r/>
          </w:p>
        </w:tc>
        <w:tc>
          <w:tcPr>
            <w:tcW w:w="2384" w:type="dxa"/>
            <w:vAlign w:val="center"/>
            <w:textDirection w:val="lrTb"/>
            <w:noWrap w:val="false"/>
          </w:tcPr>
          <w:p>
            <w:pPr>
              <w:pStyle w:val="1101"/>
              <w:jc w:val="center"/>
              <w:rPr>
                <w:color w:val="000000"/>
                <w:sz w:val="24"/>
                <w:highlight w:val="none"/>
              </w:rPr>
            </w:pPr>
            <w:r>
              <w:rPr>
                <w:color w:val="000000"/>
                <w:sz w:val="24"/>
                <w:highlight w:val="none"/>
              </w:rPr>
            </w:r>
            <w:r/>
          </w:p>
        </w:tc>
        <w:tc>
          <w:tcPr>
            <w:tcW w:w="2126" w:type="dxa"/>
            <w:vAlign w:val="center"/>
            <w:textDirection w:val="lrTb"/>
            <w:noWrap w:val="false"/>
          </w:tcPr>
          <w:p>
            <w:pPr>
              <w:pStyle w:val="1101"/>
              <w:jc w:val="center"/>
              <w:rPr>
                <w:color w:val="000000"/>
                <w:sz w:val="24"/>
                <w:highlight w:val="none"/>
              </w:rPr>
            </w:pPr>
            <w:r>
              <w:rPr>
                <w:color w:val="000000"/>
                <w:sz w:val="24"/>
                <w:highlight w:val="none"/>
              </w:rPr>
            </w:r>
            <w:r/>
          </w:p>
        </w:tc>
        <w:tc>
          <w:tcPr>
            <w:tcW w:w="1875" w:type="dxa"/>
            <w:vAlign w:val="center"/>
            <w:textDirection w:val="lrTb"/>
            <w:noWrap w:val="false"/>
          </w:tcPr>
          <w:p>
            <w:pPr>
              <w:pStyle w:val="1101"/>
              <w:jc w:val="center"/>
              <w:rPr>
                <w:color w:val="000000"/>
                <w:sz w:val="24"/>
                <w:highlight w:val="none"/>
              </w:rPr>
            </w:pPr>
            <w:r>
              <w:rPr>
                <w:color w:val="000000"/>
                <w:sz w:val="24"/>
                <w:highlight w:val="none"/>
              </w:rPr>
            </w:r>
            <w:r/>
          </w:p>
        </w:tc>
        <w:tc>
          <w:tcPr>
            <w:tcW w:w="1009" w:type="dxa"/>
            <w:vAlign w:val="center"/>
            <w:textDirection w:val="lrTb"/>
            <w:noWrap w:val="false"/>
          </w:tcPr>
          <w:p>
            <w:pPr>
              <w:pStyle w:val="1101"/>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101"/>
              <w:jc w:val="center"/>
              <w:rPr>
                <w:color w:val="000000"/>
                <w:sz w:val="24"/>
                <w:highlight w:val="none"/>
              </w:rPr>
            </w:pPr>
            <w:r>
              <w:rPr>
                <w:color w:val="000000"/>
                <w:sz w:val="24"/>
                <w:highlight w:val="none"/>
              </w:rPr>
              <w:t xml:space="preserve">……</w:t>
            </w:r>
            <w:r>
              <w:rPr>
                <w:color w:val="000000"/>
                <w:sz w:val="24"/>
                <w:highlight w:val="none"/>
              </w:rPr>
            </w:r>
            <w:r/>
          </w:p>
        </w:tc>
        <w:tc>
          <w:tcPr>
            <w:tcW w:w="1482" w:type="dxa"/>
            <w:vAlign w:val="center"/>
            <w:textDirection w:val="lrTb"/>
            <w:noWrap w:val="false"/>
          </w:tcPr>
          <w:p>
            <w:pPr>
              <w:pStyle w:val="1101"/>
              <w:jc w:val="center"/>
              <w:rPr>
                <w:color w:val="000000"/>
                <w:sz w:val="24"/>
                <w:highlight w:val="none"/>
              </w:rPr>
            </w:pPr>
            <w:r>
              <w:rPr>
                <w:color w:val="000000"/>
                <w:sz w:val="24"/>
                <w:highlight w:val="none"/>
              </w:rPr>
            </w:r>
            <w:r/>
          </w:p>
        </w:tc>
        <w:tc>
          <w:tcPr>
            <w:tcW w:w="2384" w:type="dxa"/>
            <w:vAlign w:val="center"/>
            <w:textDirection w:val="lrTb"/>
            <w:noWrap w:val="false"/>
          </w:tcPr>
          <w:p>
            <w:pPr>
              <w:pStyle w:val="1101"/>
              <w:jc w:val="center"/>
              <w:rPr>
                <w:color w:val="000000"/>
                <w:sz w:val="24"/>
                <w:highlight w:val="none"/>
              </w:rPr>
            </w:pPr>
            <w:r>
              <w:rPr>
                <w:color w:val="000000"/>
                <w:sz w:val="24"/>
                <w:highlight w:val="none"/>
              </w:rPr>
            </w:r>
            <w:r/>
          </w:p>
        </w:tc>
        <w:tc>
          <w:tcPr>
            <w:tcW w:w="2126" w:type="dxa"/>
            <w:vAlign w:val="center"/>
            <w:textDirection w:val="lrTb"/>
            <w:noWrap w:val="false"/>
          </w:tcPr>
          <w:p>
            <w:pPr>
              <w:pStyle w:val="1101"/>
              <w:jc w:val="center"/>
              <w:rPr>
                <w:color w:val="000000"/>
                <w:sz w:val="24"/>
                <w:highlight w:val="none"/>
              </w:rPr>
            </w:pPr>
            <w:r>
              <w:rPr>
                <w:color w:val="000000"/>
                <w:sz w:val="24"/>
                <w:highlight w:val="none"/>
              </w:rPr>
            </w:r>
            <w:r/>
          </w:p>
        </w:tc>
        <w:tc>
          <w:tcPr>
            <w:tcW w:w="1875" w:type="dxa"/>
            <w:vAlign w:val="center"/>
            <w:textDirection w:val="lrTb"/>
            <w:noWrap w:val="false"/>
          </w:tcPr>
          <w:p>
            <w:pPr>
              <w:pStyle w:val="1101"/>
              <w:jc w:val="center"/>
              <w:rPr>
                <w:color w:val="000000"/>
                <w:sz w:val="24"/>
                <w:highlight w:val="none"/>
              </w:rPr>
            </w:pPr>
            <w:r>
              <w:rPr>
                <w:color w:val="000000"/>
                <w:sz w:val="24"/>
                <w:highlight w:val="none"/>
              </w:rPr>
            </w:r>
            <w:r/>
          </w:p>
        </w:tc>
        <w:tc>
          <w:tcPr>
            <w:tcW w:w="1009" w:type="dxa"/>
            <w:vAlign w:val="center"/>
            <w:textDirection w:val="lrTb"/>
            <w:noWrap w:val="false"/>
          </w:tcPr>
          <w:p>
            <w:pPr>
              <w:pStyle w:val="1101"/>
              <w:jc w:val="center"/>
              <w:rPr>
                <w:color w:val="000000"/>
                <w:sz w:val="24"/>
                <w:highlight w:val="none"/>
              </w:rPr>
            </w:pPr>
            <w:r>
              <w:rPr>
                <w:color w:val="000000"/>
                <w:sz w:val="24"/>
                <w:highlight w:val="none"/>
              </w:rPr>
            </w:r>
            <w:r/>
          </w:p>
        </w:tc>
      </w:tr>
    </w:tbl>
    <w:p>
      <w:pPr>
        <w:pStyle w:val="1101"/>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1101"/>
        <w:jc w:val="left"/>
        <w:spacing w:line="400" w:lineRule="exact"/>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注：</w:t>
      </w:r>
      <w:r>
        <w:rPr>
          <w:rFonts w:ascii="宋体" w:hAnsi="宋体" w:cs="宋体"/>
          <w:color w:val="000000"/>
          <w:sz w:val="24"/>
          <w:highlight w:val="none"/>
        </w:rPr>
      </w:r>
      <w:r/>
    </w:p>
    <w:p>
      <w:pPr>
        <w:pStyle w:val="1101"/>
        <w:jc w:val="left"/>
        <w:spacing w:line="400" w:lineRule="exact"/>
        <w:tabs>
          <w:tab w:val="left" w:pos="1800" w:leader="none"/>
          <w:tab w:val="left" w:pos="5580" w:leader="none"/>
        </w:tabs>
        <w:rPr>
          <w:rFonts w:ascii="宋体" w:hAnsi="宋体" w:cs="宋体"/>
          <w:sz w:val="24"/>
          <w:highlight w:val="none"/>
        </w:rPr>
      </w:pPr>
      <w:r>
        <w:rPr>
          <w:rFonts w:hint="eastAsia" w:ascii="宋体" w:hAnsi="宋体" w:cs="宋体"/>
          <w:color w:val="000000"/>
          <w:sz w:val="24"/>
          <w:highlight w:val="none"/>
        </w:rPr>
        <w:t xml:space="preserve">1. </w:t>
      </w:r>
      <w:r>
        <w:rPr>
          <w:rFonts w:hint="eastAsia" w:ascii="宋体" w:hAnsi="宋体" w:cs="宋体"/>
          <w:sz w:val="24"/>
          <w:highlight w:val="none"/>
        </w:rPr>
        <w:t xml:space="preserve">对招标文件中的所有商务、技术要求，除本表所列明的所有偏离外，均视作供应商已对之理解和响应。</w:t>
      </w:r>
      <w:r>
        <w:rPr>
          <w:rFonts w:ascii="宋体" w:hAnsi="宋体" w:cs="宋体"/>
          <w:sz w:val="24"/>
          <w:highlight w:val="none"/>
        </w:rPr>
      </w:r>
      <w:r/>
    </w:p>
    <w:p>
      <w:pPr>
        <w:pStyle w:val="1101"/>
        <w:jc w:val="left"/>
        <w:spacing w:line="400" w:lineRule="exact"/>
        <w:tabs>
          <w:tab w:val="left" w:pos="1800" w:leader="none"/>
          <w:tab w:val="left" w:pos="5580" w:leader="none"/>
        </w:tabs>
        <w:rPr>
          <w:rFonts w:ascii="宋体" w:hAnsi="宋体" w:cs="宋体"/>
          <w:color w:val="000000"/>
          <w:sz w:val="24"/>
          <w:highlight w:val="none"/>
        </w:rPr>
      </w:pPr>
      <w:r>
        <w:rPr>
          <w:rFonts w:hint="eastAsia" w:ascii="宋体" w:hAnsi="宋体" w:cs="宋体"/>
          <w:sz w:val="24"/>
          <w:highlight w:val="none"/>
        </w:rPr>
        <w:t xml:space="preserve">2.“偏离情况”列应</w:t>
      </w:r>
      <w:r>
        <w:rPr>
          <w:rFonts w:hint="eastAsia" w:ascii="宋体" w:hAnsi="宋体" w:cs="宋体"/>
          <w:color w:val="000000"/>
          <w:sz w:val="24"/>
          <w:highlight w:val="none"/>
        </w:rPr>
        <w:t xml:space="preserve">据实</w:t>
      </w:r>
      <w:r>
        <w:rPr>
          <w:rFonts w:hint="eastAsia" w:ascii="宋体" w:hAnsi="宋体" w:cs="宋体"/>
          <w:sz w:val="24"/>
          <w:highlight w:val="none"/>
        </w:rPr>
        <w:t xml:space="preserve">填写“正偏离”、“负偏离”或“无偏离”。</w:t>
      </w:r>
      <w:r>
        <w:rPr>
          <w:rFonts w:ascii="宋体" w:hAnsi="宋体" w:cs="宋体"/>
          <w:color w:val="000000"/>
          <w:sz w:val="24"/>
          <w:highlight w:val="none"/>
        </w:rPr>
      </w:r>
      <w:r/>
    </w:p>
    <w:p>
      <w:pPr>
        <w:pStyle w:val="1101"/>
        <w:jc w:val="left"/>
        <w:spacing w:line="400" w:lineRule="exact"/>
        <w:tabs>
          <w:tab w:val="left" w:pos="1800" w:leader="none"/>
          <w:tab w:val="left" w:pos="5580" w:leader="none"/>
        </w:tabs>
        <w:rPr>
          <w:rFonts w:ascii="宋体" w:hAnsi="宋体" w:cs="宋体"/>
          <w:sz w:val="24"/>
          <w:highlight w:val="none"/>
        </w:rPr>
      </w:pPr>
      <w:r>
        <w:rPr>
          <w:rFonts w:ascii="宋体" w:hAnsi="宋体" w:cs="宋体"/>
          <w:sz w:val="24"/>
          <w:highlight w:val="none"/>
        </w:rPr>
      </w:r>
      <w:r/>
    </w:p>
    <w:p>
      <w:pPr>
        <w:pStyle w:val="1101"/>
        <w:spacing w:line="400" w:lineRule="exact"/>
        <w:rPr>
          <w:rFonts w:ascii="宋体" w:hAnsi="宋体" w:cs="宋体"/>
          <w:color w:val="000000"/>
          <w:sz w:val="24"/>
          <w:highlight w:val="none"/>
          <w:lang w:val="zh-CN"/>
        </w:rPr>
      </w:pPr>
      <w:r>
        <w:rPr>
          <w:rFonts w:ascii="宋体" w:hAnsi="宋体" w:cs="宋体"/>
          <w:color w:val="000000"/>
          <w:sz w:val="24"/>
          <w:highlight w:val="none"/>
          <w:lang w:val="zh-CN"/>
        </w:rPr>
      </w:r>
      <w:r/>
    </w:p>
    <w:p>
      <w:pPr>
        <w:pStyle w:val="1101"/>
        <w:spacing w:line="400" w:lineRule="exact"/>
        <w:rPr>
          <w:rFonts w:ascii="宋体" w:hAnsi="宋体" w:cs="宋体"/>
          <w:color w:val="000000"/>
          <w:sz w:val="24"/>
          <w:highlight w:val="none"/>
          <w:lang w:val="zh-CN"/>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w:t>
      </w:r>
      <w:r>
        <w:rPr>
          <w:rFonts w:ascii="宋体" w:hAnsi="宋体" w:cs="宋体"/>
          <w:color w:val="000000"/>
          <w:sz w:val="24"/>
          <w:highlight w:val="none"/>
          <w:lang w:val="zh-CN"/>
        </w:rPr>
      </w:r>
      <w:r/>
    </w:p>
    <w:p>
      <w:pPr>
        <w:pStyle w:val="1101"/>
        <w:spacing w:line="400" w:lineRule="exact"/>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r>
        <w:rPr>
          <w:rFonts w:ascii="宋体" w:hAnsi="宋体" w:cs="宋体"/>
          <w:color w:val="000000"/>
          <w:sz w:val="24"/>
          <w:highlight w:val="none"/>
          <w:lang w:val="zh-CN"/>
        </w:rPr>
      </w:r>
      <w:r/>
    </w:p>
    <w:p>
      <w:pPr>
        <w:pStyle w:val="1101"/>
        <w:spacing w:line="360" w:lineRule="auto"/>
        <w:rPr>
          <w:b/>
          <w:color w:val="000000"/>
          <w:sz w:val="24"/>
          <w:highlight w:val="none"/>
        </w:rPr>
        <w:outlineLvl w:val="2"/>
      </w:pPr>
      <w:r>
        <w:rPr>
          <w:b/>
          <w:color w:val="000000"/>
          <w:sz w:val="24"/>
          <w:highlight w:val="none"/>
        </w:rPr>
      </w:r>
      <w:r/>
    </w:p>
    <w:p>
      <w:pPr>
        <w:pStyle w:val="1101"/>
        <w:ind w:right="1560" w:firstLine="504"/>
        <w:jc w:val="center"/>
        <w:spacing w:line="588" w:lineRule="exact"/>
        <w:tabs>
          <w:tab w:val="left" w:pos="4860" w:leader="none"/>
        </w:tabs>
        <w:rPr>
          <w:rFonts w:ascii="宋体" w:hAnsi="宋体" w:cs="宋体"/>
          <w:spacing w:val="6"/>
          <w:sz w:val="24"/>
          <w:highlight w:val="none"/>
        </w:rPr>
      </w:pPr>
      <w:r>
        <w:rPr>
          <w:rFonts w:ascii="宋体" w:hAnsi="宋体" w:cs="宋体"/>
          <w:spacing w:val="6"/>
          <w:sz w:val="24"/>
          <w:highlight w:val="none"/>
        </w:rPr>
      </w:r>
      <w:r/>
    </w:p>
    <w:p>
      <w:pPr>
        <w:pStyle w:val="1101"/>
        <w:spacing w:line="360" w:lineRule="auto"/>
        <w:rPr>
          <w:rFonts w:hint="eastAsia" w:ascii="方正魏碑_GBK" w:hAnsi="方正魏碑_GBK" w:eastAsia="方正魏碑_GBK" w:cs="方正魏碑_GBK"/>
          <w:sz w:val="24"/>
          <w:highlight w:val="none"/>
        </w:rPr>
        <w:outlineLvl w:val="2"/>
      </w:pPr>
      <w:r>
        <w:rPr>
          <w:color w:val="000000"/>
          <w:sz w:val="24"/>
          <w:highlight w:val="none"/>
        </w:rPr>
        <w:br w:type="page" w:clear="all"/>
      </w:r>
      <w:r>
        <w:rPr>
          <w:rFonts w:hint="eastAsia"/>
          <w:color w:val="000000"/>
          <w:sz w:val="24"/>
          <w:highlight w:val="none"/>
          <w:lang w:val="en-US" w:eastAsia="zh-CN"/>
        </w:rPr>
        <w:t xml:space="preserve">9</w:t>
      </w:r>
      <w:r>
        <w:rPr>
          <w:rFonts w:hint="eastAsia" w:ascii="方正魏碑_GBK" w:hAnsi="方正魏碑_GBK" w:eastAsia="方正魏碑_GBK" w:cs="方正魏碑_GBK"/>
          <w:b/>
          <w:sz w:val="24"/>
          <w:highlight w:val="none"/>
        </w:rPr>
        <w:t xml:space="preserve"> 关于符合本国产品标准的声明函</w:t>
      </w:r>
      <w:r>
        <w:rPr>
          <w:rFonts w:hint="eastAsia" w:ascii="方正魏碑_GBK" w:hAnsi="方正魏碑_GBK" w:eastAsia="方正魏碑_GBK" w:cs="方正魏碑_GBK"/>
          <w:sz w:val="24"/>
          <w:highlight w:val="none"/>
        </w:rPr>
      </w:r>
      <w:r/>
    </w:p>
    <w:p>
      <w:pPr>
        <w:pStyle w:val="1163"/>
        <w:ind w:firstLine="420"/>
        <w:spacing w:before="0" w:beforeAutospacing="0" w:after="0" w:afterAutospacing="0" w:line="0" w:lineRule="atLeast"/>
        <w:rPr>
          <w:rFonts w:ascii="方正魏碑_GBK" w:hAnsi="方正魏碑_GBK" w:eastAsia="方正魏碑_GBK" w:cs="方正魏碑_GBK"/>
          <w:highlight w:val="none"/>
        </w:rPr>
      </w:pPr>
      <w:r>
        <w:rPr>
          <w:rFonts w:ascii="方正魏碑_GBK" w:hAnsi="方正魏碑_GBK" w:eastAsia="方正魏碑_GBK" w:cs="方正魏碑_GBK"/>
          <w:highlight w:val="none"/>
        </w:rPr>
      </w:r>
      <w:r/>
    </w:p>
    <w:p>
      <w:pPr>
        <w:pStyle w:val="1163"/>
        <w:ind w:firstLine="420"/>
        <w:jc w:val="center"/>
        <w:spacing w:before="0" w:beforeAutospacing="0" w:after="0" w:afterAutospacing="0" w:line="0" w:lineRule="atLeast"/>
        <w:rPr>
          <w:rFonts w:hint="eastAsia"/>
          <w:b/>
          <w:bCs/>
          <w:sz w:val="36"/>
          <w:szCs w:val="36"/>
          <w:highlight w:val="none"/>
        </w:rPr>
      </w:pPr>
      <w:r>
        <w:rPr>
          <w:rFonts w:hint="eastAsia"/>
          <w:b/>
          <w:bCs/>
          <w:sz w:val="36"/>
          <w:szCs w:val="36"/>
          <w:highlight w:val="none"/>
        </w:rPr>
        <w:t xml:space="preserve">关于符合本国产品标准的声明函</w:t>
      </w:r>
      <w:r>
        <w:rPr>
          <w:rFonts w:hint="eastAsia"/>
          <w:b/>
          <w:bCs/>
          <w:sz w:val="36"/>
          <w:szCs w:val="36"/>
          <w:highlight w:val="none"/>
        </w:rPr>
      </w:r>
      <w:r/>
    </w:p>
    <w:p>
      <w:pPr>
        <w:pStyle w:val="1163"/>
        <w:ind w:firstLine="420"/>
        <w:spacing w:before="0" w:beforeAutospacing="0" w:after="0" w:afterAutospacing="0" w:line="0" w:lineRule="atLeast"/>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rPr>
      </w:r>
      <w:r/>
    </w:p>
    <w:p>
      <w:pPr>
        <w:pStyle w:val="1163"/>
        <w:ind w:firstLine="420"/>
        <w:spacing w:before="0" w:beforeAutospacing="0" w:after="0" w:afterAutospacing="0" w:line="400" w:lineRule="exact"/>
        <w:rPr>
          <w:rFonts w:hint="eastAsia"/>
          <w:highlight w:val="none"/>
        </w:rPr>
      </w:pPr>
      <w:r>
        <w:rPr>
          <w:rFonts w:hint="eastAsia"/>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highlight w:val="none"/>
        </w:rPr>
      </w:r>
      <w:r/>
    </w:p>
    <w:p>
      <w:pPr>
        <w:pStyle w:val="1163"/>
        <w:ind w:firstLine="420"/>
        <w:spacing w:before="30" w:beforeAutospacing="0" w:after="30" w:afterAutospacing="0" w:line="400" w:lineRule="exact"/>
        <w:rPr>
          <w:rFonts w:hint="eastAsia"/>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2182495</wp:posOffset>
                </wp:positionH>
                <wp:positionV relativeFrom="paragraph">
                  <wp:posOffset>591820</wp:posOffset>
                </wp:positionV>
                <wp:extent cx="816610" cy="14732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8;o:allowoverlap:true;o:allowincell:true;mso-position-horizontal-relative:text;margin-left:171.8pt;mso-position-horizontal:absolute;mso-position-vertical-relative:text;margin-top:46.6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1047115</wp:posOffset>
                </wp:positionH>
                <wp:positionV relativeFrom="paragraph">
                  <wp:posOffset>628015</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2;o:allowoverlap:true;o:allowincell:true;mso-position-horizontal-relative:text;margin-left:82.5pt;mso-position-horizontal:absolute;mso-position-vertical-relative:text;margin-top:49.4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4567555</wp:posOffset>
                </wp:positionH>
                <wp:positionV relativeFrom="paragraph">
                  <wp:posOffset>350520</wp:posOffset>
                </wp:positionV>
                <wp:extent cx="565785" cy="13081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9;o:allowoverlap:true;o:allowincell:true;mso-position-horizontal-relative:text;margin-left:359.6pt;mso-position-horizontal:absolute;mso-position-vertical-relative:text;margin-top:27.6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3361690</wp:posOffset>
                </wp:positionH>
                <wp:positionV relativeFrom="paragraph">
                  <wp:posOffset>325755</wp:posOffset>
                </wp:positionV>
                <wp:extent cx="816610" cy="10350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1;o:allowoverlap:true;o:allowincell:true;mso-position-horizontal-relative:text;margin-left:264.7pt;mso-position-horizontal:absolute;mso-position-vertical-relative:text;margin-top:25.6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2239010</wp:posOffset>
                </wp:positionH>
                <wp:positionV relativeFrom="paragraph">
                  <wp:posOffset>367665</wp:posOffset>
                </wp:positionV>
                <wp:extent cx="816610" cy="762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524288;o:allowoverlap:true;o:allowincell:true;mso-position-horizontal-relative:text;margin-left:176.3pt;mso-position-horizontal:absolute;mso-position-vertical-relative:text;margin-top:28.9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highlight w:val="none"/>
          <w:shd w:val="clear" w:color="auto" w:fill="ffffff"/>
        </w:rPr>
        <w:t xml:space="preserve">1.</w:t>
      </w:r>
      <w:r>
        <w:rPr>
          <w:rStyle w:val="1176"/>
          <w:rFonts w:hint="eastAsia"/>
          <w:color w:val="000000"/>
          <w:highlight w:val="none"/>
          <w:u w:val="single"/>
          <w:shd w:val="clear" w:color="auto" w:fill="ffffff"/>
        </w:rPr>
        <w:t xml:space="preserve">（产品名称1）</w:t>
      </w:r>
      <w:r>
        <w:rPr>
          <w:rStyle w:val="1176"/>
          <w:rFonts w:hint="eastAsia"/>
          <w:color w:val="000000"/>
          <w:highlight w:val="none"/>
          <w:shd w:val="clear" w:color="auto" w:fill="ffffff"/>
          <w:vertAlign w:val="superscript"/>
        </w:rPr>
        <w:t xml:space="preserve">1</w:t>
      </w:r>
      <w:r>
        <w:rPr>
          <w:rFonts w:hint="eastAsia"/>
          <w:highlight w:val="none"/>
          <w:shd w:val="clear" w:color="auto" w:fill="ffffff"/>
        </w:rPr>
        <w:t xml:space="preserve">，生产厂为</w:t>
      </w:r>
      <w:r>
        <w:rPr>
          <w:rStyle w:val="1176"/>
          <w:rFonts w:hint="eastAsia"/>
          <w:color w:val="000000"/>
          <w:highlight w:val="none"/>
          <w:u w:val="single"/>
          <w:shd w:val="clear" w:color="auto" w:fill="ffffff"/>
        </w:rPr>
        <w:t xml:space="preserve">（厂名）</w:t>
      </w:r>
      <w:r>
        <w:rPr>
          <w:rStyle w:val="1176"/>
          <w:rFonts w:hint="eastAsia"/>
          <w:color w:val="000000"/>
          <w:highlight w:val="none"/>
          <w:shd w:val="clear" w:color="auto" w:fill="ffffff"/>
          <w:vertAlign w:val="superscript"/>
        </w:rPr>
        <w:t xml:space="preserve">2</w:t>
      </w:r>
      <w:r>
        <w:rPr>
          <w:rFonts w:hint="eastAsia"/>
          <w:highlight w:val="none"/>
          <w:shd w:val="clear" w:color="auto" w:fill="ffffff"/>
        </w:rPr>
        <w:t xml:space="preserve">，厂址为</w:t>
      </w:r>
      <w:r>
        <w:rPr>
          <w:rStyle w:val="1176"/>
          <w:rFonts w:hint="eastAsia"/>
          <w:color w:val="000000"/>
          <w:highlight w:val="none"/>
          <w:u w:val="single"/>
          <w:shd w:val="clear" w:color="auto" w:fill="ffffff"/>
        </w:rPr>
        <w:t xml:space="preserve">（生产厂址）</w:t>
      </w:r>
      <w:r>
        <w:rPr>
          <w:rFonts w:hint="eastAsia"/>
          <w:highlight w:val="none"/>
          <w:shd w:val="clear" w:color="auto" w:fill="ffffff"/>
        </w:rPr>
        <w:t xml:space="preserve">。</w:t>
      </w:r>
      <w:r>
        <w:rPr>
          <w:rFonts w:hint="eastAsia"/>
          <w:highlight w:val="none"/>
          <w:u w:val="single"/>
          <w:shd w:val="clear" w:color="auto" w:fill="ffffff"/>
        </w:rPr>
        <w:t xml:space="preserve"> </w:t>
      </w:r>
      <w:r>
        <w:rPr>
          <w:rStyle w:val="1176"/>
          <w:rFonts w:hint="eastAsia"/>
          <w:color w:val="000000"/>
          <w:highlight w:val="none"/>
          <w:u w:val="single"/>
          <w:shd w:val="clear" w:color="auto" w:fill="ffffff"/>
        </w:rPr>
        <w:t xml:space="preserve">（产品名称1） </w:t>
      </w:r>
      <w:r>
        <w:rPr>
          <w:rFonts w:hint="eastAsia"/>
          <w:highlight w:val="none"/>
          <w:shd w:val="clear" w:color="auto" w:fill="ffffff"/>
        </w:rPr>
        <w:t xml:space="preserve">的中国境内生产的组件成本占比≥</w:t>
      </w:r>
      <w:r>
        <w:rPr>
          <w:rStyle w:val="1176"/>
          <w:rFonts w:hint="eastAsia"/>
          <w:color w:val="000000"/>
          <w:highlight w:val="none"/>
          <w:u w:val="single"/>
          <w:shd w:val="clear" w:color="auto" w:fill="ffffff"/>
        </w:rPr>
        <w:t xml:space="preserve">（规定比例）</w:t>
      </w:r>
      <w:r>
        <w:rPr>
          <w:rStyle w:val="1176"/>
          <w:rFonts w:hint="eastAsia"/>
          <w:color w:val="000000"/>
          <w:highlight w:val="none"/>
          <w:shd w:val="clear" w:color="auto" w:fill="ffffff"/>
          <w:vertAlign w:val="superscript"/>
        </w:rPr>
        <w:t xml:space="preserve">3</w:t>
      </w:r>
      <w:r>
        <w:rPr>
          <w:rFonts w:hint="eastAsia"/>
          <w:highlight w:val="none"/>
          <w:shd w:val="clear" w:color="auto" w:fill="ffffff"/>
        </w:rPr>
        <w:t xml:space="preserve">。</w:t>
      </w:r>
      <w:r>
        <w:rPr>
          <w:rStyle w:val="1176"/>
          <w:rFonts w:hint="eastAsia"/>
          <w:color w:val="000000"/>
          <w:highlight w:val="none"/>
          <w:u w:val="single"/>
          <w:shd w:val="clear" w:color="auto" w:fill="ffffff"/>
        </w:rPr>
        <w:t xml:space="preserve">（产品名称1）</w:t>
      </w:r>
      <w:r>
        <w:rPr>
          <w:rFonts w:hint="eastAsia"/>
          <w:highlight w:val="none"/>
          <w:shd w:val="clear" w:color="auto" w:fill="ffffff"/>
        </w:rPr>
        <w:t xml:space="preserve">的</w:t>
      </w:r>
      <w:r>
        <w:rPr>
          <w:rStyle w:val="1176"/>
          <w:rFonts w:hint="eastAsia"/>
          <w:color w:val="000000"/>
          <w:highlight w:val="none"/>
          <w:u w:val="single"/>
          <w:shd w:val="clear" w:color="auto" w:fill="ffffff"/>
        </w:rPr>
        <w:t xml:space="preserve">（关键组件）</w:t>
      </w:r>
      <w:r>
        <w:rPr>
          <w:rStyle w:val="1176"/>
          <w:rFonts w:hint="eastAsia"/>
          <w:color w:val="000000"/>
          <w:highlight w:val="none"/>
          <w:shd w:val="clear" w:color="auto" w:fill="ffffff"/>
          <w:vertAlign w:val="superscript"/>
        </w:rPr>
        <w:t xml:space="preserve">4</w:t>
      </w:r>
      <w:r>
        <w:rPr>
          <w:rFonts w:hint="eastAsia"/>
          <w:highlight w:val="none"/>
          <w:shd w:val="clear" w:color="auto" w:fill="ffffff"/>
        </w:rPr>
        <w:t xml:space="preserve">在中国境内生产。</w:t>
      </w:r>
      <w:r>
        <w:rPr>
          <w:rStyle w:val="1176"/>
          <w:rFonts w:hint="eastAsia"/>
          <w:color w:val="000000"/>
          <w:highlight w:val="none"/>
          <w:u w:val="single"/>
          <w:shd w:val="clear" w:color="auto" w:fill="ffffff"/>
        </w:rPr>
        <w:t xml:space="preserve">（产品名称1）</w:t>
      </w:r>
      <w:r>
        <w:rPr>
          <w:rFonts w:hint="eastAsia"/>
          <w:highlight w:val="none"/>
          <w:shd w:val="clear" w:color="auto" w:fill="ffffff"/>
        </w:rPr>
        <w:t xml:space="preserve">的</w:t>
      </w:r>
      <w:r>
        <w:rPr>
          <w:rStyle w:val="1176"/>
          <w:rFonts w:hint="eastAsia"/>
          <w:color w:val="000000"/>
          <w:highlight w:val="none"/>
          <w:u w:val="single"/>
          <w:shd w:val="clear" w:color="auto" w:fill="ffffff"/>
        </w:rPr>
        <w:t xml:space="preserve">（关键工序）</w:t>
      </w:r>
      <w:r>
        <w:rPr>
          <w:rStyle w:val="1176"/>
          <w:rFonts w:hint="eastAsia"/>
          <w:color w:val="000000"/>
          <w:highlight w:val="none"/>
          <w:shd w:val="clear" w:color="auto" w:fill="ffffff"/>
          <w:vertAlign w:val="superscript"/>
        </w:rPr>
        <w:t xml:space="preserve">5</w:t>
      </w:r>
      <w:r>
        <w:rPr>
          <w:rFonts w:hint="eastAsia"/>
          <w:highlight w:val="none"/>
          <w:shd w:val="clear" w:color="auto" w:fill="ffffff"/>
        </w:rPr>
        <w:t xml:space="preserve">在中国境内完成。</w:t>
      </w:r>
      <w:r>
        <w:rPr>
          <w:rFonts w:hint="eastAsia"/>
          <w:highlight w:val="none"/>
        </w:rPr>
      </w:r>
      <w:r/>
    </w:p>
    <w:p>
      <w:pPr>
        <w:pStyle w:val="1163"/>
        <w:ind w:firstLine="420"/>
        <w:spacing w:before="30" w:beforeAutospacing="0" w:after="30" w:afterAutospacing="0" w:line="400" w:lineRule="exact"/>
        <w:rPr>
          <w:rFonts w:hint="eastAsia"/>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1898015</wp:posOffset>
                </wp:positionH>
                <wp:positionV relativeFrom="paragraph">
                  <wp:posOffset>638810</wp:posOffset>
                </wp:positionV>
                <wp:extent cx="821690" cy="1028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149.4pt;mso-position-horizontal:absolute;mso-position-vertical-relative:text;margin-top:5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887095</wp:posOffset>
                </wp:positionH>
                <wp:positionV relativeFrom="paragraph">
                  <wp:posOffset>572135</wp:posOffset>
                </wp:positionV>
                <wp:extent cx="908685" cy="1409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5;o:allowoverlap:true;o:allowincell:true;mso-position-horizontal-relative:text;margin-left:69.8pt;mso-position-horizontal:absolute;mso-position-vertical-relative:text;margin-top:45.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4450715</wp:posOffset>
                </wp:positionH>
                <wp:positionV relativeFrom="paragraph">
                  <wp:posOffset>288925</wp:posOffset>
                </wp:positionV>
                <wp:extent cx="462280" cy="14732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1;o:allowoverlap:true;o:allowincell:true;mso-position-horizontal-relative:text;margin-left:350.4pt;mso-position-horizontal:absolute;mso-position-vertical-relative:text;margin-top:22.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3094990</wp:posOffset>
                </wp:positionH>
                <wp:positionV relativeFrom="paragraph">
                  <wp:posOffset>349885</wp:posOffset>
                </wp:positionV>
                <wp:extent cx="84963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4;o:allowoverlap:true;o:allowincell:true;mso-position-horizontal-relative:text;margin-left:243.7pt;mso-position-horizontal:absolute;mso-position-vertical-relative:text;margin-top:27.5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2042795</wp:posOffset>
                </wp:positionH>
                <wp:positionV relativeFrom="paragraph">
                  <wp:posOffset>347980</wp:posOffset>
                </wp:positionV>
                <wp:extent cx="843915" cy="12573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6" o:spid="_x0000_s16" style="position:absolute;z-index:251658243;o:allowoverlap:true;o:allowincell:true;mso-position-horizontal-relative:text;margin-left:160.8pt;mso-position-horizontal:absolute;mso-position-vertical-relative:text;margin-top:27.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4552315</wp:posOffset>
                </wp:positionH>
                <wp:positionV relativeFrom="paragraph">
                  <wp:posOffset>102235</wp:posOffset>
                </wp:positionV>
                <wp:extent cx="718185" cy="9779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0;o:allowoverlap:true;o:allowincell:true;mso-position-horizontal-relative:text;margin-left:358.4pt;mso-position-horizontal:absolute;mso-position-vertical-relative:text;margin-top:8.0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highlight w:val="none"/>
          <w:shd w:val="clear" w:color="auto" w:fill="ffffff"/>
        </w:rPr>
        <w:t xml:space="preserve">2.</w:t>
      </w:r>
      <w:r>
        <w:rPr>
          <w:rStyle w:val="1176"/>
          <w:rFonts w:hint="eastAsia"/>
          <w:color w:val="000000"/>
          <w:highlight w:val="none"/>
          <w:u w:val="single"/>
          <w:shd w:val="clear" w:color="auto" w:fill="ffffff"/>
        </w:rPr>
        <w:t xml:space="preserve">（产品名称2）</w:t>
      </w:r>
      <w:r>
        <w:rPr>
          <w:rFonts w:hint="eastAsia"/>
          <w:highlight w:val="none"/>
          <w:shd w:val="clear" w:color="auto" w:fill="ffffff"/>
        </w:rPr>
        <w:t xml:space="preserve">，生产厂为</w:t>
      </w:r>
      <w:r>
        <w:rPr>
          <w:rStyle w:val="1176"/>
          <w:rFonts w:hint="eastAsia"/>
          <w:color w:val="000000"/>
          <w:highlight w:val="none"/>
          <w:u w:val="single"/>
          <w:shd w:val="clear" w:color="auto" w:fill="ffffff"/>
        </w:rPr>
        <w:t xml:space="preserve">（厂名）</w:t>
      </w:r>
      <w:r>
        <w:rPr>
          <w:rFonts w:hint="eastAsia"/>
          <w:highlight w:val="none"/>
          <w:shd w:val="clear" w:color="auto" w:fill="ffffff"/>
        </w:rPr>
        <w:t xml:space="preserve">，厂址为</w:t>
      </w:r>
      <w:r>
        <w:rPr>
          <w:rStyle w:val="1176"/>
          <w:rFonts w:hint="eastAsia"/>
          <w:color w:val="000000"/>
          <w:highlight w:val="none"/>
          <w:u w:val="single"/>
          <w:shd w:val="clear" w:color="auto" w:fill="ffffff"/>
        </w:rPr>
        <w:t xml:space="preserve">（生产厂址）</w:t>
      </w:r>
      <w:r>
        <w:rPr>
          <w:rFonts w:hint="eastAsia"/>
          <w:highlight w:val="none"/>
          <w:shd w:val="clear" w:color="auto" w:fill="ffffff"/>
        </w:rPr>
        <w:t xml:space="preserve">。</w:t>
      </w:r>
      <w:r>
        <w:rPr>
          <w:rStyle w:val="1176"/>
          <w:rFonts w:hint="eastAsia"/>
          <w:color w:val="000000"/>
          <w:highlight w:val="none"/>
          <w:u w:val="single"/>
          <w:shd w:val="clear" w:color="auto" w:fill="ffffff"/>
        </w:rPr>
        <w:t xml:space="preserve">（产品名称2）</w:t>
      </w:r>
      <w:r>
        <w:rPr>
          <w:rFonts w:hint="eastAsia"/>
          <w:highlight w:val="none"/>
          <w:shd w:val="clear" w:color="auto" w:fill="ffffff"/>
        </w:rPr>
        <w:t xml:space="preserve">的中国境内生产的组件成本占比≥</w:t>
      </w:r>
      <w:r>
        <w:rPr>
          <w:rStyle w:val="1176"/>
          <w:rFonts w:hint="eastAsia"/>
          <w:color w:val="000000"/>
          <w:highlight w:val="none"/>
          <w:u w:val="single"/>
          <w:shd w:val="clear" w:color="auto" w:fill="ffffff"/>
        </w:rPr>
        <w:t xml:space="preserve">（规定比例）</w:t>
      </w:r>
      <w:r>
        <w:rPr>
          <w:rFonts w:hint="eastAsia"/>
          <w:highlight w:val="none"/>
          <w:shd w:val="clear" w:color="auto" w:fill="ffffff"/>
        </w:rPr>
        <w:t xml:space="preserve">。</w:t>
      </w:r>
      <w:r>
        <w:rPr>
          <w:rStyle w:val="1176"/>
          <w:rFonts w:hint="eastAsia"/>
          <w:color w:val="000000"/>
          <w:highlight w:val="none"/>
          <w:u w:val="single"/>
          <w:shd w:val="clear" w:color="auto" w:fill="ffffff"/>
        </w:rPr>
        <w:t xml:space="preserve">（产品名称2）</w:t>
      </w:r>
      <w:r>
        <w:rPr>
          <w:rFonts w:hint="eastAsia"/>
          <w:highlight w:val="none"/>
          <w:shd w:val="clear" w:color="auto" w:fill="ffffff"/>
        </w:rPr>
        <w:t xml:space="preserve">的</w:t>
      </w:r>
      <w:r>
        <w:rPr>
          <w:rStyle w:val="1176"/>
          <w:rFonts w:hint="eastAsia"/>
          <w:color w:val="000000"/>
          <w:highlight w:val="none"/>
          <w:u w:val="single"/>
          <w:shd w:val="clear" w:color="auto" w:fill="ffffff"/>
        </w:rPr>
        <w:t xml:space="preserve">（关键组件）</w:t>
      </w:r>
      <w:r>
        <w:rPr>
          <w:rFonts w:hint="eastAsia"/>
          <w:highlight w:val="none"/>
          <w:shd w:val="clear" w:color="auto" w:fill="ffffff"/>
        </w:rPr>
        <w:t xml:space="preserve">在中国境内生产。</w:t>
      </w:r>
      <w:r>
        <w:rPr>
          <w:rStyle w:val="1176"/>
          <w:rFonts w:hint="eastAsia"/>
          <w:color w:val="000000"/>
          <w:highlight w:val="none"/>
          <w:u w:val="single"/>
          <w:shd w:val="clear" w:color="auto" w:fill="ffffff"/>
        </w:rPr>
        <w:t xml:space="preserve">（产品名称2）</w:t>
      </w:r>
      <w:r>
        <w:rPr>
          <w:rFonts w:hint="eastAsia"/>
          <w:highlight w:val="none"/>
          <w:shd w:val="clear" w:color="auto" w:fill="ffffff"/>
        </w:rPr>
        <w:t xml:space="preserve">的</w:t>
      </w:r>
      <w:r>
        <w:rPr>
          <w:rStyle w:val="1176"/>
          <w:rFonts w:hint="eastAsia"/>
          <w:color w:val="000000"/>
          <w:highlight w:val="none"/>
          <w:u w:val="single"/>
          <w:shd w:val="clear" w:color="auto" w:fill="ffffff"/>
        </w:rPr>
        <w:t xml:space="preserve">（关键工序）</w:t>
      </w:r>
      <w:r>
        <w:rPr>
          <w:rFonts w:hint="eastAsia"/>
          <w:highlight w:val="none"/>
          <w:shd w:val="clear" w:color="auto" w:fill="ffffff"/>
        </w:rPr>
        <w:t xml:space="preserve">在中国境内完成。</w:t>
      </w:r>
      <w:r>
        <w:rPr>
          <w:rFonts w:hint="eastAsia"/>
          <w:highlight w:val="none"/>
        </w:rPr>
      </w:r>
      <w:r/>
    </w:p>
    <w:p>
      <w:pPr>
        <w:pStyle w:val="1163"/>
        <w:ind w:firstLine="420"/>
        <w:spacing w:before="30" w:beforeAutospacing="0" w:after="30" w:afterAutospacing="0" w:line="400" w:lineRule="exact"/>
        <w:rPr>
          <w:rFonts w:hint="eastAsia"/>
          <w:highlight w:val="none"/>
        </w:rPr>
      </w:pPr>
      <w:r>
        <w:rPr>
          <w:rFonts w:hint="eastAsia"/>
          <w:highlight w:val="none"/>
          <w:shd w:val="clear" w:color="auto" w:fill="ffffff"/>
        </w:rPr>
        <w:t xml:space="preserve">……</w:t>
      </w:r>
      <w:r>
        <w:rPr>
          <w:rFonts w:hint="eastAsia"/>
          <w:highlight w:val="none"/>
        </w:rPr>
      </w:r>
      <w:r/>
    </w:p>
    <w:p>
      <w:pPr>
        <w:pStyle w:val="1163"/>
        <w:ind w:firstLine="420"/>
        <w:spacing w:before="30" w:beforeAutospacing="0" w:after="30" w:afterAutospacing="0" w:line="400" w:lineRule="exact"/>
        <w:rPr>
          <w:rFonts w:hint="eastAsia"/>
          <w:highlight w:val="none"/>
        </w:rPr>
      </w:pPr>
      <w:r>
        <w:rPr>
          <w:rFonts w:hint="eastAsia"/>
          <w:highlight w:val="none"/>
          <w:shd w:val="clear" w:color="auto" w:fill="ffffff"/>
        </w:rPr>
        <w:t xml:space="preserve">本公司（单位）对上述声明内容的真实性负责。如有虚假，愿承担相应法律责任。</w:t>
      </w:r>
      <w:r>
        <w:rPr>
          <w:rFonts w:hint="eastAsia"/>
          <w:highlight w:val="none"/>
        </w:rPr>
      </w:r>
      <w:r/>
    </w:p>
    <w:p>
      <w:pPr>
        <w:pStyle w:val="1163"/>
        <w:spacing w:before="30" w:beforeAutospacing="0" w:after="30" w:afterAutospacing="0" w:line="400" w:lineRule="exact"/>
        <w:rPr>
          <w:rFonts w:hint="eastAsia"/>
          <w:highlight w:val="none"/>
        </w:rPr>
      </w:pPr>
      <w:r>
        <w:rPr>
          <w:rFonts w:hint="eastAsia"/>
          <w:highlight w:val="none"/>
        </w:rPr>
      </w:r>
      <w:r/>
    </w:p>
    <w:p>
      <w:pPr>
        <w:pStyle w:val="1163"/>
        <w:ind w:right="480" w:firstLine="3720"/>
        <w:spacing w:before="30" w:beforeAutospacing="0" w:after="30" w:afterAutospacing="0" w:line="400" w:lineRule="exact"/>
        <w:rPr>
          <w:rFonts w:hint="eastAsia"/>
          <w:highlight w:val="none"/>
        </w:rPr>
      </w:pPr>
      <w:r>
        <w:rPr>
          <w:rFonts w:hint="eastAsia"/>
          <w:highlight w:val="none"/>
          <w:shd w:val="clear" w:color="auto" w:fill="ffffff"/>
        </w:rPr>
        <w:t xml:space="preserve">公司（单位）名称（盖章）：　        </w:t>
      </w:r>
      <w:r>
        <w:rPr>
          <w:rFonts w:hint="eastAsia"/>
          <w:highlight w:val="none"/>
        </w:rPr>
      </w:r>
      <w:r/>
    </w:p>
    <w:p>
      <w:pPr>
        <w:pStyle w:val="1163"/>
        <w:jc w:val="center"/>
        <w:spacing w:before="30" w:beforeAutospacing="0" w:after="30" w:afterAutospacing="0" w:line="400" w:lineRule="exact"/>
        <w:rPr>
          <w:rFonts w:hint="eastAsia"/>
          <w:highlight w:val="none"/>
        </w:rPr>
      </w:pPr>
      <w:r>
        <w:rPr>
          <w:rFonts w:hint="eastAsia"/>
          <w:highlight w:val="none"/>
          <w:shd w:val="clear" w:color="auto" w:fill="ffffff"/>
        </w:rPr>
        <w:t xml:space="preserve">                                日期：　   年　  月　  日         </w:t>
      </w:r>
      <w:r>
        <w:rPr>
          <w:rFonts w:hint="eastAsia"/>
          <w:highlight w:val="none"/>
        </w:rPr>
      </w:r>
      <w:r/>
    </w:p>
    <w:p>
      <w:pPr>
        <w:pStyle w:val="1163"/>
        <w:spacing w:before="30" w:beforeAutospacing="0" w:after="30" w:afterAutospacing="0" w:line="0" w:lineRule="atLeast"/>
        <w:rPr>
          <w:rFonts w:hint="eastAsia" w:ascii="方正魏碑_GBK" w:hAnsi="方正魏碑_GBK" w:eastAsia="方正魏碑_GBK" w:cs="方正魏碑_GBK"/>
          <w:highlight w:val="none"/>
          <w:shd w:val="clear" w:color="auto" w:fill="ffffff"/>
        </w:rPr>
      </w:pPr>
      <w:r>
        <w:rPr>
          <w:rFonts w:hint="eastAsia" w:ascii="方正魏碑_GBK" w:hAnsi="方正魏碑_GBK" w:eastAsia="方正魏碑_GBK" w:cs="方正魏碑_GBK"/>
          <w:highlight w:val="none"/>
          <w:shd w:val="clear" w:color="auto" w:fill="ffffff"/>
        </w:rPr>
      </w:r>
      <w:r/>
    </w:p>
    <w:p>
      <w:pPr>
        <w:pStyle w:val="1163"/>
        <w:spacing w:before="30" w:beforeAutospacing="0" w:after="30" w:afterAutospacing="0" w:line="0" w:lineRule="atLeast"/>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__________________</w:t>
      </w:r>
      <w:r>
        <w:rPr>
          <w:rFonts w:hint="eastAsia" w:ascii="方正魏碑_GBK" w:hAnsi="方正魏碑_GBK" w:eastAsia="方正魏碑_GBK" w:cs="方正魏碑_GBK"/>
          <w:highlight w:val="none"/>
        </w:rPr>
      </w:r>
      <w:r/>
    </w:p>
    <w:p>
      <w:pPr>
        <w:pStyle w:val="1163"/>
        <w:spacing w:before="30" w:beforeAutospacing="0" w:after="30" w:afterAutospacing="0" w:line="0" w:lineRule="atLeast"/>
        <w:rPr>
          <w:rFonts w:hint="eastAsia" w:ascii="方正魏碑_GBK" w:hAnsi="方正魏碑_GBK" w:eastAsia="方正魏碑_GBK" w:cs="方正魏碑_GBK"/>
          <w:sz w:val="22"/>
          <w:highlight w:val="none"/>
        </w:rPr>
      </w:pPr>
      <w:r>
        <w:rPr>
          <w:rFonts w:hint="eastAsia" w:ascii="方正魏碑_GBK" w:hAnsi="方正魏碑_GBK" w:eastAsia="方正魏碑_GBK" w:cs="方正魏碑_GBK"/>
          <w:sz w:val="22"/>
          <w:highlight w:val="none"/>
          <w:shd w:val="clear" w:color="auto" w:fill="ffffff"/>
        </w:rPr>
        <w:t xml:space="preserve">1.产品如有型号，请在“产品名称”栏一并填写。</w:t>
      </w:r>
      <w:r>
        <w:rPr>
          <w:rFonts w:hint="eastAsia" w:ascii="方正魏碑_GBK" w:hAnsi="方正魏碑_GBK" w:eastAsia="方正魏碑_GBK" w:cs="方正魏碑_GBK"/>
          <w:sz w:val="22"/>
          <w:highlight w:val="none"/>
        </w:rPr>
      </w:r>
      <w:r/>
    </w:p>
    <w:p>
      <w:pPr>
        <w:pStyle w:val="1163"/>
        <w:spacing w:before="30" w:beforeAutospacing="0" w:after="30" w:afterAutospacing="0" w:line="0" w:lineRule="atLeast"/>
        <w:rPr>
          <w:rFonts w:hint="eastAsia" w:ascii="方正魏碑_GBK" w:hAnsi="方正魏碑_GBK" w:eastAsia="方正魏碑_GBK" w:cs="方正魏碑_GBK"/>
          <w:sz w:val="22"/>
          <w:highlight w:val="none"/>
        </w:rPr>
      </w:pPr>
      <w:r>
        <w:rPr>
          <w:rFonts w:hint="eastAsia" w:ascii="方正魏碑_GBK" w:hAnsi="方正魏碑_GBK" w:eastAsia="方正魏碑_GBK" w:cs="方正魏碑_GBK"/>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22"/>
          <w:highlight w:val="none"/>
        </w:rPr>
      </w:r>
      <w:r/>
    </w:p>
    <w:p>
      <w:pPr>
        <w:pStyle w:val="1163"/>
        <w:spacing w:before="30" w:beforeAutospacing="0" w:after="30" w:afterAutospacing="0" w:line="0" w:lineRule="atLeast"/>
        <w:rPr>
          <w:rFonts w:hint="eastAsia" w:ascii="方正魏碑_GBK" w:hAnsi="方正魏碑_GBK" w:eastAsia="方正魏碑_GBK" w:cs="方正魏碑_GBK"/>
          <w:sz w:val="22"/>
          <w:highlight w:val="none"/>
        </w:rPr>
      </w:pPr>
      <w:r>
        <w:rPr>
          <w:rFonts w:hint="eastAsia" w:ascii="方正魏碑_GBK" w:hAnsi="方正魏碑_GBK" w:eastAsia="方正魏碑_GBK" w:cs="方正魏碑_GBK"/>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2"/>
          <w:highlight w:val="none"/>
        </w:rPr>
      </w:r>
      <w:r/>
    </w:p>
    <w:p>
      <w:pPr>
        <w:pStyle w:val="1163"/>
        <w:spacing w:before="30" w:beforeAutospacing="0" w:after="30" w:afterAutospacing="0" w:line="0" w:lineRule="atLeast"/>
        <w:rPr>
          <w:rFonts w:hint="eastAsia" w:ascii="方正魏碑_GBK" w:hAnsi="方正魏碑_GBK" w:eastAsia="方正魏碑_GBK" w:cs="方正魏碑_GBK"/>
          <w:sz w:val="22"/>
          <w:highlight w:val="none"/>
        </w:rPr>
      </w:pPr>
      <w:r>
        <w:rPr>
          <w:rFonts w:hint="eastAsia" w:ascii="方正魏碑_GBK" w:hAnsi="方正魏碑_GBK" w:eastAsia="方正魏碑_GBK" w:cs="方正魏碑_GBK"/>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sz w:val="22"/>
          <w:highlight w:val="none"/>
        </w:rPr>
      </w:r>
      <w:r/>
    </w:p>
    <w:p>
      <w:pPr>
        <w:pStyle w:val="1163"/>
        <w:spacing w:before="30" w:beforeAutospacing="0" w:after="30" w:afterAutospacing="0" w:line="0" w:lineRule="atLeast"/>
        <w:rPr>
          <w:rFonts w:ascii="方正魏碑_GBK" w:hAnsi="方正魏碑_GBK" w:eastAsia="方正魏碑_GBK" w:cs="方正魏碑_GBK"/>
          <w:sz w:val="22"/>
          <w:highlight w:val="none"/>
          <w:shd w:val="clear" w:color="auto" w:fill="ffffff"/>
        </w:rPr>
      </w:pPr>
      <w:r>
        <w:rPr>
          <w:rFonts w:hint="eastAsia" w:ascii="方正魏碑_GBK" w:hAnsi="方正魏碑_GBK" w:eastAsia="方正魏碑_GBK" w:cs="方正魏碑_GBK"/>
          <w:sz w:val="22"/>
          <w:highlight w:val="none"/>
          <w:shd w:val="clear" w:color="auto" w:fill="ffffff"/>
        </w:rPr>
        <w:t xml:space="preserve">5.该产品的关键工序要求实施前，“关键工序”栏可不填，下同。</w:t>
      </w:r>
      <w:r>
        <w:rPr>
          <w:rFonts w:ascii="方正魏碑_GBK" w:hAnsi="方正魏碑_GBK" w:eastAsia="方正魏碑_GBK" w:cs="方正魏碑_GBK"/>
          <w:sz w:val="22"/>
          <w:highlight w:val="none"/>
          <w:shd w:val="clear" w:color="auto" w:fill="ffffff"/>
        </w:rPr>
      </w:r>
      <w:r/>
    </w:p>
    <w:p>
      <w:pPr>
        <w:pStyle w:val="1163"/>
        <w:spacing w:before="30" w:beforeAutospacing="0" w:after="30" w:afterAutospacing="0" w:line="0" w:lineRule="atLeast"/>
        <w:rPr>
          <w:rFonts w:ascii="方正魏碑_GBK" w:hAnsi="方正魏碑_GBK" w:eastAsia="方正魏碑_GBK" w:cs="方正魏碑_GBK"/>
          <w:sz w:val="22"/>
          <w:highlight w:val="none"/>
          <w:shd w:val="clear" w:color="auto" w:fill="ffffff"/>
        </w:rPr>
      </w:pPr>
      <w:r>
        <w:rPr>
          <w:rFonts w:hint="eastAsia" w:ascii="方正魏碑_GBK" w:hAnsi="方正魏碑_GBK" w:eastAsia="方正魏碑_GBK" w:cs="方正魏碑_GBK"/>
          <w:sz w:val="22"/>
          <w:highlight w:val="none"/>
          <w:shd w:val="clear" w:color="auto" w:fill="ffffff"/>
        </w:rPr>
        <w:t xml:space="preserve">6.用斜线划除的地方无需填写。</w:t>
      </w:r>
      <w:r>
        <w:rPr>
          <w:rFonts w:ascii="方正魏碑_GBK" w:hAnsi="方正魏碑_GBK" w:eastAsia="方正魏碑_GBK" w:cs="方正魏碑_GBK"/>
          <w:sz w:val="22"/>
          <w:highlight w:val="none"/>
          <w:shd w:val="clear" w:color="auto" w:fill="ffffff"/>
        </w:rPr>
      </w:r>
      <w:r/>
    </w:p>
    <w:p>
      <w:pPr>
        <w:pStyle w:val="1101"/>
        <w:rPr>
          <w:rFonts w:ascii="宋体" w:hAnsi="宋体" w:cs="宋体"/>
          <w:color w:val="000000"/>
          <w:sz w:val="24"/>
          <w:szCs w:val="20"/>
          <w:highlight w:val="none"/>
        </w:rPr>
      </w:pPr>
      <w:r>
        <w:rPr>
          <w:rFonts w:hint="eastAsia" w:ascii="宋体" w:hAnsi="宋体" w:cs="宋体"/>
          <w:color w:val="000000"/>
          <w:sz w:val="24"/>
          <w:szCs w:val="20"/>
          <w:highlight w:val="none"/>
        </w:rPr>
        <w:br w:type="page" w:clear="all"/>
      </w:r>
      <w:r>
        <w:rPr>
          <w:rFonts w:hint="eastAsia" w:ascii="宋体" w:hAnsi="宋体" w:cs="宋体"/>
          <w:color w:val="000000"/>
          <w:sz w:val="24"/>
          <w:szCs w:val="20"/>
          <w:highlight w:val="none"/>
          <w:lang w:val="en-US" w:eastAsia="zh-CN"/>
        </w:rPr>
        <w:t xml:space="preserve">10</w:t>
      </w:r>
      <w:r>
        <w:rPr>
          <w:rFonts w:hint="eastAsia" w:ascii="宋体" w:hAnsi="宋体" w:cs="宋体"/>
          <w:color w:val="000000"/>
          <w:sz w:val="24"/>
          <w:szCs w:val="20"/>
          <w:highlight w:val="none"/>
        </w:rPr>
        <w:t xml:space="preserve">  项目实施方案等，按照采购需求和评分标准编制。</w:t>
      </w:r>
      <w:r>
        <w:rPr>
          <w:rFonts w:ascii="宋体" w:hAnsi="宋体" w:cs="宋体"/>
          <w:color w:val="000000"/>
          <w:sz w:val="24"/>
          <w:szCs w:val="20"/>
          <w:highlight w:val="none"/>
        </w:rPr>
      </w:r>
      <w:r/>
    </w:p>
    <w:p>
      <w:pPr>
        <w:pStyle w:val="1101"/>
        <w:rPr>
          <w:highlight w:val="none"/>
        </w:rPr>
      </w:pPr>
      <w:r>
        <w:rPr>
          <w:highlight w:val="none"/>
        </w:rPr>
      </w:r>
      <w:r/>
    </w:p>
    <w:p>
      <w:pPr>
        <w:pStyle w:val="1101"/>
        <w:rPr>
          <w:highlight w:val="none"/>
        </w:rPr>
      </w:pPr>
      <w:r>
        <w:rPr>
          <w:highlight w:val="none"/>
        </w:rPr>
      </w:r>
      <w:r/>
    </w:p>
    <w:p>
      <w:pPr>
        <w:pStyle w:val="1101"/>
        <w:spacing w:line="400" w:lineRule="exact"/>
        <w:rPr>
          <w:rFonts w:ascii="宋体" w:hAnsi="宋体" w:cs="宋体"/>
          <w:color w:val="000000"/>
          <w:sz w:val="24"/>
          <w:szCs w:val="20"/>
          <w:highlight w:val="none"/>
        </w:rPr>
      </w:pPr>
      <w:r>
        <w:rPr>
          <w:rFonts w:hint="eastAsia" w:ascii="宋体" w:hAnsi="宋体" w:cs="宋体"/>
          <w:color w:val="000000"/>
          <w:sz w:val="24"/>
          <w:szCs w:val="20"/>
          <w:highlight w:val="none"/>
          <w:lang w:val="en-US" w:eastAsia="zh-CN"/>
        </w:rPr>
        <w:t xml:space="preserve">11</w:t>
      </w:r>
      <w:r>
        <w:rPr>
          <w:rFonts w:hint="eastAsia" w:ascii="宋体" w:hAnsi="宋体" w:cs="宋体"/>
          <w:color w:val="000000"/>
          <w:sz w:val="24"/>
          <w:szCs w:val="20"/>
          <w:highlight w:val="none"/>
        </w:rPr>
        <w:t xml:space="preserve">  参加本项目人员一览表</w:t>
      </w:r>
      <w:r>
        <w:rPr>
          <w:rFonts w:ascii="宋体" w:hAnsi="宋体" w:cs="宋体"/>
          <w:color w:val="000000"/>
          <w:sz w:val="24"/>
          <w:szCs w:val="20"/>
          <w:highlight w:val="none"/>
        </w:rPr>
      </w:r>
      <w:r/>
    </w:p>
    <w:p>
      <w:pPr>
        <w:pStyle w:val="1101"/>
        <w:jc w:val="center"/>
        <w:spacing w:line="360" w:lineRule="auto"/>
        <w:rPr>
          <w:rFonts w:ascii="宋体" w:hAnsi="宋体"/>
          <w:b/>
          <w:sz w:val="32"/>
          <w:szCs w:val="32"/>
          <w:highlight w:val="none"/>
        </w:rPr>
      </w:pPr>
      <w:r>
        <w:rPr>
          <w:rFonts w:ascii="宋体" w:hAnsi="宋体"/>
          <w:b/>
          <w:sz w:val="32"/>
          <w:szCs w:val="32"/>
          <w:highlight w:val="none"/>
        </w:rPr>
      </w:r>
      <w:r/>
    </w:p>
    <w:p>
      <w:pPr>
        <w:pStyle w:val="1101"/>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rPr>
          <w:rFonts w:ascii="宋体" w:hAnsi="宋体"/>
          <w:b/>
          <w:sz w:val="32"/>
          <w:szCs w:val="32"/>
          <w:highlight w:val="none"/>
        </w:rPr>
      </w:r>
      <w:r/>
    </w:p>
    <w:p>
      <w:pPr>
        <w:pStyle w:val="1101"/>
        <w:spacing w:line="360" w:lineRule="auto"/>
        <w:rPr>
          <w:rFonts w:ascii="宋体" w:hAnsi="宋体"/>
          <w:sz w:val="22"/>
          <w:highlight w:val="none"/>
        </w:rPr>
      </w:pPr>
      <w:r>
        <w:rPr>
          <w:rFonts w:ascii="宋体" w:hAnsi="宋体"/>
          <w:sz w:val="22"/>
          <w:highlight w:val="none"/>
        </w:rPr>
      </w:r>
      <w:r/>
    </w:p>
    <w:p>
      <w:pPr>
        <w:pStyle w:val="1101"/>
        <w:spacing w:line="360" w:lineRule="auto"/>
        <w:rPr>
          <w:rFonts w:ascii="宋体" w:hAnsi="宋体" w:cs="宋体"/>
          <w:sz w:val="24"/>
          <w:highlight w:val="none"/>
        </w:rPr>
      </w:pPr>
      <w:r>
        <w:rPr>
          <w:rFonts w:hint="eastAsia" w:ascii="宋体" w:hAnsi="宋体" w:cs="宋体"/>
          <w:sz w:val="24"/>
          <w:highlight w:val="none"/>
        </w:rPr>
        <w:t xml:space="preserve">项目编号：</w:t>
      </w:r>
      <w:r>
        <w:rPr>
          <w:rFonts w:ascii="宋体" w:hAnsi="宋体" w:cs="宋体"/>
          <w:sz w:val="24"/>
          <w:highlight w:val="none"/>
        </w:rPr>
      </w:r>
      <w:r/>
    </w:p>
    <w:tbl>
      <w:tblPr>
        <w:tblW w:w="9450"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101"/>
              <w:jc w:val="center"/>
              <w:tabs>
                <w:tab w:val="left" w:pos="9765" w:leader="none"/>
              </w:tabs>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tcW w:w="945" w:type="dxa"/>
            <w:vAlign w:val="center"/>
            <w:textDirection w:val="lrTb"/>
            <w:noWrap w:val="false"/>
          </w:tcPr>
          <w:p>
            <w:pPr>
              <w:pStyle w:val="1101"/>
              <w:jc w:val="center"/>
              <w:tabs>
                <w:tab w:val="left" w:pos="9765" w:leader="none"/>
              </w:tabs>
              <w:rPr>
                <w:rFonts w:ascii="宋体" w:hAnsi="宋体" w:cs="宋体"/>
                <w:sz w:val="24"/>
                <w:highlight w:val="none"/>
              </w:rPr>
            </w:pPr>
            <w:r>
              <w:rPr>
                <w:rFonts w:hint="eastAsia" w:ascii="宋体" w:hAnsi="宋体" w:cs="宋体"/>
                <w:sz w:val="24"/>
                <w:highlight w:val="none"/>
              </w:rPr>
              <w:t xml:space="preserve">姓名</w:t>
            </w:r>
            <w:r>
              <w:rPr>
                <w:rFonts w:ascii="宋体" w:hAnsi="宋体" w:cs="宋体"/>
                <w:sz w:val="24"/>
                <w:highlight w:val="none"/>
              </w:rPr>
            </w:r>
            <w:r/>
          </w:p>
        </w:tc>
        <w:tc>
          <w:tcPr>
            <w:tcW w:w="945" w:type="dxa"/>
            <w:vAlign w:val="center"/>
            <w:textDirection w:val="lrTb"/>
            <w:noWrap w:val="false"/>
          </w:tcPr>
          <w:p>
            <w:pPr>
              <w:pStyle w:val="1101"/>
              <w:jc w:val="center"/>
              <w:tabs>
                <w:tab w:val="left" w:pos="9765" w:leader="none"/>
              </w:tabs>
              <w:rPr>
                <w:rFonts w:ascii="宋体" w:hAnsi="宋体" w:cs="宋体"/>
                <w:sz w:val="24"/>
                <w:highlight w:val="none"/>
              </w:rPr>
            </w:pPr>
            <w:r>
              <w:rPr>
                <w:rFonts w:hint="eastAsia" w:ascii="宋体" w:hAnsi="宋体" w:cs="宋体"/>
                <w:sz w:val="24"/>
                <w:highlight w:val="none"/>
              </w:rPr>
              <w:t xml:space="preserve">性别</w:t>
            </w:r>
            <w:r>
              <w:rPr>
                <w:rFonts w:ascii="宋体" w:hAnsi="宋体" w:cs="宋体"/>
                <w:sz w:val="24"/>
                <w:highlight w:val="none"/>
              </w:rPr>
            </w:r>
            <w:r/>
          </w:p>
        </w:tc>
        <w:tc>
          <w:tcPr>
            <w:tcW w:w="945" w:type="dxa"/>
            <w:vAlign w:val="center"/>
            <w:textDirection w:val="lrTb"/>
            <w:noWrap w:val="false"/>
          </w:tcPr>
          <w:p>
            <w:pPr>
              <w:pStyle w:val="1101"/>
              <w:jc w:val="center"/>
              <w:tabs>
                <w:tab w:val="left" w:pos="9765" w:leader="none"/>
              </w:tabs>
              <w:rPr>
                <w:rFonts w:ascii="宋体" w:hAnsi="宋体" w:cs="宋体"/>
                <w:sz w:val="24"/>
                <w:highlight w:val="none"/>
              </w:rPr>
            </w:pPr>
            <w:r>
              <w:rPr>
                <w:rFonts w:hint="eastAsia" w:ascii="宋体" w:hAnsi="宋体" w:cs="宋体"/>
                <w:sz w:val="24"/>
                <w:highlight w:val="none"/>
              </w:rPr>
              <w:t xml:space="preserve">年龄</w:t>
            </w:r>
            <w:r>
              <w:rPr>
                <w:rFonts w:ascii="宋体" w:hAnsi="宋体" w:cs="宋体"/>
                <w:sz w:val="24"/>
                <w:highlight w:val="none"/>
              </w:rPr>
            </w:r>
            <w:r/>
          </w:p>
        </w:tc>
        <w:tc>
          <w:tcPr>
            <w:tcW w:w="945" w:type="dxa"/>
            <w:vAlign w:val="center"/>
            <w:textDirection w:val="lrTb"/>
            <w:noWrap w:val="false"/>
          </w:tcPr>
          <w:p>
            <w:pPr>
              <w:pStyle w:val="1101"/>
              <w:jc w:val="center"/>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rPr>
                <w:rFonts w:ascii="宋体" w:hAnsi="宋体" w:cs="宋体"/>
                <w:sz w:val="24"/>
                <w:highlight w:val="none"/>
              </w:rPr>
            </w:r>
            <w:r/>
          </w:p>
        </w:tc>
        <w:tc>
          <w:tcPr>
            <w:tcW w:w="945" w:type="dxa"/>
            <w:vAlign w:val="center"/>
            <w:textDirection w:val="lrTb"/>
            <w:noWrap w:val="false"/>
          </w:tcPr>
          <w:p>
            <w:pPr>
              <w:pStyle w:val="1101"/>
              <w:jc w:val="center"/>
              <w:tabs>
                <w:tab w:val="left" w:pos="9765" w:leader="none"/>
              </w:tabs>
              <w:rPr>
                <w:rFonts w:ascii="宋体" w:hAnsi="宋体" w:cs="宋体"/>
                <w:sz w:val="24"/>
                <w:highlight w:val="none"/>
              </w:rPr>
            </w:pPr>
            <w:r>
              <w:rPr>
                <w:rFonts w:hint="eastAsia" w:ascii="宋体" w:hAnsi="宋体" w:cs="宋体"/>
                <w:sz w:val="24"/>
                <w:highlight w:val="none"/>
              </w:rPr>
              <w:t xml:space="preserve">专业</w:t>
            </w:r>
            <w:r>
              <w:rPr>
                <w:rFonts w:ascii="宋体" w:hAnsi="宋体" w:cs="宋体"/>
                <w:sz w:val="24"/>
                <w:highlight w:val="none"/>
              </w:rPr>
            </w:r>
            <w:r/>
          </w:p>
        </w:tc>
        <w:tc>
          <w:tcPr>
            <w:tcW w:w="945" w:type="dxa"/>
            <w:vAlign w:val="center"/>
            <w:textDirection w:val="lrTb"/>
            <w:noWrap w:val="false"/>
          </w:tcPr>
          <w:p>
            <w:pPr>
              <w:pStyle w:val="1101"/>
              <w:jc w:val="center"/>
              <w:tabs>
                <w:tab w:val="left" w:pos="9765" w:leader="none"/>
              </w:tabs>
              <w:rPr>
                <w:rFonts w:ascii="宋体" w:hAnsi="宋体" w:cs="宋体"/>
                <w:sz w:val="24"/>
                <w:highlight w:val="none"/>
              </w:rPr>
            </w:pPr>
            <w:r>
              <w:rPr>
                <w:rFonts w:hint="eastAsia" w:ascii="宋体" w:hAnsi="宋体" w:cs="宋体"/>
                <w:sz w:val="24"/>
                <w:highlight w:val="none"/>
              </w:rPr>
              <w:t xml:space="preserve">职称</w:t>
            </w:r>
            <w:r>
              <w:rPr>
                <w:rFonts w:ascii="宋体" w:hAnsi="宋体" w:cs="宋体"/>
                <w:sz w:val="24"/>
                <w:highlight w:val="none"/>
              </w:rPr>
            </w:r>
            <w:r/>
          </w:p>
        </w:tc>
        <w:tc>
          <w:tcPr>
            <w:tcW w:w="945" w:type="dxa"/>
            <w:vAlign w:val="center"/>
            <w:textDirection w:val="lrTb"/>
            <w:noWrap w:val="false"/>
          </w:tcPr>
          <w:p>
            <w:pPr>
              <w:pStyle w:val="1101"/>
              <w:jc w:val="center"/>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rPr>
                <w:rFonts w:ascii="宋体" w:hAnsi="宋体" w:cs="宋体"/>
                <w:sz w:val="24"/>
                <w:highlight w:val="none"/>
              </w:rPr>
            </w:r>
            <w:r/>
          </w:p>
        </w:tc>
        <w:tc>
          <w:tcPr>
            <w:tcW w:w="945" w:type="dxa"/>
            <w:vAlign w:val="center"/>
            <w:textDirection w:val="lrTb"/>
            <w:noWrap w:val="false"/>
          </w:tcPr>
          <w:p>
            <w:pPr>
              <w:pStyle w:val="1101"/>
              <w:jc w:val="center"/>
              <w:tabs>
                <w:tab w:val="left" w:pos="9765" w:leader="none"/>
              </w:tabs>
              <w:rPr>
                <w:rFonts w:ascii="宋体" w:hAnsi="宋体" w:cs="宋体"/>
                <w:sz w:val="24"/>
                <w:highlight w:val="none"/>
              </w:rPr>
            </w:pPr>
            <w:r>
              <w:rPr>
                <w:rFonts w:hint="eastAsia" w:ascii="宋体" w:hAnsi="宋体" w:cs="宋体"/>
                <w:sz w:val="24"/>
                <w:highlight w:val="none"/>
              </w:rPr>
              <w:t xml:space="preserve">责任</w:t>
            </w:r>
            <w:r>
              <w:rPr>
                <w:rFonts w:ascii="宋体" w:hAnsi="宋体" w:cs="宋体"/>
                <w:sz w:val="24"/>
                <w:highlight w:val="none"/>
              </w:rPr>
            </w:r>
            <w:r/>
          </w:p>
          <w:p>
            <w:pPr>
              <w:pStyle w:val="1101"/>
              <w:jc w:val="center"/>
              <w:tabs>
                <w:tab w:val="left" w:pos="9765" w:leader="none"/>
              </w:tabs>
              <w:rPr>
                <w:rFonts w:ascii="宋体" w:hAnsi="宋体" w:cs="宋体"/>
                <w:sz w:val="24"/>
                <w:highlight w:val="none"/>
              </w:rPr>
            </w:pPr>
            <w:r>
              <w:rPr>
                <w:rFonts w:hint="eastAsia" w:ascii="宋体" w:hAnsi="宋体" w:cs="宋体"/>
                <w:sz w:val="24"/>
                <w:highlight w:val="none"/>
              </w:rPr>
              <w:t xml:space="preserve">或分工</w:t>
            </w:r>
            <w:r>
              <w:rPr>
                <w:rFonts w:ascii="宋体" w:hAnsi="宋体" w:cs="宋体"/>
                <w:sz w:val="24"/>
                <w:highlight w:val="none"/>
              </w:rPr>
            </w:r>
            <w:r/>
          </w:p>
        </w:tc>
        <w:tc>
          <w:tcPr>
            <w:tcW w:w="945" w:type="dxa"/>
            <w:vAlign w:val="center"/>
            <w:textDirection w:val="lrTb"/>
            <w:noWrap w:val="false"/>
          </w:tcPr>
          <w:p>
            <w:pPr>
              <w:pStyle w:val="1101"/>
              <w:jc w:val="center"/>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rPr>
                <w:rFonts w:ascii="宋体" w:hAnsi="宋体" w:cs="宋体"/>
                <w:sz w:val="24"/>
                <w:highlight w:val="none"/>
              </w:rPr>
            </w:r>
            <w:r/>
          </w:p>
          <w:p>
            <w:pPr>
              <w:pStyle w:val="1101"/>
              <w:jc w:val="center"/>
              <w:tabs>
                <w:tab w:val="left" w:pos="9765" w:leader="none"/>
              </w:tabs>
              <w:rPr>
                <w:rFonts w:ascii="宋体" w:hAnsi="宋体" w:cs="宋体"/>
                <w:sz w:val="24"/>
                <w:highlight w:val="none"/>
              </w:rPr>
            </w:pPr>
            <w:r>
              <w:rPr>
                <w:rFonts w:hint="eastAsia" w:ascii="宋体" w:hAnsi="宋体" w:cs="宋体"/>
                <w:sz w:val="24"/>
                <w:highlight w:val="none"/>
              </w:rPr>
              <w:t xml:space="preserve">业绩</w:t>
            </w:r>
            <w:r>
              <w:rPr>
                <w:rFonts w:ascii="宋体" w:hAnsi="宋体" w:cs="宋体"/>
                <w:sz w:val="24"/>
                <w:highlight w:val="none"/>
              </w:rPr>
            </w:r>
            <w:r/>
          </w:p>
        </w:tc>
      </w:tr>
      <w:tr>
        <w:trPr>
          <w:trHeight w:val="397"/>
        </w:trPr>
        <w:tc>
          <w:tcPr>
            <w:tcW w:w="945" w:type="dxa"/>
            <w:vAlign w:val="top"/>
            <w:textDirection w:val="lrTb"/>
            <w:noWrap w:val="false"/>
          </w:tcPr>
          <w:p>
            <w:pPr>
              <w:pStyle w:val="1101"/>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rHeight w:val="397"/>
        </w:trPr>
        <w:tc>
          <w:tcPr>
            <w:tcW w:w="945" w:type="dxa"/>
            <w:vAlign w:val="top"/>
            <w:textDirection w:val="lrTb"/>
            <w:noWrap w:val="false"/>
          </w:tcPr>
          <w:p>
            <w:pPr>
              <w:pStyle w:val="1101"/>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rHeight w:val="397"/>
        </w:trPr>
        <w:tc>
          <w:tcPr>
            <w:tcW w:w="945" w:type="dxa"/>
            <w:vAlign w:val="top"/>
            <w:textDirection w:val="lrTb"/>
            <w:noWrap w:val="false"/>
          </w:tcPr>
          <w:p>
            <w:pPr>
              <w:pStyle w:val="1101"/>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ascii="宋体" w:hAnsi="宋体" w:cs="宋体"/>
                <w:sz w:val="24"/>
                <w:highlight w:val="none"/>
              </w:rPr>
            </w:r>
            <w:r/>
          </w:p>
        </w:tc>
      </w:tr>
      <w:tr>
        <w:trPr>
          <w:trHeight w:val="397"/>
        </w:trPr>
        <w:tc>
          <w:tcPr>
            <w:tcW w:w="945" w:type="dxa"/>
            <w:vAlign w:val="top"/>
            <w:textDirection w:val="lrTb"/>
            <w:noWrap w:val="false"/>
          </w:tcPr>
          <w:p>
            <w:pPr>
              <w:pStyle w:val="1101"/>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ascii="宋体" w:hAnsi="宋体" w:cs="宋体"/>
                <w:sz w:val="24"/>
                <w:highlight w:val="none"/>
              </w:rPr>
            </w:r>
            <w:r/>
          </w:p>
        </w:tc>
      </w:tr>
      <w:tr>
        <w:trPr>
          <w:trHeight w:val="397"/>
        </w:trPr>
        <w:tc>
          <w:tcPr>
            <w:tcW w:w="945" w:type="dxa"/>
            <w:vAlign w:val="top"/>
            <w:textDirection w:val="lrTb"/>
            <w:noWrap w:val="false"/>
          </w:tcPr>
          <w:p>
            <w:pPr>
              <w:pStyle w:val="1101"/>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ascii="宋体" w:hAnsi="宋体" w:cs="宋体"/>
                <w:sz w:val="24"/>
                <w:highlight w:val="none"/>
              </w:rPr>
            </w:r>
            <w:r/>
          </w:p>
        </w:tc>
      </w:tr>
      <w:tr>
        <w:trPr>
          <w:trHeight w:val="397"/>
        </w:trPr>
        <w:tc>
          <w:tcPr>
            <w:tcW w:w="945" w:type="dxa"/>
            <w:vAlign w:val="top"/>
            <w:textDirection w:val="lrTb"/>
            <w:noWrap w:val="false"/>
          </w:tcPr>
          <w:p>
            <w:pPr>
              <w:pStyle w:val="1101"/>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101"/>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bl>
    <w:p>
      <w:pPr>
        <w:pStyle w:val="1101"/>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pStyle w:val="1101"/>
        <w:spacing w:line="360" w:lineRule="auto"/>
        <w:rPr>
          <w:rFonts w:ascii="宋体" w:hAnsi="宋体"/>
          <w:sz w:val="24"/>
          <w:highlight w:val="none"/>
        </w:rPr>
      </w:pPr>
      <w:r>
        <w:rPr>
          <w:rFonts w:ascii="宋体" w:hAnsi="宋体"/>
          <w:sz w:val="24"/>
          <w:highlight w:val="none"/>
        </w:rPr>
      </w:r>
      <w:r/>
    </w:p>
    <w:p>
      <w:pPr>
        <w:pStyle w:val="1101"/>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101"/>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01"/>
        <w:rPr>
          <w:sz w:val="22"/>
          <w:highlight w:val="none"/>
        </w:rPr>
      </w:pPr>
      <w:r>
        <w:rPr>
          <w:sz w:val="22"/>
          <w:highlight w:val="none"/>
        </w:rPr>
        <w:br w:type="page" w:clear="all"/>
      </w:r>
      <w:bookmarkStart w:id="482" w:name="_Toc288738397"/>
      <w:r/>
      <w:bookmarkStart w:id="483" w:name="_Toc288738839"/>
      <w:r>
        <w:rPr>
          <w:sz w:val="22"/>
          <w:highlight w:val="none"/>
        </w:rPr>
      </w:r>
      <w:r/>
    </w:p>
    <w:p>
      <w:pPr>
        <w:pStyle w:val="1101"/>
        <w:rPr>
          <w:color w:val="000000"/>
          <w:sz w:val="24"/>
          <w:szCs w:val="20"/>
          <w:highlight w:val="none"/>
        </w:rPr>
      </w:pPr>
      <w:r>
        <w:rPr>
          <w:rFonts w:hint="eastAsia"/>
          <w:color w:val="000000"/>
          <w:sz w:val="24"/>
          <w:szCs w:val="20"/>
          <w:highlight w:val="none"/>
          <w:lang w:val="en-US" w:eastAsia="zh-CN"/>
        </w:rPr>
        <w:t xml:space="preserve">12</w:t>
      </w:r>
      <w:r>
        <w:rPr>
          <w:rFonts w:hint="eastAsia"/>
          <w:color w:val="000000"/>
          <w:sz w:val="24"/>
          <w:szCs w:val="20"/>
          <w:highlight w:val="none"/>
        </w:rPr>
        <w:t xml:space="preserve"> 相关业绩案例一览表</w:t>
      </w:r>
      <w:r>
        <w:rPr>
          <w:color w:val="000000"/>
          <w:sz w:val="24"/>
          <w:szCs w:val="20"/>
          <w:highlight w:val="none"/>
        </w:rPr>
      </w:r>
      <w:r/>
    </w:p>
    <w:p>
      <w:pPr>
        <w:pStyle w:val="1101"/>
        <w:rPr>
          <w:color w:val="000000"/>
          <w:sz w:val="24"/>
          <w:szCs w:val="20"/>
          <w:highlight w:val="none"/>
        </w:rPr>
      </w:pPr>
      <w:r>
        <w:rPr>
          <w:color w:val="000000"/>
          <w:sz w:val="24"/>
          <w:szCs w:val="20"/>
          <w:highlight w:val="none"/>
        </w:rPr>
      </w:r>
      <w:r/>
    </w:p>
    <w:p>
      <w:pPr>
        <w:pStyle w:val="1101"/>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482"/>
      <w:r/>
      <w:bookmarkEnd w:id="483"/>
      <w:r>
        <w:rPr>
          <w:rFonts w:ascii="宋体" w:hAnsi="宋体"/>
          <w:b/>
          <w:sz w:val="32"/>
          <w:szCs w:val="32"/>
          <w:highlight w:val="none"/>
        </w:rPr>
      </w:r>
      <w:r/>
    </w:p>
    <w:p>
      <w:pPr>
        <w:pStyle w:val="1101"/>
        <w:jc w:val="center"/>
        <w:spacing w:line="360" w:lineRule="auto"/>
        <w:rPr>
          <w:rFonts w:ascii="宋体" w:hAnsi="宋体"/>
          <w:b/>
          <w:sz w:val="28"/>
          <w:szCs w:val="30"/>
          <w:highlight w:val="none"/>
        </w:rPr>
      </w:pPr>
      <w:r>
        <w:rPr>
          <w:rFonts w:ascii="宋体" w:hAnsi="宋体"/>
          <w:b/>
          <w:sz w:val="28"/>
          <w:szCs w:val="30"/>
          <w:highlight w:val="none"/>
        </w:rPr>
      </w:r>
      <w:r/>
    </w:p>
    <w:p>
      <w:pPr>
        <w:pStyle w:val="1101"/>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ascii="宋体" w:hAnsi="宋体" w:cs="宋体"/>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01"/>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01"/>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01"/>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01"/>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01"/>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01"/>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rPr>
                <w:rFonts w:ascii="宋体" w:hAnsi="宋体" w:cs="宋体"/>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01"/>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01"/>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01"/>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01"/>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01"/>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01"/>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1"/>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pStyle w:val="1101"/>
        <w:tabs>
          <w:tab w:val="left" w:pos="9765" w:leader="none"/>
        </w:tabs>
        <w:rPr>
          <w:rFonts w:ascii="宋体" w:hAnsi="宋体" w:cs="宋体"/>
          <w:sz w:val="24"/>
          <w:highlight w:val="none"/>
          <w:lang w:val="zh-CN"/>
        </w:rPr>
      </w:pPr>
      <w:r>
        <w:rPr>
          <w:rFonts w:ascii="宋体" w:hAnsi="宋体" w:cs="宋体"/>
          <w:sz w:val="24"/>
          <w:highlight w:val="none"/>
          <w:lang w:val="zh-CN"/>
        </w:rPr>
      </w:r>
      <w:r/>
    </w:p>
    <w:p>
      <w:pPr>
        <w:pStyle w:val="1101"/>
        <w:spacing w:line="360" w:lineRule="auto"/>
        <w:rPr>
          <w:rFonts w:ascii="宋体" w:hAnsi="宋体" w:cs="宋体"/>
          <w:sz w:val="24"/>
          <w:highlight w:val="none"/>
        </w:rPr>
      </w:pPr>
      <w:r>
        <w:rPr>
          <w:rFonts w:ascii="宋体" w:hAnsi="宋体" w:cs="宋体"/>
          <w:sz w:val="24"/>
          <w:highlight w:val="none"/>
        </w:rPr>
      </w:r>
      <w:r/>
    </w:p>
    <w:p>
      <w:pPr>
        <w:pStyle w:val="1101"/>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101"/>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01"/>
        <w:rPr>
          <w:highlight w:val="none"/>
        </w:rPr>
      </w:pPr>
      <w:r>
        <w:rPr>
          <w:highlight w:val="none"/>
        </w:rPr>
      </w:r>
      <w:r/>
    </w:p>
    <w:p>
      <w:pPr>
        <w:pStyle w:val="1101"/>
        <w:rPr>
          <w:highlight w:val="none"/>
        </w:rPr>
      </w:pPr>
      <w:r>
        <w:rPr>
          <w:highlight w:val="none"/>
        </w:rPr>
      </w:r>
      <w:r/>
    </w:p>
    <w:p>
      <w:pPr>
        <w:pStyle w:val="1101"/>
        <w:rPr>
          <w:highlight w:val="none"/>
        </w:rPr>
      </w:pPr>
      <w:r>
        <w:rPr>
          <w:highlight w:val="none"/>
        </w:rPr>
      </w:r>
      <w:r/>
    </w:p>
    <w:p>
      <w:pPr>
        <w:pStyle w:val="1101"/>
        <w:rPr>
          <w:highlight w:val="none"/>
        </w:rPr>
      </w:pPr>
      <w:r>
        <w:rPr>
          <w:highlight w:val="none"/>
        </w:rPr>
      </w:r>
      <w:r/>
    </w:p>
    <w:p>
      <w:pPr>
        <w:pStyle w:val="1101"/>
        <w:spacing w:line="360" w:lineRule="auto"/>
        <w:rPr>
          <w:color w:val="000000"/>
          <w:sz w:val="24"/>
          <w:szCs w:val="20"/>
          <w:highlight w:val="none"/>
        </w:rPr>
        <w:outlineLvl w:val="2"/>
      </w:pPr>
      <w:r>
        <w:rPr>
          <w:color w:val="000000"/>
          <w:sz w:val="24"/>
          <w:szCs w:val="20"/>
          <w:highlight w:val="none"/>
        </w:rPr>
      </w:r>
      <w:r/>
    </w:p>
    <w:p>
      <w:pPr>
        <w:pStyle w:val="1101"/>
        <w:spacing w:line="360" w:lineRule="auto"/>
        <w:rPr>
          <w:color w:val="000000"/>
          <w:sz w:val="24"/>
          <w:szCs w:val="20"/>
          <w:highlight w:val="none"/>
        </w:rPr>
        <w:outlineLvl w:val="2"/>
      </w:pPr>
      <w:r>
        <w:rPr>
          <w:rFonts w:hint="eastAsia"/>
          <w:color w:val="000000"/>
          <w:sz w:val="24"/>
          <w:szCs w:val="20"/>
          <w:highlight w:val="none"/>
        </w:rPr>
        <w:t xml:space="preserve">1</w:t>
      </w:r>
      <w:r>
        <w:rPr>
          <w:rFonts w:hint="eastAsia"/>
          <w:color w:val="000000"/>
          <w:sz w:val="24"/>
          <w:szCs w:val="20"/>
          <w:highlight w:val="none"/>
          <w:lang w:val="en-US" w:eastAsia="zh-CN"/>
        </w:rPr>
        <w:t xml:space="preserve">3</w:t>
      </w:r>
      <w:r>
        <w:rPr>
          <w:color w:val="000000"/>
          <w:sz w:val="24"/>
          <w:szCs w:val="20"/>
          <w:highlight w:val="none"/>
        </w:rPr>
        <w:t xml:space="preserve">招标文件要求提供或投标人认为应附的其他材料</w:t>
      </w:r>
      <w:r>
        <w:rPr>
          <w:color w:val="000000"/>
          <w:sz w:val="24"/>
          <w:szCs w:val="20"/>
          <w:highlight w:val="none"/>
        </w:rPr>
      </w:r>
      <w:r/>
    </w:p>
    <w:p>
      <w:pPr>
        <w:pStyle w:val="1101"/>
        <w:jc w:val="left"/>
        <w:widowControl/>
        <w:rPr>
          <w:b/>
          <w:sz w:val="36"/>
          <w:szCs w:val="36"/>
          <w:highlight w:val="none"/>
        </w:rPr>
      </w:pPr>
      <w:r>
        <w:rPr>
          <w:b/>
          <w:sz w:val="36"/>
          <w:szCs w:val="36"/>
          <w:highlight w:val="none"/>
        </w:rPr>
      </w:r>
      <w:r/>
    </w:p>
    <w:sectPr>
      <w:headerReference w:type="even" r:id="rId13"/>
      <w:footerReference w:type="default" r:id="rId19"/>
      <w:footerReference w:type="even" r:id="rId20"/>
      <w:footnotePr/>
      <w:endnotePr/>
      <w:type w:val="nextPage"/>
      <w:pgSz w:w="11907" w:h="16840" w:orient="portrait"/>
      <w:pgMar w:top="1440" w:right="1417" w:bottom="1440" w:left="1417" w:header="851"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w:panose1 w:val="020B0502040204020203"/>
  </w:font>
  <w:font w:name="仿宋">
    <w:panose1 w:val="02010609060101010101"/>
  </w:font>
  <w:font w:name="CESI黑体-GB2312">
    <w:panose1 w:val="020B0503020202020204"/>
  </w:font>
  <w:font w:name="Wingdings">
    <w:panose1 w:val="05000000000000000000"/>
  </w:font>
  <w:font w:name="方正魏碑_GBK">
    <w:panose1 w:val="020B0503020202020204"/>
  </w:font>
  <w:font w:name="MingLiU">
    <w:panose1 w:val="02020500000000000000"/>
  </w:font>
  <w:font w:name="Tahoma">
    <w:panose1 w:val="020B0604030504040204"/>
  </w:font>
  <w:font w:name="ˎ̥">
    <w:panose1 w:val="020B0503020202020204"/>
  </w:font>
  <w:font w:name="楷体_GB2312">
    <w:panose1 w:val="02010609060101010101"/>
  </w:font>
  <w:font w:name="Calibri">
    <w:panose1 w:val="020F0502020204030204"/>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ind w:right="360"/>
      <w:tabs>
        <w:tab w:val="center" w:pos="4153" w:leader="none"/>
        <w:tab w:val="right" w:pos="8306" w:leader="none"/>
      </w:tabs>
      <w:rPr>
        <w:rStyle w:val="1174"/>
      </w:rPr>
      <w:framePr w:wrap="around" w:vAnchor="text" w:hAnchor="margin" w:y="1"/>
    </w:pPr>
    <w:r>
      <w:rPr>
        <w:rStyle w:val="1174"/>
      </w:rPr>
    </w:r>
    <w:r/>
  </w:p>
  <w:p>
    <w:pPr>
      <w:pStyle w:val="1151"/>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tabs>
        <w:tab w:val="center" w:pos="4153" w:leader="none"/>
        <w:tab w:val="right" w:pos="8306" w:leader="none"/>
      </w:tabs>
      <w:rPr>
        <w:rStyle w:val="1174"/>
      </w:rPr>
      <w:framePr w:wrap="around" w:vAnchor="text" w:hAnchor="margin" w:xAlign="center" w:y="1"/>
    </w:pPr>
    <w:r>
      <w:fldChar w:fldCharType="begin"/>
    </w:r>
    <w:r>
      <w:rPr>
        <w:rStyle w:val="1174"/>
      </w:rPr>
      <w:instrText xml:space="preserve">PAGE  </w:instrText>
    </w:r>
    <w:r>
      <w:fldChar w:fldCharType="end"/>
    </w:r>
    <w:r>
      <w:rPr>
        <w:rStyle w:val="1174"/>
      </w:rPr>
    </w:r>
    <w:r/>
  </w:p>
  <w:p>
    <w:pPr>
      <w:pStyle w:val="1151"/>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tabs>
        <w:tab w:val="center" w:pos="4153" w:leader="none"/>
        <w:tab w:val="right" w:pos="8306" w:leader="none"/>
      </w:tabs>
      <w:rPr>
        <w:rStyle w:val="1174"/>
      </w:rPr>
      <w:framePr w:wrap="around" w:vAnchor="text" w:hAnchor="margin" w:xAlign="right" w:y="1"/>
    </w:pPr>
    <w:r>
      <w:rPr>
        <w:rStyle w:val="1174"/>
      </w:rPr>
    </w:r>
    <w:r/>
  </w:p>
  <w:p>
    <w:pPr>
      <w:pStyle w:val="1151"/>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1"/>
                            <w:tabs>
                              <w:tab w:val="clear" w:pos="4153" w:leader="none"/>
                              <w:tab w:val="clear" w:pos="8306" w:leader="none"/>
                            </w:tabs>
                          </w:pPr>
                          <w:r>
                            <w:fldChar w:fldCharType="begin"/>
                          </w:r>
                          <w:r>
                            <w:instrText xml:space="preserve"> PAGE  \* MERGEFORMAT </w:instrText>
                          </w:r>
                          <w:r>
                            <w:fldChar w:fldCharType="separate"/>
                          </w:r>
                          <w:r>
                            <w:t xml:space="preserve">90</w:t>
                          </w:r>
                          <w:r>
                            <w:fldChar w:fldCharType="end"/>
                          </w:r>
                          <w:r/>
                        </w:p>
                        <w:p>
                          <w:pPr>
                            <w:pStyle w:val="1101"/>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1"/>
                      <w:tabs>
                        <w:tab w:val="clear" w:pos="4153" w:leader="none"/>
                        <w:tab w:val="clear" w:pos="8306" w:leader="none"/>
                      </w:tabs>
                    </w:pPr>
                    <w:r>
                      <w:fldChar w:fldCharType="begin"/>
                    </w:r>
                    <w:r>
                      <w:instrText xml:space="preserve"> PAGE  \* MERGEFORMAT </w:instrText>
                    </w:r>
                    <w:r>
                      <w:fldChar w:fldCharType="separate"/>
                    </w:r>
                    <w:r>
                      <w:t xml:space="preserve">90</w:t>
                    </w:r>
                    <w:r>
                      <w:fldChar w:fldCharType="end"/>
                    </w:r>
                    <w:r/>
                  </w:p>
                  <w:p>
                    <w:pPr>
                      <w:pStyle w:val="110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1"/>
                            <w:tabs>
                              <w:tab w:val="clear" w:pos="4153" w:leader="none"/>
                              <w:tab w:val="clear" w:pos="8306" w:leader="none"/>
                            </w:tabs>
                          </w:pPr>
                          <w:r>
                            <w:fldChar w:fldCharType="begin"/>
                          </w:r>
                          <w:r>
                            <w:instrText xml:space="preserve"> PAGE  \* MERGEFORMAT </w:instrText>
                          </w:r>
                          <w:r>
                            <w:fldChar w:fldCharType="separate"/>
                          </w:r>
                          <w:r>
                            <w:t xml:space="preserve">91</w:t>
                          </w:r>
                          <w:r>
                            <w:fldChar w:fldCharType="end"/>
                          </w:r>
                          <w:r/>
                        </w:p>
                        <w:p>
                          <w:pPr>
                            <w:pStyle w:val="1101"/>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1"/>
                      <w:tabs>
                        <w:tab w:val="clear" w:pos="4153" w:leader="none"/>
                        <w:tab w:val="clear" w:pos="8306" w:leader="none"/>
                      </w:tabs>
                    </w:pPr>
                    <w:r>
                      <w:fldChar w:fldCharType="begin"/>
                    </w:r>
                    <w:r>
                      <w:instrText xml:space="preserve"> PAGE  \* MERGEFORMAT </w:instrText>
                    </w:r>
                    <w:r>
                      <w:fldChar w:fldCharType="separate"/>
                    </w:r>
                    <w:r>
                      <w:t xml:space="preserve">91</w:t>
                    </w:r>
                    <w:r>
                      <w:fldChar w:fldCharType="end"/>
                    </w:r>
                    <w:r/>
                  </w:p>
                  <w:p>
                    <w:pPr>
                      <w:pStyle w:val="1101"/>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1"/>
                            <w:tabs>
                              <w:tab w:val="clear" w:pos="4153" w:leader="none"/>
                              <w:tab w:val="clear" w:pos="8306" w:leader="none"/>
                            </w:tabs>
                          </w:pPr>
                          <w:r>
                            <w:fldChar w:fldCharType="begin"/>
                          </w:r>
                          <w:r>
                            <w:instrText xml:space="preserve"> PAGE  \* MERGEFORMAT </w:instrText>
                          </w:r>
                          <w:r>
                            <w:fldChar w:fldCharType="separate"/>
                          </w:r>
                          <w:r>
                            <w:t xml:space="preserve">106</w:t>
                          </w:r>
                          <w:r>
                            <w:fldChar w:fldCharType="end"/>
                          </w:r>
                          <w:r/>
                        </w:p>
                        <w:p>
                          <w:pPr>
                            <w:pStyle w:val="1101"/>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1"/>
                      <w:tabs>
                        <w:tab w:val="clear" w:pos="4153" w:leader="none"/>
                        <w:tab w:val="clear" w:pos="8306" w:leader="none"/>
                      </w:tabs>
                    </w:pPr>
                    <w:r>
                      <w:fldChar w:fldCharType="begin"/>
                    </w:r>
                    <w:r>
                      <w:instrText xml:space="preserve"> PAGE  \* MERGEFORMAT </w:instrText>
                    </w:r>
                    <w:r>
                      <w:fldChar w:fldCharType="separate"/>
                    </w:r>
                    <w:r>
                      <w:t xml:space="preserve">106</w:t>
                    </w:r>
                    <w:r>
                      <w:fldChar w:fldCharType="end"/>
                    </w:r>
                    <w:r/>
                  </w:p>
                  <w:p>
                    <w:pPr>
                      <w:pStyle w:val="1101"/>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tabs>
        <w:tab w:val="center" w:pos="4153" w:leader="none"/>
        <w:tab w:val="right" w:pos="8306" w:leader="none"/>
      </w:tabs>
      <w:rPr>
        <w:rStyle w:val="1174"/>
      </w:rPr>
      <w:framePr w:wrap="around" w:vAnchor="text" w:hAnchor="margin" w:xAlign="right" w:y="1"/>
    </w:pPr>
    <w:r>
      <w:fldChar w:fldCharType="begin"/>
    </w:r>
    <w:r>
      <w:rPr>
        <w:rStyle w:val="1174"/>
      </w:rPr>
      <w:instrText xml:space="preserve">PAGE  </w:instrText>
    </w:r>
    <w:r>
      <w:fldChar w:fldCharType="end"/>
    </w:r>
    <w:r>
      <w:rPr>
        <w:rStyle w:val="1174"/>
      </w:rPr>
    </w:r>
    <w:r/>
  </w:p>
  <w:p>
    <w:pPr>
      <w:pStyle w:val="1151"/>
      <w:ind w:right="360"/>
      <w:tabs>
        <w:tab w:val="center" w:pos="4153" w:leader="none"/>
        <w:tab w:val="right" w:pos="8306" w:leader="none"/>
      </w:tabs>
    </w:pPr>
    <w:r/>
    <w:r/>
  </w:p>
  <w:p>
    <w:pPr>
      <w:pStyle w:val="110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tabs>
        <w:tab w:val="center" w:pos="4153" w:leader="none"/>
        <w:tab w:val="right" w:pos="8306" w:leader="none"/>
      </w:tabs>
      <w:rPr>
        <w:rFonts w:hint="eastAsia"/>
      </w:rPr>
      <w:pBdr>
        <w:bottom w:val="none" w:color="000000"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margin">
                <wp:posOffset>15240</wp:posOffset>
              </wp:positionH>
              <wp:positionV relativeFrom="margin">
                <wp:posOffset>2599690</wp:posOffset>
              </wp:positionV>
              <wp:extent cx="5274310" cy="3369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true;mso-position-horizontal-relative:margin;margin-left:1.2pt;mso-position-horizontal:absolute;mso-position-vertical-relative:margin;margin-top:204.7pt;mso-position-vertical:absolute;width:415.3pt;height:265.3pt;mso-wrap-distance-left:9.0pt;mso-wrap-distance-top:0.0pt;mso-wrap-distance-right:9.0pt;mso-wrap-distance-bottom:0.0pt;" stroked="f">
              <v:path textboxrect="0,0,0,0"/>
              <v:imagedata r:id="rId1" o:title=""/>
            </v:shape>
          </w:pict>
        </mc:Fallback>
      </mc:AlternateConten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posOffset>15240</wp:posOffset>
              </wp:positionH>
              <wp:positionV relativeFrom="margin">
                <wp:posOffset>2599690</wp:posOffset>
              </wp:positionV>
              <wp:extent cx="5274310" cy="3369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true;mso-position-horizontal-relative:margin;margin-left:1.2pt;mso-position-horizontal:absolute;mso-position-vertical-relative:margin;margin-top:204.7pt;mso-position-vertical:absolute;width:415.3pt;height:265.3pt;mso-wrap-distance-left:9.0pt;mso-wrap-distance-top:0.0pt;mso-wrap-distance-right:9.0pt;mso-wrap-distance-bottom:0.0pt;" stroked="f">
              <v:path textboxrect="0,0,0,0"/>
              <v:imagedata r:id="rId1" o:title=""/>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tabs>
        <w:tab w:val="center" w:pos="4153" w:leader="none"/>
        <w:tab w:val="right" w:pos="8306" w:leader="none"/>
      </w:tabs>
      <w:rPr>
        <w:rFonts w:hint="eastAsia"/>
      </w:rPr>
      <w:pBdr>
        <w:bottom w:val="none" w:color="000000"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posOffset>15240</wp:posOffset>
              </wp:positionH>
              <wp:positionV relativeFrom="margin">
                <wp:posOffset>2599690</wp:posOffset>
              </wp:positionV>
              <wp:extent cx="5274310" cy="3369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margin;margin-left:1.2pt;mso-position-horizontal:absolute;mso-position-vertical-relative:margin;margin-top:204.7pt;mso-position-vertical:absolute;width:415.3pt;height:265.3pt;mso-wrap-distance-left:9.0pt;mso-wrap-distance-top:0.0pt;mso-wrap-distance-right:9.0pt;mso-wrap-distance-bottom:0.0pt;" stroked="f">
              <v:path textboxrect="0,0,0,0"/>
              <v:imagedata r:id="rId1" o:title=""/>
            </v:shape>
          </w:pict>
        </mc:Fallback>
      </mc:AlternateContent>
    </w:r>
    <w:r>
      <w:rPr>
        <w:rFonts w:hint="eastAsi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tabs>
        <w:tab w:val="center" w:pos="4153" w:leader="none"/>
        <w:tab w:val="right" w:pos="8306" w:leader="none"/>
      </w:tabs>
    </w:pPr>
    <w:r/>
    <w:r/>
  </w:p>
  <w:p>
    <w:pPr>
      <w:pStyle w:val="110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101"/>
        <w:ind w:left="900" w:hanging="900"/>
        <w:tabs>
          <w:tab w:val="num" w:pos="900" w:leader="none"/>
        </w:tabs>
      </w:pPr>
      <w:rPr>
        <w:rFonts w:hint="eastAsia"/>
      </w:rPr>
    </w:lvl>
    <w:lvl w:ilvl="1">
      <w:start w:val="1"/>
      <w:numFmt w:val="decimal"/>
      <w:isLgl w:val="false"/>
      <w:suff w:val="tab"/>
      <w:lvlText w:val="%1.%2"/>
      <w:lvlJc w:val="left"/>
      <w:pPr>
        <w:pStyle w:val="1101"/>
        <w:ind w:left="1468" w:hanging="900"/>
        <w:tabs>
          <w:tab w:val="num" w:pos="1589" w:leader="none"/>
        </w:tabs>
      </w:pPr>
      <w:rPr>
        <w:rFonts w:ascii="宋体" w:hAnsi="宋体" w:eastAsia="宋体" w:cs="宋体"/>
        <w:sz w:val="24"/>
        <w:szCs w:val="24"/>
      </w:rPr>
    </w:lvl>
    <w:lvl w:ilvl="2">
      <w:start w:val="1"/>
      <w:numFmt w:val="decimal"/>
      <w:isLgl w:val="false"/>
      <w:suff w:val="nothing"/>
      <w:lvlText w:val="%1.%2.%3"/>
      <w:lvlJc w:val="left"/>
      <w:pPr>
        <w:pStyle w:val="1101"/>
        <w:ind w:left="0" w:firstLine="0"/>
      </w:pPr>
      <w:rPr>
        <w:rFonts w:hint="eastAsia"/>
      </w:rPr>
    </w:lvl>
    <w:lvl w:ilvl="3">
      <w:start w:val="1"/>
      <w:numFmt w:val="decimal"/>
      <w:isLgl w:val="false"/>
      <w:suff w:val="tab"/>
      <w:lvlText w:val="%1.%2.%3.%4"/>
      <w:lvlJc w:val="left"/>
      <w:pPr>
        <w:pStyle w:val="1101"/>
        <w:ind w:left="900" w:hanging="900"/>
        <w:tabs>
          <w:tab w:val="num" w:pos="900" w:leader="none"/>
        </w:tabs>
      </w:pPr>
      <w:rPr>
        <w:rFonts w:hint="eastAsia"/>
      </w:rPr>
    </w:lvl>
    <w:lvl w:ilvl="4">
      <w:start w:val="1"/>
      <w:numFmt w:val="decimal"/>
      <w:isLgl w:val="false"/>
      <w:suff w:val="tab"/>
      <w:lvlText w:val="%1.%2.%3.%4.%5"/>
      <w:lvlJc w:val="left"/>
      <w:pPr>
        <w:pStyle w:val="1101"/>
        <w:ind w:left="900" w:hanging="900"/>
        <w:tabs>
          <w:tab w:val="num" w:pos="900" w:leader="none"/>
        </w:tabs>
      </w:pPr>
      <w:rPr>
        <w:rFonts w:hint="eastAsia"/>
      </w:rPr>
    </w:lvl>
    <w:lvl w:ilvl="5">
      <w:start w:val="1"/>
      <w:numFmt w:val="decimal"/>
      <w:isLgl w:val="false"/>
      <w:suff w:val="tab"/>
      <w:lvlText w:val="%1.%2.%3.%4.%5.%6"/>
      <w:lvlJc w:val="left"/>
      <w:pPr>
        <w:pStyle w:val="1101"/>
        <w:ind w:left="900" w:hanging="900"/>
        <w:tabs>
          <w:tab w:val="num" w:pos="900" w:leader="none"/>
        </w:tabs>
      </w:pPr>
      <w:rPr>
        <w:rFonts w:hint="eastAsia"/>
      </w:rPr>
    </w:lvl>
    <w:lvl w:ilvl="6">
      <w:start w:val="1"/>
      <w:numFmt w:val="decimal"/>
      <w:isLgl w:val="false"/>
      <w:suff w:val="tab"/>
      <w:lvlText w:val="%1.%2.%3.%4.%5.%6.%7"/>
      <w:lvlJc w:val="left"/>
      <w:pPr>
        <w:pStyle w:val="1101"/>
        <w:ind w:left="900" w:hanging="900"/>
        <w:tabs>
          <w:tab w:val="num" w:pos="900" w:leader="none"/>
        </w:tabs>
      </w:pPr>
      <w:rPr>
        <w:rFonts w:hint="eastAsia"/>
      </w:rPr>
    </w:lvl>
    <w:lvl w:ilvl="7">
      <w:start w:val="1"/>
      <w:numFmt w:val="decimal"/>
      <w:isLgl w:val="false"/>
      <w:suff w:val="tab"/>
      <w:lvlText w:val="%1.%2.%3.%4.%5.%6.%7.%8"/>
      <w:lvlJc w:val="left"/>
      <w:pPr>
        <w:pStyle w:val="1101"/>
        <w:ind w:left="900" w:hanging="900"/>
        <w:tabs>
          <w:tab w:val="num" w:pos="900" w:leader="none"/>
        </w:tabs>
      </w:pPr>
      <w:rPr>
        <w:rFonts w:hint="eastAsia"/>
      </w:rPr>
    </w:lvl>
    <w:lvl w:ilvl="8">
      <w:start w:val="1"/>
      <w:numFmt w:val="decimal"/>
      <w:isLgl w:val="false"/>
      <w:suff w:val="tab"/>
      <w:lvlText w:val="%1.%2.%3.%4.%5.%6.%7.%8.%9"/>
      <w:lvlJc w:val="left"/>
      <w:pPr>
        <w:pStyle w:val="1101"/>
        <w:ind w:left="900" w:hanging="900"/>
        <w:tabs>
          <w:tab w:val="num" w:pos="900" w:leader="none"/>
        </w:tabs>
      </w:pPr>
      <w:rPr>
        <w:rFonts w:hint="eastAsia"/>
      </w:rPr>
    </w:lvl>
  </w:abstractNum>
  <w:abstractNum w:abstractNumId="1">
    <w:multiLevelType w:val="hybridMultilevel"/>
    <w:lvl w:ilvl="0">
      <w:start w:val="1"/>
      <w:numFmt w:val="decimal"/>
      <w:isLgl w:val="false"/>
      <w:suff w:val="tab"/>
      <w:lvlText w:val="%1"/>
      <w:lvlJc w:val="left"/>
      <w:pPr>
        <w:pStyle w:val="1101"/>
        <w:ind w:left="900" w:hanging="900"/>
        <w:tabs>
          <w:tab w:val="num" w:pos="900" w:leader="none"/>
        </w:tabs>
      </w:pPr>
      <w:rPr>
        <w:rFonts w:ascii="宋体" w:hAnsi="宋体" w:eastAsia="宋体" w:cs="宋体"/>
        <w:sz w:val="24"/>
        <w:szCs w:val="24"/>
      </w:rPr>
    </w:lvl>
    <w:lvl w:ilvl="1">
      <w:start w:val="1"/>
      <w:numFmt w:val="decimal"/>
      <w:isLgl w:val="false"/>
      <w:suff w:val="nothing"/>
      <w:lvlText w:val="%1.%2"/>
      <w:lvlJc w:val="left"/>
      <w:pPr>
        <w:pStyle w:val="1101"/>
        <w:ind w:left="0" w:firstLine="0"/>
      </w:pPr>
      <w:rPr>
        <w:rFonts w:ascii="宋体" w:hAnsi="宋体" w:eastAsia="宋体" w:cs="宋体"/>
        <w:sz w:val="24"/>
        <w:szCs w:val="24"/>
      </w:rPr>
    </w:lvl>
    <w:lvl w:ilvl="2">
      <w:start w:val="1"/>
      <w:numFmt w:val="decimal"/>
      <w:isLgl w:val="false"/>
      <w:suff w:val="nothing"/>
      <w:lvlText w:val="%1.%2.%3"/>
      <w:lvlJc w:val="left"/>
      <w:pPr>
        <w:pStyle w:val="1101"/>
        <w:ind w:left="0" w:firstLine="0"/>
      </w:pPr>
      <w:rPr>
        <w:rFonts w:ascii="宋体" w:hAnsi="宋体" w:eastAsia="宋体" w:cs="宋体"/>
      </w:rPr>
    </w:lvl>
    <w:lvl w:ilvl="3">
      <w:start w:val="1"/>
      <w:numFmt w:val="decimal"/>
      <w:isLgl w:val="false"/>
      <w:suff w:val="tab"/>
      <w:lvlText w:val="%1.%2.%3.%4"/>
      <w:lvlJc w:val="left"/>
      <w:pPr>
        <w:pStyle w:val="1101"/>
        <w:ind w:left="900" w:hanging="900"/>
        <w:tabs>
          <w:tab w:val="num" w:pos="900" w:leader="none"/>
        </w:tabs>
      </w:pPr>
      <w:rPr>
        <w:rFonts w:hint="eastAsia"/>
      </w:rPr>
    </w:lvl>
    <w:lvl w:ilvl="4">
      <w:start w:val="1"/>
      <w:numFmt w:val="decimal"/>
      <w:isLgl w:val="false"/>
      <w:suff w:val="tab"/>
      <w:lvlText w:val="%1.%2.%3.%4.%5"/>
      <w:lvlJc w:val="left"/>
      <w:pPr>
        <w:pStyle w:val="1101"/>
        <w:ind w:left="900" w:hanging="900"/>
        <w:tabs>
          <w:tab w:val="num" w:pos="900" w:leader="none"/>
        </w:tabs>
      </w:pPr>
      <w:rPr>
        <w:rFonts w:hint="eastAsia"/>
      </w:rPr>
    </w:lvl>
    <w:lvl w:ilvl="5">
      <w:start w:val="1"/>
      <w:numFmt w:val="decimal"/>
      <w:isLgl w:val="false"/>
      <w:suff w:val="tab"/>
      <w:lvlText w:val="%1.%2.%3.%4.%5.%6"/>
      <w:lvlJc w:val="left"/>
      <w:pPr>
        <w:pStyle w:val="1101"/>
        <w:ind w:left="900" w:hanging="900"/>
        <w:tabs>
          <w:tab w:val="num" w:pos="900" w:leader="none"/>
        </w:tabs>
      </w:pPr>
      <w:rPr>
        <w:rFonts w:hint="eastAsia"/>
      </w:rPr>
    </w:lvl>
    <w:lvl w:ilvl="6">
      <w:start w:val="1"/>
      <w:numFmt w:val="decimal"/>
      <w:isLgl w:val="false"/>
      <w:suff w:val="tab"/>
      <w:lvlText w:val="%1.%2.%3.%4.%5.%6.%7"/>
      <w:lvlJc w:val="left"/>
      <w:pPr>
        <w:pStyle w:val="1101"/>
        <w:ind w:left="900" w:hanging="900"/>
        <w:tabs>
          <w:tab w:val="num" w:pos="900" w:leader="none"/>
        </w:tabs>
      </w:pPr>
      <w:rPr>
        <w:rFonts w:hint="eastAsia"/>
      </w:rPr>
    </w:lvl>
    <w:lvl w:ilvl="7">
      <w:start w:val="1"/>
      <w:numFmt w:val="decimal"/>
      <w:isLgl w:val="false"/>
      <w:suff w:val="tab"/>
      <w:lvlText w:val="%1.%2.%3.%4.%5.%6.%7.%8"/>
      <w:lvlJc w:val="left"/>
      <w:pPr>
        <w:pStyle w:val="1101"/>
        <w:ind w:left="900" w:hanging="900"/>
        <w:tabs>
          <w:tab w:val="num" w:pos="900" w:leader="none"/>
        </w:tabs>
      </w:pPr>
      <w:rPr>
        <w:rFonts w:hint="eastAsia"/>
      </w:rPr>
    </w:lvl>
    <w:lvl w:ilvl="8">
      <w:start w:val="1"/>
      <w:numFmt w:val="decimal"/>
      <w:isLgl w:val="false"/>
      <w:suff w:val="tab"/>
      <w:lvlText w:val="%1.%2.%3.%4.%5.%6.%7.%8.%9"/>
      <w:lvlJc w:val="left"/>
      <w:pPr>
        <w:pStyle w:val="1101"/>
        <w:ind w:left="900" w:hanging="900"/>
        <w:tabs>
          <w:tab w:val="num" w:pos="900" w:leader="none"/>
        </w:tabs>
      </w:pPr>
      <w:rPr>
        <w:rFonts w:hint="eastAsia"/>
      </w:rPr>
    </w:lvl>
  </w:abstractNum>
  <w:abstractNum w:abstractNumId="2">
    <w:multiLevelType w:val="hybridMultilevel"/>
    <w:lvl w:ilvl="0">
      <w:start w:val="1"/>
      <w:numFmt w:val="decimal"/>
      <w:pStyle w:val="1257"/>
      <w:isLgl w:val="false"/>
      <w:suff w:val="tab"/>
      <w:lvlText w:val="%1."/>
      <w:lvlJc w:val="left"/>
      <w:pPr>
        <w:pStyle w:val="1101"/>
        <w:ind w:left="420" w:hanging="420"/>
      </w:pPr>
    </w:lvl>
    <w:lvl w:ilvl="1">
      <w:start w:val="1"/>
      <w:numFmt w:val="decimal"/>
      <w:isLgl w:val="false"/>
      <w:suff w:val="tab"/>
      <w:lvlText w:val="（%2）"/>
      <w:lvlJc w:val="left"/>
      <w:pPr>
        <w:pStyle w:val="1101"/>
        <w:ind w:left="1140" w:hanging="720"/>
        <w:tabs>
          <w:tab w:val="num" w:pos="1140" w:leader="none"/>
        </w:tabs>
      </w:pPr>
      <w:rPr>
        <w:rFonts w:hint="eastAsia"/>
      </w:rPr>
    </w:lvl>
    <w:lvl w:ilvl="2">
      <w:start w:val="1"/>
      <w:numFmt w:val="lowerRoman"/>
      <w:isLgl w:val="false"/>
      <w:suff w:val="tab"/>
      <w:lvlText w:val="%3."/>
      <w:lvlJc w:val="right"/>
      <w:pPr>
        <w:pStyle w:val="1101"/>
        <w:ind w:left="1260" w:hanging="420"/>
      </w:pPr>
    </w:lvl>
    <w:lvl w:ilvl="3">
      <w:start w:val="1"/>
      <w:numFmt w:val="decimal"/>
      <w:isLgl w:val="false"/>
      <w:suff w:val="tab"/>
      <w:lvlText w:val="%4."/>
      <w:lvlJc w:val="left"/>
      <w:pPr>
        <w:pStyle w:val="1101"/>
        <w:ind w:left="1680" w:hanging="420"/>
      </w:pPr>
    </w:lvl>
    <w:lvl w:ilvl="4">
      <w:start w:val="1"/>
      <w:numFmt w:val="lowerLetter"/>
      <w:isLgl w:val="false"/>
      <w:suff w:val="tab"/>
      <w:lvlText w:val="%5)"/>
      <w:lvlJc w:val="left"/>
      <w:pPr>
        <w:pStyle w:val="1101"/>
        <w:ind w:left="2100" w:hanging="420"/>
      </w:pPr>
    </w:lvl>
    <w:lvl w:ilvl="5">
      <w:start w:val="1"/>
      <w:numFmt w:val="lowerRoman"/>
      <w:isLgl w:val="false"/>
      <w:suff w:val="tab"/>
      <w:lvlText w:val="%6."/>
      <w:lvlJc w:val="right"/>
      <w:pPr>
        <w:pStyle w:val="1101"/>
        <w:ind w:left="2520" w:hanging="420"/>
      </w:pPr>
    </w:lvl>
    <w:lvl w:ilvl="6">
      <w:start w:val="1"/>
      <w:numFmt w:val="decimal"/>
      <w:isLgl w:val="false"/>
      <w:suff w:val="tab"/>
      <w:lvlText w:val="%7."/>
      <w:lvlJc w:val="left"/>
      <w:pPr>
        <w:pStyle w:val="1101"/>
        <w:ind w:left="2940" w:hanging="420"/>
      </w:pPr>
    </w:lvl>
    <w:lvl w:ilvl="7">
      <w:start w:val="1"/>
      <w:numFmt w:val="lowerLetter"/>
      <w:isLgl w:val="false"/>
      <w:suff w:val="tab"/>
      <w:lvlText w:val="%8)"/>
      <w:lvlJc w:val="left"/>
      <w:pPr>
        <w:pStyle w:val="1101"/>
        <w:ind w:left="3360" w:hanging="420"/>
      </w:pPr>
    </w:lvl>
    <w:lvl w:ilvl="8">
      <w:start w:val="1"/>
      <w:numFmt w:val="lowerRoman"/>
      <w:isLgl w:val="false"/>
      <w:suff w:val="tab"/>
      <w:lvlText w:val="%9."/>
      <w:lvlJc w:val="right"/>
      <w:pPr>
        <w:pStyle w:val="1101"/>
        <w:ind w:left="3780" w:hanging="420"/>
      </w:pPr>
    </w:lvl>
  </w:abstractNum>
  <w:abstractNum w:abstractNumId="3">
    <w:multiLevelType w:val="hybridMultilevel"/>
    <w:lvl w:ilvl="0">
      <w:start w:val="1"/>
      <w:numFmt w:val="lowerLetter"/>
      <w:pStyle w:val="1271"/>
      <w:isLgl w:val="false"/>
      <w:suff w:val="tab"/>
      <w:lvlText w:val="%1)"/>
      <w:lvlJc w:val="left"/>
      <w:pPr>
        <w:pStyle w:val="1101"/>
        <w:ind w:left="902" w:hanging="420"/>
      </w:pPr>
      <w:rPr>
        <w:color w:val="000000"/>
      </w:rPr>
    </w:lvl>
    <w:lvl w:ilvl="1">
      <w:start w:val="1"/>
      <w:numFmt w:val="lowerLetter"/>
      <w:isLgl w:val="false"/>
      <w:suff w:val="tab"/>
      <w:lvlText w:val="%2)"/>
      <w:lvlJc w:val="left"/>
      <w:pPr>
        <w:pStyle w:val="1101"/>
        <w:ind w:left="1322" w:hanging="420"/>
      </w:pPr>
    </w:lvl>
    <w:lvl w:ilvl="2">
      <w:start w:val="1"/>
      <w:numFmt w:val="lowerRoman"/>
      <w:isLgl w:val="false"/>
      <w:suff w:val="tab"/>
      <w:lvlText w:val="%3."/>
      <w:lvlJc w:val="right"/>
      <w:pPr>
        <w:pStyle w:val="1101"/>
        <w:ind w:left="1742" w:hanging="420"/>
      </w:pPr>
    </w:lvl>
    <w:lvl w:ilvl="3">
      <w:start w:val="1"/>
      <w:numFmt w:val="decimal"/>
      <w:isLgl w:val="false"/>
      <w:suff w:val="tab"/>
      <w:lvlText w:val="%4."/>
      <w:lvlJc w:val="left"/>
      <w:pPr>
        <w:pStyle w:val="1101"/>
        <w:ind w:left="2162" w:hanging="420"/>
      </w:pPr>
    </w:lvl>
    <w:lvl w:ilvl="4">
      <w:start w:val="1"/>
      <w:numFmt w:val="lowerLetter"/>
      <w:isLgl w:val="false"/>
      <w:suff w:val="tab"/>
      <w:lvlText w:val="%5)"/>
      <w:lvlJc w:val="left"/>
      <w:pPr>
        <w:pStyle w:val="1101"/>
        <w:ind w:left="2582" w:hanging="420"/>
      </w:pPr>
    </w:lvl>
    <w:lvl w:ilvl="5">
      <w:start w:val="1"/>
      <w:numFmt w:val="lowerRoman"/>
      <w:isLgl w:val="false"/>
      <w:suff w:val="tab"/>
      <w:lvlText w:val="%6."/>
      <w:lvlJc w:val="right"/>
      <w:pPr>
        <w:pStyle w:val="1101"/>
        <w:ind w:left="3002" w:hanging="420"/>
      </w:pPr>
    </w:lvl>
    <w:lvl w:ilvl="6">
      <w:start w:val="1"/>
      <w:numFmt w:val="decimal"/>
      <w:isLgl w:val="false"/>
      <w:suff w:val="tab"/>
      <w:lvlText w:val="%7."/>
      <w:lvlJc w:val="left"/>
      <w:pPr>
        <w:pStyle w:val="1101"/>
        <w:ind w:left="3422" w:hanging="420"/>
      </w:pPr>
    </w:lvl>
    <w:lvl w:ilvl="7">
      <w:start w:val="1"/>
      <w:numFmt w:val="lowerLetter"/>
      <w:isLgl w:val="false"/>
      <w:suff w:val="tab"/>
      <w:lvlText w:val="%8)"/>
      <w:lvlJc w:val="left"/>
      <w:pPr>
        <w:pStyle w:val="1101"/>
        <w:ind w:left="3842" w:hanging="420"/>
      </w:pPr>
    </w:lvl>
    <w:lvl w:ilvl="8">
      <w:start w:val="1"/>
      <w:numFmt w:val="lowerRoman"/>
      <w:isLgl w:val="false"/>
      <w:suff w:val="tab"/>
      <w:lvlText w:val="%9."/>
      <w:lvlJc w:val="right"/>
      <w:pPr>
        <w:pStyle w:val="1101"/>
        <w:ind w:left="4262" w:hanging="420"/>
      </w:pPr>
    </w:lvl>
  </w:abstractNum>
  <w:abstractNum w:abstractNumId="4">
    <w:multiLevelType w:val="hybridMultilevel"/>
    <w:lvl w:ilvl="0">
      <w:start w:val="1"/>
      <w:numFmt w:val="decimal"/>
      <w:pStyle w:val="1234"/>
      <w:isLgl w:val="false"/>
      <w:suff w:val="tab"/>
      <w:lvlText w:val="%1."/>
      <w:lvlJc w:val="left"/>
      <w:pPr>
        <w:pStyle w:val="110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70"/>
      <w:isLgl w:val="false"/>
      <w:suff w:val="nothing"/>
      <w:lvlText w:val="%1　"/>
      <w:lvlJc w:val="left"/>
      <w:pPr>
        <w:pStyle w:val="110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0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01"/>
        <w:ind w:left="-25" w:firstLine="0"/>
      </w:pPr>
      <w:rPr>
        <w:rFonts w:ascii="Times New Roman" w:hAnsi="Times New Roman" w:eastAsia="黑体"/>
        <w:b/>
        <w:i w:val="0"/>
        <w:sz w:val="28"/>
      </w:rPr>
    </w:lvl>
    <w:lvl w:ilvl="3">
      <w:start w:val="1"/>
      <w:numFmt w:val="decimal"/>
      <w:pStyle w:val="1297"/>
      <w:isLgl w:val="false"/>
      <w:suff w:val="nothing"/>
      <w:lvlText w:val="%1.%2.%3.%4　"/>
      <w:lvlJc w:val="left"/>
      <w:pPr>
        <w:pStyle w:val="110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0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01"/>
        <w:ind w:left="-25" w:firstLine="0"/>
      </w:pPr>
      <w:rPr>
        <w:rFonts w:ascii="Times New Roman" w:hAnsi="Times New Roman" w:eastAsia="宋体"/>
        <w:b/>
        <w:i w:val="0"/>
        <w:sz w:val="28"/>
      </w:rPr>
    </w:lvl>
    <w:lvl w:ilvl="6">
      <w:start w:val="1"/>
      <w:numFmt w:val="lowerLetter"/>
      <w:pStyle w:val="1264"/>
      <w:isLgl w:val="false"/>
      <w:suff w:val="tab"/>
      <w:lvlText w:val="%7) "/>
      <w:lvlJc w:val="left"/>
      <w:pPr>
        <w:pStyle w:val="1101"/>
        <w:ind w:left="-125" w:firstLine="400"/>
        <w:tabs>
          <w:tab w:val="num" w:pos="635" w:leader="none"/>
        </w:tabs>
      </w:pPr>
      <w:rPr>
        <w:rFonts w:ascii="Times New Roman" w:hAnsi="Times New Roman" w:eastAsia="宋体"/>
        <w:b/>
        <w:i w:val="0"/>
        <w:color w:val="000000"/>
        <w:sz w:val="28"/>
        <w:u w:val="none"/>
      </w:rPr>
    </w:lvl>
    <w:lvl w:ilvl="7">
      <w:start w:val="1"/>
      <w:numFmt w:val="decimal"/>
      <w:pStyle w:val="1305"/>
      <w:isLgl w:val="false"/>
      <w:suff w:val="tab"/>
      <w:lvlText w:val="%8) "/>
      <w:lvlJc w:val="left"/>
      <w:pPr>
        <w:pStyle w:val="110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01"/>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101"/>
        <w:ind w:left="768" w:hanging="360"/>
        <w:tabs>
          <w:tab w:val="num" w:pos="768" w:leader="none"/>
        </w:tabs>
      </w:pPr>
      <w:rPr>
        <w:rFonts w:hint="eastAsia"/>
      </w:rPr>
    </w:lvl>
    <w:lvl w:ilvl="1">
      <w:start w:val="1"/>
      <w:numFmt w:val="decimal"/>
      <w:pStyle w:val="1313"/>
      <w:isLgl w:val="false"/>
      <w:suff w:val="tab"/>
      <w:lvlText w:val="%2、"/>
      <w:lvlJc w:val="left"/>
      <w:pPr>
        <w:pStyle w:val="1101"/>
        <w:ind w:left="1188" w:hanging="360"/>
        <w:tabs>
          <w:tab w:val="num" w:pos="1188" w:leader="none"/>
        </w:tabs>
      </w:pPr>
      <w:rPr>
        <w:rFonts w:hint="eastAsia"/>
      </w:rPr>
    </w:lvl>
    <w:lvl w:ilvl="2">
      <w:start w:val="1"/>
      <w:numFmt w:val="decimal"/>
      <w:isLgl w:val="false"/>
      <w:suff w:val="tab"/>
      <w:lvlText w:val="（%3）"/>
      <w:lvlJc w:val="left"/>
      <w:pPr>
        <w:pStyle w:val="1101"/>
        <w:ind w:left="1968" w:hanging="720"/>
        <w:tabs>
          <w:tab w:val="num" w:pos="1968" w:leader="none"/>
        </w:tabs>
      </w:pPr>
      <w:rPr>
        <w:rFonts w:hint="eastAsia"/>
        <w:u w:val="none"/>
      </w:rPr>
    </w:lvl>
    <w:lvl w:ilvl="3">
      <w:start w:val="1"/>
      <w:numFmt w:val="decimal"/>
      <w:isLgl w:val="false"/>
      <w:suff w:val="tab"/>
      <w:lvlText w:val="%4."/>
      <w:lvlJc w:val="left"/>
      <w:pPr>
        <w:pStyle w:val="1101"/>
        <w:ind w:left="2088" w:hanging="420"/>
        <w:tabs>
          <w:tab w:val="num" w:pos="2088" w:leader="none"/>
        </w:tabs>
      </w:pPr>
    </w:lvl>
    <w:lvl w:ilvl="4">
      <w:start w:val="1"/>
      <w:numFmt w:val="lowerLetter"/>
      <w:isLgl w:val="false"/>
      <w:suff w:val="tab"/>
      <w:lvlText w:val="%5)"/>
      <w:lvlJc w:val="left"/>
      <w:pPr>
        <w:pStyle w:val="1101"/>
        <w:ind w:left="2508" w:hanging="420"/>
        <w:tabs>
          <w:tab w:val="num" w:pos="2508" w:leader="none"/>
        </w:tabs>
      </w:pPr>
    </w:lvl>
    <w:lvl w:ilvl="5">
      <w:start w:val="1"/>
      <w:numFmt w:val="lowerRoman"/>
      <w:isLgl w:val="false"/>
      <w:suff w:val="tab"/>
      <w:lvlText w:val="%6."/>
      <w:lvlJc w:val="right"/>
      <w:pPr>
        <w:pStyle w:val="1101"/>
        <w:ind w:left="2928" w:hanging="420"/>
        <w:tabs>
          <w:tab w:val="num" w:pos="2928" w:leader="none"/>
        </w:tabs>
      </w:pPr>
    </w:lvl>
    <w:lvl w:ilvl="6">
      <w:start w:val="1"/>
      <w:numFmt w:val="decimal"/>
      <w:isLgl w:val="false"/>
      <w:suff w:val="tab"/>
      <w:lvlText w:val="%7."/>
      <w:lvlJc w:val="left"/>
      <w:pPr>
        <w:pStyle w:val="1101"/>
        <w:ind w:left="3348" w:hanging="420"/>
        <w:tabs>
          <w:tab w:val="num" w:pos="3348" w:leader="none"/>
        </w:tabs>
      </w:pPr>
    </w:lvl>
    <w:lvl w:ilvl="7">
      <w:start w:val="1"/>
      <w:numFmt w:val="lowerLetter"/>
      <w:isLgl w:val="false"/>
      <w:suff w:val="tab"/>
      <w:lvlText w:val="%8)"/>
      <w:lvlJc w:val="left"/>
      <w:pPr>
        <w:pStyle w:val="1101"/>
        <w:ind w:left="3768" w:hanging="420"/>
        <w:tabs>
          <w:tab w:val="num" w:pos="3768" w:leader="none"/>
        </w:tabs>
      </w:pPr>
    </w:lvl>
    <w:lvl w:ilvl="8">
      <w:start w:val="1"/>
      <w:numFmt w:val="lowerRoman"/>
      <w:isLgl w:val="false"/>
      <w:suff w:val="tab"/>
      <w:lvlText w:val="%9."/>
      <w:lvlJc w:val="right"/>
      <w:pPr>
        <w:pStyle w:val="1101"/>
        <w:ind w:left="4188" w:hanging="420"/>
        <w:tabs>
          <w:tab w:val="num" w:pos="4188" w:leader="none"/>
        </w:tabs>
      </w:pPr>
    </w:lvl>
  </w:abstractNum>
  <w:abstractNum w:abstractNumId="7">
    <w:multiLevelType w:val="hybridMultilevel"/>
    <w:lvl w:ilvl="0">
      <w:start w:val="1"/>
      <w:numFmt w:val="decimal"/>
      <w:pStyle w:val="1256"/>
      <w:isLgl w:val="false"/>
      <w:suff w:val="tab"/>
      <w:lvlText w:val="%1)"/>
      <w:lvlJc w:val="left"/>
      <w:pPr>
        <w:pStyle w:val="1101"/>
        <w:ind w:left="420" w:hanging="420"/>
      </w:pPr>
    </w:lvl>
    <w:lvl w:ilvl="1">
      <w:start w:val="1"/>
      <w:numFmt w:val="lowerLetter"/>
      <w:isLgl w:val="false"/>
      <w:suff w:val="tab"/>
      <w:lvlText w:val="%2)"/>
      <w:lvlJc w:val="left"/>
      <w:pPr>
        <w:pStyle w:val="1101"/>
        <w:ind w:left="840" w:hanging="420"/>
      </w:pPr>
    </w:lvl>
    <w:lvl w:ilvl="2">
      <w:start w:val="1"/>
      <w:numFmt w:val="lowerRoman"/>
      <w:isLgl w:val="false"/>
      <w:suff w:val="tab"/>
      <w:lvlText w:val="%3."/>
      <w:lvlJc w:val="right"/>
      <w:pPr>
        <w:pStyle w:val="1101"/>
        <w:ind w:left="1260" w:hanging="420"/>
      </w:pPr>
    </w:lvl>
    <w:lvl w:ilvl="3">
      <w:start w:val="1"/>
      <w:numFmt w:val="decimal"/>
      <w:isLgl w:val="false"/>
      <w:suff w:val="tab"/>
      <w:lvlText w:val="%4."/>
      <w:lvlJc w:val="left"/>
      <w:pPr>
        <w:pStyle w:val="1101"/>
        <w:ind w:left="1680" w:hanging="420"/>
      </w:pPr>
    </w:lvl>
    <w:lvl w:ilvl="4">
      <w:start w:val="1"/>
      <w:numFmt w:val="lowerLetter"/>
      <w:isLgl w:val="false"/>
      <w:suff w:val="tab"/>
      <w:lvlText w:val="%5)"/>
      <w:lvlJc w:val="left"/>
      <w:pPr>
        <w:pStyle w:val="1101"/>
        <w:ind w:left="2100" w:hanging="420"/>
      </w:pPr>
    </w:lvl>
    <w:lvl w:ilvl="5">
      <w:start w:val="1"/>
      <w:numFmt w:val="lowerRoman"/>
      <w:isLgl w:val="false"/>
      <w:suff w:val="tab"/>
      <w:lvlText w:val="%6."/>
      <w:lvlJc w:val="right"/>
      <w:pPr>
        <w:pStyle w:val="1101"/>
        <w:ind w:left="2520" w:hanging="420"/>
      </w:pPr>
    </w:lvl>
    <w:lvl w:ilvl="6">
      <w:start w:val="1"/>
      <w:numFmt w:val="decimal"/>
      <w:isLgl w:val="false"/>
      <w:suff w:val="tab"/>
      <w:lvlText w:val="%7."/>
      <w:lvlJc w:val="left"/>
      <w:pPr>
        <w:pStyle w:val="1101"/>
        <w:ind w:left="2940" w:hanging="420"/>
      </w:pPr>
    </w:lvl>
    <w:lvl w:ilvl="7">
      <w:start w:val="1"/>
      <w:numFmt w:val="lowerLetter"/>
      <w:isLgl w:val="false"/>
      <w:suff w:val="tab"/>
      <w:lvlText w:val="%8)"/>
      <w:lvlJc w:val="left"/>
      <w:pPr>
        <w:pStyle w:val="1101"/>
        <w:ind w:left="3360" w:hanging="420"/>
      </w:pPr>
    </w:lvl>
    <w:lvl w:ilvl="8">
      <w:start w:val="1"/>
      <w:numFmt w:val="lowerRoman"/>
      <w:isLgl w:val="false"/>
      <w:suff w:val="tab"/>
      <w:lvlText w:val="%9."/>
      <w:lvlJc w:val="right"/>
      <w:pPr>
        <w:pStyle w:val="1101"/>
        <w:ind w:left="3780" w:hanging="420"/>
      </w:pPr>
    </w:lvl>
  </w:abstractNum>
  <w:abstractNum w:abstractNumId="8">
    <w:multiLevelType w:val="hybridMultilevel"/>
    <w:lvl w:ilvl="0">
      <w:start w:val="1"/>
      <w:numFmt w:val="decimal"/>
      <w:pStyle w:val="1290"/>
      <w:isLgl w:val="false"/>
      <w:suff w:val="tab"/>
      <w:lvlText w:val="%1"/>
      <w:lvlJc w:val="left"/>
      <w:pPr>
        <w:pStyle w:val="1101"/>
        <w:ind w:left="680" w:hanging="680"/>
      </w:pPr>
      <w:rPr>
        <w:rFonts w:hint="eastAsia" w:ascii="宋体" w:hAnsi="宋体" w:eastAsia="宋体"/>
      </w:rPr>
    </w:lvl>
    <w:lvl w:ilvl="1">
      <w:start w:val="1"/>
      <w:numFmt w:val="decimal"/>
      <w:pStyle w:val="1283"/>
      <w:isLgl w:val="false"/>
      <w:suff w:val="tab"/>
      <w:lvlText w:val="%1.%2"/>
      <w:lvlJc w:val="left"/>
      <w:pPr>
        <w:pStyle w:val="1101"/>
        <w:ind w:left="851" w:hanging="851"/>
      </w:pPr>
      <w:rPr>
        <w:rFonts w:hint="eastAsia" w:ascii="宋体" w:hAnsi="宋体" w:eastAsia="宋体"/>
        <w:color w:val="000000"/>
      </w:rPr>
    </w:lvl>
    <w:lvl w:ilvl="2">
      <w:start w:val="1"/>
      <w:numFmt w:val="decimal"/>
      <w:pStyle w:val="1287"/>
      <w:isLgl w:val="false"/>
      <w:suff w:val="tab"/>
      <w:lvlText w:val="%1.%2.%3"/>
      <w:lvlJc w:val="left"/>
      <w:pPr>
        <w:pStyle w:val="1101"/>
        <w:ind w:left="851" w:hanging="851"/>
      </w:pPr>
      <w:rPr>
        <w:rFonts w:hint="eastAsia"/>
      </w:rPr>
    </w:lvl>
    <w:lvl w:ilvl="3">
      <w:start w:val="1"/>
      <w:numFmt w:val="decimal"/>
      <w:isLgl w:val="false"/>
      <w:suff w:val="tab"/>
      <w:lvlText w:val="%1.%2.%3.%4"/>
      <w:lvlJc w:val="left"/>
      <w:pPr>
        <w:pStyle w:val="1101"/>
        <w:ind w:left="680" w:hanging="680"/>
      </w:pPr>
      <w:rPr>
        <w:rFonts w:hint="eastAsia"/>
      </w:rPr>
    </w:lvl>
    <w:lvl w:ilvl="4">
      <w:start w:val="1"/>
      <w:numFmt w:val="decimal"/>
      <w:isLgl w:val="false"/>
      <w:suff w:val="tab"/>
      <w:lvlText w:val="%1.%2.%3.%4.%5"/>
      <w:lvlJc w:val="left"/>
      <w:pPr>
        <w:pStyle w:val="1101"/>
        <w:ind w:left="680" w:hanging="680"/>
      </w:pPr>
      <w:rPr>
        <w:rFonts w:hint="eastAsia"/>
      </w:rPr>
    </w:lvl>
    <w:lvl w:ilvl="5">
      <w:start w:val="1"/>
      <w:numFmt w:val="decimal"/>
      <w:isLgl w:val="false"/>
      <w:suff w:val="tab"/>
      <w:lvlText w:val="%1.%2.%3.%4.%5.%6"/>
      <w:lvlJc w:val="left"/>
      <w:pPr>
        <w:pStyle w:val="1101"/>
        <w:ind w:left="680" w:hanging="680"/>
      </w:pPr>
      <w:rPr>
        <w:rFonts w:hint="eastAsia"/>
      </w:rPr>
    </w:lvl>
    <w:lvl w:ilvl="6">
      <w:start w:val="1"/>
      <w:numFmt w:val="decimal"/>
      <w:isLgl w:val="false"/>
      <w:suff w:val="tab"/>
      <w:lvlText w:val="%1.%2.%3.%4.%5.%6.%7"/>
      <w:lvlJc w:val="left"/>
      <w:pPr>
        <w:pStyle w:val="1101"/>
        <w:ind w:left="680" w:hanging="680"/>
      </w:pPr>
      <w:rPr>
        <w:rFonts w:hint="eastAsia"/>
      </w:rPr>
    </w:lvl>
    <w:lvl w:ilvl="7">
      <w:start w:val="1"/>
      <w:numFmt w:val="decimal"/>
      <w:isLgl w:val="false"/>
      <w:suff w:val="tab"/>
      <w:lvlText w:val="%1.%2.%3.%4.%5.%6.%7.%8"/>
      <w:lvlJc w:val="left"/>
      <w:pPr>
        <w:pStyle w:val="1101"/>
        <w:ind w:left="680" w:hanging="680"/>
      </w:pPr>
      <w:rPr>
        <w:rFonts w:hint="eastAsia"/>
      </w:rPr>
    </w:lvl>
    <w:lvl w:ilvl="8">
      <w:start w:val="1"/>
      <w:numFmt w:val="decimal"/>
      <w:isLgl w:val="false"/>
      <w:suff w:val="tab"/>
      <w:lvlText w:val="%1.%2.%3.%4.%5.%6.%7.%8.%9"/>
      <w:lvlJc w:val="left"/>
      <w:pPr>
        <w:pStyle w:val="1101"/>
        <w:ind w:left="680" w:hanging="680"/>
      </w:pPr>
      <w:rPr>
        <w:rFonts w:hint="eastAsia"/>
      </w:rPr>
    </w:lvl>
  </w:abstractNum>
  <w:abstractNum w:abstractNumId="9">
    <w:multiLevelType w:val="hybridMultilevel"/>
    <w:lvl w:ilvl="0">
      <w:start w:val="1"/>
      <w:numFmt w:val="decimal"/>
      <w:isLgl w:val="false"/>
      <w:suff w:val="tab"/>
      <w:lvlText w:val="%1"/>
      <w:lvlJc w:val="left"/>
      <w:pPr>
        <w:pStyle w:val="1101"/>
        <w:ind w:left="900" w:hanging="900"/>
        <w:tabs>
          <w:tab w:val="num" w:pos="900" w:leader="none"/>
        </w:tabs>
      </w:pPr>
      <w:rPr>
        <w:rFonts w:hint="eastAsia"/>
      </w:rPr>
    </w:lvl>
    <w:lvl w:ilvl="1">
      <w:start w:val="1"/>
      <w:numFmt w:val="decimal"/>
      <w:isLgl w:val="false"/>
      <w:suff w:val="tab"/>
      <w:lvlText w:val="%1.%2"/>
      <w:lvlJc w:val="left"/>
      <w:pPr>
        <w:pStyle w:val="110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01"/>
        <w:ind w:left="1980" w:hanging="900"/>
        <w:tabs>
          <w:tab w:val="num" w:pos="1980" w:leader="none"/>
        </w:tabs>
      </w:pPr>
      <w:rPr>
        <w:rFonts w:hint="eastAsia"/>
      </w:rPr>
    </w:lvl>
    <w:lvl w:ilvl="3">
      <w:start w:val="1"/>
      <w:numFmt w:val="decimal"/>
      <w:isLgl w:val="false"/>
      <w:suff w:val="tab"/>
      <w:lvlText w:val="%1.%2.%3.%4"/>
      <w:lvlJc w:val="left"/>
      <w:pPr>
        <w:pStyle w:val="1101"/>
        <w:ind w:left="900" w:hanging="900"/>
        <w:tabs>
          <w:tab w:val="num" w:pos="900" w:leader="none"/>
        </w:tabs>
      </w:pPr>
      <w:rPr>
        <w:rFonts w:hint="eastAsia"/>
      </w:rPr>
    </w:lvl>
    <w:lvl w:ilvl="4">
      <w:start w:val="1"/>
      <w:numFmt w:val="decimal"/>
      <w:isLgl w:val="false"/>
      <w:suff w:val="tab"/>
      <w:lvlText w:val="%1.%2.%3.%4.%5"/>
      <w:lvlJc w:val="left"/>
      <w:pPr>
        <w:pStyle w:val="1101"/>
        <w:ind w:left="900" w:hanging="900"/>
        <w:tabs>
          <w:tab w:val="num" w:pos="900" w:leader="none"/>
        </w:tabs>
      </w:pPr>
      <w:rPr>
        <w:rFonts w:hint="eastAsia"/>
      </w:rPr>
    </w:lvl>
    <w:lvl w:ilvl="5">
      <w:start w:val="1"/>
      <w:numFmt w:val="decimal"/>
      <w:isLgl w:val="false"/>
      <w:suff w:val="tab"/>
      <w:lvlText w:val="%1.%2.%3.%4.%5.%6"/>
      <w:lvlJc w:val="left"/>
      <w:pPr>
        <w:pStyle w:val="1101"/>
        <w:ind w:left="900" w:hanging="900"/>
        <w:tabs>
          <w:tab w:val="num" w:pos="900" w:leader="none"/>
        </w:tabs>
      </w:pPr>
      <w:rPr>
        <w:rFonts w:hint="eastAsia"/>
      </w:rPr>
    </w:lvl>
    <w:lvl w:ilvl="6">
      <w:start w:val="1"/>
      <w:numFmt w:val="decimal"/>
      <w:isLgl w:val="false"/>
      <w:suff w:val="tab"/>
      <w:lvlText w:val="%1.%2.%3.%4.%5.%6.%7"/>
      <w:lvlJc w:val="left"/>
      <w:pPr>
        <w:pStyle w:val="1101"/>
        <w:ind w:left="900" w:hanging="900"/>
        <w:tabs>
          <w:tab w:val="num" w:pos="900" w:leader="none"/>
        </w:tabs>
      </w:pPr>
      <w:rPr>
        <w:rFonts w:hint="eastAsia"/>
      </w:rPr>
    </w:lvl>
    <w:lvl w:ilvl="7">
      <w:start w:val="1"/>
      <w:numFmt w:val="decimal"/>
      <w:isLgl w:val="false"/>
      <w:suff w:val="tab"/>
      <w:lvlText w:val="%1.%2.%3.%4.%5.%6.%7.%8"/>
      <w:lvlJc w:val="left"/>
      <w:pPr>
        <w:pStyle w:val="1101"/>
        <w:ind w:left="900" w:hanging="900"/>
        <w:tabs>
          <w:tab w:val="num" w:pos="900" w:leader="none"/>
        </w:tabs>
      </w:pPr>
      <w:rPr>
        <w:rFonts w:hint="eastAsia"/>
      </w:rPr>
    </w:lvl>
    <w:lvl w:ilvl="8">
      <w:start w:val="1"/>
      <w:numFmt w:val="decimal"/>
      <w:isLgl w:val="false"/>
      <w:suff w:val="tab"/>
      <w:lvlText w:val="%1.%2.%3.%4.%5.%6.%7.%8.%9"/>
      <w:lvlJc w:val="left"/>
      <w:pPr>
        <w:pStyle w:val="1101"/>
        <w:ind w:left="900" w:hanging="900"/>
        <w:tabs>
          <w:tab w:val="num" w:pos="900" w:leader="none"/>
        </w:tabs>
      </w:pPr>
      <w:rPr>
        <w:rFonts w:hint="eastAsia"/>
      </w:rPr>
    </w:lvl>
  </w:abstractNum>
  <w:num w:numId="1">
    <w:abstractNumId w:val="4"/>
  </w:num>
  <w:num w:numId="2">
    <w:abstractNumId w:val="2"/>
  </w:num>
  <w:num w:numId="3">
    <w:abstractNumId w:val="7"/>
  </w:num>
  <w:num w:numId="4">
    <w:abstractNumId w:val="5"/>
  </w:num>
  <w:num w:numId="5">
    <w:abstractNumId w:val="3"/>
  </w:num>
  <w:num w:numId="6">
    <w:abstractNumId w:val="8"/>
  </w:num>
  <w:num w:numId="7">
    <w:abstractNumId w:val="6"/>
  </w:num>
  <w:num w:numId="8">
    <w:abstractNumId w:val="1"/>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3">
    <w:name w:val="Heading 1"/>
    <w:basedOn w:val="1101"/>
    <w:next w:val="1101"/>
    <w:link w:val="924"/>
    <w:uiPriority w:val="9"/>
    <w:qFormat/>
    <w:pPr>
      <w:keepLines/>
      <w:keepNext/>
      <w:spacing w:before="480" w:after="200"/>
      <w:outlineLvl w:val="0"/>
    </w:pPr>
    <w:rPr>
      <w:rFonts w:ascii="Arial" w:hAnsi="Arial" w:eastAsia="Arial" w:cs="Arial"/>
      <w:sz w:val="40"/>
      <w:szCs w:val="40"/>
    </w:rPr>
  </w:style>
  <w:style w:type="character" w:styleId="924">
    <w:name w:val="Heading 1 Char"/>
    <w:link w:val="923"/>
    <w:uiPriority w:val="9"/>
    <w:rPr>
      <w:rFonts w:ascii="Arial" w:hAnsi="Arial" w:eastAsia="Arial" w:cs="Arial"/>
      <w:sz w:val="40"/>
      <w:szCs w:val="40"/>
    </w:rPr>
  </w:style>
  <w:style w:type="paragraph" w:styleId="925">
    <w:name w:val="Heading 2"/>
    <w:basedOn w:val="1101"/>
    <w:next w:val="1101"/>
    <w:link w:val="926"/>
    <w:uiPriority w:val="9"/>
    <w:unhideWhenUsed/>
    <w:qFormat/>
    <w:pPr>
      <w:keepLines/>
      <w:keepNext/>
      <w:spacing w:before="360" w:after="200"/>
      <w:outlineLvl w:val="1"/>
    </w:pPr>
    <w:rPr>
      <w:rFonts w:ascii="Arial" w:hAnsi="Arial" w:eastAsia="Arial" w:cs="Arial"/>
      <w:sz w:val="34"/>
    </w:rPr>
  </w:style>
  <w:style w:type="character" w:styleId="926">
    <w:name w:val="Heading 2 Char"/>
    <w:link w:val="925"/>
    <w:uiPriority w:val="9"/>
    <w:rPr>
      <w:rFonts w:ascii="Arial" w:hAnsi="Arial" w:eastAsia="Arial" w:cs="Arial"/>
      <w:sz w:val="34"/>
    </w:rPr>
  </w:style>
  <w:style w:type="paragraph" w:styleId="927">
    <w:name w:val="Heading 3"/>
    <w:basedOn w:val="1101"/>
    <w:next w:val="1101"/>
    <w:link w:val="928"/>
    <w:uiPriority w:val="9"/>
    <w:unhideWhenUsed/>
    <w:qFormat/>
    <w:pPr>
      <w:keepLines/>
      <w:keepNext/>
      <w:spacing w:before="320" w:after="200"/>
      <w:outlineLvl w:val="2"/>
    </w:pPr>
    <w:rPr>
      <w:rFonts w:ascii="Arial" w:hAnsi="Arial" w:eastAsia="Arial" w:cs="Arial"/>
      <w:sz w:val="30"/>
      <w:szCs w:val="30"/>
    </w:rPr>
  </w:style>
  <w:style w:type="character" w:styleId="928">
    <w:name w:val="Heading 3 Char"/>
    <w:link w:val="927"/>
    <w:uiPriority w:val="9"/>
    <w:rPr>
      <w:rFonts w:ascii="Arial" w:hAnsi="Arial" w:eastAsia="Arial" w:cs="Arial"/>
      <w:sz w:val="30"/>
      <w:szCs w:val="30"/>
    </w:rPr>
  </w:style>
  <w:style w:type="paragraph" w:styleId="929">
    <w:name w:val="Heading 4"/>
    <w:basedOn w:val="1101"/>
    <w:next w:val="1101"/>
    <w:link w:val="930"/>
    <w:uiPriority w:val="9"/>
    <w:unhideWhenUsed/>
    <w:qFormat/>
    <w:pPr>
      <w:keepLines/>
      <w:keepNext/>
      <w:spacing w:before="320" w:after="200"/>
      <w:outlineLvl w:val="3"/>
    </w:pPr>
    <w:rPr>
      <w:rFonts w:ascii="Arial" w:hAnsi="Arial" w:eastAsia="Arial" w:cs="Arial"/>
      <w:b/>
      <w:bCs/>
      <w:sz w:val="26"/>
      <w:szCs w:val="26"/>
    </w:rPr>
  </w:style>
  <w:style w:type="character" w:styleId="930">
    <w:name w:val="Heading 4 Char"/>
    <w:link w:val="929"/>
    <w:uiPriority w:val="9"/>
    <w:rPr>
      <w:rFonts w:ascii="Arial" w:hAnsi="Arial" w:eastAsia="Arial" w:cs="Arial"/>
      <w:b/>
      <w:bCs/>
      <w:sz w:val="26"/>
      <w:szCs w:val="26"/>
    </w:rPr>
  </w:style>
  <w:style w:type="paragraph" w:styleId="931">
    <w:name w:val="Heading 5"/>
    <w:basedOn w:val="1101"/>
    <w:next w:val="1101"/>
    <w:link w:val="932"/>
    <w:uiPriority w:val="9"/>
    <w:unhideWhenUsed/>
    <w:qFormat/>
    <w:pPr>
      <w:keepLines/>
      <w:keepNext/>
      <w:spacing w:before="320" w:after="200"/>
      <w:outlineLvl w:val="4"/>
    </w:pPr>
    <w:rPr>
      <w:rFonts w:ascii="Arial" w:hAnsi="Arial" w:eastAsia="Arial" w:cs="Arial"/>
      <w:b/>
      <w:bCs/>
      <w:sz w:val="24"/>
      <w:szCs w:val="24"/>
    </w:rPr>
  </w:style>
  <w:style w:type="character" w:styleId="932">
    <w:name w:val="Heading 5 Char"/>
    <w:link w:val="931"/>
    <w:uiPriority w:val="9"/>
    <w:rPr>
      <w:rFonts w:ascii="Arial" w:hAnsi="Arial" w:eastAsia="Arial" w:cs="Arial"/>
      <w:b/>
      <w:bCs/>
      <w:sz w:val="24"/>
      <w:szCs w:val="24"/>
    </w:rPr>
  </w:style>
  <w:style w:type="paragraph" w:styleId="933">
    <w:name w:val="Heading 6"/>
    <w:basedOn w:val="1101"/>
    <w:next w:val="1101"/>
    <w:link w:val="934"/>
    <w:uiPriority w:val="9"/>
    <w:unhideWhenUsed/>
    <w:qFormat/>
    <w:pPr>
      <w:keepLines/>
      <w:keepNext/>
      <w:spacing w:before="320" w:after="200"/>
      <w:outlineLvl w:val="5"/>
    </w:pPr>
    <w:rPr>
      <w:rFonts w:ascii="Arial" w:hAnsi="Arial" w:eastAsia="Arial" w:cs="Arial"/>
      <w:b/>
      <w:bCs/>
      <w:sz w:val="22"/>
      <w:szCs w:val="22"/>
    </w:rPr>
  </w:style>
  <w:style w:type="character" w:styleId="934">
    <w:name w:val="Heading 6 Char"/>
    <w:link w:val="933"/>
    <w:uiPriority w:val="9"/>
    <w:rPr>
      <w:rFonts w:ascii="Arial" w:hAnsi="Arial" w:eastAsia="Arial" w:cs="Arial"/>
      <w:b/>
      <w:bCs/>
      <w:sz w:val="22"/>
      <w:szCs w:val="22"/>
    </w:rPr>
  </w:style>
  <w:style w:type="paragraph" w:styleId="935">
    <w:name w:val="Heading 7"/>
    <w:basedOn w:val="1101"/>
    <w:next w:val="1101"/>
    <w:link w:val="936"/>
    <w:uiPriority w:val="9"/>
    <w:unhideWhenUsed/>
    <w:qFormat/>
    <w:pPr>
      <w:keepLines/>
      <w:keepNext/>
      <w:spacing w:before="320" w:after="200"/>
      <w:outlineLvl w:val="6"/>
    </w:pPr>
    <w:rPr>
      <w:rFonts w:ascii="Arial" w:hAnsi="Arial" w:eastAsia="Arial" w:cs="Arial"/>
      <w:b/>
      <w:bCs/>
      <w:i/>
      <w:iCs/>
      <w:sz w:val="22"/>
      <w:szCs w:val="22"/>
    </w:rPr>
  </w:style>
  <w:style w:type="character" w:styleId="936">
    <w:name w:val="Heading 7 Char"/>
    <w:link w:val="935"/>
    <w:uiPriority w:val="9"/>
    <w:rPr>
      <w:rFonts w:ascii="Arial" w:hAnsi="Arial" w:eastAsia="Arial" w:cs="Arial"/>
      <w:b/>
      <w:bCs/>
      <w:i/>
      <w:iCs/>
      <w:sz w:val="22"/>
      <w:szCs w:val="22"/>
    </w:rPr>
  </w:style>
  <w:style w:type="paragraph" w:styleId="937">
    <w:name w:val="Heading 8"/>
    <w:basedOn w:val="1101"/>
    <w:next w:val="1101"/>
    <w:link w:val="938"/>
    <w:uiPriority w:val="9"/>
    <w:unhideWhenUsed/>
    <w:qFormat/>
    <w:pPr>
      <w:keepLines/>
      <w:keepNext/>
      <w:spacing w:before="320" w:after="200"/>
      <w:outlineLvl w:val="7"/>
    </w:pPr>
    <w:rPr>
      <w:rFonts w:ascii="Arial" w:hAnsi="Arial" w:eastAsia="Arial" w:cs="Arial"/>
      <w:i/>
      <w:iCs/>
      <w:sz w:val="22"/>
      <w:szCs w:val="22"/>
    </w:rPr>
  </w:style>
  <w:style w:type="character" w:styleId="938">
    <w:name w:val="Heading 8 Char"/>
    <w:link w:val="937"/>
    <w:uiPriority w:val="9"/>
    <w:rPr>
      <w:rFonts w:ascii="Arial" w:hAnsi="Arial" w:eastAsia="Arial" w:cs="Arial"/>
      <w:i/>
      <w:iCs/>
      <w:sz w:val="22"/>
      <w:szCs w:val="22"/>
    </w:rPr>
  </w:style>
  <w:style w:type="paragraph" w:styleId="939">
    <w:name w:val="Heading 9"/>
    <w:basedOn w:val="1101"/>
    <w:next w:val="1101"/>
    <w:link w:val="940"/>
    <w:uiPriority w:val="9"/>
    <w:unhideWhenUsed/>
    <w:qFormat/>
    <w:pPr>
      <w:keepLines/>
      <w:keepNext/>
      <w:spacing w:before="320" w:after="200"/>
      <w:outlineLvl w:val="8"/>
    </w:pPr>
    <w:rPr>
      <w:rFonts w:ascii="Arial" w:hAnsi="Arial" w:eastAsia="Arial" w:cs="Arial"/>
      <w:i/>
      <w:iCs/>
      <w:sz w:val="21"/>
      <w:szCs w:val="21"/>
    </w:rPr>
  </w:style>
  <w:style w:type="character" w:styleId="940">
    <w:name w:val="Heading 9 Char"/>
    <w:link w:val="939"/>
    <w:uiPriority w:val="9"/>
    <w:rPr>
      <w:rFonts w:ascii="Arial" w:hAnsi="Arial" w:eastAsia="Arial" w:cs="Arial"/>
      <w:i/>
      <w:iCs/>
      <w:sz w:val="21"/>
      <w:szCs w:val="21"/>
    </w:rPr>
  </w:style>
  <w:style w:type="paragraph" w:styleId="941">
    <w:name w:val="List Paragraph"/>
    <w:basedOn w:val="1101"/>
    <w:uiPriority w:val="34"/>
    <w:qFormat/>
    <w:pPr>
      <w:contextualSpacing/>
      <w:ind w:left="720"/>
    </w:pPr>
  </w:style>
  <w:style w:type="paragraph" w:styleId="942">
    <w:name w:val="No Spacing"/>
    <w:uiPriority w:val="1"/>
    <w:qFormat/>
    <w:pPr>
      <w:spacing w:before="0" w:after="0" w:line="240" w:lineRule="auto"/>
    </w:pPr>
  </w:style>
  <w:style w:type="paragraph" w:styleId="943">
    <w:name w:val="Title"/>
    <w:basedOn w:val="1101"/>
    <w:next w:val="1101"/>
    <w:link w:val="944"/>
    <w:uiPriority w:val="10"/>
    <w:qFormat/>
    <w:pPr>
      <w:contextualSpacing/>
      <w:spacing w:before="300" w:after="200"/>
    </w:pPr>
    <w:rPr>
      <w:sz w:val="48"/>
      <w:szCs w:val="48"/>
    </w:rPr>
  </w:style>
  <w:style w:type="character" w:styleId="944">
    <w:name w:val="Title Char"/>
    <w:link w:val="943"/>
    <w:uiPriority w:val="10"/>
    <w:rPr>
      <w:sz w:val="48"/>
      <w:szCs w:val="48"/>
    </w:rPr>
  </w:style>
  <w:style w:type="paragraph" w:styleId="945">
    <w:name w:val="Subtitle"/>
    <w:basedOn w:val="1101"/>
    <w:next w:val="1101"/>
    <w:link w:val="946"/>
    <w:uiPriority w:val="11"/>
    <w:qFormat/>
    <w:pPr>
      <w:spacing w:before="200" w:after="200"/>
    </w:pPr>
    <w:rPr>
      <w:sz w:val="24"/>
      <w:szCs w:val="24"/>
    </w:rPr>
  </w:style>
  <w:style w:type="character" w:styleId="946">
    <w:name w:val="Subtitle Char"/>
    <w:link w:val="945"/>
    <w:uiPriority w:val="11"/>
    <w:rPr>
      <w:sz w:val="24"/>
      <w:szCs w:val="24"/>
    </w:rPr>
  </w:style>
  <w:style w:type="paragraph" w:styleId="947">
    <w:name w:val="Quote"/>
    <w:basedOn w:val="1101"/>
    <w:next w:val="1101"/>
    <w:link w:val="948"/>
    <w:uiPriority w:val="29"/>
    <w:qFormat/>
    <w:pPr>
      <w:ind w:left="720" w:right="720"/>
    </w:pPr>
    <w:rPr>
      <w:i/>
    </w:rPr>
  </w:style>
  <w:style w:type="character" w:styleId="948">
    <w:name w:val="Quote Char"/>
    <w:link w:val="947"/>
    <w:uiPriority w:val="29"/>
    <w:rPr>
      <w:i/>
    </w:rPr>
  </w:style>
  <w:style w:type="paragraph" w:styleId="949">
    <w:name w:val="Intense Quote"/>
    <w:basedOn w:val="1101"/>
    <w:next w:val="1101"/>
    <w:link w:val="9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0">
    <w:name w:val="Intense Quote Char"/>
    <w:link w:val="949"/>
    <w:uiPriority w:val="30"/>
    <w:rPr>
      <w:i/>
    </w:rPr>
  </w:style>
  <w:style w:type="paragraph" w:styleId="951">
    <w:name w:val="Header"/>
    <w:basedOn w:val="1101"/>
    <w:link w:val="952"/>
    <w:uiPriority w:val="99"/>
    <w:unhideWhenUsed/>
    <w:pPr>
      <w:spacing w:after="0" w:line="240" w:lineRule="auto"/>
      <w:tabs>
        <w:tab w:val="center" w:pos="7143" w:leader="none"/>
        <w:tab w:val="right" w:pos="14287" w:leader="none"/>
      </w:tabs>
    </w:pPr>
  </w:style>
  <w:style w:type="character" w:styleId="952">
    <w:name w:val="Header Char"/>
    <w:link w:val="951"/>
    <w:uiPriority w:val="99"/>
  </w:style>
  <w:style w:type="paragraph" w:styleId="953">
    <w:name w:val="Footer"/>
    <w:basedOn w:val="1101"/>
    <w:link w:val="956"/>
    <w:uiPriority w:val="99"/>
    <w:unhideWhenUsed/>
    <w:pPr>
      <w:spacing w:after="0" w:line="240" w:lineRule="auto"/>
      <w:tabs>
        <w:tab w:val="center" w:pos="7143" w:leader="none"/>
        <w:tab w:val="right" w:pos="14287" w:leader="none"/>
      </w:tabs>
    </w:pPr>
  </w:style>
  <w:style w:type="character" w:styleId="954">
    <w:name w:val="Footer Char"/>
    <w:link w:val="953"/>
    <w:uiPriority w:val="99"/>
  </w:style>
  <w:style w:type="paragraph" w:styleId="955">
    <w:name w:val="Caption"/>
    <w:basedOn w:val="1101"/>
    <w:next w:val="1101"/>
    <w:uiPriority w:val="35"/>
    <w:semiHidden/>
    <w:unhideWhenUsed/>
    <w:qFormat/>
    <w:pPr>
      <w:spacing w:line="276" w:lineRule="auto"/>
    </w:pPr>
    <w:rPr>
      <w:b/>
      <w:bCs/>
      <w:color w:val="4f81bd" w:themeColor="accent1"/>
      <w:sz w:val="18"/>
      <w:szCs w:val="18"/>
    </w:rPr>
  </w:style>
  <w:style w:type="character" w:styleId="956">
    <w:name w:val="Caption Char"/>
    <w:basedOn w:val="955"/>
    <w:link w:val="953"/>
    <w:uiPriority w:val="99"/>
  </w:style>
  <w:style w:type="table" w:styleId="95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5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6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6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6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6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6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6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7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7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7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7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7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7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7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7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7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8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8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8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9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9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9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9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9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9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9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9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9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9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0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0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0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0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0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0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0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0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1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1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1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1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1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1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1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1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1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2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2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2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2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2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2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2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2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3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3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3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3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3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3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3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3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4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4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5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5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5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5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5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5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5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5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5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5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6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6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6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7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7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7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8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8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8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83">
    <w:name w:val="Hyperlink"/>
    <w:uiPriority w:val="99"/>
    <w:unhideWhenUsed/>
    <w:rPr>
      <w:color w:val="0000ff" w:themeColor="hyperlink"/>
      <w:u w:val="single"/>
    </w:rPr>
  </w:style>
  <w:style w:type="paragraph" w:styleId="1084">
    <w:name w:val="footnote text"/>
    <w:basedOn w:val="1101"/>
    <w:link w:val="1085"/>
    <w:uiPriority w:val="99"/>
    <w:semiHidden/>
    <w:unhideWhenUsed/>
    <w:pPr>
      <w:spacing w:after="40" w:line="240" w:lineRule="auto"/>
    </w:pPr>
    <w:rPr>
      <w:sz w:val="18"/>
    </w:rPr>
  </w:style>
  <w:style w:type="character" w:styleId="1085">
    <w:name w:val="Footnote Text Char"/>
    <w:link w:val="1084"/>
    <w:uiPriority w:val="99"/>
    <w:rPr>
      <w:sz w:val="18"/>
    </w:rPr>
  </w:style>
  <w:style w:type="character" w:styleId="1086">
    <w:name w:val="footnote reference"/>
    <w:uiPriority w:val="99"/>
    <w:unhideWhenUsed/>
    <w:rPr>
      <w:vertAlign w:val="superscript"/>
    </w:rPr>
  </w:style>
  <w:style w:type="paragraph" w:styleId="1087">
    <w:name w:val="endnote text"/>
    <w:basedOn w:val="1101"/>
    <w:link w:val="1088"/>
    <w:uiPriority w:val="99"/>
    <w:semiHidden/>
    <w:unhideWhenUsed/>
    <w:pPr>
      <w:spacing w:after="0" w:line="240" w:lineRule="auto"/>
    </w:pPr>
    <w:rPr>
      <w:sz w:val="20"/>
    </w:rPr>
  </w:style>
  <w:style w:type="character" w:styleId="1088">
    <w:name w:val="Endnote Text Char"/>
    <w:link w:val="1087"/>
    <w:uiPriority w:val="99"/>
    <w:rPr>
      <w:sz w:val="20"/>
    </w:rPr>
  </w:style>
  <w:style w:type="character" w:styleId="1089">
    <w:name w:val="endnote reference"/>
    <w:uiPriority w:val="99"/>
    <w:semiHidden/>
    <w:unhideWhenUsed/>
    <w:rPr>
      <w:vertAlign w:val="superscript"/>
    </w:rPr>
  </w:style>
  <w:style w:type="paragraph" w:styleId="1090">
    <w:name w:val="toc 1"/>
    <w:basedOn w:val="1101"/>
    <w:next w:val="1101"/>
    <w:uiPriority w:val="39"/>
    <w:unhideWhenUsed/>
    <w:pPr>
      <w:ind w:left="0" w:right="0" w:firstLine="0"/>
      <w:spacing w:after="57"/>
    </w:pPr>
  </w:style>
  <w:style w:type="paragraph" w:styleId="1091">
    <w:name w:val="toc 2"/>
    <w:basedOn w:val="1101"/>
    <w:next w:val="1101"/>
    <w:uiPriority w:val="39"/>
    <w:unhideWhenUsed/>
    <w:pPr>
      <w:ind w:left="283" w:right="0" w:firstLine="0"/>
      <w:spacing w:after="57"/>
    </w:pPr>
  </w:style>
  <w:style w:type="paragraph" w:styleId="1092">
    <w:name w:val="toc 3"/>
    <w:basedOn w:val="1101"/>
    <w:next w:val="1101"/>
    <w:uiPriority w:val="39"/>
    <w:unhideWhenUsed/>
    <w:pPr>
      <w:ind w:left="567" w:right="0" w:firstLine="0"/>
      <w:spacing w:after="57"/>
    </w:pPr>
  </w:style>
  <w:style w:type="paragraph" w:styleId="1093">
    <w:name w:val="toc 4"/>
    <w:basedOn w:val="1101"/>
    <w:next w:val="1101"/>
    <w:uiPriority w:val="39"/>
    <w:unhideWhenUsed/>
    <w:pPr>
      <w:ind w:left="850" w:right="0" w:firstLine="0"/>
      <w:spacing w:after="57"/>
    </w:pPr>
  </w:style>
  <w:style w:type="paragraph" w:styleId="1094">
    <w:name w:val="toc 5"/>
    <w:basedOn w:val="1101"/>
    <w:next w:val="1101"/>
    <w:uiPriority w:val="39"/>
    <w:unhideWhenUsed/>
    <w:pPr>
      <w:ind w:left="1134" w:right="0" w:firstLine="0"/>
      <w:spacing w:after="57"/>
    </w:pPr>
  </w:style>
  <w:style w:type="paragraph" w:styleId="1095">
    <w:name w:val="toc 6"/>
    <w:basedOn w:val="1101"/>
    <w:next w:val="1101"/>
    <w:uiPriority w:val="39"/>
    <w:unhideWhenUsed/>
    <w:pPr>
      <w:ind w:left="1417" w:right="0" w:firstLine="0"/>
      <w:spacing w:after="57"/>
    </w:pPr>
  </w:style>
  <w:style w:type="paragraph" w:styleId="1096">
    <w:name w:val="toc 7"/>
    <w:basedOn w:val="1101"/>
    <w:next w:val="1101"/>
    <w:uiPriority w:val="39"/>
    <w:unhideWhenUsed/>
    <w:pPr>
      <w:ind w:left="1701" w:right="0" w:firstLine="0"/>
      <w:spacing w:after="57"/>
    </w:pPr>
  </w:style>
  <w:style w:type="paragraph" w:styleId="1097">
    <w:name w:val="toc 8"/>
    <w:basedOn w:val="1101"/>
    <w:next w:val="1101"/>
    <w:uiPriority w:val="39"/>
    <w:unhideWhenUsed/>
    <w:pPr>
      <w:ind w:left="1984" w:right="0" w:firstLine="0"/>
      <w:spacing w:after="57"/>
    </w:pPr>
  </w:style>
  <w:style w:type="paragraph" w:styleId="1098">
    <w:name w:val="toc 9"/>
    <w:basedOn w:val="1101"/>
    <w:next w:val="1101"/>
    <w:uiPriority w:val="39"/>
    <w:unhideWhenUsed/>
    <w:pPr>
      <w:ind w:left="2268" w:right="0" w:firstLine="0"/>
      <w:spacing w:after="57"/>
    </w:pPr>
  </w:style>
  <w:style w:type="paragraph" w:styleId="1099">
    <w:name w:val="TOC Heading"/>
    <w:uiPriority w:val="39"/>
    <w:unhideWhenUsed/>
  </w:style>
  <w:style w:type="paragraph" w:styleId="1100">
    <w:name w:val="table of figures"/>
    <w:basedOn w:val="1101"/>
    <w:next w:val="1101"/>
    <w:uiPriority w:val="99"/>
    <w:unhideWhenUsed/>
    <w:pPr>
      <w:spacing w:after="0" w:afterAutospacing="0"/>
    </w:pPr>
  </w:style>
  <w:style w:type="paragraph" w:styleId="1101" w:default="1">
    <w:name w:val="Normal"/>
    <w:next w:val="1113"/>
    <w:link w:val="1101"/>
    <w:qFormat/>
    <w:pPr>
      <w:jc w:val="both"/>
      <w:widowControl w:val="off"/>
    </w:pPr>
    <w:rPr>
      <w:sz w:val="21"/>
      <w:szCs w:val="24"/>
      <w:lang w:val="en-US" w:eastAsia="zh-CN" w:bidi="ar-SA"/>
    </w:rPr>
  </w:style>
  <w:style w:type="paragraph" w:styleId="1102">
    <w:name w:val="标题 1"/>
    <w:basedOn w:val="1101"/>
    <w:next w:val="1101"/>
    <w:link w:val="1115"/>
    <w:qFormat/>
    <w:pPr>
      <w:jc w:val="center"/>
      <w:keepLines/>
      <w:keepNext/>
      <w:spacing w:before="240" w:after="120" w:line="300" w:lineRule="auto"/>
      <w:outlineLvl w:val="0"/>
    </w:pPr>
    <w:rPr>
      <w:rFonts w:ascii="宋体"/>
      <w:b/>
      <w:sz w:val="32"/>
      <w:szCs w:val="20"/>
    </w:rPr>
  </w:style>
  <w:style w:type="paragraph" w:styleId="1103">
    <w:name w:val="标题 2"/>
    <w:basedOn w:val="1101"/>
    <w:next w:val="1101"/>
    <w:link w:val="1116"/>
    <w:qFormat/>
    <w:pPr>
      <w:jc w:val="center"/>
      <w:keepLines/>
      <w:keepNext/>
      <w:spacing w:before="120" w:line="300" w:lineRule="auto"/>
      <w:outlineLvl w:val="1"/>
    </w:pPr>
    <w:rPr>
      <w:rFonts w:ascii="Arial" w:hAnsi="Arial" w:eastAsia="黑体"/>
      <w:b/>
      <w:sz w:val="30"/>
      <w:szCs w:val="20"/>
    </w:rPr>
  </w:style>
  <w:style w:type="paragraph" w:styleId="1104">
    <w:name w:val="标题 3"/>
    <w:basedOn w:val="1101"/>
    <w:next w:val="1101"/>
    <w:link w:val="1117"/>
    <w:qFormat/>
    <w:pPr>
      <w:jc w:val="left"/>
      <w:keepLines/>
      <w:keepNext/>
      <w:spacing w:before="360" w:after="120"/>
      <w:outlineLvl w:val="2"/>
    </w:pPr>
    <w:rPr>
      <w:rFonts w:ascii="宋体"/>
      <w:b/>
      <w:sz w:val="24"/>
      <w:szCs w:val="20"/>
      <w:u w:val="single"/>
    </w:rPr>
  </w:style>
  <w:style w:type="paragraph" w:styleId="1105">
    <w:name w:val="标题 4"/>
    <w:basedOn w:val="1101"/>
    <w:next w:val="1101"/>
    <w:link w:val="1118"/>
    <w:qFormat/>
    <w:pPr>
      <w:keepLines/>
      <w:keepNext/>
      <w:spacing w:before="280" w:after="290" w:line="376" w:lineRule="atLeast"/>
      <w:outlineLvl w:val="3"/>
    </w:pPr>
    <w:rPr>
      <w:rFonts w:ascii="Arial" w:hAnsi="Arial" w:eastAsia="黑体"/>
      <w:b/>
      <w:sz w:val="28"/>
      <w:szCs w:val="20"/>
    </w:rPr>
  </w:style>
  <w:style w:type="paragraph" w:styleId="1106">
    <w:name w:val="标题 5"/>
    <w:basedOn w:val="1101"/>
    <w:next w:val="1101"/>
    <w:link w:val="1119"/>
    <w:qFormat/>
    <w:pPr>
      <w:keepLines/>
      <w:keepNext/>
      <w:spacing w:before="280" w:after="290" w:line="376" w:lineRule="atLeast"/>
      <w:outlineLvl w:val="4"/>
    </w:pPr>
    <w:rPr>
      <w:b/>
      <w:sz w:val="28"/>
      <w:szCs w:val="20"/>
    </w:rPr>
  </w:style>
  <w:style w:type="paragraph" w:styleId="1107">
    <w:name w:val="标题 6"/>
    <w:basedOn w:val="1101"/>
    <w:next w:val="1101"/>
    <w:link w:val="1120"/>
    <w:qFormat/>
    <w:pPr>
      <w:keepLines/>
      <w:keepNext/>
      <w:spacing w:before="240" w:after="64" w:line="320" w:lineRule="atLeast"/>
      <w:outlineLvl w:val="5"/>
    </w:pPr>
    <w:rPr>
      <w:rFonts w:ascii="Arial" w:hAnsi="Arial" w:eastAsia="黑体"/>
      <w:b/>
      <w:sz w:val="24"/>
      <w:szCs w:val="20"/>
    </w:rPr>
  </w:style>
  <w:style w:type="paragraph" w:styleId="1108">
    <w:name w:val="标题 7"/>
    <w:basedOn w:val="1101"/>
    <w:next w:val="1101"/>
    <w:link w:val="1121"/>
    <w:qFormat/>
    <w:pPr>
      <w:keepLines/>
      <w:keepNext/>
      <w:spacing w:before="240" w:after="64" w:line="320" w:lineRule="atLeast"/>
      <w:outlineLvl w:val="6"/>
    </w:pPr>
    <w:rPr>
      <w:b/>
      <w:sz w:val="24"/>
      <w:szCs w:val="20"/>
    </w:rPr>
  </w:style>
  <w:style w:type="paragraph" w:styleId="1109">
    <w:name w:val="标题 8"/>
    <w:basedOn w:val="1101"/>
    <w:next w:val="1101"/>
    <w:link w:val="1122"/>
    <w:qFormat/>
    <w:pPr>
      <w:keepLines/>
      <w:keepNext/>
      <w:spacing w:before="240" w:after="64" w:line="320" w:lineRule="atLeast"/>
      <w:outlineLvl w:val="7"/>
    </w:pPr>
    <w:rPr>
      <w:rFonts w:ascii="Arial" w:hAnsi="Arial" w:eastAsia="黑体"/>
      <w:sz w:val="24"/>
      <w:szCs w:val="20"/>
    </w:rPr>
  </w:style>
  <w:style w:type="paragraph" w:styleId="1110">
    <w:name w:val="标题 9"/>
    <w:basedOn w:val="1101"/>
    <w:next w:val="1101"/>
    <w:link w:val="1123"/>
    <w:qFormat/>
    <w:pPr>
      <w:keepLines/>
      <w:keepNext/>
      <w:spacing w:before="240" w:after="64" w:line="320" w:lineRule="atLeast"/>
      <w:outlineLvl w:val="8"/>
    </w:pPr>
    <w:rPr>
      <w:rFonts w:ascii="Arial" w:hAnsi="Arial" w:eastAsia="黑体"/>
      <w:szCs w:val="20"/>
    </w:rPr>
  </w:style>
  <w:style w:type="character" w:styleId="1111">
    <w:name w:val="默认段落字体"/>
    <w:next w:val="1111"/>
    <w:link w:val="1101"/>
    <w:uiPriority w:val="1"/>
    <w:unhideWhenUsed/>
  </w:style>
  <w:style w:type="table" w:styleId="1112">
    <w:name w:val="普通表格"/>
    <w:next w:val="1112"/>
    <w:link w:val="1101"/>
    <w:uiPriority w:val="99"/>
    <w:unhideWhenUsed/>
    <w:qFormat/>
    <w:tblPr/>
  </w:style>
  <w:style w:type="paragraph" w:styleId="1113">
    <w:name w:val="正文文本"/>
    <w:basedOn w:val="1101"/>
    <w:next w:val="1113"/>
    <w:link w:val="1114"/>
    <w:qFormat/>
    <w:pPr>
      <w:spacing w:before="120" w:line="22" w:lineRule="atLeast"/>
      <w:tabs>
        <w:tab w:val="left" w:pos="567" w:leader="none"/>
      </w:tabs>
    </w:pPr>
    <w:rPr>
      <w:rFonts w:ascii="宋体" w:hAnsi="宋体"/>
      <w:sz w:val="24"/>
    </w:rPr>
  </w:style>
  <w:style w:type="character" w:styleId="1114">
    <w:name w:val="正文文本 字符"/>
    <w:next w:val="1114"/>
    <w:link w:val="1113"/>
    <w:qFormat/>
    <w:rPr>
      <w:rFonts w:ascii="宋体" w:hAnsi="宋体"/>
      <w:sz w:val="24"/>
      <w:szCs w:val="24"/>
    </w:rPr>
  </w:style>
  <w:style w:type="character" w:styleId="1115">
    <w:name w:val="标题 1 字符"/>
    <w:next w:val="1115"/>
    <w:link w:val="1102"/>
    <w:qFormat/>
    <w:rPr>
      <w:rFonts w:ascii="宋体"/>
      <w:b/>
      <w:sz w:val="32"/>
    </w:rPr>
  </w:style>
  <w:style w:type="character" w:styleId="1116">
    <w:name w:val="标题 2 字符"/>
    <w:next w:val="1116"/>
    <w:link w:val="1103"/>
    <w:qFormat/>
    <w:rPr>
      <w:rFonts w:ascii="Arial" w:hAnsi="Arial" w:eastAsia="黑体"/>
      <w:b/>
      <w:sz w:val="30"/>
      <w:lang w:val="en-US" w:eastAsia="zh-CN" w:bidi="ar-SA"/>
    </w:rPr>
  </w:style>
  <w:style w:type="character" w:styleId="1117">
    <w:name w:val="标题 3 字符"/>
    <w:next w:val="1117"/>
    <w:link w:val="1104"/>
    <w:qFormat/>
    <w:rPr>
      <w:rFonts w:ascii="宋体" w:eastAsia="宋体"/>
      <w:b/>
      <w:sz w:val="24"/>
      <w:u w:val="single"/>
      <w:lang w:val="en-US" w:eastAsia="zh-CN" w:bidi="ar-SA"/>
    </w:rPr>
  </w:style>
  <w:style w:type="character" w:styleId="1118">
    <w:name w:val="标题 4 字符"/>
    <w:next w:val="1118"/>
    <w:link w:val="1105"/>
    <w:qFormat/>
    <w:rPr>
      <w:rFonts w:ascii="Arial" w:hAnsi="Arial" w:eastAsia="黑体"/>
      <w:b/>
      <w:sz w:val="28"/>
    </w:rPr>
  </w:style>
  <w:style w:type="character" w:styleId="1119">
    <w:name w:val="标题 5 字符"/>
    <w:next w:val="1119"/>
    <w:link w:val="1106"/>
    <w:qFormat/>
    <w:rPr>
      <w:b/>
      <w:sz w:val="28"/>
    </w:rPr>
  </w:style>
  <w:style w:type="character" w:styleId="1120">
    <w:name w:val="标题 6 字符"/>
    <w:next w:val="1120"/>
    <w:link w:val="1107"/>
    <w:qFormat/>
    <w:rPr>
      <w:rFonts w:ascii="Arial" w:hAnsi="Arial" w:eastAsia="黑体"/>
      <w:b/>
      <w:sz w:val="24"/>
    </w:rPr>
  </w:style>
  <w:style w:type="character" w:styleId="1121">
    <w:name w:val="标题 7 字符"/>
    <w:next w:val="1121"/>
    <w:link w:val="1108"/>
    <w:qFormat/>
    <w:rPr>
      <w:b/>
      <w:sz w:val="24"/>
    </w:rPr>
  </w:style>
  <w:style w:type="character" w:styleId="1122">
    <w:name w:val="标题 8 字符"/>
    <w:next w:val="1122"/>
    <w:link w:val="1109"/>
    <w:qFormat/>
    <w:rPr>
      <w:rFonts w:ascii="Arial" w:hAnsi="Arial" w:eastAsia="黑体"/>
      <w:sz w:val="24"/>
    </w:rPr>
  </w:style>
  <w:style w:type="character" w:styleId="1123">
    <w:name w:val="标题 9 字符"/>
    <w:next w:val="1123"/>
    <w:link w:val="1110"/>
    <w:qFormat/>
    <w:rPr>
      <w:rFonts w:ascii="Arial" w:hAnsi="Arial" w:eastAsia="黑体"/>
      <w:sz w:val="21"/>
    </w:rPr>
  </w:style>
  <w:style w:type="paragraph" w:styleId="1124">
    <w:name w:val="目录 7"/>
    <w:basedOn w:val="1101"/>
    <w:next w:val="1101"/>
    <w:link w:val="1101"/>
    <w:qFormat/>
    <w:pPr>
      <w:ind w:left="2520"/>
    </w:pPr>
  </w:style>
  <w:style w:type="paragraph" w:styleId="1125">
    <w:name w:val="正文缩进"/>
    <w:basedOn w:val="1101"/>
    <w:next w:val="1125"/>
    <w:link w:val="1126"/>
    <w:qFormat/>
    <w:pPr>
      <w:ind w:firstLine="420"/>
      <w:jc w:val="left"/>
    </w:pPr>
    <w:rPr>
      <w:rFonts w:ascii="宋体"/>
      <w:sz w:val="24"/>
    </w:rPr>
  </w:style>
  <w:style w:type="character" w:styleId="1126">
    <w:name w:val="正文缩进 字符"/>
    <w:next w:val="1126"/>
    <w:link w:val="1125"/>
    <w:qFormat/>
    <w:rPr>
      <w:rFonts w:ascii="宋体" w:eastAsia="宋体"/>
      <w:sz w:val="24"/>
      <w:szCs w:val="24"/>
      <w:lang w:val="en-US" w:eastAsia="zh-CN" w:bidi="ar-SA"/>
    </w:rPr>
  </w:style>
  <w:style w:type="paragraph" w:styleId="1127">
    <w:name w:val="题注"/>
    <w:basedOn w:val="1101"/>
    <w:next w:val="1101"/>
    <w:link w:val="1101"/>
    <w:qFormat/>
    <w:pPr>
      <w:spacing w:line="480" w:lineRule="auto"/>
    </w:pPr>
    <w:rPr>
      <w:rFonts w:ascii="华文中宋" w:hAnsi="华文中宋" w:eastAsia="华文中宋"/>
      <w:sz w:val="36"/>
      <w:szCs w:val="20"/>
    </w:rPr>
  </w:style>
  <w:style w:type="paragraph" w:styleId="1128">
    <w:name w:val="文档结构图"/>
    <w:basedOn w:val="1101"/>
    <w:next w:val="1128"/>
    <w:link w:val="1129"/>
    <w:qFormat/>
    <w:pPr>
      <w:shd w:val="clear" w:color="auto" w:fill="000080"/>
    </w:pPr>
  </w:style>
  <w:style w:type="character" w:styleId="1129">
    <w:name w:val="文档结构图 字符"/>
    <w:next w:val="1129"/>
    <w:link w:val="1128"/>
    <w:qFormat/>
    <w:rPr>
      <w:sz w:val="21"/>
      <w:szCs w:val="24"/>
      <w:shd w:val="clear" w:color="auto" w:fill="000080"/>
    </w:rPr>
  </w:style>
  <w:style w:type="paragraph" w:styleId="1130">
    <w:name w:val="批注文字"/>
    <w:basedOn w:val="1101"/>
    <w:next w:val="1130"/>
    <w:link w:val="1131"/>
    <w:uiPriority w:val="99"/>
    <w:qFormat/>
    <w:pPr>
      <w:jc w:val="left"/>
    </w:pPr>
  </w:style>
  <w:style w:type="character" w:styleId="1131">
    <w:name w:val="批注文字 字符1"/>
    <w:next w:val="1131"/>
    <w:link w:val="1130"/>
    <w:uiPriority w:val="99"/>
    <w:qFormat/>
    <w:rPr>
      <w:sz w:val="21"/>
      <w:szCs w:val="24"/>
    </w:rPr>
  </w:style>
  <w:style w:type="paragraph" w:styleId="1132">
    <w:name w:val="正文文本 3"/>
    <w:basedOn w:val="1101"/>
    <w:next w:val="1132"/>
    <w:link w:val="1133"/>
    <w:qFormat/>
    <w:pPr>
      <w:spacing w:after="120"/>
    </w:pPr>
    <w:rPr>
      <w:sz w:val="16"/>
      <w:szCs w:val="16"/>
    </w:rPr>
  </w:style>
  <w:style w:type="character" w:styleId="1133">
    <w:name w:val="正文文本 3 字符"/>
    <w:next w:val="1133"/>
    <w:link w:val="1132"/>
    <w:qFormat/>
    <w:rPr>
      <w:sz w:val="16"/>
      <w:szCs w:val="16"/>
    </w:rPr>
  </w:style>
  <w:style w:type="paragraph" w:styleId="1134">
    <w:name w:val="正文文本缩进"/>
    <w:basedOn w:val="1101"/>
    <w:next w:val="1136"/>
    <w:link w:val="1135"/>
    <w:qFormat/>
    <w:pPr>
      <w:ind w:firstLine="570"/>
      <w:spacing w:line="360" w:lineRule="auto"/>
    </w:pPr>
    <w:rPr>
      <w:sz w:val="24"/>
    </w:rPr>
  </w:style>
  <w:style w:type="character" w:styleId="1135">
    <w:name w:val="正文文本缩进 字符"/>
    <w:next w:val="1135"/>
    <w:link w:val="1134"/>
    <w:qFormat/>
    <w:rPr>
      <w:rFonts w:eastAsia="宋体"/>
      <w:sz w:val="24"/>
      <w:szCs w:val="24"/>
      <w:lang w:val="en-US" w:eastAsia="zh-CN" w:bidi="ar-SA"/>
    </w:rPr>
  </w:style>
  <w:style w:type="paragraph" w:styleId="1136">
    <w:name w:val="寄信人地址"/>
    <w:basedOn w:val="1101"/>
    <w:next w:val="1136"/>
    <w:link w:val="1101"/>
    <w:uiPriority w:val="99"/>
    <w:unhideWhenUsed/>
    <w:qFormat/>
    <w:rPr>
      <w:rFonts w:ascii="Arial" w:hAnsi="Arial"/>
    </w:rPr>
  </w:style>
  <w:style w:type="paragraph" w:styleId="1137">
    <w:name w:val="列表 2"/>
    <w:basedOn w:val="1101"/>
    <w:next w:val="1138"/>
    <w:link w:val="1101"/>
    <w:qFormat/>
    <w:pPr>
      <w:ind w:left="100" w:hanging="200"/>
    </w:pPr>
  </w:style>
  <w:style w:type="paragraph" w:styleId="1138">
    <w:name w:val="纯文本"/>
    <w:basedOn w:val="1101"/>
    <w:next w:val="1140"/>
    <w:link w:val="1139"/>
    <w:qFormat/>
    <w:rPr>
      <w:rFonts w:hint="eastAsia" w:ascii="宋体" w:hAnsi="Courier New"/>
      <w:szCs w:val="20"/>
    </w:rPr>
  </w:style>
  <w:style w:type="character" w:styleId="1139">
    <w:name w:val="纯文本 字符2"/>
    <w:next w:val="1139"/>
    <w:link w:val="1138"/>
    <w:qFormat/>
    <w:rPr>
      <w:rFonts w:hint="eastAsia" w:ascii="宋体" w:hAnsi="Courier New" w:eastAsia="宋体" w:cs="宋体"/>
      <w:sz w:val="21"/>
    </w:rPr>
  </w:style>
  <w:style w:type="paragraph" w:styleId="1140">
    <w:name w:val="目录 4"/>
    <w:basedOn w:val="1101"/>
    <w:next w:val="1101"/>
    <w:link w:val="1101"/>
    <w:qFormat/>
    <w:pPr>
      <w:ind w:left="1260"/>
    </w:pPr>
  </w:style>
  <w:style w:type="paragraph" w:styleId="1141">
    <w:name w:val="文本块"/>
    <w:basedOn w:val="1101"/>
    <w:next w:val="1141"/>
    <w:link w:val="1101"/>
    <w:qFormat/>
    <w:pPr>
      <w:ind w:left="480" w:right="-341" w:firstLine="513"/>
      <w:widowControl/>
    </w:pPr>
    <w:rPr>
      <w:sz w:val="24"/>
      <w:szCs w:val="20"/>
    </w:rPr>
  </w:style>
  <w:style w:type="paragraph" w:styleId="1142">
    <w:name w:val="目录 5"/>
    <w:basedOn w:val="1101"/>
    <w:next w:val="1101"/>
    <w:link w:val="1101"/>
    <w:qFormat/>
    <w:pPr>
      <w:ind w:left="1680"/>
    </w:pPr>
  </w:style>
  <w:style w:type="paragraph" w:styleId="1143">
    <w:name w:val="目录 3"/>
    <w:basedOn w:val="1101"/>
    <w:next w:val="1101"/>
    <w:link w:val="1101"/>
    <w:uiPriority w:val="39"/>
    <w:qFormat/>
    <w:pPr>
      <w:ind w:left="840"/>
    </w:pPr>
  </w:style>
  <w:style w:type="paragraph" w:styleId="1144">
    <w:name w:val="目录 8"/>
    <w:basedOn w:val="1101"/>
    <w:next w:val="1101"/>
    <w:link w:val="1101"/>
    <w:qFormat/>
    <w:pPr>
      <w:ind w:left="2940"/>
    </w:pPr>
  </w:style>
  <w:style w:type="paragraph" w:styleId="1145">
    <w:name w:val="日期"/>
    <w:basedOn w:val="1101"/>
    <w:next w:val="1101"/>
    <w:link w:val="1146"/>
    <w:qFormat/>
    <w:pPr>
      <w:ind w:left="100"/>
    </w:pPr>
    <w:rPr>
      <w:rFonts w:ascii="仿宋_GB2312" w:hAnsi="宋体" w:eastAsia="仿宋_GB2312"/>
      <w:color w:val="000000"/>
      <w:sz w:val="24"/>
    </w:rPr>
  </w:style>
  <w:style w:type="character" w:styleId="1146">
    <w:name w:val="日期 字符"/>
    <w:next w:val="1146"/>
    <w:link w:val="1145"/>
    <w:qFormat/>
    <w:rPr>
      <w:rFonts w:ascii="仿宋_GB2312" w:hAnsi="宋体" w:eastAsia="仿宋_GB2312"/>
      <w:color w:val="000000"/>
      <w:sz w:val="24"/>
      <w:szCs w:val="24"/>
    </w:rPr>
  </w:style>
  <w:style w:type="paragraph" w:styleId="1147">
    <w:name w:val="正文文本缩进 2"/>
    <w:basedOn w:val="1101"/>
    <w:next w:val="1147"/>
    <w:link w:val="1148"/>
    <w:qFormat/>
    <w:pPr>
      <w:ind w:firstLine="480"/>
    </w:pPr>
    <w:rPr>
      <w:rFonts w:ascii="仿宋_GB2312" w:eastAsia="仿宋_GB2312"/>
      <w:sz w:val="24"/>
    </w:rPr>
  </w:style>
  <w:style w:type="character" w:styleId="1148">
    <w:name w:val="正文文本缩进 2 字符"/>
    <w:next w:val="1148"/>
    <w:link w:val="1147"/>
    <w:qFormat/>
    <w:rPr>
      <w:rFonts w:ascii="仿宋_GB2312" w:eastAsia="仿宋_GB2312"/>
      <w:sz w:val="24"/>
      <w:szCs w:val="24"/>
    </w:rPr>
  </w:style>
  <w:style w:type="paragraph" w:styleId="1149">
    <w:name w:val="批注框文本"/>
    <w:basedOn w:val="1101"/>
    <w:next w:val="1149"/>
    <w:link w:val="1150"/>
    <w:qFormat/>
    <w:rPr>
      <w:sz w:val="18"/>
      <w:szCs w:val="18"/>
    </w:rPr>
  </w:style>
  <w:style w:type="character" w:styleId="1150">
    <w:name w:val="批注框文本 字符"/>
    <w:next w:val="1150"/>
    <w:link w:val="1149"/>
    <w:qFormat/>
    <w:rPr>
      <w:sz w:val="18"/>
      <w:szCs w:val="18"/>
    </w:rPr>
  </w:style>
  <w:style w:type="paragraph" w:styleId="1151">
    <w:name w:val="页脚"/>
    <w:basedOn w:val="1101"/>
    <w:next w:val="1151"/>
    <w:link w:val="1152"/>
    <w:uiPriority w:val="99"/>
    <w:qFormat/>
    <w:pPr>
      <w:jc w:val="left"/>
      <w:tabs>
        <w:tab w:val="center" w:pos="4153" w:leader="none"/>
        <w:tab w:val="right" w:pos="8306" w:leader="none"/>
      </w:tabs>
    </w:pPr>
    <w:rPr>
      <w:rFonts w:ascii="宋体"/>
      <w:sz w:val="18"/>
      <w:szCs w:val="20"/>
    </w:rPr>
  </w:style>
  <w:style w:type="character" w:styleId="1152">
    <w:name w:val="页脚 字符"/>
    <w:next w:val="1152"/>
    <w:link w:val="1151"/>
    <w:uiPriority w:val="99"/>
    <w:qFormat/>
    <w:rPr>
      <w:rFonts w:ascii="宋体" w:eastAsia="宋体"/>
      <w:sz w:val="18"/>
      <w:lang w:val="en-US" w:eastAsia="zh-CN" w:bidi="ar-SA"/>
    </w:rPr>
  </w:style>
  <w:style w:type="paragraph" w:styleId="1153">
    <w:name w:val="页眉"/>
    <w:basedOn w:val="1101"/>
    <w:next w:val="1153"/>
    <w:link w:val="1154"/>
    <w:qFormat/>
    <w:pPr>
      <w:jc w:val="center"/>
      <w:tabs>
        <w:tab w:val="center" w:pos="4153" w:leader="none"/>
        <w:tab w:val="right" w:pos="8306" w:leader="none"/>
      </w:tabs>
      <w:pBdr>
        <w:bottom w:val="single" w:color="000000" w:sz="6" w:space="1"/>
      </w:pBdr>
    </w:pPr>
    <w:rPr>
      <w:sz w:val="18"/>
      <w:szCs w:val="18"/>
    </w:rPr>
  </w:style>
  <w:style w:type="character" w:styleId="1154">
    <w:name w:val="页眉 字符"/>
    <w:next w:val="1154"/>
    <w:link w:val="1153"/>
    <w:qFormat/>
    <w:rPr>
      <w:rFonts w:eastAsia="宋体"/>
      <w:sz w:val="18"/>
      <w:szCs w:val="18"/>
      <w:lang w:val="en-US" w:eastAsia="zh-CN" w:bidi="ar-SA"/>
    </w:rPr>
  </w:style>
  <w:style w:type="paragraph" w:styleId="1155">
    <w:name w:val="目录 1"/>
    <w:basedOn w:val="1101"/>
    <w:next w:val="1101"/>
    <w:link w:val="1101"/>
    <w:uiPriority w:val="39"/>
    <w:qFormat/>
    <w:pPr>
      <w:spacing w:line="300" w:lineRule="auto"/>
      <w:tabs>
        <w:tab w:val="left" w:pos="1050" w:leader="none"/>
        <w:tab w:val="right" w:pos="8937" w:leader="dot"/>
      </w:tabs>
    </w:pPr>
    <w:rPr>
      <w:rFonts w:ascii="宋体" w:hAnsi="宋体"/>
      <w:b/>
      <w:sz w:val="24"/>
    </w:rPr>
  </w:style>
  <w:style w:type="paragraph" w:styleId="1156">
    <w:name w:val="目录 6"/>
    <w:basedOn w:val="1101"/>
    <w:next w:val="1101"/>
    <w:link w:val="1101"/>
    <w:qFormat/>
    <w:pPr>
      <w:ind w:left="2100"/>
    </w:pPr>
  </w:style>
  <w:style w:type="paragraph" w:styleId="1157">
    <w:name w:val="正文文本缩进 3"/>
    <w:basedOn w:val="1101"/>
    <w:next w:val="1157"/>
    <w:link w:val="1158"/>
    <w:qFormat/>
    <w:pPr>
      <w:ind w:left="720" w:firstLine="480"/>
      <w:jc w:val="left"/>
      <w:spacing w:before="120" w:line="22" w:lineRule="atLeast"/>
    </w:pPr>
    <w:rPr>
      <w:rFonts w:ascii="宋体"/>
      <w:sz w:val="24"/>
      <w:szCs w:val="20"/>
    </w:rPr>
  </w:style>
  <w:style w:type="character" w:styleId="1158">
    <w:name w:val="正文文本缩进 3 字符"/>
    <w:next w:val="1158"/>
    <w:link w:val="1157"/>
    <w:qFormat/>
    <w:rPr>
      <w:rFonts w:ascii="宋体"/>
      <w:sz w:val="24"/>
    </w:rPr>
  </w:style>
  <w:style w:type="paragraph" w:styleId="1159">
    <w:name w:val="目录 2"/>
    <w:basedOn w:val="1101"/>
    <w:next w:val="1101"/>
    <w:link w:val="1101"/>
    <w:uiPriority w:val="39"/>
    <w:qFormat/>
    <w:pPr>
      <w:ind w:left="420"/>
      <w:spacing w:line="312" w:lineRule="auto"/>
      <w:tabs>
        <w:tab w:val="right" w:pos="8937" w:leader="dot"/>
      </w:tabs>
    </w:pPr>
  </w:style>
  <w:style w:type="paragraph" w:styleId="1160">
    <w:name w:val="目录 9"/>
    <w:basedOn w:val="1101"/>
    <w:next w:val="1101"/>
    <w:link w:val="1101"/>
    <w:qFormat/>
    <w:pPr>
      <w:ind w:left="3360"/>
    </w:pPr>
  </w:style>
  <w:style w:type="paragraph" w:styleId="1161">
    <w:name w:val="HTML 预设格式"/>
    <w:basedOn w:val="1101"/>
    <w:next w:val="1161"/>
    <w:link w:val="116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62">
    <w:name w:val="HTML 预设格式 字符"/>
    <w:next w:val="1162"/>
    <w:link w:val="1161"/>
    <w:qFormat/>
    <w:rPr>
      <w:rFonts w:ascii="宋体" w:hAnsi="宋体" w:cs="宋体"/>
      <w:sz w:val="24"/>
      <w:szCs w:val="24"/>
    </w:rPr>
  </w:style>
  <w:style w:type="paragraph" w:styleId="1163">
    <w:name w:val="普通(网站)"/>
    <w:basedOn w:val="1101"/>
    <w:next w:val="1163"/>
    <w:link w:val="1101"/>
    <w:uiPriority w:val="99"/>
    <w:unhideWhenUsed/>
    <w:qFormat/>
    <w:pPr>
      <w:jc w:val="left"/>
      <w:spacing w:before="100" w:beforeAutospacing="1" w:after="100" w:afterAutospacing="1"/>
      <w:widowControl/>
    </w:pPr>
    <w:rPr>
      <w:rFonts w:ascii="宋体" w:hAnsi="宋体" w:cs="宋体"/>
      <w:sz w:val="24"/>
    </w:rPr>
  </w:style>
  <w:style w:type="paragraph" w:styleId="1164">
    <w:name w:val="索引 1"/>
    <w:basedOn w:val="1101"/>
    <w:next w:val="1101"/>
    <w:link w:val="1101"/>
    <w:qFormat/>
    <w:rPr>
      <w:szCs w:val="20"/>
    </w:rPr>
  </w:style>
  <w:style w:type="paragraph" w:styleId="1165">
    <w:name w:val="标题"/>
    <w:basedOn w:val="1137"/>
    <w:next w:val="1101"/>
    <w:link w:val="1166"/>
    <w:qFormat/>
    <w:pPr>
      <w:jc w:val="center"/>
      <w:outlineLvl w:val="0"/>
    </w:pPr>
    <w:rPr>
      <w:b/>
      <w:sz w:val="32"/>
      <w:szCs w:val="20"/>
    </w:rPr>
  </w:style>
  <w:style w:type="character" w:styleId="1166">
    <w:name w:val="标题 字符"/>
    <w:next w:val="1166"/>
    <w:link w:val="1165"/>
    <w:qFormat/>
    <w:rPr>
      <w:b/>
      <w:sz w:val="32"/>
    </w:rPr>
  </w:style>
  <w:style w:type="paragraph" w:styleId="1167">
    <w:name w:val="批注主题"/>
    <w:basedOn w:val="1130"/>
    <w:next w:val="1130"/>
    <w:link w:val="1168"/>
    <w:qFormat/>
    <w:rPr>
      <w:b/>
      <w:bCs/>
    </w:rPr>
  </w:style>
  <w:style w:type="character" w:styleId="1168">
    <w:name w:val="批注主题 字符"/>
    <w:next w:val="1168"/>
    <w:link w:val="1167"/>
    <w:qFormat/>
    <w:rPr>
      <w:rFonts w:ascii="Times New Roman" w:hAnsi="Times New Roman" w:eastAsia="宋体" w:cs="Times New Roman"/>
      <w:b/>
      <w:bCs/>
      <w:sz w:val="21"/>
      <w:szCs w:val="24"/>
      <w:lang w:val="en-US" w:eastAsia="zh-CN" w:bidi="ar-SA"/>
    </w:rPr>
  </w:style>
  <w:style w:type="paragraph" w:styleId="1169">
    <w:name w:val="正文首行缩进 2"/>
    <w:basedOn w:val="1101"/>
    <w:next w:val="1101"/>
    <w:link w:val="1170"/>
    <w:qFormat/>
    <w:pPr>
      <w:ind w:left="420" w:firstLine="420"/>
      <w:spacing w:after="120" w:line="480" w:lineRule="exact"/>
    </w:pPr>
    <w:rPr>
      <w:szCs w:val="20"/>
    </w:rPr>
  </w:style>
  <w:style w:type="character" w:styleId="1170">
    <w:name w:val="正文首行缩进 2 字符"/>
    <w:next w:val="1170"/>
    <w:link w:val="1169"/>
    <w:qFormat/>
    <w:rPr>
      <w:rFonts w:eastAsia="宋体"/>
      <w:sz w:val="24"/>
      <w:szCs w:val="24"/>
      <w:lang w:val="en-US" w:eastAsia="zh-CN" w:bidi="ar-SA"/>
    </w:rPr>
  </w:style>
  <w:style w:type="table" w:styleId="1171">
    <w:name w:val="网格型"/>
    <w:basedOn w:val="1112"/>
    <w:next w:val="1171"/>
    <w:link w:val="1101"/>
    <w:uiPriority w:val="39"/>
    <w:qFormat/>
    <w:tblPr/>
  </w:style>
  <w:style w:type="table" w:styleId="1172">
    <w:name w:val="中等深浅网格 1 - 强调文字颜色 2"/>
    <w:basedOn w:val="1112"/>
    <w:next w:val="1172"/>
    <w:link w:val="1101"/>
    <w:qFormat/>
    <w:rPr>
      <w:sz w:val="21"/>
      <w:szCs w:val="24"/>
    </w:rPr>
    <w:tblPr/>
  </w:style>
  <w:style w:type="character" w:styleId="1173">
    <w:name w:val="要点"/>
    <w:next w:val="1173"/>
    <w:link w:val="1101"/>
    <w:qFormat/>
    <w:rPr>
      <w:b/>
      <w:bCs/>
    </w:rPr>
  </w:style>
  <w:style w:type="character" w:styleId="1174">
    <w:name w:val="页码"/>
    <w:next w:val="1174"/>
    <w:link w:val="1101"/>
    <w:qFormat/>
  </w:style>
  <w:style w:type="character" w:styleId="1175">
    <w:name w:val="已访问的超链接"/>
    <w:next w:val="1175"/>
    <w:link w:val="1101"/>
    <w:qFormat/>
    <w:rPr>
      <w:color w:val="800080"/>
      <w:u w:val="single"/>
    </w:rPr>
  </w:style>
  <w:style w:type="character" w:styleId="1176">
    <w:name w:val="强调"/>
    <w:next w:val="1176"/>
    <w:link w:val="1101"/>
    <w:qFormat/>
    <w:rPr>
      <w:color w:val="cc0033"/>
    </w:rPr>
  </w:style>
  <w:style w:type="character" w:styleId="1177">
    <w:name w:val="超链接"/>
    <w:next w:val="1177"/>
    <w:link w:val="1101"/>
    <w:uiPriority w:val="99"/>
    <w:qFormat/>
    <w:rPr>
      <w:color w:val="0000ff"/>
      <w:u w:val="single"/>
    </w:rPr>
  </w:style>
  <w:style w:type="character" w:styleId="1178">
    <w:name w:val="HTML 代码"/>
    <w:next w:val="1178"/>
    <w:link w:val="1101"/>
    <w:rPr>
      <w:rFonts w:ascii="Courier New" w:hAnsi="Courier New"/>
      <w:sz w:val="20"/>
    </w:rPr>
  </w:style>
  <w:style w:type="character" w:styleId="1179">
    <w:name w:val="批注引用"/>
    <w:next w:val="1179"/>
    <w:link w:val="1101"/>
    <w:uiPriority w:val="99"/>
    <w:qFormat/>
    <w:rPr>
      <w:sz w:val="21"/>
      <w:szCs w:val="21"/>
    </w:rPr>
  </w:style>
  <w:style w:type="character" w:styleId="1180">
    <w:name w:val="HTML 引文"/>
    <w:next w:val="1180"/>
    <w:link w:val="1101"/>
    <w:qFormat/>
    <w:rPr>
      <w:i/>
      <w:iCs/>
    </w:rPr>
  </w:style>
  <w:style w:type="paragraph" w:styleId="1181">
    <w:name w:val="Default"/>
    <w:next w:val="1181"/>
    <w:link w:val="1101"/>
    <w:qFormat/>
    <w:pPr>
      <w:widowControl w:val="off"/>
    </w:pPr>
    <w:rPr>
      <w:rFonts w:ascii="Symbol" w:hAnsi="Symbol" w:cs="Symbol"/>
      <w:color w:val="000000"/>
      <w:sz w:val="24"/>
      <w:szCs w:val="24"/>
      <w:lang w:val="en-US" w:eastAsia="zh-CN" w:bidi="ar-SA"/>
    </w:rPr>
  </w:style>
  <w:style w:type="character" w:styleId="1182">
    <w:name w:val="批注文字 字符"/>
    <w:next w:val="1182"/>
    <w:link w:val="1101"/>
    <w:uiPriority w:val="99"/>
    <w:qFormat/>
    <w:rPr>
      <w:rFonts w:ascii="Times New Roman" w:hAnsi="Times New Roman" w:eastAsia="宋体" w:cs="Times New Roman"/>
      <w:sz w:val="24"/>
      <w:lang w:val="en-US" w:eastAsia="zh-CN" w:bidi="ar-SA"/>
    </w:rPr>
  </w:style>
  <w:style w:type="character" w:styleId="1183">
    <w:name w:val="列出段落 Char"/>
    <w:next w:val="1183"/>
    <w:link w:val="1101"/>
    <w:qFormat/>
    <w:rPr>
      <w:rFonts w:ascii="Calibri" w:hAnsi="Calibri" w:eastAsia="宋体"/>
      <w:sz w:val="21"/>
      <w:szCs w:val="22"/>
      <w:lang w:val="en-US" w:eastAsia="zh-CN" w:bidi="ar-SA"/>
    </w:rPr>
  </w:style>
  <w:style w:type="character" w:styleId="1184">
    <w:name w:val="txt"/>
    <w:next w:val="1184"/>
    <w:link w:val="1101"/>
    <w:qFormat/>
  </w:style>
  <w:style w:type="character" w:styleId="1185">
    <w:name w:val="title4"/>
    <w:next w:val="1185"/>
    <w:link w:val="1101"/>
    <w:qFormat/>
    <w:rPr>
      <w:b/>
      <w:bCs/>
      <w:color w:val="1d87b3"/>
      <w:sz w:val="15"/>
      <w:szCs w:val="15"/>
    </w:rPr>
  </w:style>
  <w:style w:type="character" w:styleId="1186">
    <w:name w:val="apple-style-span"/>
    <w:next w:val="1186"/>
    <w:link w:val="1101"/>
    <w:qFormat/>
    <w:rPr>
      <w:rFonts w:cs="Times New Roman"/>
    </w:rPr>
  </w:style>
  <w:style w:type="character" w:styleId="1187">
    <w:name w:val="正文大标题 Char"/>
    <w:next w:val="1187"/>
    <w:link w:val="1188"/>
    <w:qFormat/>
    <w:rPr>
      <w:rFonts w:ascii="宋体" w:hAnsi="宋体"/>
      <w:b/>
      <w:color w:val="000000"/>
      <w:sz w:val="28"/>
      <w:szCs w:val="21"/>
    </w:rPr>
  </w:style>
  <w:style w:type="paragraph" w:styleId="1188">
    <w:name w:val="正文大标题"/>
    <w:basedOn w:val="1189"/>
    <w:next w:val="1125"/>
    <w:link w:val="1187"/>
    <w:qFormat/>
    <w:pPr>
      <w:jc w:val="center"/>
    </w:pPr>
    <w:rPr>
      <w:i w:val="0"/>
      <w:color w:val="000000"/>
      <w:sz w:val="28"/>
      <w:szCs w:val="21"/>
    </w:rPr>
  </w:style>
  <w:style w:type="paragraph" w:styleId="1189">
    <w:name w:val="正文小标题"/>
    <w:basedOn w:val="1101"/>
    <w:next w:val="1125"/>
    <w:link w:val="1190"/>
    <w:qFormat/>
    <w:pPr>
      <w:ind w:firstLine="482"/>
      <w:jc w:val="left"/>
    </w:pPr>
    <w:rPr>
      <w:rFonts w:ascii="宋体" w:hAnsi="宋体"/>
      <w:b/>
      <w:i/>
      <w:color w:val="ff0000"/>
      <w:sz w:val="24"/>
      <w:szCs w:val="20"/>
    </w:rPr>
  </w:style>
  <w:style w:type="character" w:styleId="1190">
    <w:name w:val="正文小标题 Char"/>
    <w:next w:val="1190"/>
    <w:link w:val="1189"/>
    <w:qFormat/>
    <w:rPr>
      <w:rFonts w:ascii="宋体" w:hAnsi="宋体"/>
      <w:b/>
      <w:i/>
      <w:color w:val="ff0000"/>
      <w:sz w:val="24"/>
    </w:rPr>
  </w:style>
  <w:style w:type="character" w:styleId="1191">
    <w:name w:val="中等深浅网格 1 - 强调文字颜色 2 Char"/>
    <w:next w:val="1191"/>
    <w:link w:val="1192"/>
    <w:qFormat/>
    <w:rPr>
      <w:sz w:val="21"/>
      <w:szCs w:val="24"/>
      <w:lang w:val="zh-CN" w:eastAsia="zh-CN" w:bidi="ar-SA"/>
    </w:rPr>
  </w:style>
  <w:style w:type="paragraph" w:styleId="1192">
    <w:name w:val="1"/>
    <w:next w:val="1192"/>
    <w:link w:val="1191"/>
    <w:qFormat/>
    <w:rPr>
      <w:sz w:val="21"/>
      <w:szCs w:val="24"/>
      <w:lang w:val="zh-CN" w:eastAsia="zh-CN" w:bidi="ar-SA"/>
    </w:rPr>
  </w:style>
  <w:style w:type="character" w:styleId="1193">
    <w:name w:val="正文重点 Char"/>
    <w:next w:val="1193"/>
    <w:link w:val="1194"/>
    <w:qFormat/>
    <w:rPr>
      <w:b/>
      <w:sz w:val="24"/>
    </w:rPr>
  </w:style>
  <w:style w:type="paragraph" w:styleId="1194">
    <w:name w:val="正文重点"/>
    <w:basedOn w:val="1101"/>
    <w:next w:val="1194"/>
    <w:link w:val="1193"/>
    <w:qFormat/>
    <w:pPr>
      <w:ind w:firstLine="482"/>
      <w:jc w:val="left"/>
      <w:spacing w:line="360" w:lineRule="auto"/>
    </w:pPr>
    <w:rPr>
      <w:b/>
      <w:sz w:val="24"/>
      <w:szCs w:val="20"/>
    </w:rPr>
  </w:style>
  <w:style w:type="character" w:styleId="1195">
    <w:name w:val="正文缩进 Char"/>
    <w:next w:val="1195"/>
    <w:link w:val="1101"/>
    <w:qFormat/>
    <w:rPr>
      <w:rFonts w:ascii="宋体" w:eastAsia="宋体"/>
      <w:sz w:val="24"/>
      <w:szCs w:val="24"/>
      <w:lang w:val="en-US" w:eastAsia="zh-CN" w:bidi="ar-SA"/>
    </w:rPr>
  </w:style>
  <w:style w:type="character" w:styleId="1196">
    <w:name w:val="标题 3 Char"/>
    <w:next w:val="1196"/>
    <w:link w:val="1101"/>
    <w:qFormat/>
    <w:rPr>
      <w:rFonts w:ascii="宋体" w:eastAsia="宋体"/>
      <w:b/>
      <w:sz w:val="24"/>
      <w:u w:val="single"/>
      <w:lang w:val="en-US" w:eastAsia="zh-CN" w:bidi="ar-SA"/>
    </w:rPr>
  </w:style>
  <w:style w:type="character" w:styleId="1197">
    <w:name w:val="纯文本 字符1"/>
    <w:next w:val="1197"/>
    <w:link w:val="1101"/>
    <w:qFormat/>
    <w:rPr>
      <w:rFonts w:ascii="宋体" w:hAnsi="Courier New"/>
    </w:rPr>
  </w:style>
  <w:style w:type="character" w:styleId="1198">
    <w:name w:val="标题 2 Char Char"/>
    <w:next w:val="1198"/>
    <w:link w:val="1101"/>
    <w:qFormat/>
    <w:rPr>
      <w:rFonts w:ascii="Arial" w:hAnsi="Arial" w:eastAsia="黑体"/>
      <w:b/>
      <w:bCs/>
      <w:sz w:val="32"/>
      <w:szCs w:val="32"/>
      <w:lang w:val="en-US" w:eastAsia="zh-CN" w:bidi="ar-SA"/>
    </w:rPr>
  </w:style>
  <w:style w:type="character" w:styleId="1199">
    <w:name w:val="纯文本 Char1"/>
    <w:next w:val="1199"/>
    <w:link w:val="1101"/>
    <w:qFormat/>
    <w:rPr>
      <w:rFonts w:ascii="宋体" w:hAnsi="Courier New" w:eastAsia="宋体"/>
      <w:sz w:val="21"/>
      <w:lang w:val="en-US" w:eastAsia="zh-CN" w:bidi="ar-SA"/>
    </w:rPr>
  </w:style>
  <w:style w:type="character" w:styleId="1200">
    <w:name w:val="标题 2 Char"/>
    <w:next w:val="1200"/>
    <w:link w:val="1101"/>
    <w:qFormat/>
    <w:rPr>
      <w:rFonts w:ascii="Arial" w:hAnsi="Arial" w:eastAsia="黑体"/>
      <w:b/>
      <w:sz w:val="30"/>
      <w:lang w:val="en-US" w:eastAsia="zh-CN" w:bidi="ar-SA"/>
    </w:rPr>
  </w:style>
  <w:style w:type="character" w:styleId="1201">
    <w:name w:val="Char Char11"/>
    <w:next w:val="1201"/>
    <w:link w:val="1101"/>
    <w:qFormat/>
    <w:rPr>
      <w:rFonts w:ascii="宋体" w:eastAsia="宋体"/>
      <w:b/>
      <w:sz w:val="24"/>
      <w:u w:val="single"/>
      <w:lang w:val="en-US" w:eastAsia="zh-CN" w:bidi="ar-SA"/>
    </w:rPr>
  </w:style>
  <w:style w:type="character" w:styleId="1202">
    <w:name w:val="标题 Char"/>
    <w:next w:val="1202"/>
    <w:link w:val="1101"/>
    <w:qFormat/>
    <w:rPr>
      <w:b/>
      <w:sz w:val="32"/>
    </w:rPr>
  </w:style>
  <w:style w:type="character" w:styleId="1203">
    <w:name w:val="正文文本缩进 Char"/>
    <w:next w:val="1203"/>
    <w:link w:val="1101"/>
    <w:qFormat/>
    <w:rPr>
      <w:rFonts w:eastAsia="宋体"/>
      <w:sz w:val="24"/>
      <w:szCs w:val="24"/>
      <w:lang w:val="en-US" w:eastAsia="zh-CN" w:bidi="ar-SA"/>
    </w:rPr>
  </w:style>
  <w:style w:type="character" w:styleId="1204">
    <w:name w:val="street-address"/>
    <w:next w:val="1204"/>
    <w:link w:val="1101"/>
    <w:qFormat/>
  </w:style>
  <w:style w:type="character" w:styleId="1205">
    <w:name w:val="段1 Char"/>
    <w:next w:val="1205"/>
    <w:link w:val="1101"/>
    <w:qFormat/>
    <w:rPr>
      <w:rFonts w:ascii="宋体" w:eastAsia="宋体"/>
      <w:sz w:val="24"/>
      <w:lang w:val="en-US" w:eastAsia="zh-CN" w:bidi="ar-SA"/>
    </w:rPr>
  </w:style>
  <w:style w:type="character" w:styleId="1206">
    <w:name w:val="Char Char111"/>
    <w:next w:val="1206"/>
    <w:link w:val="1101"/>
    <w:qFormat/>
    <w:rPr>
      <w:rFonts w:ascii="宋体" w:eastAsia="宋体"/>
      <w:b/>
      <w:sz w:val="24"/>
      <w:u w:val="single"/>
      <w:lang w:val="en-US" w:eastAsia="zh-CN" w:bidi="ar-SA"/>
    </w:rPr>
  </w:style>
  <w:style w:type="character" w:styleId="1207">
    <w:name w:val="成文日期 Char"/>
    <w:next w:val="1207"/>
    <w:link w:val="1208"/>
    <w:qFormat/>
    <w:rPr>
      <w:rFonts w:ascii="仿宋_GB2312" w:eastAsia="仿宋_GB2312"/>
      <w:sz w:val="32"/>
    </w:rPr>
  </w:style>
  <w:style w:type="paragraph" w:styleId="1208">
    <w:name w:val="成文日期"/>
    <w:basedOn w:val="1101"/>
    <w:next w:val="1208"/>
    <w:link w:val="1207"/>
    <w:qFormat/>
    <w:pPr>
      <w:ind w:right="400" w:firstLine="200"/>
      <w:jc w:val="right"/>
      <w:spacing w:line="570" w:lineRule="exact"/>
    </w:pPr>
    <w:rPr>
      <w:rFonts w:ascii="仿宋_GB2312" w:eastAsia="仿宋_GB2312"/>
      <w:sz w:val="32"/>
      <w:szCs w:val="20"/>
    </w:rPr>
  </w:style>
  <w:style w:type="character" w:styleId="1209">
    <w:name w:val="locality"/>
    <w:next w:val="1209"/>
    <w:link w:val="1101"/>
    <w:qFormat/>
  </w:style>
  <w:style w:type="character" w:styleId="1210">
    <w:name w:val="页眉 Char"/>
    <w:next w:val="1210"/>
    <w:link w:val="1101"/>
    <w:qFormat/>
    <w:rPr>
      <w:rFonts w:eastAsia="宋体"/>
      <w:sz w:val="18"/>
      <w:szCs w:val="18"/>
      <w:lang w:val="en-US" w:eastAsia="zh-CN" w:bidi="ar-SA"/>
    </w:rPr>
  </w:style>
  <w:style w:type="character" w:styleId="1211">
    <w:name w:val="标题 3 Char Char"/>
    <w:next w:val="1211"/>
    <w:link w:val="1101"/>
    <w:qFormat/>
    <w:rPr>
      <w:rFonts w:eastAsia="宋体"/>
      <w:b/>
      <w:bCs/>
      <w:sz w:val="32"/>
      <w:szCs w:val="32"/>
      <w:lang w:val="en-US" w:eastAsia="zh-CN" w:bidi="ar-SA"/>
    </w:rPr>
  </w:style>
  <w:style w:type="character" w:styleId="1212">
    <w:name w:val="chanpin1"/>
    <w:next w:val="1212"/>
    <w:link w:val="1101"/>
    <w:qFormat/>
    <w:rPr>
      <w:rFonts w:ascii="ˎ̥" w:hAnsi="ˎ̥"/>
      <w:color w:val="000000"/>
      <w:sz w:val="20"/>
      <w:szCs w:val="20"/>
      <w:u w:val="none"/>
    </w:rPr>
  </w:style>
  <w:style w:type="character" w:styleId="1213">
    <w:name w:val="正文文本缩进 Char1"/>
    <w:next w:val="1213"/>
    <w:link w:val="1214"/>
    <w:qFormat/>
    <w:rPr>
      <w:rFonts w:ascii="宋体" w:hAnsi="宋体" w:eastAsia="宋体"/>
      <w:sz w:val="24"/>
      <w:szCs w:val="24"/>
      <w:lang w:bidi="ar-SA"/>
    </w:rPr>
  </w:style>
  <w:style w:type="paragraph" w:styleId="1214">
    <w:name w:val="正文文本缩进1"/>
    <w:basedOn w:val="1101"/>
    <w:next w:val="1214"/>
    <w:link w:val="1213"/>
    <w:qFormat/>
    <w:pPr>
      <w:ind w:firstLine="480"/>
      <w:spacing w:line="480" w:lineRule="exact"/>
    </w:pPr>
    <w:rPr>
      <w:rFonts w:ascii="宋体" w:hAnsi="宋体"/>
      <w:sz w:val="24"/>
    </w:rPr>
  </w:style>
  <w:style w:type="character" w:styleId="1215">
    <w:name w:val="正文缩进 Char Char"/>
    <w:next w:val="1215"/>
    <w:link w:val="1216"/>
    <w:qFormat/>
    <w:rPr>
      <w:rFonts w:ascii="宋体" w:eastAsia="宋体"/>
      <w:color w:val="000000"/>
      <w:sz w:val="28"/>
      <w:lang w:bidi="ar-SA"/>
    </w:rPr>
  </w:style>
  <w:style w:type="paragraph" w:styleId="1216">
    <w:name w:val="正文缩进1"/>
    <w:basedOn w:val="1101"/>
    <w:next w:val="1216"/>
    <w:link w:val="1215"/>
    <w:qFormat/>
    <w:pPr>
      <w:ind w:firstLine="567"/>
      <w:spacing w:line="480" w:lineRule="exact"/>
      <w:widowControl/>
    </w:pPr>
    <w:rPr>
      <w:rFonts w:ascii="宋体"/>
      <w:color w:val="000000"/>
      <w:sz w:val="28"/>
      <w:szCs w:val="20"/>
    </w:rPr>
  </w:style>
  <w:style w:type="character" w:styleId="1217">
    <w:name w:val="正文表格 Char"/>
    <w:next w:val="1217"/>
    <w:link w:val="1218"/>
    <w:qFormat/>
    <w:rPr>
      <w:rFonts w:ascii="宋体" w:hAnsi="宋体"/>
      <w:color w:val="000000"/>
      <w:sz w:val="21"/>
      <w:szCs w:val="21"/>
    </w:rPr>
  </w:style>
  <w:style w:type="paragraph" w:styleId="1218">
    <w:name w:val="正文表格"/>
    <w:basedOn w:val="1101"/>
    <w:next w:val="1218"/>
    <w:link w:val="1217"/>
    <w:qFormat/>
    <w:pPr>
      <w:jc w:val="left"/>
    </w:pPr>
    <w:rPr>
      <w:rFonts w:ascii="宋体" w:hAnsi="宋体"/>
      <w:color w:val="000000"/>
      <w:szCs w:val="21"/>
    </w:rPr>
  </w:style>
  <w:style w:type="character" w:styleId="1219">
    <w:name w:val="普通文字1 Char1"/>
    <w:next w:val="1219"/>
    <w:link w:val="1101"/>
    <w:qFormat/>
    <w:rPr>
      <w:rFonts w:ascii="宋体" w:hAnsi="Courier New" w:eastAsia="宋体"/>
      <w:sz w:val="21"/>
      <w:lang w:val="en-US" w:eastAsia="zh-CN" w:bidi="ar-SA"/>
    </w:rPr>
  </w:style>
  <w:style w:type="character" w:styleId="1220">
    <w:name w:val="c21"/>
    <w:next w:val="1220"/>
    <w:link w:val="1101"/>
    <w:qFormat/>
    <w:rPr>
      <w:rFonts w:ascii="ˎ̥" w:hAnsi="ˎ̥"/>
      <w:color w:val="000000"/>
      <w:sz w:val="20"/>
      <w:szCs w:val="20"/>
      <w:u w:val="none"/>
    </w:rPr>
  </w:style>
  <w:style w:type="character" w:styleId="1221">
    <w:name w:val="页脚 Char"/>
    <w:next w:val="1221"/>
    <w:link w:val="1101"/>
    <w:qFormat/>
    <w:rPr>
      <w:rFonts w:ascii="宋体" w:eastAsia="宋体"/>
      <w:sz w:val="18"/>
      <w:lang w:val="en-US" w:eastAsia="zh-CN" w:bidi="ar-SA"/>
    </w:rPr>
  </w:style>
  <w:style w:type="character" w:styleId="1222">
    <w:name w:val="black1"/>
    <w:next w:val="1222"/>
    <w:link w:val="1101"/>
    <w:qFormat/>
    <w:rPr>
      <w:color w:val="000000"/>
    </w:rPr>
  </w:style>
  <w:style w:type="character" w:styleId="1223">
    <w:name w:val="列出段落 字符"/>
    <w:next w:val="1223"/>
    <w:link w:val="1224"/>
    <w:uiPriority w:val="34"/>
    <w:qFormat/>
    <w:rPr>
      <w:rFonts w:ascii="Calibri" w:hAnsi="Calibri" w:eastAsia="宋体"/>
      <w:sz w:val="21"/>
      <w:szCs w:val="22"/>
      <w:lang w:val="en-US" w:eastAsia="zh-CN" w:bidi="ar-SA"/>
    </w:rPr>
  </w:style>
  <w:style w:type="paragraph" w:styleId="1224">
    <w:name w:val="列出段落"/>
    <w:basedOn w:val="1101"/>
    <w:next w:val="1224"/>
    <w:link w:val="1223"/>
    <w:uiPriority w:val="34"/>
    <w:qFormat/>
    <w:pPr>
      <w:ind w:firstLine="420"/>
    </w:pPr>
    <w:rPr>
      <w:rFonts w:ascii="Calibri" w:hAnsi="Calibri"/>
      <w:szCs w:val="22"/>
    </w:rPr>
  </w:style>
  <w:style w:type="character" w:styleId="1225">
    <w:name w:val="chanpin拷贝"/>
    <w:next w:val="1225"/>
    <w:link w:val="1101"/>
    <w:qFormat/>
  </w:style>
  <w:style w:type="character" w:styleId="1226">
    <w:name w:val="注释 Char"/>
    <w:next w:val="1226"/>
    <w:link w:val="1227"/>
    <w:qFormat/>
    <w:rPr>
      <w:rFonts w:ascii="宋体" w:hAnsi="宋体"/>
      <w:sz w:val="21"/>
      <w:szCs w:val="21"/>
    </w:rPr>
  </w:style>
  <w:style w:type="paragraph" w:styleId="1227">
    <w:name w:val="注释"/>
    <w:basedOn w:val="1101"/>
    <w:next w:val="1227"/>
    <w:link w:val="1226"/>
    <w:qFormat/>
    <w:pPr>
      <w:ind w:left="420" w:hanging="420"/>
      <w:jc w:val="left"/>
    </w:pPr>
    <w:rPr>
      <w:rFonts w:ascii="宋体" w:hAnsi="宋体"/>
      <w:szCs w:val="21"/>
    </w:rPr>
  </w:style>
  <w:style w:type="character" w:styleId="1228">
    <w:name w:val="纯文本 字符"/>
    <w:next w:val="1228"/>
    <w:link w:val="1101"/>
    <w:uiPriority w:val="99"/>
    <w:qFormat/>
    <w:rPr>
      <w:rFonts w:ascii="宋体" w:hAnsi="Courier New" w:eastAsia="宋体" w:cs="Times New Roman"/>
      <w:sz w:val="21"/>
      <w:szCs w:val="21"/>
      <w:lang w:val="en-US" w:eastAsia="zh-CN" w:bidi="ar-SA"/>
    </w:rPr>
  </w:style>
  <w:style w:type="character" w:styleId="1229">
    <w:name w:val="bjh-p"/>
    <w:next w:val="1229"/>
    <w:link w:val="1101"/>
    <w:qFormat/>
  </w:style>
  <w:style w:type="character" w:styleId="1230">
    <w:name w:val="正文格式 Char"/>
    <w:next w:val="1230"/>
    <w:link w:val="1231"/>
    <w:qFormat/>
    <w:rPr>
      <w:rFonts w:ascii="宋体" w:hAnsi="宋体"/>
      <w:sz w:val="24"/>
      <w:szCs w:val="24"/>
      <w:lang w:val="en-GB"/>
    </w:rPr>
  </w:style>
  <w:style w:type="paragraph" w:styleId="1231">
    <w:name w:val="正文格式"/>
    <w:basedOn w:val="1101"/>
    <w:next w:val="1231"/>
    <w:link w:val="1230"/>
    <w:qFormat/>
    <w:pPr>
      <w:ind w:firstLine="480"/>
      <w:spacing w:line="360" w:lineRule="auto"/>
    </w:pPr>
    <w:rPr>
      <w:rFonts w:ascii="宋体" w:hAnsi="宋体"/>
      <w:sz w:val="24"/>
      <w:lang w:val="en-GB"/>
    </w:rPr>
  </w:style>
  <w:style w:type="character" w:styleId="1232">
    <w:name w:val="批注文字 Char"/>
    <w:next w:val="1232"/>
    <w:link w:val="1101"/>
    <w:uiPriority w:val="99"/>
    <w:qFormat/>
    <w:rPr>
      <w:sz w:val="21"/>
      <w:szCs w:val="24"/>
    </w:rPr>
  </w:style>
  <w:style w:type="paragraph" w:styleId="1233">
    <w:name w:val="字元 字元1"/>
    <w:basedOn w:val="1101"/>
    <w:next w:val="1233"/>
    <w:link w:val="1101"/>
    <w:qFormat/>
    <w:rPr>
      <w:rFonts w:ascii="Tahoma" w:hAnsi="Tahoma"/>
      <w:sz w:val="24"/>
      <w:szCs w:val="20"/>
    </w:rPr>
  </w:style>
  <w:style w:type="paragraph" w:styleId="1234">
    <w:name w:val="1名"/>
    <w:basedOn w:val="1101"/>
    <w:next w:val="1234"/>
    <w:link w:val="1101"/>
    <w:qFormat/>
    <w:pPr>
      <w:numPr>
        <w:ilvl w:val="0"/>
        <w:numId w:val="1"/>
      </w:numPr>
      <w:spacing w:before="120"/>
      <w:tabs>
        <w:tab w:val="left" w:pos="360" w:leader="none"/>
      </w:tabs>
    </w:pPr>
    <w:rPr>
      <w:rFonts w:ascii="宋体"/>
      <w:sz w:val="28"/>
      <w:szCs w:val="20"/>
    </w:rPr>
  </w:style>
  <w:style w:type="paragraph" w:styleId="1235">
    <w:name w:val="Char3 Char Char Char"/>
    <w:basedOn w:val="1101"/>
    <w:next w:val="1235"/>
    <w:link w:val="1101"/>
    <w:qFormat/>
    <w:rPr>
      <w:rFonts w:ascii="Tahoma" w:hAnsi="Tahoma"/>
      <w:sz w:val="24"/>
      <w:szCs w:val="20"/>
    </w:rPr>
  </w:style>
  <w:style w:type="paragraph" w:styleId="1236">
    <w:name w:val="文档正文"/>
    <w:basedOn w:val="1101"/>
    <w:next w:val="1236"/>
    <w:link w:val="1101"/>
    <w:qFormat/>
    <w:pPr>
      <w:spacing w:before="120" w:after="120" w:line="180" w:lineRule="auto"/>
    </w:pPr>
    <w:rPr>
      <w:rFonts w:ascii="Arial" w:hAnsi="Arial"/>
      <w:szCs w:val="20"/>
    </w:rPr>
  </w:style>
  <w:style w:type="paragraph" w:styleId="1237">
    <w:name w:val="Char Char Char Char Char Char Char Char Char Char1"/>
    <w:basedOn w:val="1101"/>
    <w:next w:val="1237"/>
    <w:link w:val="1101"/>
    <w:qFormat/>
    <w:rPr>
      <w:rFonts w:ascii="宋体" w:hAnsi="宋体" w:cs="Courier New"/>
      <w:sz w:val="32"/>
      <w:szCs w:val="32"/>
    </w:rPr>
  </w:style>
  <w:style w:type="paragraph" w:styleId="1238">
    <w:name w:val="Char22"/>
    <w:basedOn w:val="1101"/>
    <w:next w:val="1238"/>
    <w:link w:val="1101"/>
    <w:qFormat/>
    <w:rPr>
      <w:rFonts w:ascii="Tahoma" w:hAnsi="Tahoma"/>
      <w:sz w:val="24"/>
      <w:szCs w:val="20"/>
    </w:rPr>
  </w:style>
  <w:style w:type="paragraph" w:styleId="1239">
    <w:name w:val="Char Char Char1"/>
    <w:basedOn w:val="1101"/>
    <w:next w:val="1239"/>
    <w:link w:val="1101"/>
    <w:qFormat/>
    <w:rPr>
      <w:rFonts w:ascii="Tahoma" w:hAnsi="Tahoma"/>
      <w:sz w:val="24"/>
      <w:szCs w:val="20"/>
    </w:rPr>
  </w:style>
  <w:style w:type="paragraph" w:styleId="1240">
    <w:name w:val="xl43"/>
    <w:basedOn w:val="1101"/>
    <w:next w:val="1240"/>
    <w:link w:val="110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41">
    <w:name w:val="Char Char Char"/>
    <w:basedOn w:val="1101"/>
    <w:next w:val="1241"/>
    <w:link w:val="1101"/>
    <w:qFormat/>
    <w:rPr>
      <w:rFonts w:ascii="Tahoma" w:hAnsi="Tahoma"/>
      <w:sz w:val="24"/>
      <w:szCs w:val="20"/>
    </w:rPr>
  </w:style>
  <w:style w:type="paragraph" w:styleId="1242">
    <w:name w:val="font8"/>
    <w:basedOn w:val="1101"/>
    <w:next w:val="1242"/>
    <w:link w:val="1101"/>
    <w:qFormat/>
    <w:pPr>
      <w:jc w:val="left"/>
      <w:spacing w:before="100" w:beforeAutospacing="1" w:after="100" w:afterAutospacing="1"/>
      <w:widowControl/>
    </w:pPr>
    <w:rPr>
      <w:sz w:val="36"/>
      <w:szCs w:val="36"/>
    </w:rPr>
  </w:style>
  <w:style w:type="paragraph" w:styleId="1243">
    <w:name w:val="default"/>
    <w:basedOn w:val="1101"/>
    <w:next w:val="1243"/>
    <w:link w:val="1101"/>
    <w:qFormat/>
    <w:pPr>
      <w:jc w:val="left"/>
      <w:spacing w:before="100" w:beforeAutospacing="1" w:after="100" w:afterAutospacing="1"/>
      <w:widowControl/>
    </w:pPr>
    <w:rPr>
      <w:rFonts w:ascii="宋体" w:hAnsi="宋体" w:cs="宋体"/>
      <w:sz w:val="24"/>
    </w:rPr>
  </w:style>
  <w:style w:type="paragraph" w:styleId="1244">
    <w:name w:val="样式 宋体 五号 行距: 单倍行距"/>
    <w:basedOn w:val="1101"/>
    <w:next w:val="1244"/>
    <w:link w:val="1101"/>
    <w:qFormat/>
    <w:pPr>
      <w:jc w:val="left"/>
    </w:pPr>
    <w:rPr>
      <w:rFonts w:ascii="宋体" w:hAnsi="宋体"/>
      <w:szCs w:val="20"/>
    </w:rPr>
  </w:style>
  <w:style w:type="paragraph" w:styleId="1245">
    <w:name w:val="xl41"/>
    <w:basedOn w:val="1101"/>
    <w:next w:val="1245"/>
    <w:link w:val="110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46">
    <w:name w:val="缺省文本"/>
    <w:basedOn w:val="1101"/>
    <w:next w:val="1246"/>
    <w:link w:val="1101"/>
    <w:qFormat/>
    <w:pPr>
      <w:jc w:val="left"/>
    </w:pPr>
    <w:rPr>
      <w:sz w:val="24"/>
    </w:rPr>
  </w:style>
  <w:style w:type="paragraph" w:styleId="1247">
    <w:name w:val="Char"/>
    <w:basedOn w:val="1101"/>
    <w:next w:val="1247"/>
    <w:link w:val="1101"/>
    <w:qFormat/>
    <w:pPr>
      <w:tabs>
        <w:tab w:val="left" w:pos="360" w:leader="none"/>
      </w:tabs>
    </w:pPr>
    <w:rPr>
      <w:sz w:val="24"/>
    </w:rPr>
  </w:style>
  <w:style w:type="paragraph" w:styleId="1248">
    <w:name w:val="正文 + 宋体"/>
    <w:basedOn w:val="1101"/>
    <w:next w:val="1248"/>
    <w:link w:val="1101"/>
    <w:qFormat/>
    <w:pPr>
      <w:ind w:left="360" w:hanging="360"/>
      <w:jc w:val="left"/>
      <w:widowControl/>
    </w:pPr>
    <w:rPr>
      <w:rFonts w:ascii="宋体" w:hAnsi="宋体" w:cs="宋体"/>
      <w:b/>
      <w:bCs/>
      <w:color w:val="000000"/>
      <w:sz w:val="18"/>
      <w:szCs w:val="18"/>
    </w:rPr>
  </w:style>
  <w:style w:type="paragraph" w:styleId="1249">
    <w:name w:val="xl52"/>
    <w:basedOn w:val="1101"/>
    <w:next w:val="1249"/>
    <w:link w:val="110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50">
    <w:name w:val="xl36"/>
    <w:basedOn w:val="1101"/>
    <w:next w:val="1250"/>
    <w:link w:val="110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1">
    <w:name w:val="Char Char1 Char Char Char Char Char Char"/>
    <w:basedOn w:val="1101"/>
    <w:next w:val="1251"/>
    <w:link w:val="1101"/>
    <w:qFormat/>
    <w:pPr>
      <w:jc w:val="left"/>
      <w:spacing w:after="160" w:line="240" w:lineRule="exact"/>
      <w:widowControl/>
    </w:pPr>
    <w:rPr>
      <w:rFonts w:ascii="Verdana" w:hAnsi="Verdana" w:eastAsia="仿宋_GB2312"/>
      <w:sz w:val="24"/>
      <w:szCs w:val="20"/>
      <w:lang w:eastAsia="en-US"/>
    </w:rPr>
  </w:style>
  <w:style w:type="paragraph" w:styleId="1252">
    <w:name w:val="xl40"/>
    <w:basedOn w:val="1101"/>
    <w:next w:val="1252"/>
    <w:link w:val="11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3">
    <w:name w:val="xl38"/>
    <w:basedOn w:val="1101"/>
    <w:next w:val="1253"/>
    <w:link w:val="11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54">
    <w:name w:val="xl39"/>
    <w:basedOn w:val="1101"/>
    <w:next w:val="1254"/>
    <w:link w:val="11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5">
    <w:name w:val="Char Char Char Char Char Char Char Char Char Char Char Char Char Char Char Char"/>
    <w:basedOn w:val="1101"/>
    <w:next w:val="1255"/>
    <w:link w:val="1101"/>
    <w:qFormat/>
    <w:pPr>
      <w:jc w:val="center"/>
      <w:spacing w:after="160" w:line="240" w:lineRule="exact"/>
      <w:widowControl/>
    </w:pPr>
    <w:rPr>
      <w:rFonts w:ascii="宋体" w:hAnsi="宋体"/>
      <w:b/>
      <w:sz w:val="30"/>
      <w:szCs w:val="30"/>
      <w:lang w:eastAsia="en-US"/>
    </w:rPr>
  </w:style>
  <w:style w:type="paragraph" w:styleId="1256">
    <w:name w:val="项目编号2"/>
    <w:basedOn w:val="1257"/>
    <w:next w:val="1256"/>
    <w:link w:val="1101"/>
    <w:qFormat/>
    <w:pPr>
      <w:numPr>
        <w:numId w:val="3"/>
      </w:numPr>
    </w:pPr>
  </w:style>
  <w:style w:type="paragraph" w:styleId="1257">
    <w:name w:val="项目编号1"/>
    <w:basedOn w:val="1101"/>
    <w:next w:val="1257"/>
    <w:link w:val="1101"/>
    <w:qFormat/>
    <w:pPr>
      <w:numPr>
        <w:ilvl w:val="0"/>
        <w:numId w:val="2"/>
      </w:numPr>
      <w:spacing w:before="100" w:beforeAutospacing="1" w:after="100" w:afterAutospacing="1" w:line="360" w:lineRule="auto"/>
    </w:pPr>
    <w:rPr>
      <w:sz w:val="24"/>
    </w:rPr>
  </w:style>
  <w:style w:type="paragraph" w:styleId="1258">
    <w:name w:val="xl50"/>
    <w:basedOn w:val="1101"/>
    <w:next w:val="1258"/>
    <w:link w:val="11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59">
    <w:name w:val="List Paragraph1"/>
    <w:basedOn w:val="1101"/>
    <w:next w:val="1259"/>
    <w:link w:val="1101"/>
    <w:qFormat/>
    <w:pPr>
      <w:ind w:firstLine="420"/>
    </w:pPr>
    <w:rPr>
      <w:rFonts w:ascii="Calibri" w:hAnsi="Calibri"/>
      <w:szCs w:val="22"/>
    </w:rPr>
  </w:style>
  <w:style w:type="paragraph" w:styleId="1260">
    <w:name w:val="列出段落2"/>
    <w:basedOn w:val="1101"/>
    <w:next w:val="1260"/>
    <w:link w:val="1101"/>
    <w:qFormat/>
    <w:pPr>
      <w:ind w:firstLine="420"/>
    </w:pPr>
    <w:rPr>
      <w:rFonts w:ascii="Calibri" w:hAnsi="Calibri"/>
      <w:szCs w:val="22"/>
    </w:rPr>
  </w:style>
  <w:style w:type="paragraph" w:styleId="1261">
    <w:name w:val="xl45"/>
    <w:basedOn w:val="1101"/>
    <w:next w:val="1261"/>
    <w:link w:val="110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62">
    <w:name w:val="font5"/>
    <w:basedOn w:val="1101"/>
    <w:next w:val="1262"/>
    <w:link w:val="1101"/>
    <w:qFormat/>
    <w:pPr>
      <w:jc w:val="left"/>
      <w:spacing w:before="100" w:beforeAutospacing="1" w:after="100" w:afterAutospacing="1"/>
      <w:widowControl/>
    </w:pPr>
    <w:rPr>
      <w:rFonts w:ascii="宋体" w:hAnsi="宋体" w:cs="宋体"/>
      <w:sz w:val="18"/>
      <w:szCs w:val="18"/>
    </w:rPr>
  </w:style>
  <w:style w:type="paragraph" w:styleId="1263">
    <w:name w:val="字元 字元"/>
    <w:basedOn w:val="1101"/>
    <w:next w:val="1263"/>
    <w:link w:val="1101"/>
    <w:qFormat/>
    <w:rPr>
      <w:rFonts w:ascii="Tahoma" w:hAnsi="Tahoma"/>
      <w:sz w:val="24"/>
      <w:szCs w:val="20"/>
    </w:rPr>
  </w:style>
  <w:style w:type="paragraph" w:styleId="1264">
    <w:name w:val="正文列项_字母"/>
    <w:basedOn w:val="1101"/>
    <w:next w:val="1264"/>
    <w:link w:val="1101"/>
    <w:qFormat/>
    <w:pPr>
      <w:numPr>
        <w:ilvl w:val="6"/>
        <w:numId w:val="4"/>
      </w:numPr>
      <w:ind w:left="480" w:hanging="180"/>
      <w:spacing w:line="460" w:lineRule="exact"/>
      <w:tabs>
        <w:tab w:val="clear" w:pos="635" w:leader="none"/>
      </w:tabs>
      <w:outlineLvl w:val="6"/>
    </w:pPr>
    <w:rPr>
      <w:rFonts w:ascii="宋体"/>
      <w:sz w:val="28"/>
      <w:szCs w:val="20"/>
    </w:rPr>
  </w:style>
  <w:style w:type="paragraph" w:styleId="1265">
    <w:name w:val="font6"/>
    <w:basedOn w:val="1101"/>
    <w:next w:val="1265"/>
    <w:link w:val="1101"/>
    <w:qFormat/>
    <w:pPr>
      <w:jc w:val="left"/>
      <w:spacing w:before="100" w:beforeAutospacing="1" w:after="100" w:afterAutospacing="1"/>
      <w:widowControl/>
    </w:pPr>
    <w:rPr>
      <w:rFonts w:ascii="宋体" w:hAnsi="宋体" w:cs="宋体"/>
      <w:sz w:val="20"/>
      <w:szCs w:val="20"/>
    </w:rPr>
  </w:style>
  <w:style w:type="paragraph" w:styleId="1266">
    <w:name w:val="xl37"/>
    <w:basedOn w:val="1101"/>
    <w:next w:val="1266"/>
    <w:link w:val="110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7">
    <w:name w:val="xl26"/>
    <w:basedOn w:val="1101"/>
    <w:next w:val="1267"/>
    <w:link w:val="11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68">
    <w:name w:val="二级条标题"/>
    <w:basedOn w:val="1269"/>
    <w:next w:val="1101"/>
    <w:link w:val="1101"/>
    <w:qFormat/>
    <w:pPr>
      <w:numPr>
        <w:ilvl w:val="0"/>
        <w:numId w:val="0"/>
      </w:numPr>
      <w:ind w:hanging="840"/>
      <w:tabs>
        <w:tab w:val="left" w:pos="360" w:leader="none"/>
        <w:tab w:val="left" w:pos="840" w:leader="none"/>
      </w:tabs>
      <w:outlineLvl w:val="2"/>
    </w:pPr>
    <w:rPr>
      <w:rFonts w:ascii="宋体" w:eastAsia="宋体"/>
      <w:b w:val="0"/>
    </w:rPr>
  </w:style>
  <w:style w:type="paragraph" w:styleId="1269">
    <w:name w:val="一级条标题"/>
    <w:basedOn w:val="1270"/>
    <w:next w:val="1101"/>
    <w:link w:val="1101"/>
    <w:qFormat/>
    <w:pPr>
      <w:numPr>
        <w:ilvl w:val="1"/>
      </w:numPr>
      <w:ind w:left="0" w:hanging="840"/>
      <w:tabs>
        <w:tab w:val="left" w:pos="360" w:leader="none"/>
        <w:tab w:val="left" w:pos="840" w:leader="none"/>
      </w:tabs>
      <w:outlineLvl w:val="1"/>
    </w:pPr>
  </w:style>
  <w:style w:type="paragraph" w:styleId="1270">
    <w:name w:val="章标题"/>
    <w:next w:val="1101"/>
    <w:link w:val="1101"/>
    <w:qFormat/>
    <w:pPr>
      <w:numPr>
        <w:ilvl w:val="0"/>
        <w:numId w:val="4"/>
      </w:numPr>
      <w:ind w:left="0"/>
      <w:jc w:val="both"/>
      <w:spacing w:line="460" w:lineRule="exact"/>
      <w:outlineLvl w:val="0"/>
    </w:pPr>
    <w:rPr>
      <w:rFonts w:ascii="黑体" w:eastAsia="黑体"/>
      <w:b/>
      <w:sz w:val="28"/>
      <w:lang w:val="en-US" w:eastAsia="zh-CN" w:bidi="ar-SA"/>
    </w:rPr>
  </w:style>
  <w:style w:type="paragraph" w:styleId="1271">
    <w:name w:val="项目编号3"/>
    <w:basedOn w:val="1272"/>
    <w:next w:val="1271"/>
    <w:link w:val="1101"/>
    <w:qFormat/>
    <w:pPr>
      <w:numPr>
        <w:ilvl w:val="0"/>
        <w:numId w:val="5"/>
      </w:numPr>
    </w:pPr>
  </w:style>
  <w:style w:type="paragraph" w:styleId="1272">
    <w:name w:val="正文文本样式"/>
    <w:basedOn w:val="1101"/>
    <w:next w:val="1272"/>
    <w:link w:val="1101"/>
    <w:qFormat/>
    <w:pPr>
      <w:ind w:firstLine="482"/>
      <w:spacing w:line="360" w:lineRule="auto"/>
    </w:pPr>
    <w:rPr>
      <w:rFonts w:cs="宋体"/>
      <w:sz w:val="24"/>
      <w:szCs w:val="20"/>
    </w:rPr>
  </w:style>
  <w:style w:type="paragraph" w:styleId="1273">
    <w:name w:val="Char1 Char Char Char1"/>
    <w:basedOn w:val="1101"/>
    <w:next w:val="1273"/>
    <w:link w:val="1101"/>
    <w:qFormat/>
    <w:rPr>
      <w:rFonts w:ascii="Tahoma" w:hAnsi="Tahoma" w:cs="仿宋_GB2312"/>
      <w:sz w:val="24"/>
      <w:szCs w:val="28"/>
    </w:rPr>
  </w:style>
  <w:style w:type="paragraph" w:styleId="1274">
    <w:name w:val="_Style 172"/>
    <w:next w:val="1274"/>
    <w:link w:val="1101"/>
    <w:uiPriority w:val="99"/>
    <w:unhideWhenUsed/>
    <w:qFormat/>
    <w:rPr>
      <w:sz w:val="21"/>
      <w:szCs w:val="24"/>
      <w:lang w:val="en-US" w:eastAsia="zh-CN" w:bidi="ar-SA"/>
    </w:rPr>
  </w:style>
  <w:style w:type="paragraph" w:styleId="1275">
    <w:name w:val="Char3 Char Char Char2"/>
    <w:basedOn w:val="1101"/>
    <w:next w:val="1275"/>
    <w:link w:val="1101"/>
    <w:qFormat/>
    <w:rPr>
      <w:rFonts w:ascii="Tahoma" w:hAnsi="Tahoma"/>
      <w:sz w:val="24"/>
      <w:szCs w:val="20"/>
    </w:rPr>
  </w:style>
  <w:style w:type="paragraph" w:styleId="1276">
    <w:name w:val="font7"/>
    <w:basedOn w:val="1101"/>
    <w:next w:val="1276"/>
    <w:link w:val="1101"/>
    <w:qFormat/>
    <w:pPr>
      <w:jc w:val="left"/>
      <w:spacing w:before="100" w:beforeAutospacing="1" w:after="100" w:afterAutospacing="1"/>
      <w:widowControl/>
    </w:pPr>
    <w:rPr>
      <w:rFonts w:eastAsia="Arial Unicode MS"/>
      <w:b/>
      <w:bCs/>
      <w:color w:val="000000"/>
      <w:sz w:val="20"/>
      <w:szCs w:val="20"/>
    </w:rPr>
  </w:style>
  <w:style w:type="paragraph" w:styleId="1277">
    <w:name w:val="图中文字"/>
    <w:basedOn w:val="1101"/>
    <w:next w:val="1277"/>
    <w:link w:val="1101"/>
    <w:qFormat/>
    <w:pPr>
      <w:jc w:val="center"/>
      <w:spacing w:line="0" w:lineRule="atLeast"/>
    </w:pPr>
    <w:rPr>
      <w:sz w:val="24"/>
      <w:szCs w:val="20"/>
    </w:rPr>
  </w:style>
  <w:style w:type="paragraph" w:styleId="1278">
    <w:name w:val="列出段落1"/>
    <w:basedOn w:val="1101"/>
    <w:next w:val="1278"/>
    <w:link w:val="1101"/>
    <w:qFormat/>
    <w:pPr>
      <w:ind w:firstLine="420"/>
    </w:pPr>
    <w:rPr>
      <w:rFonts w:ascii="Calibri" w:hAnsi="Calibri"/>
      <w:szCs w:val="22"/>
    </w:rPr>
  </w:style>
  <w:style w:type="paragraph" w:styleId="1279">
    <w:name w:val="xl46"/>
    <w:basedOn w:val="1101"/>
    <w:next w:val="1279"/>
    <w:link w:val="110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80">
    <w:name w:val="Char Char Char Char Char Char Char Char Char Char2"/>
    <w:basedOn w:val="1101"/>
    <w:next w:val="1280"/>
    <w:link w:val="1101"/>
    <w:qFormat/>
    <w:rPr>
      <w:rFonts w:ascii="宋体" w:hAnsi="宋体" w:cs="Courier New"/>
      <w:sz w:val="32"/>
      <w:szCs w:val="32"/>
    </w:rPr>
  </w:style>
  <w:style w:type="paragraph" w:styleId="1281">
    <w:name w:val="xl25"/>
    <w:basedOn w:val="1101"/>
    <w:next w:val="1281"/>
    <w:link w:val="11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2">
    <w:name w:val="表格文字"/>
    <w:basedOn w:val="1134"/>
    <w:next w:val="1113"/>
    <w:link w:val="1101"/>
    <w:qFormat/>
    <w:pPr>
      <w:ind w:firstLine="0"/>
      <w:spacing w:before="20" w:after="20" w:line="240" w:lineRule="auto"/>
    </w:pPr>
    <w:rPr>
      <w:rFonts w:ascii="Century Gothic" w:hAnsi="Century Gothic"/>
      <w:sz w:val="20"/>
      <w:szCs w:val="20"/>
    </w:rPr>
  </w:style>
  <w:style w:type="paragraph" w:styleId="1283">
    <w:name w:val="正文须知-2级"/>
    <w:basedOn w:val="1101"/>
    <w:next w:val="1283"/>
    <w:link w:val="1101"/>
    <w:qFormat/>
    <w:pPr>
      <w:numPr>
        <w:ilvl w:val="1"/>
        <w:numId w:val="6"/>
      </w:numPr>
      <w:spacing w:line="300" w:lineRule="auto"/>
    </w:pPr>
    <w:rPr>
      <w:rFonts w:ascii="宋体" w:hAnsi="Calibri"/>
      <w:sz w:val="24"/>
      <w:szCs w:val="21"/>
    </w:rPr>
  </w:style>
  <w:style w:type="paragraph" w:styleId="1284">
    <w:name w:val="??"/>
    <w:next w:val="1284"/>
    <w:link w:val="1101"/>
    <w:qFormat/>
    <w:pPr>
      <w:jc w:val="both"/>
      <w:widowControl w:val="off"/>
    </w:pPr>
    <w:rPr>
      <w:sz w:val="21"/>
      <w:lang w:val="en-US" w:eastAsia="en-US" w:bidi="ar-SA"/>
    </w:rPr>
  </w:style>
  <w:style w:type="paragraph" w:styleId="1285">
    <w:name w:val="纯文本1"/>
    <w:basedOn w:val="1101"/>
    <w:next w:val="1285"/>
    <w:link w:val="1101"/>
    <w:qFormat/>
    <w:rPr>
      <w:rFonts w:ascii="宋体" w:hAnsi="Courier New" w:cs="Courier New"/>
      <w:sz w:val="24"/>
      <w:szCs w:val="21"/>
    </w:rPr>
  </w:style>
  <w:style w:type="paragraph" w:styleId="1286">
    <w:name w:val="Char2"/>
    <w:basedOn w:val="1101"/>
    <w:next w:val="1286"/>
    <w:link w:val="1101"/>
    <w:qFormat/>
    <w:rPr>
      <w:rFonts w:ascii="Tahoma" w:hAnsi="Tahoma"/>
      <w:sz w:val="24"/>
      <w:szCs w:val="20"/>
    </w:rPr>
  </w:style>
  <w:style w:type="paragraph" w:styleId="1287">
    <w:name w:val="正文须知-3级"/>
    <w:basedOn w:val="1101"/>
    <w:next w:val="1287"/>
    <w:link w:val="1101"/>
    <w:qFormat/>
    <w:pPr>
      <w:numPr>
        <w:ilvl w:val="2"/>
        <w:numId w:val="6"/>
      </w:numPr>
      <w:ind w:hanging="355"/>
      <w:spacing w:line="300" w:lineRule="auto"/>
    </w:pPr>
    <w:rPr>
      <w:rFonts w:ascii="宋体" w:hAnsi="Calibri"/>
      <w:sz w:val="24"/>
      <w:szCs w:val="21"/>
    </w:rPr>
  </w:style>
  <w:style w:type="paragraph" w:styleId="1288">
    <w:name w:val="1 Char Char Char Char"/>
    <w:basedOn w:val="1101"/>
    <w:next w:val="1288"/>
    <w:link w:val="1101"/>
    <w:qFormat/>
    <w:rPr>
      <w:rFonts w:ascii="Tahoma" w:hAnsi="Tahoma"/>
      <w:sz w:val="24"/>
      <w:szCs w:val="20"/>
    </w:rPr>
  </w:style>
  <w:style w:type="paragraph" w:styleId="1289">
    <w:name w:val="xl35"/>
    <w:basedOn w:val="1101"/>
    <w:next w:val="1289"/>
    <w:link w:val="110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90">
    <w:name w:val="正文须知-1级"/>
    <w:basedOn w:val="1101"/>
    <w:next w:val="1101"/>
    <w:link w:val="1101"/>
    <w:qFormat/>
    <w:pPr>
      <w:numPr>
        <w:ilvl w:val="0"/>
        <w:numId w:val="6"/>
      </w:numPr>
      <w:spacing w:line="300" w:lineRule="auto"/>
    </w:pPr>
    <w:rPr>
      <w:rFonts w:ascii="宋体" w:hAnsi="Calibri"/>
      <w:sz w:val="24"/>
      <w:szCs w:val="21"/>
    </w:rPr>
  </w:style>
  <w:style w:type="paragraph" w:styleId="1291">
    <w:name w:val="xl49"/>
    <w:basedOn w:val="1101"/>
    <w:next w:val="1291"/>
    <w:link w:val="11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92">
    <w:name w:val="Char Char Char2"/>
    <w:basedOn w:val="1101"/>
    <w:next w:val="1292"/>
    <w:link w:val="1101"/>
    <w:qFormat/>
    <w:rPr>
      <w:rFonts w:ascii="Tahoma" w:hAnsi="Tahoma"/>
      <w:sz w:val="24"/>
      <w:szCs w:val="20"/>
    </w:rPr>
  </w:style>
  <w:style w:type="paragraph" w:styleId="1293">
    <w:name w:val="无标题条"/>
    <w:next w:val="1101"/>
    <w:link w:val="1101"/>
    <w:qFormat/>
    <w:pPr>
      <w:jc w:val="both"/>
    </w:pPr>
    <w:rPr>
      <w:sz w:val="21"/>
      <w:lang w:val="en-US" w:eastAsia="zh-CN" w:bidi="ar-SA"/>
    </w:rPr>
  </w:style>
  <w:style w:type="paragraph" w:styleId="1294">
    <w:name w:val="Normal_1"/>
    <w:next w:val="1294"/>
    <w:link w:val="1101"/>
    <w:qFormat/>
    <w:rPr>
      <w:rFonts w:ascii="Calibri" w:hAnsi="Calibri"/>
      <w:sz w:val="24"/>
      <w:szCs w:val="24"/>
      <w:lang w:val="en-US" w:eastAsia="zh-CN" w:bidi="ar-SA"/>
    </w:rPr>
  </w:style>
  <w:style w:type="paragraph" w:styleId="1295">
    <w:name w:val="Char Char Char1 Char"/>
    <w:basedOn w:val="1101"/>
    <w:next w:val="1295"/>
    <w:link w:val="1101"/>
    <w:qFormat/>
    <w:rPr>
      <w:rFonts w:ascii="Tahoma" w:hAnsi="Tahoma"/>
      <w:sz w:val="24"/>
      <w:szCs w:val="20"/>
    </w:rPr>
  </w:style>
  <w:style w:type="paragraph" w:styleId="1296">
    <w:name w:val="四级条标题"/>
    <w:basedOn w:val="1297"/>
    <w:next w:val="1101"/>
    <w:link w:val="1101"/>
    <w:qFormat/>
    <w:pPr>
      <w:numPr>
        <w:ilvl w:val="4"/>
      </w:numPr>
      <w:ind w:left="0" w:hanging="840"/>
      <w:tabs>
        <w:tab w:val="left" w:pos="360" w:leader="none"/>
        <w:tab w:val="left" w:pos="840" w:leader="none"/>
      </w:tabs>
      <w:outlineLvl w:val="4"/>
    </w:pPr>
  </w:style>
  <w:style w:type="paragraph" w:styleId="1297">
    <w:name w:val="三级条标题"/>
    <w:basedOn w:val="1268"/>
    <w:next w:val="1101"/>
    <w:link w:val="1101"/>
    <w:qFormat/>
    <w:pPr>
      <w:numPr>
        <w:ilvl w:val="3"/>
        <w:numId w:val="4"/>
      </w:numPr>
      <w:ind w:left="0" w:hanging="840"/>
      <w:tabs>
        <w:tab w:val="left" w:pos="360" w:leader="none"/>
        <w:tab w:val="left" w:pos="840" w:leader="none"/>
      </w:tabs>
      <w:outlineLvl w:val="3"/>
    </w:pPr>
  </w:style>
  <w:style w:type="paragraph" w:styleId="1298">
    <w:name w:val="默认段落字体 Para Char Char Char Char"/>
    <w:basedOn w:val="1101"/>
    <w:next w:val="1298"/>
    <w:link w:val="1101"/>
    <w:qFormat/>
    <w:rPr>
      <w:rFonts w:ascii="Arial" w:hAnsi="Arial" w:cs="Arial"/>
      <w:szCs w:val="21"/>
    </w:rPr>
  </w:style>
  <w:style w:type="paragraph" w:styleId="1299">
    <w:name w:val="Char Char1 Char Char Char Char Char Char Char Char"/>
    <w:basedOn w:val="1101"/>
    <w:next w:val="1299"/>
    <w:link w:val="1101"/>
    <w:qFormat/>
    <w:pPr>
      <w:jc w:val="left"/>
      <w:spacing w:after="160" w:line="240" w:lineRule="exact"/>
      <w:widowControl/>
    </w:pPr>
    <w:rPr>
      <w:rFonts w:ascii="Verdana" w:hAnsi="Verdana"/>
      <w:sz w:val="20"/>
      <w:szCs w:val="20"/>
      <w:lang w:eastAsia="en-US"/>
    </w:rPr>
  </w:style>
  <w:style w:type="paragraph" w:styleId="1300">
    <w:name w:val="background1"/>
    <w:basedOn w:val="1101"/>
    <w:next w:val="1300"/>
    <w:link w:val="1101"/>
    <w:qFormat/>
    <w:pPr>
      <w:jc w:val="left"/>
      <w:spacing w:before="100" w:beforeAutospacing="1" w:after="100" w:afterAutospacing="1"/>
      <w:widowControl/>
    </w:pPr>
    <w:rPr>
      <w:rFonts w:ascii="宋体" w:hAnsi="宋体" w:cs="宋体"/>
      <w:sz w:val="24"/>
    </w:rPr>
  </w:style>
  <w:style w:type="paragraph" w:styleId="1301">
    <w:name w:val="xl24"/>
    <w:basedOn w:val="1101"/>
    <w:next w:val="1301"/>
    <w:link w:val="11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2">
    <w:name w:val="Char Char Char Char Char Char Char"/>
    <w:basedOn w:val="1101"/>
    <w:next w:val="1302"/>
    <w:link w:val="1101"/>
    <w:qFormat/>
    <w:pPr>
      <w:ind w:firstLine="200"/>
      <w:spacing w:line="360" w:lineRule="auto"/>
    </w:pPr>
    <w:rPr>
      <w:rFonts w:eastAsia="仿宋_GB2312"/>
      <w:sz w:val="24"/>
    </w:rPr>
  </w:style>
  <w:style w:type="paragraph" w:styleId="1303">
    <w:name w:val="Table Paragraph"/>
    <w:basedOn w:val="1101"/>
    <w:next w:val="1303"/>
    <w:link w:val="1101"/>
    <w:uiPriority w:val="1"/>
    <w:qFormat/>
    <w:pPr>
      <w:jc w:val="left"/>
    </w:pPr>
    <w:rPr>
      <w:rFonts w:ascii="宋体" w:hAnsi="宋体" w:cs="宋体"/>
      <w:sz w:val="22"/>
      <w:szCs w:val="22"/>
      <w:lang w:eastAsia="en-US"/>
    </w:rPr>
  </w:style>
  <w:style w:type="paragraph" w:styleId="1304">
    <w:name w:val="五级条标题"/>
    <w:basedOn w:val="1296"/>
    <w:next w:val="1101"/>
    <w:link w:val="1101"/>
    <w:qFormat/>
    <w:pPr>
      <w:numPr>
        <w:ilvl w:val="5"/>
      </w:numPr>
      <w:ind w:left="0" w:hanging="840"/>
      <w:tabs>
        <w:tab w:val="left" w:pos="360" w:leader="none"/>
        <w:tab w:val="left" w:pos="840" w:leader="none"/>
      </w:tabs>
      <w:outlineLvl w:val="5"/>
    </w:pPr>
  </w:style>
  <w:style w:type="paragraph" w:styleId="1305">
    <w:name w:val="正文列项_数字"/>
    <w:basedOn w:val="1101"/>
    <w:next w:val="1305"/>
    <w:link w:val="1101"/>
    <w:qFormat/>
    <w:pPr>
      <w:numPr>
        <w:ilvl w:val="7"/>
        <w:numId w:val="4"/>
      </w:numPr>
      <w:ind w:left="680" w:hanging="150"/>
      <w:spacing w:line="460" w:lineRule="exact"/>
      <w:tabs>
        <w:tab w:val="clear" w:pos="860" w:leader="none"/>
      </w:tabs>
      <w:outlineLvl w:val="7"/>
    </w:pPr>
    <w:rPr>
      <w:rFonts w:ascii="宋体"/>
      <w:sz w:val="28"/>
      <w:szCs w:val="20"/>
    </w:rPr>
  </w:style>
  <w:style w:type="paragraph" w:styleId="1306">
    <w:name w:val="Char1"/>
    <w:basedOn w:val="1101"/>
    <w:next w:val="1306"/>
    <w:link w:val="1101"/>
    <w:qFormat/>
    <w:pPr>
      <w:tabs>
        <w:tab w:val="left" w:pos="360" w:leader="none"/>
      </w:tabs>
    </w:pPr>
    <w:rPr>
      <w:sz w:val="24"/>
    </w:rPr>
  </w:style>
  <w:style w:type="paragraph" w:styleId="1307">
    <w:name w:val="样式2"/>
    <w:basedOn w:val="1164"/>
    <w:next w:val="1307"/>
    <w:link w:val="1101"/>
    <w:qFormat/>
    <w:pPr>
      <w:jc w:val="center"/>
      <w:spacing w:line="360" w:lineRule="auto"/>
    </w:pPr>
    <w:rPr>
      <w:sz w:val="24"/>
    </w:rPr>
  </w:style>
  <w:style w:type="paragraph" w:styleId="1308">
    <w:name w:val="xl32"/>
    <w:basedOn w:val="1101"/>
    <w:next w:val="1308"/>
    <w:link w:val="110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9">
    <w:name w:val="Char Char1"/>
    <w:basedOn w:val="1128"/>
    <w:next w:val="1309"/>
    <w:link w:val="1101"/>
    <w:qFormat/>
    <w:rPr>
      <w:rFonts w:ascii="Tahoma" w:hAnsi="Tahoma"/>
      <w:sz w:val="24"/>
    </w:rPr>
  </w:style>
  <w:style w:type="paragraph" w:styleId="1310">
    <w:name w:val="xl30"/>
    <w:basedOn w:val="1101"/>
    <w:next w:val="1310"/>
    <w:link w:val="11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1">
    <w:name w:val="正文文本样式 加粗"/>
    <w:basedOn w:val="1272"/>
    <w:next w:val="1311"/>
    <w:link w:val="1101"/>
    <w:qFormat/>
    <w:rPr>
      <w:b/>
    </w:rPr>
  </w:style>
  <w:style w:type="paragraph" w:styleId="1312">
    <w:name w:val="Char Char4"/>
    <w:basedOn w:val="1101"/>
    <w:next w:val="1312"/>
    <w:link w:val="1101"/>
    <w:qFormat/>
    <w:pPr>
      <w:jc w:val="center"/>
      <w:spacing w:line="400" w:lineRule="exact"/>
      <w:widowControl/>
    </w:pPr>
  </w:style>
  <w:style w:type="paragraph" w:styleId="1313">
    <w:name w:val="样式 标题 2 + 宋体 五号 行距: 单倍行距"/>
    <w:basedOn w:val="1103"/>
    <w:next w:val="1313"/>
    <w:link w:val="1101"/>
    <w:qFormat/>
    <w:pPr>
      <w:numPr>
        <w:ilvl w:val="1"/>
        <w:numId w:val="7"/>
      </w:numPr>
      <w:jc w:val="left"/>
      <w:spacing w:before="260" w:after="260" w:line="240" w:lineRule="auto"/>
      <w:tabs>
        <w:tab w:val="left" w:pos="1188" w:leader="none"/>
      </w:tabs>
    </w:pPr>
    <w:rPr>
      <w:rFonts w:ascii="宋体" w:hAnsi="宋体" w:eastAsia="宋体"/>
      <w:bCs/>
      <w:sz w:val="21"/>
    </w:rPr>
  </w:style>
  <w:style w:type="paragraph" w:styleId="1314">
    <w:name w:val="表格1"/>
    <w:basedOn w:val="1101"/>
    <w:next w:val="1314"/>
    <w:link w:val="1101"/>
    <w:qFormat/>
    <w:pPr>
      <w:ind w:firstLine="480"/>
      <w:jc w:val="center"/>
    </w:pPr>
    <w:rPr>
      <w:sz w:val="24"/>
      <w:szCs w:val="20"/>
    </w:rPr>
  </w:style>
  <w:style w:type="paragraph" w:styleId="1315">
    <w:name w:val="项目符号1"/>
    <w:basedOn w:val="1272"/>
    <w:next w:val="1315"/>
    <w:link w:val="1101"/>
    <w:qFormat/>
    <w:pPr>
      <w:ind w:left="-25" w:firstLine="0"/>
    </w:pPr>
  </w:style>
  <w:style w:type="paragraph" w:styleId="1316">
    <w:name w:val="xl27"/>
    <w:basedOn w:val="1101"/>
    <w:next w:val="1316"/>
    <w:link w:val="11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17">
    <w:name w:val="字元 字元2"/>
    <w:basedOn w:val="1101"/>
    <w:next w:val="1317"/>
    <w:link w:val="1101"/>
    <w:qFormat/>
    <w:rPr>
      <w:rFonts w:ascii="Tahoma" w:hAnsi="Tahoma"/>
      <w:sz w:val="24"/>
      <w:szCs w:val="20"/>
    </w:rPr>
  </w:style>
  <w:style w:type="paragraph" w:styleId="1318">
    <w:name w:val="图文"/>
    <w:basedOn w:val="1101"/>
    <w:next w:val="1318"/>
    <w:link w:val="1101"/>
    <w:qFormat/>
    <w:pPr>
      <w:spacing w:after="50" w:line="360" w:lineRule="auto"/>
    </w:pPr>
    <w:rPr>
      <w:sz w:val="24"/>
    </w:rPr>
  </w:style>
  <w:style w:type="paragraph" w:styleId="1319">
    <w:name w:val="xl53"/>
    <w:basedOn w:val="1101"/>
    <w:next w:val="1319"/>
    <w:link w:val="11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0">
    <w:name w:val="22222222222222"/>
    <w:basedOn w:val="1101"/>
    <w:next w:val="1320"/>
    <w:link w:val="1101"/>
    <w:qFormat/>
    <w:pPr>
      <w:ind w:firstLine="480"/>
      <w:jc w:val="left"/>
      <w:spacing w:line="360" w:lineRule="auto"/>
      <w:widowControl/>
    </w:pPr>
    <w:rPr>
      <w:color w:val="ff0000"/>
      <w:sz w:val="24"/>
      <w:szCs w:val="20"/>
    </w:rPr>
  </w:style>
  <w:style w:type="paragraph" w:styleId="1321">
    <w:name w:val="正文缩进11"/>
    <w:basedOn w:val="1101"/>
    <w:next w:val="1321"/>
    <w:link w:val="1101"/>
    <w:uiPriority w:val="99"/>
    <w:qFormat/>
    <w:pPr>
      <w:ind w:firstLine="200"/>
    </w:pPr>
    <w:rPr>
      <w:sz w:val="24"/>
    </w:rPr>
  </w:style>
  <w:style w:type="paragraph" w:styleId="1322">
    <w:name w:val="Char3"/>
    <w:basedOn w:val="1101"/>
    <w:next w:val="1322"/>
    <w:link w:val="1101"/>
    <w:qFormat/>
    <w:pPr>
      <w:tabs>
        <w:tab w:val="left" w:pos="360" w:leader="none"/>
      </w:tabs>
    </w:pPr>
    <w:rPr>
      <w:sz w:val="24"/>
    </w:rPr>
  </w:style>
  <w:style w:type="paragraph" w:styleId="1323">
    <w:name w:val="xl33"/>
    <w:basedOn w:val="1101"/>
    <w:next w:val="1323"/>
    <w:link w:val="11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24">
    <w:name w:val="Char21"/>
    <w:basedOn w:val="1101"/>
    <w:next w:val="1324"/>
    <w:link w:val="1101"/>
    <w:qFormat/>
    <w:rPr>
      <w:rFonts w:ascii="Tahoma" w:hAnsi="Tahoma"/>
      <w:sz w:val="24"/>
      <w:szCs w:val="20"/>
    </w:rPr>
  </w:style>
  <w:style w:type="paragraph" w:styleId="1325">
    <w:name w:val="xl42"/>
    <w:basedOn w:val="1101"/>
    <w:next w:val="1325"/>
    <w:link w:val="11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26">
    <w:name w:val="Char2 Char Char Char Char Char Char1"/>
    <w:basedOn w:val="1101"/>
    <w:next w:val="1326"/>
    <w:link w:val="1101"/>
    <w:qFormat/>
    <w:pPr>
      <w:jc w:val="center"/>
      <w:spacing w:line="400" w:lineRule="exact"/>
      <w:widowControl/>
    </w:pPr>
  </w:style>
  <w:style w:type="paragraph" w:styleId="1327">
    <w:name w:val="xl44"/>
    <w:basedOn w:val="1101"/>
    <w:next w:val="1327"/>
    <w:link w:val="110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28">
    <w:name w:val="xl34"/>
    <w:basedOn w:val="1101"/>
    <w:next w:val="1328"/>
    <w:link w:val="11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29">
    <w:name w:val="标题1-附件"/>
    <w:basedOn w:val="1102"/>
    <w:next w:val="1329"/>
    <w:link w:val="1101"/>
    <w:qFormat/>
    <w:pPr>
      <w:jc w:val="left"/>
    </w:pPr>
    <w:rPr>
      <w:sz w:val="24"/>
      <w:szCs w:val="24"/>
    </w:rPr>
  </w:style>
  <w:style w:type="paragraph" w:styleId="1330">
    <w:name w:val="xl51"/>
    <w:basedOn w:val="1101"/>
    <w:next w:val="1330"/>
    <w:link w:val="110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1">
    <w:name w:val="xl48"/>
    <w:basedOn w:val="1101"/>
    <w:next w:val="1331"/>
    <w:link w:val="11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32">
    <w:name w:val="Char Char1 Char Char Char Char Char Char1"/>
    <w:basedOn w:val="1101"/>
    <w:next w:val="1332"/>
    <w:link w:val="1101"/>
    <w:qFormat/>
    <w:pPr>
      <w:jc w:val="left"/>
      <w:spacing w:after="160" w:line="240" w:lineRule="exact"/>
      <w:widowControl/>
    </w:pPr>
    <w:rPr>
      <w:rFonts w:ascii="Verdana" w:hAnsi="Verdana" w:eastAsia="仿宋_GB2312"/>
      <w:sz w:val="24"/>
      <w:szCs w:val="20"/>
      <w:lang w:eastAsia="en-US"/>
    </w:rPr>
  </w:style>
  <w:style w:type="paragraph" w:styleId="1333">
    <w:name w:val="font9"/>
    <w:basedOn w:val="1101"/>
    <w:next w:val="1333"/>
    <w:link w:val="1101"/>
    <w:qFormat/>
    <w:pPr>
      <w:jc w:val="left"/>
      <w:spacing w:before="100" w:beforeAutospacing="1" w:after="100" w:afterAutospacing="1"/>
      <w:widowControl/>
    </w:pPr>
    <w:rPr>
      <w:rFonts w:hint="eastAsia" w:ascii="宋体" w:hAnsi="宋体" w:cs="Arial Unicode MS"/>
      <w:color w:val="000000"/>
      <w:sz w:val="20"/>
      <w:szCs w:val="20"/>
    </w:rPr>
  </w:style>
  <w:style w:type="paragraph" w:styleId="1334">
    <w:name w:val="Char Char41"/>
    <w:basedOn w:val="1101"/>
    <w:next w:val="1334"/>
    <w:link w:val="1101"/>
    <w:qFormat/>
    <w:pPr>
      <w:jc w:val="center"/>
      <w:spacing w:line="400" w:lineRule="exact"/>
      <w:widowControl/>
    </w:pPr>
  </w:style>
  <w:style w:type="paragraph" w:styleId="1335">
    <w:name w:val="Char Char Char1 Char1"/>
    <w:basedOn w:val="1101"/>
    <w:next w:val="1335"/>
    <w:link w:val="1101"/>
    <w:qFormat/>
    <w:rPr>
      <w:rFonts w:ascii="Tahoma" w:hAnsi="Tahoma"/>
      <w:sz w:val="24"/>
      <w:szCs w:val="20"/>
    </w:rPr>
  </w:style>
  <w:style w:type="paragraph" w:styleId="1336">
    <w:name w:val="正文文本缩进2"/>
    <w:basedOn w:val="1101"/>
    <w:next w:val="1336"/>
    <w:link w:val="1101"/>
    <w:qFormat/>
    <w:pPr>
      <w:ind w:firstLine="480"/>
      <w:spacing w:line="480" w:lineRule="exact"/>
    </w:pPr>
    <w:rPr>
      <w:rFonts w:ascii="宋体" w:hAnsi="宋体"/>
      <w:sz w:val="24"/>
      <w:lang w:val="zh-CN"/>
    </w:rPr>
  </w:style>
  <w:style w:type="paragraph" w:styleId="1337">
    <w:name w:val="Char Char Char Char Char Char Char Char Char Char"/>
    <w:basedOn w:val="1101"/>
    <w:next w:val="1337"/>
    <w:link w:val="1101"/>
    <w:qFormat/>
  </w:style>
  <w:style w:type="paragraph" w:styleId="1338">
    <w:name w:val="无间隔"/>
    <w:next w:val="1338"/>
    <w:link w:val="1101"/>
    <w:qFormat/>
    <w:pPr>
      <w:jc w:val="both"/>
      <w:widowControl w:val="off"/>
    </w:pPr>
    <w:rPr>
      <w:sz w:val="21"/>
      <w:szCs w:val="24"/>
      <w:lang w:val="en-US" w:eastAsia="zh-CN" w:bidi="ar-SA"/>
    </w:rPr>
  </w:style>
  <w:style w:type="paragraph" w:styleId="1339">
    <w:name w:val="Char3 Char Char Char1"/>
    <w:basedOn w:val="1101"/>
    <w:next w:val="1339"/>
    <w:link w:val="1101"/>
    <w:qFormat/>
    <w:rPr>
      <w:rFonts w:ascii="Tahoma" w:hAnsi="Tahoma"/>
      <w:sz w:val="24"/>
      <w:szCs w:val="20"/>
    </w:rPr>
  </w:style>
  <w:style w:type="paragraph" w:styleId="1340">
    <w:name w:val="Char Char Char Char Char Char Char2"/>
    <w:basedOn w:val="1101"/>
    <w:next w:val="1340"/>
    <w:link w:val="1101"/>
    <w:qFormat/>
    <w:pPr>
      <w:ind w:firstLine="200"/>
      <w:spacing w:line="360" w:lineRule="auto"/>
    </w:pPr>
    <w:rPr>
      <w:rFonts w:eastAsia="仿宋_GB2312"/>
      <w:sz w:val="24"/>
    </w:rPr>
  </w:style>
  <w:style w:type="paragraph" w:styleId="1341">
    <w:name w:val="xl28"/>
    <w:basedOn w:val="1101"/>
    <w:next w:val="1341"/>
    <w:link w:val="11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42">
    <w:name w:val="xl47"/>
    <w:basedOn w:val="1101"/>
    <w:next w:val="1342"/>
    <w:link w:val="110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3">
    <w:name w:val="xl31"/>
    <w:basedOn w:val="1101"/>
    <w:next w:val="1343"/>
    <w:link w:val="110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44">
    <w:name w:val="xl23"/>
    <w:basedOn w:val="1101"/>
    <w:next w:val="1344"/>
    <w:link w:val="1101"/>
    <w:qFormat/>
    <w:pPr>
      <w:spacing w:before="100" w:beforeAutospacing="1" w:after="100" w:afterAutospacing="1" w:line="360" w:lineRule="auto"/>
      <w:widowControl/>
    </w:pPr>
    <w:rPr>
      <w:sz w:val="24"/>
      <w:szCs w:val="20"/>
    </w:rPr>
  </w:style>
  <w:style w:type="paragraph" w:styleId="1345">
    <w:name w:val="正文 + 楷体_GB2312"/>
    <w:basedOn w:val="1101"/>
    <w:next w:val="1345"/>
    <w:link w:val="1101"/>
    <w:qFormat/>
    <w:pPr>
      <w:jc w:val="left"/>
      <w:widowControl/>
    </w:pPr>
    <w:rPr>
      <w:rFonts w:ascii="楷体_GB2312" w:eastAsia="楷体_GB2312" w:cs="Arial"/>
      <w:sz w:val="24"/>
    </w:rPr>
  </w:style>
  <w:style w:type="paragraph" w:styleId="1346">
    <w:name w:val="Char Char Char Char Char Char Char Char Char Char Char Char Char Char Char Char1"/>
    <w:basedOn w:val="1101"/>
    <w:next w:val="1346"/>
    <w:link w:val="1101"/>
    <w:qFormat/>
    <w:pPr>
      <w:jc w:val="center"/>
      <w:spacing w:after="160" w:line="240" w:lineRule="exact"/>
      <w:widowControl/>
    </w:pPr>
    <w:rPr>
      <w:rFonts w:ascii="宋体" w:hAnsi="宋体"/>
      <w:b/>
      <w:sz w:val="30"/>
      <w:szCs w:val="30"/>
      <w:lang w:eastAsia="en-US"/>
    </w:rPr>
  </w:style>
  <w:style w:type="paragraph" w:styleId="1347">
    <w:name w:val="Char Char Char Char Char Char Char1"/>
    <w:basedOn w:val="1101"/>
    <w:next w:val="1347"/>
    <w:link w:val="1101"/>
    <w:qFormat/>
    <w:pPr>
      <w:ind w:firstLine="200"/>
      <w:spacing w:line="360" w:lineRule="auto"/>
    </w:pPr>
    <w:rPr>
      <w:rFonts w:eastAsia="仿宋_GB2312"/>
      <w:sz w:val="24"/>
    </w:rPr>
  </w:style>
  <w:style w:type="paragraph" w:styleId="1348">
    <w:name w:val="索引 11"/>
    <w:basedOn w:val="1101"/>
    <w:next w:val="1101"/>
    <w:link w:val="1101"/>
    <w:qFormat/>
    <w:pPr>
      <w:spacing w:line="360" w:lineRule="auto"/>
    </w:pPr>
    <w:rPr>
      <w:rFonts w:ascii="仿宋_GB2312" w:eastAsia="仿宋_GB2312"/>
      <w:sz w:val="24"/>
      <w:szCs w:val="20"/>
    </w:rPr>
  </w:style>
  <w:style w:type="paragraph" w:styleId="1349">
    <w:name w:val="Char Char Char1 Char2"/>
    <w:basedOn w:val="1101"/>
    <w:next w:val="1349"/>
    <w:link w:val="1101"/>
    <w:qFormat/>
    <w:rPr>
      <w:rFonts w:ascii="Tahoma" w:hAnsi="Tahoma"/>
      <w:sz w:val="24"/>
      <w:szCs w:val="20"/>
    </w:rPr>
  </w:style>
  <w:style w:type="paragraph" w:styleId="1350">
    <w:name w:val="xl29"/>
    <w:basedOn w:val="1101"/>
    <w:next w:val="1350"/>
    <w:link w:val="11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51">
    <w:name w:val="图例"/>
    <w:basedOn w:val="1101"/>
    <w:next w:val="1351"/>
    <w:link w:val="1101"/>
    <w:qFormat/>
    <w:pPr>
      <w:jc w:val="center"/>
      <w:spacing w:before="120" w:after="120" w:line="360" w:lineRule="auto"/>
    </w:pPr>
    <w:rPr>
      <w:rFonts w:eastAsia="仿宋_GB2312"/>
      <w:b/>
      <w:sz w:val="24"/>
      <w:szCs w:val="20"/>
    </w:rPr>
  </w:style>
  <w:style w:type="paragraph" w:styleId="1352">
    <w:name w:val="_Style 160"/>
    <w:next w:val="1352"/>
    <w:link w:val="1101"/>
    <w:qFormat/>
    <w:rPr>
      <w:sz w:val="21"/>
      <w:szCs w:val="24"/>
      <w:lang w:val="en-US" w:eastAsia="zh-CN" w:bidi="ar-SA"/>
    </w:rPr>
  </w:style>
  <w:style w:type="paragraph" w:styleId="1353">
    <w:name w:val="p0"/>
    <w:basedOn w:val="1101"/>
    <w:next w:val="1353"/>
    <w:link w:val="1101"/>
    <w:qFormat/>
    <w:pPr>
      <w:widowControl/>
    </w:pPr>
    <w:rPr>
      <w:szCs w:val="21"/>
    </w:rPr>
  </w:style>
  <w:style w:type="paragraph" w:styleId="1354">
    <w:name w:val="Char2 Char Char Char Char Char Char"/>
    <w:basedOn w:val="1101"/>
    <w:next w:val="1354"/>
    <w:link w:val="1101"/>
    <w:qFormat/>
    <w:pPr>
      <w:jc w:val="center"/>
      <w:spacing w:line="400" w:lineRule="exact"/>
      <w:widowControl/>
    </w:pPr>
  </w:style>
  <w:style w:type="paragraph" w:styleId="1355">
    <w:name w:val="正文缩进2"/>
    <w:basedOn w:val="1101"/>
    <w:next w:val="1355"/>
    <w:link w:val="1101"/>
    <w:qFormat/>
    <w:pPr>
      <w:ind w:firstLine="567"/>
      <w:spacing w:line="480" w:lineRule="exact"/>
      <w:widowControl/>
    </w:pPr>
    <w:rPr>
      <w:rFonts w:ascii="宋体"/>
      <w:color w:val="000000"/>
      <w:sz w:val="28"/>
      <w:szCs w:val="20"/>
      <w:lang w:val="zh-CN"/>
    </w:rPr>
  </w:style>
  <w:style w:type="paragraph" w:styleId="1356">
    <w:name w:val="修订1"/>
    <w:next w:val="1356"/>
    <w:link w:val="1101"/>
    <w:qFormat/>
    <w:rPr>
      <w:sz w:val="21"/>
      <w:szCs w:val="24"/>
      <w:lang w:val="en-US" w:eastAsia="zh-CN" w:bidi="ar-SA"/>
    </w:rPr>
  </w:style>
  <w:style w:type="table" w:styleId="1357">
    <w:name w:val="Table Normal"/>
    <w:next w:val="1357"/>
    <w:link w:val="1101"/>
    <w:uiPriority w:val="2"/>
    <w:unhideWhenUsed/>
    <w:qFormat/>
    <w:pPr>
      <w:widowControl w:val="off"/>
    </w:pPr>
    <w:rPr>
      <w:rFonts w:ascii="Calibri" w:hAnsi="Calibri"/>
      <w:sz w:val="22"/>
      <w:szCs w:val="22"/>
      <w:lang w:val="en-US" w:eastAsia="en-US" w:bidi="ar-SA"/>
    </w:rPr>
    <w:tblPr/>
  </w:style>
  <w:style w:type="paragraph" w:styleId="1358">
    <w:name w:val="样式1"/>
    <w:basedOn w:val="1103"/>
    <w:next w:val="1358"/>
    <w:link w:val="1101"/>
    <w:qFormat/>
    <w:pPr>
      <w:ind w:right="100"/>
      <w:spacing w:before="100" w:beforeAutospacing="1" w:after="100" w:afterAutospacing="1"/>
    </w:pPr>
    <w:rPr>
      <w:sz w:val="21"/>
    </w:rPr>
  </w:style>
  <w:style w:type="character" w:styleId="1359">
    <w:name w:val="sp"/>
    <w:next w:val="1359"/>
    <w:link w:val="1101"/>
    <w:qFormat/>
    <w:rPr>
      <w:color w:val="ffffff"/>
      <w:shd w:val="clear" w:color="auto" w:fill="dddddd"/>
    </w:rPr>
  </w:style>
  <w:style w:type="character" w:styleId="1360">
    <w:name w:val="disabled"/>
    <w:next w:val="1360"/>
    <w:link w:val="1101"/>
    <w:qFormat/>
    <w:rPr>
      <w:color w:val="38322d"/>
    </w:rPr>
  </w:style>
  <w:style w:type="character" w:styleId="1361">
    <w:name w:val="current"/>
    <w:next w:val="1361"/>
    <w:link w:val="1101"/>
    <w:qFormat/>
    <w:rPr>
      <w:b/>
      <w:bCs/>
      <w:color w:val="ffffff"/>
      <w:shd w:val="clear" w:color="auto" w:fill="38322d"/>
    </w:rPr>
  </w:style>
  <w:style w:type="character" w:styleId="1362">
    <w:name w:val="NormalCharacter1"/>
    <w:next w:val="1362"/>
    <w:link w:val="1101"/>
    <w:qFormat/>
    <w:rPr>
      <w:rFonts w:ascii="Times New Roman" w:hAnsi="Times New Roman" w:eastAsia="宋体" w:cs="Times New Roman"/>
      <w:sz w:val="21"/>
      <w:szCs w:val="24"/>
      <w:lang w:val="en-US" w:eastAsia="zh-CN" w:bidi="ar-SA"/>
    </w:rPr>
  </w:style>
  <w:style w:type="paragraph" w:styleId="1363">
    <w:name w:val="普通(网站)1"/>
    <w:basedOn w:val="1101"/>
    <w:next w:val="1363"/>
    <w:link w:val="1101"/>
    <w:uiPriority w:val="99"/>
    <w:unhideWhenUsed/>
    <w:qFormat/>
    <w:pPr>
      <w:jc w:val="left"/>
      <w:spacing w:before="100" w:beforeAutospacing="1" w:after="100" w:afterAutospacing="1"/>
      <w:widowControl/>
    </w:pPr>
    <w:rPr>
      <w:rFonts w:ascii="宋体" w:hAnsi="宋体" w:cs="宋体"/>
      <w:sz w:val="24"/>
    </w:rPr>
  </w:style>
  <w:style w:type="paragraph" w:styleId="1364">
    <w:name w:val="表 靠左"/>
    <w:basedOn w:val="1365"/>
    <w:next w:val="1364"/>
    <w:link w:val="1101"/>
    <w:qFormat/>
    <w:pPr>
      <w:jc w:val="left"/>
    </w:pPr>
    <w:rPr>
      <w:rFonts w:ascii="宋体" w:hAnsi="宋体" w:eastAsia="宋体"/>
    </w:rPr>
  </w:style>
  <w:style w:type="paragraph" w:styleId="1365">
    <w:name w:val="表"/>
    <w:basedOn w:val="1101"/>
    <w:next w:val="1101"/>
    <w:link w:val="1101"/>
    <w:uiPriority w:val="7"/>
    <w:qFormat/>
    <w:pPr>
      <w:ind w:firstLine="0"/>
      <w:jc w:val="center"/>
      <w:spacing w:line="240" w:lineRule="auto"/>
    </w:pPr>
  </w:style>
  <w:style w:type="paragraph" w:styleId="1366">
    <w:name w:val="列表段落1"/>
    <w:basedOn w:val="1101"/>
    <w:next w:val="1366"/>
    <w:link w:val="1101"/>
    <w:uiPriority w:val="34"/>
    <w:qFormat/>
    <w:pPr>
      <w:ind w:firstLine="420"/>
    </w:pPr>
  </w:style>
  <w:style w:type="paragraph" w:styleId="1367">
    <w:name w:val="首行缩进"/>
    <w:basedOn w:val="1101"/>
    <w:next w:val="1367"/>
    <w:link w:val="1101"/>
    <w:qFormat/>
    <w:pPr>
      <w:ind w:firstLine="480"/>
    </w:pPr>
    <w:rPr>
      <w:rFonts w:ascii="宋体" w:hAnsi="宋体" w:cs="宋体"/>
      <w:szCs w:val="22"/>
    </w:rPr>
  </w:style>
  <w:style w:type="paragraph" w:styleId="1368">
    <w:name w:val="0- 正文"/>
    <w:basedOn w:val="1101"/>
    <w:next w:val="1368"/>
    <w:link w:val="1101"/>
    <w:qFormat/>
    <w:pPr>
      <w:ind w:firstLine="482"/>
      <w:jc w:val="left"/>
      <w:spacing w:line="360" w:lineRule="auto"/>
      <w:widowControl/>
    </w:pPr>
    <w:rPr>
      <w:rFonts w:ascii="Calibri" w:hAnsi="Calibri" w:eastAsia="宋体" w:cs="Times New Roman"/>
      <w:sz w:val="24"/>
      <w:szCs w:val="22"/>
    </w:rPr>
  </w:style>
  <w:style w:type="paragraph" w:styleId="1369">
    <w:name w:val="修订"/>
    <w:next w:val="1369"/>
    <w:link w:val="1101"/>
    <w:uiPriority w:val="99"/>
    <w:unhideWhenUsed/>
    <w:rPr>
      <w:sz w:val="21"/>
      <w:szCs w:val="24"/>
      <w:lang w:val="en-US" w:eastAsia="zh-CN" w:bidi="ar-SA"/>
    </w:rPr>
  </w:style>
  <w:style w:type="paragraph" w:styleId="1370">
    <w:name w:val="表格正文"/>
    <w:basedOn w:val="1101"/>
    <w:next w:val="1370"/>
    <w:link w:val="1101"/>
    <w:qFormat/>
    <w:pPr>
      <w:ind w:firstLine="480"/>
      <w:jc w:val="left"/>
      <w:spacing w:line="400" w:lineRule="exact"/>
    </w:pPr>
    <w:rPr>
      <w:rFonts w:hint="eastAsia" w:ascii="仿宋_GB2312" w:hAnsi="仿宋_GB2312" w:eastAsia="仿宋_GB2312" w:cs="仿宋_GB2312"/>
      <w:bCs/>
      <w:sz w:val="24"/>
    </w:rPr>
  </w:style>
  <w:style w:type="paragraph" w:styleId="1371">
    <w:name w:val="批注文字1"/>
    <w:basedOn w:val="1101"/>
    <w:next w:val="1371"/>
    <w:link w:val="1101"/>
    <w:uiPriority w:val="99"/>
    <w:qFormat/>
    <w:pPr>
      <w:jc w:val="left"/>
    </w:pPr>
  </w:style>
  <w:style w:type="paragraph" w:styleId="1372">
    <w:name w:val="表内文字居中"/>
    <w:next w:val="1372"/>
    <w:link w:val="1101"/>
    <w:qFormat/>
    <w:pPr>
      <w:jc w:val="center"/>
    </w:pPr>
    <w:rPr>
      <w:sz w:val="24"/>
      <w:szCs w:val="24"/>
      <w:lang w:val="en-US" w:eastAsia="zh-CN" w:bidi="ar-SA"/>
    </w:rPr>
  </w:style>
  <w:style w:type="paragraph" w:styleId="1373">
    <w:name w:val="一、"/>
    <w:basedOn w:val="1101"/>
    <w:next w:val="1373"/>
    <w:link w:val="1101"/>
    <w:qFormat/>
    <w:pPr>
      <w:ind w:firstLine="640"/>
    </w:pPr>
    <w:rPr>
      <w:rFonts w:eastAsia="黑体"/>
      <w:szCs w:val="32"/>
    </w:rPr>
  </w:style>
  <w:style w:type="paragraph" w:styleId="1374">
    <w:name w:val="正文文本1"/>
    <w:basedOn w:val="1101"/>
    <w:next w:val="1374"/>
    <w:link w:val="1101"/>
    <w:unhideWhenUsed/>
    <w:qFormat/>
    <w:pPr>
      <w:jc w:val="both"/>
      <w:spacing w:before="240" w:after="360" w:line="307" w:lineRule="exact"/>
      <w:shd w:val="clear" w:color="auto" w:fill="ffffff"/>
    </w:pPr>
    <w:rPr>
      <w:rFonts w:hint="eastAsia" w:ascii="MingLiU" w:hAnsi="MingLiU" w:eastAsia="MingLiU"/>
      <w:spacing w:val="10"/>
      <w:sz w:val="23"/>
    </w:rPr>
  </w:style>
  <w:style w:type="character" w:styleId="1375" w:default="1">
    <w:name w:val="Default Paragraph Font"/>
    <w:uiPriority w:val="1"/>
    <w:semiHidden/>
    <w:unhideWhenUsed/>
  </w:style>
  <w:style w:type="numbering" w:styleId="1376" w:default="1">
    <w:name w:val="No List"/>
    <w:uiPriority w:val="99"/>
    <w:semiHidden/>
    <w:unhideWhenUsed/>
  </w:style>
  <w:style w:type="table" w:styleId="13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s>
</file>

<file path=word/_rels/header4.xml.rels><?xml version="1.0" encoding="UTF-8" standalone="yes"?><Relationships xmlns="http://schemas.openxmlformats.org/package/2006/relationships"><Relationship Id="rId1" Type="http://schemas.openxmlformats.org/officeDocument/2006/relationships/image" Target="media/image3.png"/></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c:creator>
  <cp:lastModifiedBy>赵婷</cp:lastModifiedBy>
  <cp:revision>5</cp:revision>
  <dcterms:created xsi:type="dcterms:W3CDTF">2026-06-01T05:49:00Z</dcterms:created>
  <dcterms:modified xsi:type="dcterms:W3CDTF">2026-06-11T08:04:21Z</dcterms:modified>
</cp:coreProperties>
</file>