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z w:val="84"/>
          <w:szCs w:val="84"/>
        </w:rPr>
      </w:pPr>
      <w:r/>
      <w:bookmarkStart w:id="0" w:name="_Hlt460313659"/>
      <w:r/>
      <w:bookmarkEnd w:id="0"/>
      <w:r/>
      <w:bookmarkStart w:id="1" w:name="_Hlt460313661"/>
      <w:r/>
      <w:bookmarkEnd w:id="1"/>
      <w:r/>
      <w:r/>
    </w:p>
    <w:p>
      <w:pPr>
        <w:jc w:val="center"/>
        <w:rPr>
          <w:rFonts w:hint="eastAsia" w:ascii="仿宋" w:hAnsi="仿宋" w:eastAsia="仿宋" w:cs="仿宋"/>
          <w:color w:val="000000"/>
          <w:sz w:val="84"/>
          <w:szCs w:val="84"/>
        </w:rPr>
      </w:pPr>
      <w:r>
        <w:rPr>
          <w:rFonts w:hint="eastAsia" w:ascii="仿宋" w:hAnsi="仿宋" w:eastAsia="仿宋" w:cs="仿宋"/>
          <w:color w:val="000000"/>
          <w:sz w:val="84"/>
          <w:szCs w:val="84"/>
        </w:rPr>
      </w:r>
      <w:r/>
    </w:p>
    <w:p>
      <w:pPr>
        <w:jc w:val="center"/>
        <w:rPr>
          <w:rFonts w:hint="eastAsia" w:ascii="仿宋" w:hAnsi="仿宋" w:eastAsia="仿宋" w:cs="仿宋"/>
          <w:color w:val="000000"/>
          <w:sz w:val="84"/>
          <w:szCs w:val="84"/>
        </w:rPr>
      </w:pPr>
      <w:r>
        <w:rPr>
          <w:rFonts w:hint="eastAsia" w:ascii="仿宋" w:hAnsi="仿宋" w:eastAsia="仿宋" w:cs="仿宋"/>
          <w:color w:val="000000"/>
          <w:sz w:val="84"/>
          <w:szCs w:val="84"/>
        </w:rPr>
        <w:t xml:space="preserve">竞争性磋商文件</w:t>
      </w:r>
      <w:r/>
    </w:p>
    <w:p>
      <w:pPr>
        <w:rPr>
          <w:rFonts w:hint="eastAsia" w:ascii="仿宋" w:hAnsi="仿宋" w:eastAsia="仿宋" w:cs="仿宋"/>
          <w:color w:val="000000"/>
          <w:sz w:val="32"/>
        </w:rPr>
      </w:pPr>
      <w:r>
        <w:rPr>
          <w:rFonts w:hint="eastAsia" w:ascii="仿宋" w:hAnsi="仿宋" w:eastAsia="仿宋" w:cs="仿宋"/>
          <w:color w:val="000000"/>
          <w:sz w:val="32"/>
        </w:rPr>
      </w:r>
      <w:r/>
    </w:p>
    <w:p>
      <w:pPr>
        <w:ind w:firstLine="1760"/>
        <w:rPr>
          <w:rFonts w:hint="eastAsia" w:ascii="仿宋" w:hAnsi="仿宋" w:eastAsia="仿宋" w:cs="仿宋"/>
          <w:color w:val="000000"/>
          <w:sz w:val="44"/>
        </w:rPr>
      </w:pPr>
      <w:r>
        <w:rPr>
          <w:rFonts w:hint="eastAsia" w:ascii="仿宋" w:hAnsi="仿宋" w:eastAsia="仿宋" w:cs="仿宋"/>
          <w:color w:val="000000"/>
          <w:sz w:val="44"/>
        </w:rPr>
      </w:r>
      <w:r/>
    </w:p>
    <w:p>
      <w:pPr>
        <w:ind w:firstLine="1760"/>
        <w:rPr>
          <w:rFonts w:hint="eastAsia" w:ascii="仿宋" w:hAnsi="仿宋" w:eastAsia="仿宋" w:cs="仿宋"/>
          <w:color w:val="000000"/>
          <w:sz w:val="44"/>
        </w:rPr>
      </w:pPr>
      <w:r>
        <w:rPr>
          <w:rFonts w:hint="eastAsia" w:ascii="仿宋" w:hAnsi="仿宋" w:eastAsia="仿宋" w:cs="仿宋"/>
          <w:color w:val="000000"/>
          <w:sz w:val="44"/>
        </w:rPr>
      </w:r>
      <w:r/>
    </w:p>
    <w:p>
      <w:pPr>
        <w:ind w:firstLine="1760"/>
        <w:rPr>
          <w:rFonts w:hint="eastAsia" w:ascii="仿宋" w:hAnsi="仿宋" w:eastAsia="仿宋" w:cs="仿宋"/>
          <w:color w:val="000000"/>
          <w:sz w:val="44"/>
        </w:rPr>
      </w:pPr>
      <w:r/>
      <w:bookmarkStart w:id="95" w:name="_GoBack"/>
      <w:r/>
      <w:bookmarkEnd w:id="95"/>
      <w:r/>
      <w:r/>
    </w:p>
    <w:p>
      <w:pPr>
        <w:spacing w:line="480" w:lineRule="auto"/>
        <w:rPr>
          <w:rFonts w:hint="eastAsia" w:ascii="仿宋" w:hAnsi="仿宋" w:eastAsia="仿宋" w:cs="仿宋"/>
          <w:color w:val="000000"/>
          <w:sz w:val="44"/>
        </w:rPr>
      </w:pPr>
      <w:r>
        <w:rPr>
          <w:rFonts w:hint="eastAsia" w:ascii="仿宋" w:hAnsi="仿宋" w:eastAsia="仿宋" w:cs="仿宋"/>
          <w:color w:val="000000"/>
          <w:sz w:val="44"/>
        </w:rPr>
        <w:tab/>
      </w:r>
      <w:r>
        <w:rPr>
          <w:rFonts w:hint="eastAsia" w:ascii="仿宋" w:hAnsi="仿宋" w:eastAsia="仿宋" w:cs="仿宋"/>
          <w:color w:val="000000"/>
          <w:sz w:val="44"/>
        </w:rPr>
        <w:tab/>
      </w:r>
      <w:r>
        <w:rPr>
          <w:rFonts w:hint="eastAsia" w:ascii="仿宋" w:hAnsi="仿宋" w:eastAsia="仿宋" w:cs="仿宋"/>
          <w:color w:val="000000"/>
          <w:sz w:val="44"/>
        </w:rPr>
        <w:t xml:space="preserve">项目编号：JSZC-320115-JSXN-C2026-0003</w:t>
      </w:r>
      <w:r/>
    </w:p>
    <w:p>
      <w:pPr>
        <w:spacing w:line="480" w:lineRule="auto"/>
        <w:rPr>
          <w:rFonts w:hint="eastAsia" w:ascii="仿宋" w:hAnsi="仿宋" w:eastAsia="仿宋" w:cs="仿宋"/>
          <w:color w:val="000000"/>
          <w:sz w:val="44"/>
        </w:rPr>
      </w:pPr>
      <w:r>
        <w:rPr>
          <w:rFonts w:hint="eastAsia" w:ascii="仿宋" w:hAnsi="仿宋" w:eastAsia="仿宋" w:cs="仿宋"/>
          <w:color w:val="000000"/>
          <w:sz w:val="44"/>
        </w:rPr>
        <w:tab/>
      </w:r>
      <w:r>
        <w:rPr>
          <w:rFonts w:hint="eastAsia" w:ascii="仿宋" w:hAnsi="仿宋" w:eastAsia="仿宋" w:cs="仿宋"/>
          <w:color w:val="000000"/>
          <w:sz w:val="44"/>
        </w:rPr>
        <w:tab/>
      </w:r>
      <w:r>
        <w:rPr>
          <w:rFonts w:hint="eastAsia" w:ascii="仿宋" w:hAnsi="仿宋" w:eastAsia="仿宋" w:cs="仿宋"/>
          <w:color w:val="000000"/>
          <w:sz w:val="44"/>
        </w:rPr>
        <w:t xml:space="preserve">项目名称：</w:t>
      </w:r>
      <w:r>
        <w:rPr>
          <w:rFonts w:ascii="仿宋" w:hAnsi="仿宋" w:eastAsia="仿宋" w:cs="仿宋"/>
          <w:color w:val="000000"/>
          <w:sz w:val="44"/>
        </w:rPr>
        <w:t xml:space="preserve">江宁开发区2026年度涉林项目报批咨询服务</w:t>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44"/>
        </w:rPr>
      </w:pPr>
      <w:r>
        <w:rPr>
          <w:rFonts w:hint="eastAsia" w:ascii="仿宋" w:hAnsi="仿宋" w:eastAsia="仿宋" w:cs="仿宋"/>
          <w:color w:val="000000"/>
          <w:sz w:val="44"/>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江苏祥能工程项目管理有限公司</w:t>
      </w:r>
      <w:r/>
    </w:p>
    <w:p>
      <w:pPr>
        <w:jc w:val="center"/>
        <w:rPr>
          <w:rFonts w:hint="eastAsia" w:ascii="仿宋" w:hAnsi="仿宋" w:eastAsia="仿宋" w:cs="仿宋"/>
          <w:color w:val="000000"/>
        </w:rPr>
      </w:pPr>
      <w:r>
        <w:rPr>
          <w:rFonts w:hint="eastAsia" w:ascii="仿宋" w:hAnsi="仿宋" w:eastAsia="仿宋" w:cs="仿宋"/>
          <w:color w:val="000000"/>
          <w:sz w:val="44"/>
        </w:rPr>
        <w:t xml:space="preserve">二〇二六年</w:t>
      </w:r>
      <w:r>
        <w:rPr>
          <w:rFonts w:hint="eastAsia" w:ascii="仿宋" w:hAnsi="仿宋" w:eastAsia="仿宋" w:cs="仿宋"/>
          <w:color w:val="000000"/>
          <w:sz w:val="44"/>
          <w:lang w:val="en-US" w:eastAsia="zh-CN"/>
        </w:rPr>
        <w:t xml:space="preserve">七</w:t>
      </w:r>
      <w:r>
        <w:rPr>
          <w:rFonts w:hint="eastAsia" w:ascii="仿宋" w:hAnsi="仿宋" w:eastAsia="仿宋" w:cs="仿宋"/>
          <w:color w:val="000000"/>
          <w:sz w:val="44"/>
        </w:rPr>
        <w:t xml:space="preserve">月</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color w:val="000000"/>
          <w:sz w:val="30"/>
          <w:szCs w:val="30"/>
        </w:rPr>
      </w:pPr>
      <w:r>
        <w:rPr>
          <w:rFonts w:hint="eastAsia" w:ascii="仿宋" w:hAnsi="仿宋" w:eastAsia="仿宋" w:cs="仿宋"/>
          <w:b/>
          <w:color w:val="000000"/>
          <w:sz w:val="30"/>
          <w:szCs w:val="30"/>
        </w:rPr>
        <w:br w:type="page" w:clear="all"/>
      </w:r>
      <w:r/>
    </w:p>
    <w:p>
      <w:r/>
      <w:r/>
    </w:p>
    <w:p>
      <w:pPr>
        <w:ind w:firstLine="301"/>
        <w:jc w:val="center"/>
        <w:spacing w:line="480" w:lineRule="auto"/>
        <w:tabs>
          <w:tab w:val="left" w:pos="1635" w:leader="none"/>
        </w:tabs>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目 录</w:t>
      </w:r>
      <w:r/>
    </w:p>
    <w:sdt>
      <w:sdtPr>
        <w15:appearance w15:val="boundingBox"/>
        <w15:color w:val="dbdbdb"/>
        <w:id w:val="147477759"/>
        <w:docPartObj>
          <w:docPartGallery w:val="Table of Contents"/>
          <w:docPartUnique w:val="true"/>
        </w:docPartObj>
        <w:rPr>
          <w:rFonts w:ascii="宋体" w:hAnsi="宋体"/>
        </w:rPr>
      </w:sdtPr>
      <w:sdtContent>
        <w:p>
          <w:pPr>
            <w:jc w:val="center"/>
          </w:pPr>
          <w:r/>
          <w:r/>
        </w:p>
        <w:p>
          <w:pPr>
            <w:pStyle w:val="854"/>
            <w:tabs>
              <w:tab w:val="right" w:pos="9746" w:leader="dot"/>
            </w:tabs>
          </w:pPr>
          <w:r>
            <w:fldChar w:fldCharType="begin"/>
          </w:r>
          <w:r>
            <w:instrText xml:space="preserve">TOC \o "1-2" \h \u </w:instrText>
          </w:r>
          <w:r>
            <w:fldChar w:fldCharType="separate"/>
          </w:r>
          <w:r>
            <w:fldChar w:fldCharType="begin"/>
          </w:r>
          <w:r>
            <w:instrText xml:space="preserve"> HYPERLINK \l "_Toc10533" </w:instrText>
          </w:r>
          <w:r>
            <w:fldChar w:fldCharType="separate"/>
          </w:r>
          <w:r>
            <w:rPr>
              <w:rFonts w:hint="eastAsia" w:ascii="仿宋" w:hAnsi="仿宋" w:eastAsia="仿宋" w:cs="仿宋"/>
              <w:szCs w:val="30"/>
            </w:rPr>
            <w:t xml:space="preserve">第一章 磋商邀请</w:t>
          </w:r>
          <w:r>
            <w:tab/>
          </w:r>
          <w:r>
            <w:fldChar w:fldCharType="begin"/>
          </w:r>
          <w:r>
            <w:instrText xml:space="preserve"> PAGEREF _Toc10533 \h </w:instrText>
          </w:r>
          <w:r>
            <w:fldChar w:fldCharType="separate"/>
          </w:r>
          <w:r>
            <w:t xml:space="preserve">3</w:t>
          </w:r>
          <w:r>
            <w:fldChar w:fldCharType="end"/>
          </w:r>
          <w:r>
            <w:fldChar w:fldCharType="end"/>
          </w:r>
          <w:r/>
        </w:p>
        <w:p>
          <w:pPr>
            <w:pStyle w:val="854"/>
            <w:tabs>
              <w:tab w:val="right" w:pos="9746" w:leader="dot"/>
            </w:tabs>
          </w:pPr>
          <w:r>
            <w:fldChar w:fldCharType="begin"/>
          </w:r>
          <w:r>
            <w:instrText xml:space="preserve"> HYPERLINK \l "_Toc8791" </w:instrText>
          </w:r>
          <w:r>
            <w:fldChar w:fldCharType="separate"/>
          </w:r>
          <w:r>
            <w:rPr>
              <w:rFonts w:hint="eastAsia" w:ascii="仿宋" w:hAnsi="仿宋" w:eastAsia="仿宋" w:cs="仿宋"/>
              <w:szCs w:val="30"/>
            </w:rPr>
            <w:t xml:space="preserve">第二章 竞争性磋商须知</w:t>
          </w:r>
          <w:r>
            <w:tab/>
          </w:r>
          <w:r>
            <w:fldChar w:fldCharType="begin"/>
          </w:r>
          <w:r>
            <w:instrText xml:space="preserve"> PAGEREF _Toc8791 \h </w:instrText>
          </w:r>
          <w:r>
            <w:fldChar w:fldCharType="separate"/>
          </w:r>
          <w:r>
            <w:t xml:space="preserve">7</w:t>
          </w:r>
          <w:r>
            <w:fldChar w:fldCharType="end"/>
          </w:r>
          <w:r>
            <w:fldChar w:fldCharType="end"/>
          </w:r>
          <w:r/>
        </w:p>
        <w:p>
          <w:pPr>
            <w:pStyle w:val="854"/>
            <w:tabs>
              <w:tab w:val="right" w:pos="9746" w:leader="dot"/>
            </w:tabs>
          </w:pPr>
          <w:r>
            <w:fldChar w:fldCharType="begin"/>
          </w:r>
          <w:r>
            <w:instrText xml:space="preserve"> HYPERLINK \l "_Toc1537" </w:instrText>
          </w:r>
          <w:r>
            <w:fldChar w:fldCharType="separate"/>
          </w:r>
          <w:r>
            <w:rPr>
              <w:rFonts w:hint="eastAsia" w:ascii="仿宋" w:hAnsi="仿宋" w:eastAsia="仿宋" w:cs="仿宋"/>
              <w:szCs w:val="30"/>
            </w:rPr>
            <w:t xml:space="preserve">第三章 </w:t>
          </w:r>
          <w:r>
            <w:rPr>
              <w:rFonts w:hint="eastAsia" w:ascii="仿宋" w:hAnsi="仿宋" w:eastAsia="仿宋" w:cs="仿宋"/>
              <w:szCs w:val="30"/>
              <w:lang w:val="zh-CN"/>
            </w:rPr>
            <w:t xml:space="preserve">磋商项目需求</w:t>
          </w:r>
          <w:r>
            <w:tab/>
          </w:r>
          <w:r>
            <w:fldChar w:fldCharType="begin"/>
          </w:r>
          <w:r>
            <w:instrText xml:space="preserve"> PAGEREF _Toc1537 \h </w:instrText>
          </w:r>
          <w:r>
            <w:fldChar w:fldCharType="separate"/>
          </w:r>
          <w:r>
            <w:t xml:space="preserve">17</w:t>
          </w:r>
          <w:r>
            <w:fldChar w:fldCharType="end"/>
          </w:r>
          <w:r>
            <w:fldChar w:fldCharType="end"/>
          </w:r>
          <w:r/>
        </w:p>
        <w:p>
          <w:pPr>
            <w:pStyle w:val="854"/>
            <w:tabs>
              <w:tab w:val="right" w:pos="9746" w:leader="dot"/>
            </w:tabs>
          </w:pPr>
          <w:r>
            <w:fldChar w:fldCharType="begin"/>
          </w:r>
          <w:r>
            <w:instrText xml:space="preserve"> HYPERLINK \l "_Toc31287" </w:instrText>
          </w:r>
          <w:r>
            <w:fldChar w:fldCharType="separate"/>
          </w:r>
          <w:r>
            <w:rPr>
              <w:rFonts w:hint="eastAsia" w:ascii="仿宋" w:hAnsi="仿宋" w:eastAsia="仿宋" w:cs="仿宋"/>
              <w:szCs w:val="36"/>
              <w:lang w:val="zh-CN"/>
            </w:rPr>
            <w:t xml:space="preserve">第四章 评分标准</w:t>
          </w:r>
          <w:r>
            <w:tab/>
          </w:r>
          <w:r>
            <w:fldChar w:fldCharType="begin"/>
          </w:r>
          <w:r>
            <w:instrText xml:space="preserve"> PAGEREF _Toc31287 \h </w:instrText>
          </w:r>
          <w:r>
            <w:fldChar w:fldCharType="separate"/>
          </w:r>
          <w:r>
            <w:t xml:space="preserve">20</w:t>
          </w:r>
          <w:r>
            <w:fldChar w:fldCharType="end"/>
          </w:r>
          <w:r>
            <w:fldChar w:fldCharType="end"/>
          </w:r>
          <w:r/>
        </w:p>
        <w:p>
          <w:pPr>
            <w:pStyle w:val="854"/>
            <w:tabs>
              <w:tab w:val="right" w:pos="9746" w:leader="dot"/>
            </w:tabs>
          </w:pPr>
          <w:r>
            <w:fldChar w:fldCharType="begin"/>
          </w:r>
          <w:r>
            <w:instrText xml:space="preserve"> HYPERLINK \l "_Toc22824" </w:instrText>
          </w:r>
          <w:r>
            <w:fldChar w:fldCharType="separate"/>
          </w:r>
          <w:r>
            <w:rPr>
              <w:rFonts w:hint="eastAsia" w:ascii="仿宋" w:hAnsi="仿宋" w:eastAsia="仿宋" w:cs="仿宋"/>
              <w:szCs w:val="30"/>
            </w:rPr>
            <w:t xml:space="preserve">第五章 南京市江宁区政府采购合同格式</w:t>
          </w:r>
          <w:r>
            <w:tab/>
          </w:r>
          <w:r>
            <w:fldChar w:fldCharType="begin"/>
          </w:r>
          <w:r>
            <w:instrText xml:space="preserve"> PAGEREF _Toc22824 \h </w:instrText>
          </w:r>
          <w:r>
            <w:fldChar w:fldCharType="separate"/>
          </w:r>
          <w:r>
            <w:t xml:space="preserve">24</w:t>
          </w:r>
          <w:r>
            <w:fldChar w:fldCharType="end"/>
          </w:r>
          <w:r>
            <w:fldChar w:fldCharType="end"/>
          </w:r>
          <w:r/>
        </w:p>
        <w:p>
          <w:pPr>
            <w:pStyle w:val="854"/>
            <w:tabs>
              <w:tab w:val="right" w:pos="9746" w:leader="dot"/>
            </w:tabs>
          </w:pPr>
          <w:r>
            <w:fldChar w:fldCharType="begin"/>
          </w:r>
          <w:r>
            <w:instrText xml:space="preserve"> HYPERLINK \l "_Toc32269" </w:instrText>
          </w:r>
          <w:r>
            <w:fldChar w:fldCharType="separate"/>
          </w:r>
          <w:r>
            <w:rPr>
              <w:rFonts w:hint="eastAsia" w:ascii="仿宋" w:hAnsi="仿宋" w:eastAsia="仿宋" w:cs="仿宋"/>
              <w:szCs w:val="30"/>
            </w:rPr>
            <w:t xml:space="preserve">第六章 竞争性磋商文件格式及附件</w:t>
          </w:r>
          <w:r>
            <w:tab/>
          </w:r>
          <w:r>
            <w:fldChar w:fldCharType="begin"/>
          </w:r>
          <w:r>
            <w:instrText xml:space="preserve"> PAGEREF _Toc32269 \h </w:instrText>
          </w:r>
          <w:r>
            <w:fldChar w:fldCharType="separate"/>
          </w:r>
          <w:r>
            <w:t xml:space="preserve">27</w:t>
          </w:r>
          <w:r>
            <w:fldChar w:fldCharType="end"/>
          </w:r>
          <w:r>
            <w:fldChar w:fldCharType="end"/>
          </w:r>
          <w:r/>
        </w:p>
        <w:p>
          <w:pPr>
            <w:pStyle w:val="860"/>
            <w:tabs>
              <w:tab w:val="right" w:pos="9746" w:leader="dot"/>
            </w:tabs>
          </w:pPr>
          <w:r>
            <w:fldChar w:fldCharType="begin"/>
          </w:r>
          <w:r>
            <w:instrText xml:space="preserve"> HYPERLINK \l "_Toc11492" </w:instrText>
          </w:r>
          <w:r>
            <w:fldChar w:fldCharType="separate"/>
          </w:r>
          <w:r>
            <w:rPr>
              <w:rFonts w:ascii="仿宋" w:hAnsi="仿宋" w:eastAsia="仿宋" w:cs="仿宋"/>
            </w:rPr>
            <w:t xml:space="preserve">一、 </w:t>
          </w:r>
          <w:r>
            <w:rPr>
              <w:rFonts w:hint="eastAsia" w:ascii="仿宋" w:hAnsi="仿宋" w:eastAsia="仿宋" w:cs="仿宋"/>
            </w:rPr>
            <w:t xml:space="preserve">磋商申请及声明</w:t>
          </w:r>
          <w:r>
            <w:tab/>
          </w:r>
          <w:r>
            <w:fldChar w:fldCharType="begin"/>
          </w:r>
          <w:r>
            <w:instrText xml:space="preserve"> PAGEREF _Toc11492 \h </w:instrText>
          </w:r>
          <w:r>
            <w:fldChar w:fldCharType="separate"/>
          </w:r>
          <w:r>
            <w:t xml:space="preserve">29</w:t>
          </w:r>
          <w:r>
            <w:fldChar w:fldCharType="end"/>
          </w:r>
          <w:r>
            <w:fldChar w:fldCharType="end"/>
          </w:r>
          <w:r/>
        </w:p>
        <w:p>
          <w:pPr>
            <w:pStyle w:val="860"/>
            <w:tabs>
              <w:tab w:val="right" w:pos="9746" w:leader="dot"/>
            </w:tabs>
          </w:pPr>
          <w:r>
            <w:fldChar w:fldCharType="begin"/>
          </w:r>
          <w:r>
            <w:instrText xml:space="preserve"> HYPERLINK \l "_Toc24511" </w:instrText>
          </w:r>
          <w:r>
            <w:fldChar w:fldCharType="separate"/>
          </w:r>
          <w:r>
            <w:rPr>
              <w:rFonts w:hint="eastAsia" w:ascii="仿宋" w:hAnsi="仿宋" w:eastAsia="仿宋" w:cs="仿宋"/>
            </w:rPr>
            <w:t xml:space="preserve">二、法定代表人资格证明及授权委托书</w:t>
          </w:r>
          <w:r>
            <w:tab/>
          </w:r>
          <w:r>
            <w:fldChar w:fldCharType="begin"/>
          </w:r>
          <w:r>
            <w:instrText xml:space="preserve"> PAGEREF _Toc24511 \h </w:instrText>
          </w:r>
          <w:r>
            <w:fldChar w:fldCharType="separate"/>
          </w:r>
          <w:r>
            <w:t xml:space="preserve">30</w:t>
          </w:r>
          <w:r>
            <w:fldChar w:fldCharType="end"/>
          </w:r>
          <w:r>
            <w:fldChar w:fldCharType="end"/>
          </w:r>
          <w:r/>
        </w:p>
        <w:p>
          <w:pPr>
            <w:pStyle w:val="860"/>
            <w:tabs>
              <w:tab w:val="right" w:pos="9746" w:leader="dot"/>
            </w:tabs>
          </w:pPr>
          <w:r>
            <w:fldChar w:fldCharType="begin"/>
          </w:r>
          <w:r>
            <w:instrText xml:space="preserve"> HYPERLINK \l "_Toc315" </w:instrText>
          </w:r>
          <w:r>
            <w:fldChar w:fldCharType="separate"/>
          </w:r>
          <w:r>
            <w:rPr>
              <w:rFonts w:hint="eastAsia" w:ascii="仿宋" w:hAnsi="仿宋" w:eastAsia="仿宋" w:cs="仿宋"/>
            </w:rPr>
            <w:t xml:space="preserve">三、磋商报价表</w:t>
          </w:r>
          <w:r>
            <w:tab/>
          </w:r>
          <w:r>
            <w:fldChar w:fldCharType="begin"/>
          </w:r>
          <w:r>
            <w:instrText xml:space="preserve"> PAGEREF _Toc315 \h </w:instrText>
          </w:r>
          <w:r>
            <w:fldChar w:fldCharType="separate"/>
          </w:r>
          <w:r>
            <w:t xml:space="preserve">30</w:t>
          </w:r>
          <w:r>
            <w:fldChar w:fldCharType="end"/>
          </w:r>
          <w:r>
            <w:fldChar w:fldCharType="end"/>
          </w:r>
          <w:r/>
        </w:p>
        <w:p>
          <w:pPr>
            <w:pStyle w:val="860"/>
            <w:tabs>
              <w:tab w:val="right" w:pos="9746" w:leader="dot"/>
            </w:tabs>
          </w:pPr>
          <w:r>
            <w:fldChar w:fldCharType="begin"/>
          </w:r>
          <w:r>
            <w:instrText xml:space="preserve"> HYPERLINK \l "_Toc17929" </w:instrText>
          </w:r>
          <w:r>
            <w:fldChar w:fldCharType="separate"/>
          </w:r>
          <w:r>
            <w:rPr>
              <w:rFonts w:hint="eastAsia" w:ascii="仿宋" w:hAnsi="仿宋" w:eastAsia="仿宋" w:cs="仿宋"/>
            </w:rPr>
            <w:t xml:space="preserve">四、磋商分项报价表</w:t>
          </w:r>
          <w:r>
            <w:tab/>
          </w:r>
          <w:r>
            <w:fldChar w:fldCharType="begin"/>
          </w:r>
          <w:r>
            <w:instrText xml:space="preserve"> PAGEREF _Toc17929 \h </w:instrText>
          </w:r>
          <w:r>
            <w:fldChar w:fldCharType="separate"/>
          </w:r>
          <w:r>
            <w:t xml:space="preserve">32</w:t>
          </w:r>
          <w:r>
            <w:fldChar w:fldCharType="end"/>
          </w:r>
          <w:r>
            <w:fldChar w:fldCharType="end"/>
          </w:r>
          <w:r/>
        </w:p>
        <w:p>
          <w:pPr>
            <w:pStyle w:val="860"/>
            <w:tabs>
              <w:tab w:val="right" w:pos="9746" w:leader="dot"/>
            </w:tabs>
          </w:pPr>
          <w:r>
            <w:fldChar w:fldCharType="begin"/>
          </w:r>
          <w:r>
            <w:instrText xml:space="preserve"> HYPERLINK \l "_Toc13703" </w:instrText>
          </w:r>
          <w:r>
            <w:fldChar w:fldCharType="separate"/>
          </w:r>
          <w:r>
            <w:rPr>
              <w:rFonts w:hint="eastAsia" w:ascii="仿宋" w:hAnsi="仿宋" w:eastAsia="仿宋" w:cs="仿宋"/>
            </w:rPr>
            <w:t xml:space="preserve">五、资格证明</w:t>
          </w:r>
          <w:r>
            <w:tab/>
          </w:r>
          <w:r>
            <w:fldChar w:fldCharType="begin"/>
          </w:r>
          <w:r>
            <w:instrText xml:space="preserve"> PAGEREF _Toc13703 \h </w:instrText>
          </w:r>
          <w:r>
            <w:fldChar w:fldCharType="separate"/>
          </w:r>
          <w:r>
            <w:t xml:space="preserve">32</w:t>
          </w:r>
          <w:r>
            <w:fldChar w:fldCharType="end"/>
          </w:r>
          <w:r>
            <w:fldChar w:fldCharType="end"/>
          </w:r>
          <w:r/>
        </w:p>
        <w:p>
          <w:pPr>
            <w:pStyle w:val="860"/>
            <w:tabs>
              <w:tab w:val="right" w:pos="9746" w:leader="dot"/>
            </w:tabs>
          </w:pPr>
          <w:r>
            <w:fldChar w:fldCharType="begin"/>
          </w:r>
          <w:r>
            <w:instrText xml:space="preserve"> HYPERLINK \l "_Toc16454" </w:instrText>
          </w:r>
          <w:r>
            <w:fldChar w:fldCharType="separate"/>
          </w:r>
          <w:r>
            <w:rPr>
              <w:rFonts w:hint="eastAsia" w:ascii="仿宋" w:hAnsi="仿宋" w:eastAsia="仿宋" w:cs="仿宋"/>
            </w:rPr>
            <w:t xml:space="preserve">六、商务条款响应表</w:t>
          </w:r>
          <w:r>
            <w:tab/>
          </w:r>
          <w:r>
            <w:fldChar w:fldCharType="begin"/>
          </w:r>
          <w:r>
            <w:instrText xml:space="preserve"> PAGEREF _Toc16454 \h </w:instrText>
          </w:r>
          <w:r>
            <w:fldChar w:fldCharType="separate"/>
          </w:r>
          <w:r>
            <w:t xml:space="preserve">34</w:t>
          </w:r>
          <w:r>
            <w:fldChar w:fldCharType="end"/>
          </w:r>
          <w:r>
            <w:fldChar w:fldCharType="end"/>
          </w:r>
          <w:r/>
        </w:p>
        <w:p>
          <w:pPr>
            <w:pStyle w:val="860"/>
            <w:tabs>
              <w:tab w:val="right" w:pos="9746" w:leader="dot"/>
            </w:tabs>
          </w:pPr>
          <w:r>
            <w:fldChar w:fldCharType="begin"/>
          </w:r>
          <w:r>
            <w:instrText xml:space="preserve"> HYPERLINK \l "_Toc7059" </w:instrText>
          </w:r>
          <w:r>
            <w:fldChar w:fldCharType="separate"/>
          </w:r>
          <w:r>
            <w:rPr>
              <w:rFonts w:hint="eastAsia" w:ascii="仿宋" w:hAnsi="仿宋" w:eastAsia="仿宋" w:cs="仿宋"/>
            </w:rPr>
            <w:t xml:space="preserve">七、项目实施方案</w:t>
          </w:r>
          <w:r>
            <w:tab/>
          </w:r>
          <w:r>
            <w:fldChar w:fldCharType="begin"/>
          </w:r>
          <w:r>
            <w:instrText xml:space="preserve"> PAGEREF _Toc7059 \h </w:instrText>
          </w:r>
          <w:r>
            <w:fldChar w:fldCharType="separate"/>
          </w:r>
          <w:r>
            <w:t xml:space="preserve">34</w:t>
          </w:r>
          <w:r>
            <w:fldChar w:fldCharType="end"/>
          </w:r>
          <w:r>
            <w:fldChar w:fldCharType="end"/>
          </w:r>
          <w:r/>
        </w:p>
        <w:p>
          <w:pPr>
            <w:pStyle w:val="860"/>
            <w:tabs>
              <w:tab w:val="right" w:pos="9746" w:leader="dot"/>
            </w:tabs>
          </w:pPr>
          <w:r>
            <w:fldChar w:fldCharType="begin"/>
          </w:r>
          <w:r>
            <w:instrText xml:space="preserve"> HYPERLINK \l "_Toc16771" </w:instrText>
          </w:r>
          <w:r>
            <w:fldChar w:fldCharType="separate"/>
          </w:r>
          <w:r>
            <w:rPr>
              <w:rFonts w:hint="eastAsia" w:ascii="仿宋" w:hAnsi="仿宋" w:eastAsia="仿宋" w:cs="仿宋"/>
            </w:rPr>
            <w:t xml:space="preserve">八、项目组成员一览表</w:t>
          </w:r>
          <w:r>
            <w:tab/>
          </w:r>
          <w:r>
            <w:fldChar w:fldCharType="begin"/>
          </w:r>
          <w:r>
            <w:instrText xml:space="preserve"> PAGEREF _Toc16771 \h </w:instrText>
          </w:r>
          <w:r>
            <w:fldChar w:fldCharType="separate"/>
          </w:r>
          <w:r>
            <w:t xml:space="preserve">36</w:t>
          </w:r>
          <w:r>
            <w:fldChar w:fldCharType="end"/>
          </w:r>
          <w:r>
            <w:fldChar w:fldCharType="end"/>
          </w:r>
          <w:r/>
        </w:p>
        <w:p>
          <w:pPr>
            <w:pStyle w:val="860"/>
            <w:tabs>
              <w:tab w:val="right" w:pos="9746" w:leader="dot"/>
            </w:tabs>
          </w:pPr>
          <w:r>
            <w:fldChar w:fldCharType="begin"/>
          </w:r>
          <w:r>
            <w:instrText xml:space="preserve"> HYPERLINK \l "_Toc26841" </w:instrText>
          </w:r>
          <w:r>
            <w:fldChar w:fldCharType="separate"/>
          </w:r>
          <w:r>
            <w:rPr>
              <w:rFonts w:hint="eastAsia" w:ascii="仿宋" w:hAnsi="仿宋" w:eastAsia="仿宋" w:cs="仿宋"/>
            </w:rPr>
            <w:t xml:space="preserve">九、技术规格偏离表</w:t>
          </w:r>
          <w:r>
            <w:tab/>
          </w:r>
          <w:r>
            <w:fldChar w:fldCharType="begin"/>
          </w:r>
          <w:r>
            <w:instrText xml:space="preserve"> PAGEREF _Toc26841 \h </w:instrText>
          </w:r>
          <w:r>
            <w:fldChar w:fldCharType="separate"/>
          </w:r>
          <w:r>
            <w:t xml:space="preserve">37</w:t>
          </w:r>
          <w:r>
            <w:fldChar w:fldCharType="end"/>
          </w:r>
          <w:r>
            <w:fldChar w:fldCharType="end"/>
          </w:r>
          <w:r/>
        </w:p>
        <w:p>
          <w:pPr>
            <w:pStyle w:val="860"/>
            <w:tabs>
              <w:tab w:val="right" w:pos="9746" w:leader="dot"/>
            </w:tabs>
          </w:pPr>
          <w:r>
            <w:fldChar w:fldCharType="begin"/>
          </w:r>
          <w:r>
            <w:instrText xml:space="preserve"> HYPERLINK \l "_Toc7842" </w:instrText>
          </w:r>
          <w:r>
            <w:fldChar w:fldCharType="separate"/>
          </w:r>
          <w:r>
            <w:rPr>
              <w:rFonts w:hint="eastAsia" w:ascii="仿宋" w:hAnsi="仿宋" w:eastAsia="仿宋" w:cs="仿宋"/>
            </w:rPr>
            <w:t xml:space="preserve">十、质量保证及服务承诺</w:t>
          </w:r>
          <w:r>
            <w:tab/>
          </w:r>
          <w:r>
            <w:fldChar w:fldCharType="begin"/>
          </w:r>
          <w:r>
            <w:instrText xml:space="preserve"> PAGEREF _Toc7842 \h </w:instrText>
          </w:r>
          <w:r>
            <w:fldChar w:fldCharType="separate"/>
          </w:r>
          <w:r>
            <w:t xml:space="preserve">37</w:t>
          </w:r>
          <w:r>
            <w:fldChar w:fldCharType="end"/>
          </w:r>
          <w:r>
            <w:fldChar w:fldCharType="end"/>
          </w:r>
          <w:r/>
        </w:p>
        <w:p>
          <w:pPr>
            <w:pStyle w:val="860"/>
            <w:tabs>
              <w:tab w:val="right" w:pos="9746" w:leader="dot"/>
            </w:tabs>
          </w:pPr>
          <w:r>
            <w:fldChar w:fldCharType="begin"/>
          </w:r>
          <w:r>
            <w:instrText xml:space="preserve"> HYPERLINK \l "_Toc5104" </w:instrText>
          </w:r>
          <w:r>
            <w:fldChar w:fldCharType="separate"/>
          </w:r>
          <w:r>
            <w:rPr>
              <w:rFonts w:hint="eastAsia" w:ascii="仿宋" w:hAnsi="仿宋" w:eastAsia="仿宋" w:cs="仿宋"/>
            </w:rPr>
            <w:t xml:space="preserve">附件一：具备履行合同所必需的设备和专业技术能力的书面声明</w:t>
          </w:r>
          <w:r>
            <w:tab/>
          </w:r>
          <w:r>
            <w:fldChar w:fldCharType="begin"/>
          </w:r>
          <w:r>
            <w:instrText xml:space="preserve"> PAGEREF _Toc5104 \h </w:instrText>
          </w:r>
          <w:r>
            <w:fldChar w:fldCharType="separate"/>
          </w:r>
          <w:r>
            <w:t xml:space="preserve">39</w:t>
          </w:r>
          <w:r>
            <w:fldChar w:fldCharType="end"/>
          </w:r>
          <w:r>
            <w:fldChar w:fldCharType="end"/>
          </w:r>
          <w:r/>
        </w:p>
        <w:p>
          <w:pPr>
            <w:pStyle w:val="860"/>
            <w:tabs>
              <w:tab w:val="right" w:pos="9746" w:leader="dot"/>
            </w:tabs>
          </w:pPr>
          <w:r>
            <w:fldChar w:fldCharType="begin"/>
          </w:r>
          <w:r>
            <w:instrText xml:space="preserve"> HYPERLINK \l "_Toc2056" </w:instrText>
          </w:r>
          <w:r>
            <w:fldChar w:fldCharType="separate"/>
          </w:r>
          <w:r>
            <w:rPr>
              <w:rFonts w:hint="eastAsia" w:ascii="仿宋" w:hAnsi="仿宋" w:eastAsia="仿宋" w:cs="仿宋"/>
            </w:rPr>
            <w:t xml:space="preserve">附件二：无重大违法记录声明格式</w:t>
          </w:r>
          <w:r>
            <w:tab/>
          </w:r>
          <w:r>
            <w:fldChar w:fldCharType="begin"/>
          </w:r>
          <w:r>
            <w:instrText xml:space="preserve"> PAGEREF _Toc2056 \h </w:instrText>
          </w:r>
          <w:r>
            <w:fldChar w:fldCharType="separate"/>
          </w:r>
          <w:r>
            <w:t xml:space="preserve">39</w:t>
          </w:r>
          <w:r>
            <w:fldChar w:fldCharType="end"/>
          </w:r>
          <w:r>
            <w:fldChar w:fldCharType="end"/>
          </w:r>
          <w:r/>
        </w:p>
        <w:p>
          <w:pPr>
            <w:pStyle w:val="860"/>
            <w:tabs>
              <w:tab w:val="right" w:pos="9746" w:leader="dot"/>
            </w:tabs>
          </w:pPr>
          <w:r>
            <w:fldChar w:fldCharType="begin"/>
          </w:r>
          <w:r>
            <w:instrText xml:space="preserve"> HYPERLINK \l "_Toc2219" </w:instrText>
          </w:r>
          <w:r>
            <w:fldChar w:fldCharType="separate"/>
          </w:r>
          <w:r>
            <w:rPr>
              <w:rFonts w:hint="eastAsia" w:ascii="仿宋" w:hAnsi="仿宋" w:eastAsia="仿宋" w:cs="仿宋"/>
            </w:rPr>
            <w:t xml:space="preserve">附件三：中小企业声明函格式、残疾人福利性单位声明函、监狱企业声明函</w:t>
          </w:r>
          <w:r>
            <w:tab/>
          </w:r>
          <w:r>
            <w:fldChar w:fldCharType="begin"/>
          </w:r>
          <w:r>
            <w:instrText xml:space="preserve"> PAGEREF _Toc2219 \h </w:instrText>
          </w:r>
          <w:r>
            <w:fldChar w:fldCharType="separate"/>
          </w:r>
          <w:r>
            <w:t xml:space="preserve">40</w:t>
          </w:r>
          <w:r>
            <w:fldChar w:fldCharType="end"/>
          </w:r>
          <w:r>
            <w:fldChar w:fldCharType="end"/>
          </w:r>
          <w:r/>
        </w:p>
        <w:p>
          <w:pPr>
            <w:pStyle w:val="860"/>
            <w:tabs>
              <w:tab w:val="right" w:pos="9746" w:leader="dot"/>
            </w:tabs>
          </w:pPr>
          <w:r>
            <w:fldChar w:fldCharType="begin"/>
          </w:r>
          <w:r>
            <w:instrText xml:space="preserve"> HYPERLINK \l "_Toc9520" </w:instrText>
          </w:r>
          <w:r>
            <w:fldChar w:fldCharType="separate"/>
          </w:r>
          <w:r>
            <w:rPr>
              <w:rFonts w:hint="eastAsia" w:ascii="仿宋" w:hAnsi="仿宋" w:eastAsia="仿宋" w:cs="仿宋"/>
            </w:rPr>
            <w:t xml:space="preserve">附件四：南京市政府采购供应商信用记录表暨信用承诺书</w:t>
          </w:r>
          <w:r>
            <w:tab/>
          </w:r>
          <w:r>
            <w:fldChar w:fldCharType="begin"/>
          </w:r>
          <w:r>
            <w:instrText xml:space="preserve"> PAGEREF _Toc9520 \h </w:instrText>
          </w:r>
          <w:r>
            <w:fldChar w:fldCharType="separate"/>
          </w:r>
          <w:r>
            <w:t xml:space="preserve">41</w:t>
          </w:r>
          <w:r>
            <w:fldChar w:fldCharType="end"/>
          </w:r>
          <w:r>
            <w:fldChar w:fldCharType="end"/>
          </w:r>
          <w:r/>
        </w:p>
        <w:p>
          <w:r>
            <w:fldChar w:fldCharType="end"/>
          </w:r>
          <w:r/>
        </w:p>
      </w:sdtContent>
    </w:sdt>
    <w:p>
      <w:r/>
      <w:r/>
    </w:p>
    <w:p>
      <w:pPr>
        <w:ind w:firstLine="301"/>
        <w:jc w:val="center"/>
        <w:spacing w:line="480" w:lineRule="auto"/>
        <w:tabs>
          <w:tab w:val="left" w:pos="1635" w:leader="none"/>
        </w:tabs>
        <w:rPr>
          <w:rFonts w:hint="eastAsia" w:ascii="仿宋" w:hAnsi="仿宋" w:eastAsia="仿宋" w:cs="仿宋"/>
          <w:b/>
          <w:bCs/>
          <w:color w:val="000000"/>
          <w:sz w:val="30"/>
          <w:szCs w:val="30"/>
        </w:rPr>
      </w:pPr>
      <w:r>
        <w:rPr>
          <w:rFonts w:hint="eastAsia" w:ascii="仿宋" w:hAnsi="仿宋" w:eastAsia="仿宋" w:cs="仿宋"/>
          <w:b/>
          <w:color w:val="000000"/>
          <w:sz w:val="30"/>
          <w:szCs w:val="30"/>
        </w:rPr>
        <w:t xml:space="preserve"> </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69"/>
        <w:ind w:firstLine="560"/>
        <w:rPr>
          <w:rFonts w:hint="eastAsia" w:ascii="仿宋" w:hAnsi="仿宋" w:eastAsia="仿宋" w:cs="仿宋"/>
        </w:rPr>
      </w:pPr>
      <w:r>
        <w:rPr>
          <w:rFonts w:hint="eastAsia" w:ascii="仿宋" w:hAnsi="仿宋" w:eastAsia="仿宋" w:cs="仿宋"/>
        </w:rPr>
      </w:r>
      <w:r/>
    </w:p>
    <w:p>
      <w:pPr>
        <w:pStyle w:val="1069"/>
        <w:ind w:firstLine="560"/>
        <w:rPr>
          <w:rFonts w:hint="eastAsia" w:ascii="仿宋" w:hAnsi="仿宋" w:eastAsia="仿宋" w:cs="仿宋"/>
        </w:rPr>
      </w:pPr>
      <w:r>
        <w:rPr>
          <w:rFonts w:hint="eastAsia" w:ascii="仿宋" w:hAnsi="仿宋" w:eastAsia="仿宋" w:cs="仿宋"/>
        </w:rPr>
      </w:r>
      <w:r/>
    </w:p>
    <w:p>
      <w:pPr>
        <w:pStyle w:val="1069"/>
        <w:ind w:firstLine="56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44"/>
        <w:rPr>
          <w:rFonts w:hint="eastAsia" w:ascii="仿宋" w:hAnsi="仿宋" w:eastAsia="仿宋" w:cs="仿宋"/>
        </w:rPr>
      </w:pPr>
      <w:r>
        <w:rPr>
          <w:rFonts w:hint="eastAsia" w:ascii="仿宋" w:hAnsi="仿宋" w:eastAsia="仿宋" w:cs="仿宋"/>
        </w:rPr>
      </w:r>
      <w:r/>
    </w:p>
    <w:p>
      <w:pPr>
        <w:pStyle w:val="852"/>
        <w:rPr>
          <w:rFonts w:hint="eastAsia" w:ascii="仿宋" w:hAnsi="仿宋" w:eastAsia="仿宋" w:cs="仿宋"/>
        </w:rPr>
      </w:pPr>
      <w:r>
        <w:rPr>
          <w:rFonts w:hint="eastAsia" w:ascii="仿宋" w:hAnsi="仿宋" w:eastAsia="仿宋" w:cs="仿宋"/>
        </w:rPr>
      </w:r>
      <w:r/>
    </w:p>
    <w:p>
      <w:pPr>
        <w:pStyle w:val="852"/>
        <w:rPr>
          <w:rFonts w:hint="eastAsia" w:ascii="仿宋" w:hAnsi="仿宋" w:eastAsia="仿宋" w:cs="仿宋"/>
        </w:rPr>
      </w:pPr>
      <w:r>
        <w:rPr>
          <w:rFonts w:hint="eastAsia" w:ascii="仿宋" w:hAnsi="仿宋" w:eastAsia="仿宋" w:cs="仿宋"/>
        </w:rPr>
      </w:r>
      <w:r/>
    </w:p>
    <w:p>
      <w:pPr>
        <w:pStyle w:val="852"/>
        <w:rPr>
          <w:rFonts w:hint="eastAsia" w:ascii="仿宋" w:hAnsi="仿宋" w:eastAsia="仿宋" w:cs="仿宋"/>
        </w:rPr>
      </w:pPr>
      <w:r>
        <w:rPr>
          <w:rFonts w:hint="eastAsia" w:ascii="仿宋" w:hAnsi="仿宋" w:eastAsia="仿宋" w:cs="仿宋"/>
        </w:rPr>
      </w:r>
      <w:r/>
    </w:p>
    <w:p>
      <w:pPr>
        <w:rPr>
          <w:rFonts w:hint="eastAsia" w:ascii="仿宋" w:hAnsi="仿宋" w:eastAsia="仿宋" w:cs="仿宋"/>
          <w:color w:val="000000"/>
          <w:sz w:val="30"/>
          <w:szCs w:val="30"/>
        </w:rPr>
      </w:pPr>
      <w:r/>
      <w:bookmarkStart w:id="2" w:name="_Toc23462"/>
      <w:r/>
      <w:bookmarkStart w:id="3" w:name="_Toc21712"/>
      <w:r>
        <w:rPr>
          <w:rFonts w:hint="eastAsia" w:ascii="仿宋" w:hAnsi="仿宋" w:eastAsia="仿宋" w:cs="仿宋"/>
          <w:color w:val="000000"/>
          <w:sz w:val="30"/>
          <w:szCs w:val="30"/>
        </w:rPr>
        <w:br w:type="page" w:clear="all"/>
      </w:r>
      <w:r/>
    </w:p>
    <w:p>
      <w:pPr>
        <w:numPr>
          <w:ilvl w:val="0"/>
          <w:numId w:val="6"/>
        </w:numPr>
        <w:jc w:val="center"/>
        <w:spacing w:before="156" w:after="156" w:line="460" w:lineRule="exact"/>
        <w:rPr>
          <w:rFonts w:hint="eastAsia" w:ascii="仿宋" w:hAnsi="仿宋" w:eastAsia="仿宋" w:cs="仿宋"/>
          <w:color w:val="000000"/>
          <w:sz w:val="30"/>
          <w:szCs w:val="30"/>
        </w:rPr>
        <w:outlineLvl w:val="0"/>
      </w:pPr>
      <w:r>
        <w:rPr>
          <w:rFonts w:hint="eastAsia" w:ascii="仿宋" w:hAnsi="仿宋" w:eastAsia="仿宋" w:cs="仿宋"/>
          <w:color w:val="000000"/>
          <w:sz w:val="30"/>
          <w:szCs w:val="30"/>
        </w:rPr>
        <w:t xml:space="preserve"> </w:t>
      </w:r>
      <w:bookmarkStart w:id="4" w:name="_Toc6679"/>
      <w:r/>
      <w:bookmarkStart w:id="5" w:name="_Toc31992"/>
      <w:r/>
      <w:bookmarkStart w:id="6" w:name="_Toc10533"/>
      <w:r/>
      <w:bookmarkStart w:id="7" w:name="_Toc16537"/>
      <w:r>
        <w:rPr>
          <w:rFonts w:hint="eastAsia" w:ascii="仿宋" w:hAnsi="仿宋" w:eastAsia="仿宋" w:cs="仿宋"/>
          <w:color w:val="000000"/>
          <w:sz w:val="30"/>
          <w:szCs w:val="30"/>
        </w:rPr>
        <w:t xml:space="preserve">磋商邀请</w:t>
      </w:r>
      <w:bookmarkEnd w:id="4"/>
      <w:r/>
      <w:bookmarkEnd w:id="5"/>
      <w:r/>
      <w:bookmarkEnd w:id="6"/>
      <w:r/>
      <w:bookmarkEnd w:id="7"/>
      <w:r/>
      <w:r/>
    </w:p>
    <w:p>
      <w:pPr>
        <w:ind w:firstLine="560"/>
        <w:spacing w:line="360" w:lineRule="auto"/>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rPr>
        <w:t xml:space="preserve">项目概况</w:t>
      </w:r>
      <w:r/>
    </w:p>
    <w:p>
      <w:pPr>
        <w:ind w:firstLine="560"/>
        <w:spacing w:line="360" w:lineRule="auto"/>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rPr>
        <w:t xml:space="preserve">江宁开发区2026年度涉林项目报批咨询服务 JSZC-320115-JSXN-C2026-0003 采购项目的潜在供应商应在南京市江宁区秣陵街道苏源大道100号7405室 获取采购文件，并于</w:t>
      </w:r>
      <w:r>
        <w:rPr>
          <w:rFonts w:hint="eastAsia" w:ascii="仿宋" w:hAnsi="仿宋" w:eastAsia="仿宋" w:cs="仿宋"/>
          <w:sz w:val="28"/>
          <w:szCs w:val="28"/>
          <w:lang w:eastAsia="zh-CN"/>
        </w:rPr>
        <w:t xml:space="preserve">2026-7-22  9:00</w:t>
      </w:r>
      <w:r>
        <w:rPr>
          <w:rFonts w:hint="eastAsia" w:ascii="仿宋" w:hAnsi="仿宋" w:eastAsia="仿宋" w:cs="仿宋"/>
          <w:bCs/>
          <w:sz w:val="28"/>
          <w:szCs w:val="28"/>
        </w:rPr>
        <w:t xml:space="preserve">（北京时间）前提交响应文件</w:t>
      </w:r>
      <w:r>
        <w:rPr>
          <w:rFonts w:hint="eastAsia" w:ascii="仿宋" w:hAnsi="仿宋" w:eastAsia="仿宋" w:cs="仿宋"/>
          <w:sz w:val="28"/>
          <w:szCs w:val="28"/>
        </w:rPr>
        <w:t xml:space="preserve">。</w:t>
      </w:r>
      <w:r/>
    </w:p>
    <w:p>
      <w:pPr>
        <w:ind w:firstLine="420"/>
        <w:spacing w:line="400" w:lineRule="exact"/>
        <w:rPr>
          <w:rFonts w:hint="eastAsia" w:ascii="仿宋" w:hAnsi="仿宋" w:eastAsia="仿宋" w:cs="仿宋"/>
          <w:sz w:val="24"/>
        </w:rPr>
        <w:pBdr>
          <w:top w:val="none" w:color="000000" w:sz="0" w:space="1"/>
          <w:left w:val="none" w:color="000000" w:sz="0" w:space="4"/>
          <w:right w:val="none" w:color="000000" w:sz="0" w:space="4"/>
        </w:pBdr>
      </w:pPr>
      <w:r>
        <w:rPr>
          <w:rFonts w:hint="eastAsia" w:ascii="仿宋" w:hAnsi="仿宋" w:eastAsia="仿宋" w:cs="仿宋"/>
          <w:sz w:val="24"/>
        </w:rPr>
      </w:r>
      <w:r/>
    </w:p>
    <w:p>
      <w:pPr>
        <w:spacing w:after="105"/>
        <w:shd w:val="clear" w:color="auto" w:fill="ffffff"/>
        <w:widowControl/>
        <w:rPr>
          <w:rFonts w:hint="eastAsia" w:ascii="仿宋" w:hAnsi="仿宋" w:eastAsia="仿宋" w:cs="仿宋"/>
        </w:rPr>
      </w:pPr>
      <w:r>
        <w:rPr>
          <w:rStyle w:val="866"/>
          <w:rFonts w:hint="eastAsia" w:ascii="仿宋" w:hAnsi="仿宋" w:eastAsia="仿宋" w:cs="仿宋"/>
          <w:bCs/>
          <w:sz w:val="28"/>
          <w:szCs w:val="28"/>
          <w:shd w:val="clear" w:color="auto" w:fill="ffffff"/>
        </w:rPr>
        <w:t xml:space="preserve">一、项目基本情况</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项目编号：JSZC-320115-JSXN-C2026-0003 </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项目名称：江宁开发区2026年度涉林项目报批咨询服务 </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采购方式：竞争性磋商 </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预算金额：178.5万元 </w:t>
      </w:r>
      <w:r/>
    </w:p>
    <w:p>
      <w:pPr>
        <w:pStyle w:val="862"/>
        <w:widowControl/>
        <w:rPr>
          <w:rFonts w:hint="eastAsia" w:ascii="仿宋" w:hAnsi="仿宋" w:eastAsia="仿宋" w:cs="仿宋"/>
          <w:sz w:val="28"/>
          <w:szCs w:val="28"/>
          <w:lang w:eastAsia="zh-CN"/>
        </w:rPr>
      </w:pPr>
      <w:r>
        <w:rPr>
          <w:rFonts w:hint="eastAsia" w:ascii="仿宋" w:hAnsi="仿宋" w:eastAsia="仿宋" w:cs="仿宋"/>
          <w:sz w:val="28"/>
          <w:szCs w:val="28"/>
        </w:rPr>
        <w:t xml:space="preserve">最高限价（如有）：</w:t>
      </w:r>
      <w:r>
        <w:rPr>
          <w:rFonts w:hint="eastAsia" w:ascii="仿宋" w:hAnsi="仿宋" w:eastAsia="仿宋" w:cs="仿宋"/>
          <w:sz w:val="28"/>
          <w:szCs w:val="28"/>
          <w:lang w:val="en-US" w:eastAsia="zh-CN"/>
        </w:rPr>
        <w:t xml:space="preserve">费率</w:t>
      </w:r>
      <w:r>
        <w:rPr>
          <w:rFonts w:hint="eastAsia" w:ascii="仿宋" w:hAnsi="仿宋" w:eastAsia="仿宋" w:cs="仿宋"/>
          <w:sz w:val="28"/>
          <w:szCs w:val="28"/>
        </w:rPr>
        <w:t xml:space="preserve">70%</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投标折扣率不得高于最高限价</w:t>
      </w:r>
      <w:r>
        <w:rPr>
          <w:rFonts w:hint="eastAsia" w:ascii="仿宋" w:hAnsi="仿宋" w:eastAsia="仿宋" w:cs="仿宋"/>
          <w:sz w:val="28"/>
          <w:szCs w:val="28"/>
          <w:lang w:eastAsia="zh-CN"/>
        </w:rPr>
        <w:t xml:space="preserve">）</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采购需求：江宁开发区2026年度涉林项目报批咨询服务。详见磋商文件。</w:t>
      </w:r>
      <w:r/>
    </w:p>
    <w:p>
      <w:pPr>
        <w:pStyle w:val="862"/>
        <w:widowControl/>
        <w:rPr>
          <w:rFonts w:hint="eastAsia" w:ascii="仿宋" w:hAnsi="仿宋" w:eastAsia="仿宋" w:cs="仿宋"/>
          <w:sz w:val="28"/>
          <w:szCs w:val="28"/>
          <w:highlight w:val="yellow"/>
        </w:rPr>
      </w:pPr>
      <w:r>
        <w:rPr>
          <w:rFonts w:hint="eastAsia" w:ascii="仿宋" w:hAnsi="仿宋" w:eastAsia="仿宋" w:cs="仿宋"/>
          <w:sz w:val="28"/>
          <w:szCs w:val="28"/>
        </w:rPr>
        <w:t xml:space="preserve">合同履行期限：一年</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本项目（是/否）接受联合体：否 </w:t>
      </w:r>
      <w:r/>
    </w:p>
    <w:p>
      <w:pPr>
        <w:spacing w:after="105"/>
        <w:shd w:val="clear" w:color="auto" w:fill="ffffff"/>
        <w:widowControl/>
        <w:rPr>
          <w:rFonts w:hint="eastAsia" w:ascii="仿宋" w:hAnsi="仿宋" w:eastAsia="仿宋" w:cs="仿宋"/>
        </w:rPr>
      </w:pPr>
      <w:r>
        <w:rPr>
          <w:rStyle w:val="866"/>
          <w:rFonts w:hint="eastAsia" w:ascii="仿宋" w:hAnsi="仿宋" w:eastAsia="仿宋" w:cs="仿宋"/>
          <w:bCs/>
          <w:sz w:val="28"/>
          <w:szCs w:val="28"/>
          <w:shd w:val="clear" w:color="auto" w:fill="ffffff"/>
        </w:rPr>
        <w:t xml:space="preserve">二、申请人的资格要求：</w:t>
      </w:r>
      <w:r/>
    </w:p>
    <w:p>
      <w:pPr>
        <w:pStyle w:val="862"/>
        <w:spacing w:after="210" w:line="15" w:lineRule="atLeast"/>
        <w:widowControl/>
        <w:rPr>
          <w:rFonts w:hint="eastAsia" w:ascii="仿宋" w:hAnsi="仿宋" w:eastAsia="仿宋" w:cs="仿宋"/>
        </w:rPr>
      </w:pPr>
      <w:r/>
      <w:bookmarkStart w:id="8" w:name="_Toc35393623"/>
      <w:r/>
      <w:bookmarkStart w:id="9" w:name="_Toc28359081"/>
      <w:r/>
      <w:bookmarkStart w:id="10" w:name="_Toc35393792"/>
      <w:r/>
      <w:bookmarkStart w:id="11" w:name="_Toc28359004"/>
      <w:r>
        <w:rPr>
          <w:rFonts w:hint="eastAsia" w:ascii="仿宋" w:hAnsi="仿宋" w:eastAsia="仿宋" w:cs="仿宋"/>
          <w:sz w:val="28"/>
          <w:szCs w:val="28"/>
          <w:shd w:val="clear" w:color="auto" w:fill="ffffff"/>
        </w:rPr>
        <w:t xml:space="preserve">（一）满足《中华人民共和国政府采购法》第二十二条规定：</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1.法人或者其他组织的营业执照等证明文件，自然人的身份证明。</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2.上一年度的财务状况报告（成立不满一年不需提供）（提供信用承诺表）。</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3.依法缴纳税收和社会保障资金的相关材料（提供信用承诺书）。</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4.具备履行合同所必需的设备和专业技术能力的书面声明（提供信用承诺书）。</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5.参加政府采购活动前3年内在经营活动中没有重大违法记录的书面声明（提供信用承诺书）。</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6.法律、行政法规规定的其他条件。</w:t>
      </w:r>
      <w:r/>
    </w:p>
    <w:p>
      <w:pPr>
        <w:pStyle w:val="862"/>
        <w:spacing w:after="210" w:line="15" w:lineRule="atLeast"/>
        <w:widowControl/>
        <w:rPr>
          <w:rFonts w:hint="eastAsia" w:ascii="仿宋" w:hAnsi="仿宋" w:eastAsia="仿宋" w:cs="仿宋"/>
        </w:rPr>
      </w:pPr>
      <w:r>
        <w:rPr>
          <w:rFonts w:hint="eastAsia" w:ascii="仿宋" w:hAnsi="仿宋" w:eastAsia="仿宋" w:cs="仿宋"/>
          <w:sz w:val="28"/>
          <w:szCs w:val="28"/>
          <w:shd w:val="clear" w:color="auto" w:fill="ffffff"/>
        </w:rPr>
        <w:t xml:space="preserve">（二）落实政府采购政策需满足的资格要求：</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lang w:eastAsia="zh-CN"/>
        </w:rPr>
        <w:t xml:space="preserve">1.</w:t>
      </w:r>
      <w:r>
        <w:rPr>
          <w:rFonts w:hint="eastAsia" w:ascii="仿宋" w:hAnsi="仿宋" w:eastAsia="仿宋" w:cs="仿宋"/>
          <w:sz w:val="28"/>
          <w:szCs w:val="28"/>
          <w:shd w:val="clear" w:color="auto" w:fill="ffffff"/>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hint="eastAsia" w:ascii="仿宋" w:hAnsi="仿宋" w:eastAsia="仿宋" w:cs="仿宋"/>
          <w:sz w:val="28"/>
          <w:szCs w:val="28"/>
          <w:shd w:val="clear" w:color="auto" w:fill="ffffff"/>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ascii="仿宋" w:hAnsi="仿宋" w:eastAsia="仿宋" w:cs="仿宋"/>
          <w:sz w:val="28"/>
          <w:szCs w:val="28"/>
          <w:shd w:val="clear" w:color="auto" w:fill="ffffff"/>
          <w:lang w:val="en-US" w:eastAsia="zh-CN"/>
        </w:rPr>
        <w:t xml:space="preserve">法定代表人签字并加</w:t>
      </w:r>
      <w:r>
        <w:rPr>
          <w:rFonts w:hint="eastAsia" w:ascii="仿宋" w:hAnsi="仿宋" w:eastAsia="仿宋" w:cs="仿宋"/>
          <w:sz w:val="28"/>
          <w:szCs w:val="28"/>
          <w:shd w:val="clear" w:color="auto" w:fill="ffffff"/>
        </w:rPr>
        <w:t xml:space="preserve">盖单位公章，随响应文件一并递交。</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在政府采购资格审查环节，供应商只需提供书面《南京市政府采购供应商信用记录表暨信用承诺书》，即可替代以下证明材料：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（1）符合国家相关规定的财务状况报告；</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（2）依法缴纳税收的证明材料；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（3）依法缴纳社会保障资金的证明材料；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（4）具备履行政府采购合同所必需的设备和专业技术能力的证明材料；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（5）参加政府采购活动前三年内在经营活动中没有重大违法记录的证明材料；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（6）未被列入失信被执行人、重大税收违法失信主体、政府采购严重违法失信行为记录名单的证明材料。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供应商涉及以下情形的，不适用信用承诺：</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（1）供应商被列入严重失信主体名单；</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（2）被相关监管部门作出行政处罚且尚在处罚有效期内；</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（3）其他法律、行政法规规定的不适用信用承诺的情形。</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供应商对信用承诺内容的真实性、合法性、有效性负责。如作出虚假信用承诺，视同为“提供虚假材料谋取中标、成交”的违法行为。</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lang w:eastAsia="zh-CN"/>
        </w:rPr>
        <w:t xml:space="preserve">2.</w:t>
      </w:r>
      <w:r>
        <w:rPr>
          <w:rFonts w:hint="eastAsia" w:ascii="仿宋" w:hAnsi="仿宋" w:eastAsia="仿宋" w:cs="仿宋"/>
          <w:sz w:val="28"/>
          <w:szCs w:val="28"/>
          <w:shd w:val="clear" w:color="auto" w:fill="ffffff"/>
        </w:rPr>
        <w:t xml:space="preserve">如属于专门面向中小企业采购的项目，供应商应为中小微企业、监狱企业、残疾人福利性单位</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本项目按照采用以下第</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1 </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种方式落实政府采购促进中小企业发展的要求</w:t>
      </w:r>
      <w:r>
        <w:rPr>
          <w:rFonts w:hint="eastAsia" w:ascii="仿宋" w:hAnsi="仿宋" w:eastAsia="仿宋" w:cs="仿宋"/>
          <w:sz w:val="28"/>
          <w:szCs w:val="28"/>
          <w:shd w:val="clear" w:color="auto" w:fill="ffffff"/>
          <w:lang w:eastAsia="zh-CN"/>
        </w:rPr>
        <w:t xml:space="preserve">：</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（1）本项目整体专门面向中小企业采购服务。</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（2）本项目整体专门面向小微企业采购服务。</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（3）本项目通过以下第种方式预留部分采购份额采购中小企业服务</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①本项目要求供应商以联合体形式参加，企业合同金额应当达到的比例为%。②本项目要求供应商进行合同分包，企业合同金额应当达到的比例为%。</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（4）本项目为非预留份额的采购项目或采购包，执行价格扣除优惠政策，具体详见采购文件。</w:t>
      </w:r>
      <w:r/>
    </w:p>
    <w:p>
      <w:pPr>
        <w:pStyle w:val="862"/>
        <w:spacing w:after="210" w:line="15" w:lineRule="atLeast"/>
        <w:widowControl/>
        <w:rPr>
          <w:rFonts w:hint="eastAsia" w:ascii="仿宋" w:hAnsi="仿宋" w:eastAsia="仿宋" w:cs="仿宋"/>
          <w:lang w:val="en-US" w:eastAsia="zh-CN"/>
        </w:rPr>
      </w:pPr>
      <w:r>
        <w:rPr>
          <w:rFonts w:hint="eastAsia" w:ascii="仿宋" w:hAnsi="仿宋" w:eastAsia="仿宋" w:cs="仿宋"/>
          <w:sz w:val="28"/>
          <w:szCs w:val="28"/>
          <w:shd w:val="clear" w:color="auto" w:fill="ffffff"/>
        </w:rPr>
        <w:t xml:space="preserve">（三）本项目的特定资格要求</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w:t>
      </w:r>
      <w:r>
        <w:rPr>
          <w:rFonts w:hint="eastAsia" w:ascii="仿宋" w:hAnsi="仿宋" w:eastAsia="仿宋" w:cs="仿宋"/>
          <w:sz w:val="28"/>
          <w:szCs w:val="28"/>
          <w:shd w:val="clear" w:color="auto" w:fill="ffffff"/>
          <w:lang w:val="en-US" w:eastAsia="zh-CN"/>
        </w:rPr>
        <w:t xml:space="preserve">/</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三、获取招标文件</w:t>
      </w:r>
      <w:bookmarkEnd w:id="8"/>
      <w:r/>
      <w:bookmarkEnd w:id="9"/>
      <w:r/>
      <w:bookmarkEnd w:id="10"/>
      <w:r/>
      <w:bookmarkEnd w:id="11"/>
      <w:r/>
      <w:r/>
    </w:p>
    <w:p>
      <w:pPr>
        <w:ind w:firstLine="540"/>
        <w:spacing w:line="360" w:lineRule="auto"/>
        <w:rPr>
          <w:rFonts w:hint="eastAsia" w:ascii="仿宋" w:hAnsi="仿宋" w:eastAsia="仿宋" w:cs="仿宋"/>
          <w:sz w:val="28"/>
          <w:szCs w:val="28"/>
        </w:rPr>
      </w:pPr>
      <w:r>
        <w:rPr>
          <w:rFonts w:hint="eastAsia" w:ascii="仿宋" w:hAnsi="仿宋" w:eastAsia="仿宋" w:cs="仿宋"/>
          <w:sz w:val="28"/>
          <w:szCs w:val="28"/>
        </w:rPr>
        <w:t xml:space="preserve">时间：自磋商文件公告发布之日起5个工作日</w:t>
      </w:r>
      <w:r/>
    </w:p>
    <w:p>
      <w:pPr>
        <w:ind w:firstLine="54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地点：“江苏政府采购网、南京公共采购信息网”自行免费下载 </w:t>
      </w:r>
      <w:r/>
    </w:p>
    <w:p>
      <w:pPr>
        <w:ind w:firstLine="540"/>
        <w:spacing w:line="360" w:lineRule="auto"/>
        <w:rPr>
          <w:rFonts w:hint="eastAsia" w:ascii="仿宋" w:hAnsi="仿宋" w:eastAsia="仿宋" w:cs="仿宋"/>
          <w:sz w:val="28"/>
          <w:szCs w:val="28"/>
        </w:rPr>
      </w:pPr>
      <w:r>
        <w:rPr>
          <w:rFonts w:hint="eastAsia" w:ascii="仿宋" w:hAnsi="仿宋" w:eastAsia="仿宋" w:cs="仿宋"/>
          <w:sz w:val="28"/>
          <w:szCs w:val="28"/>
        </w:rPr>
        <w:t xml:space="preserve">方式：供应商登录“江苏政府采购网”，在网站首页点击“苏采云”→使用CA数字证书“CA锁”登录系统</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新用户需进行“平台用户注册”</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ind w:firstLine="540"/>
        <w:spacing w:line="360" w:lineRule="auto"/>
        <w:rPr>
          <w:rFonts w:hint="eastAsia" w:ascii="仿宋" w:hAnsi="仿宋" w:eastAsia="仿宋" w:cs="仿宋"/>
          <w:sz w:val="28"/>
          <w:szCs w:val="28"/>
        </w:rPr>
      </w:pPr>
      <w:r>
        <w:rPr>
          <w:rFonts w:hint="eastAsia" w:ascii="仿宋" w:hAnsi="仿宋" w:eastAsia="仿宋" w:cs="仿宋"/>
          <w:sz w:val="28"/>
          <w:szCs w:val="28"/>
        </w:rPr>
        <w:t xml:space="preserve">售价：0.00元</w:t>
      </w:r>
      <w:r/>
    </w:p>
    <w:p>
      <w:pPr>
        <w:spacing w:line="360" w:lineRule="auto"/>
        <w:rPr>
          <w:rFonts w:hint="eastAsia" w:ascii="仿宋" w:hAnsi="仿宋" w:eastAsia="仿宋" w:cs="仿宋"/>
          <w:b/>
          <w:bCs/>
          <w:sz w:val="28"/>
          <w:szCs w:val="28"/>
        </w:rPr>
      </w:pPr>
      <w:r/>
      <w:bookmarkStart w:id="12" w:name="_Toc28359082"/>
      <w:r/>
      <w:bookmarkStart w:id="13" w:name="_Toc28359005"/>
      <w:r/>
      <w:bookmarkStart w:id="14" w:name="_Toc35393624"/>
      <w:r/>
      <w:bookmarkStart w:id="15" w:name="_Toc35393793"/>
      <w:r>
        <w:rPr>
          <w:rFonts w:hint="eastAsia" w:ascii="仿宋" w:hAnsi="仿宋" w:eastAsia="仿宋" w:cs="仿宋"/>
          <w:b/>
          <w:bCs/>
          <w:sz w:val="28"/>
          <w:szCs w:val="28"/>
        </w:rPr>
        <w:t xml:space="preserve">四、提交投标文件</w:t>
      </w:r>
      <w:bookmarkEnd w:id="12"/>
      <w:r/>
      <w:bookmarkEnd w:id="13"/>
      <w:r>
        <w:rPr>
          <w:rFonts w:hint="eastAsia" w:ascii="仿宋" w:hAnsi="仿宋" w:eastAsia="仿宋" w:cs="仿宋"/>
          <w:b/>
          <w:bCs/>
          <w:sz w:val="28"/>
          <w:szCs w:val="28"/>
        </w:rPr>
        <w:t xml:space="preserve">截止时间、开标时间和地点</w:t>
      </w:r>
      <w:bookmarkEnd w:id="14"/>
      <w:r/>
      <w:bookmarkEnd w:id="15"/>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2026-7-22 </w:t>
      </w:r>
      <w:r>
        <w:rPr>
          <w:rFonts w:hint="eastAsia" w:ascii="仿宋" w:hAnsi="仿宋" w:eastAsia="仿宋" w:cs="仿宋"/>
          <w:sz w:val="28"/>
          <w:szCs w:val="28"/>
        </w:rPr>
        <w:t xml:space="preserve">  09:00（北京时间）</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地点：“苏采云”政府采购交易系统网上开标大厅 </w:t>
      </w:r>
      <w:r/>
    </w:p>
    <w:p>
      <w:pPr>
        <w:spacing w:line="360" w:lineRule="auto"/>
        <w:rPr>
          <w:rFonts w:hint="eastAsia" w:ascii="仿宋" w:hAnsi="仿宋" w:eastAsia="仿宋" w:cs="仿宋"/>
          <w:b/>
          <w:bCs/>
          <w:sz w:val="28"/>
          <w:szCs w:val="28"/>
        </w:rPr>
      </w:pPr>
      <w:r/>
      <w:bookmarkStart w:id="16" w:name="_Toc35393794"/>
      <w:r/>
      <w:bookmarkStart w:id="17" w:name="_Toc28359007"/>
      <w:r/>
      <w:bookmarkStart w:id="18" w:name="_Toc35393625"/>
      <w:r/>
      <w:bookmarkStart w:id="19" w:name="_Toc28359084"/>
      <w:r>
        <w:rPr>
          <w:rFonts w:hint="eastAsia" w:ascii="仿宋" w:hAnsi="仿宋" w:eastAsia="仿宋" w:cs="仿宋"/>
          <w:b/>
          <w:bCs/>
          <w:sz w:val="28"/>
          <w:szCs w:val="28"/>
        </w:rPr>
        <w:t xml:space="preserve">五、公告期限</w:t>
      </w:r>
      <w:bookmarkEnd w:id="16"/>
      <w:r/>
      <w:bookmarkEnd w:id="17"/>
      <w:r/>
      <w:bookmarkEnd w:id="18"/>
      <w:r/>
      <w:bookmarkEnd w:id="19"/>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自本公告发布之日起5个工作日。</w:t>
      </w:r>
      <w:r/>
    </w:p>
    <w:p>
      <w:pPr>
        <w:spacing w:line="360" w:lineRule="auto"/>
        <w:rPr>
          <w:rFonts w:hint="eastAsia" w:ascii="仿宋" w:hAnsi="仿宋" w:eastAsia="仿宋" w:cs="仿宋"/>
          <w:b/>
          <w:bCs/>
          <w:sz w:val="28"/>
          <w:szCs w:val="28"/>
        </w:rPr>
      </w:pPr>
      <w:r/>
      <w:bookmarkStart w:id="20" w:name="_Toc35393626"/>
      <w:r/>
      <w:bookmarkStart w:id="21" w:name="_Toc35393795"/>
      <w:r>
        <w:rPr>
          <w:rFonts w:hint="eastAsia" w:ascii="仿宋" w:hAnsi="仿宋" w:eastAsia="仿宋" w:cs="仿宋"/>
          <w:b/>
          <w:bCs/>
          <w:sz w:val="28"/>
          <w:szCs w:val="28"/>
        </w:rPr>
        <w:t xml:space="preserve">六、其他补充事宜</w:t>
      </w:r>
      <w:bookmarkEnd w:id="20"/>
      <w:r/>
      <w:bookmarkEnd w:id="21"/>
      <w:r/>
      <w:r/>
    </w:p>
    <w:p>
      <w:pPr>
        <w:pStyle w:val="1119"/>
        <w:ind w:left="495" w:firstLine="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1.</w:t>
      </w:r>
      <w:r>
        <w:rPr>
          <w:rFonts w:hint="eastAsia" w:ascii="仿宋" w:hAnsi="仿宋" w:eastAsia="仿宋" w:cs="仿宋"/>
          <w:sz w:val="28"/>
          <w:szCs w:val="28"/>
        </w:rPr>
        <w:t xml:space="preserve">拒绝下述供应商参加本次采购活动：</w:t>
      </w:r>
      <w:r/>
    </w:p>
    <w:p>
      <w:pPr>
        <w:pStyle w:val="1119"/>
        <w:ind w:left="0" w:firstLine="280"/>
        <w:spacing w:line="360" w:lineRule="auto"/>
        <w:rPr>
          <w:rFonts w:hint="eastAsia" w:ascii="仿宋" w:hAnsi="仿宋" w:eastAsia="仿宋" w:cs="仿宋"/>
          <w:sz w:val="28"/>
          <w:szCs w:val="28"/>
        </w:rPr>
      </w:pPr>
      <w:r>
        <w:rPr>
          <w:rFonts w:hint="eastAsia" w:ascii="仿宋" w:hAnsi="仿宋" w:eastAsia="仿宋" w:cs="仿宋"/>
          <w:sz w:val="28"/>
          <w:szCs w:val="28"/>
        </w:rPr>
        <w:t xml:space="preserve">（1）供应商单位负责人为同一人或者存在直接控股、管理关系的不同供应商，不得参加同一合同项下的政府采购活动。</w:t>
      </w:r>
      <w:r/>
    </w:p>
    <w:p>
      <w:pPr>
        <w:pStyle w:val="1119"/>
        <w:ind w:left="495"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（2）凡为采购项目提供整体设计、规范编制或者项目管理、监理、检测等服务的供应商，不得再参加本项目的采购活动。</w:t>
      </w:r>
      <w:r/>
    </w:p>
    <w:p>
      <w:pPr>
        <w:pStyle w:val="1119"/>
        <w:ind w:left="495"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（3）供应商被“信用中国”网站、“中国政府采购网”列入失信被执行人、重大税收违法案件当事人名单、政府采购严重违法失信行为记录名单。</w:t>
      </w:r>
      <w:r/>
    </w:p>
    <w:p>
      <w:pPr>
        <w:spacing w:after="105"/>
        <w:shd w:val="clear" w:color="auto" w:fill="ffffff"/>
        <w:widowControl/>
        <w:rPr>
          <w:rFonts w:hint="eastAsia" w:ascii="仿宋" w:hAnsi="仿宋" w:eastAsia="仿宋" w:cs="仿宋"/>
        </w:rPr>
      </w:pPr>
      <w:r>
        <w:rPr>
          <w:rStyle w:val="866"/>
          <w:rFonts w:hint="eastAsia" w:ascii="仿宋" w:hAnsi="仿宋" w:eastAsia="仿宋" w:cs="仿宋"/>
          <w:bCs/>
          <w:sz w:val="28"/>
          <w:szCs w:val="28"/>
          <w:shd w:val="clear" w:color="auto" w:fill="ffffff"/>
        </w:rPr>
        <w:t xml:space="preserve">八、凡对本次采购提出询问，请按以下方式联系。</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1.采购人信息</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单位名称：南京江宁经济技术开发区管理委员会</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单位地址：南京市江宁区将军中路166号</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联系人：张主任</w:t>
      </w:r>
      <w:r/>
    </w:p>
    <w:p>
      <w:pPr>
        <w:pStyle w:val="862"/>
        <w:widowControl/>
        <w:rPr>
          <w:rFonts w:hint="eastAsia" w:ascii="仿宋" w:hAnsi="仿宋" w:eastAsia="仿宋" w:cs="仿宋"/>
          <w:sz w:val="28"/>
          <w:szCs w:val="28"/>
          <w:lang w:eastAsia="zh-CN"/>
        </w:rPr>
      </w:pPr>
      <w:r>
        <w:rPr>
          <w:rFonts w:hint="eastAsia" w:ascii="仿宋" w:hAnsi="仿宋" w:eastAsia="仿宋" w:cs="仿宋"/>
          <w:sz w:val="28"/>
          <w:szCs w:val="28"/>
        </w:rPr>
        <w:t xml:space="preserve">联系电话：</w:t>
      </w:r>
      <w:r>
        <w:rPr>
          <w:rFonts w:hint="eastAsia" w:ascii="仿宋" w:hAnsi="仿宋" w:eastAsia="仿宋" w:cs="仿宋"/>
          <w:sz w:val="28"/>
          <w:szCs w:val="28"/>
          <w:highlight w:val="none"/>
          <w:lang w:eastAsia="zh-CN"/>
        </w:rPr>
        <w:t xml:space="preserve">025-52110015</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2.采购代理机构信息</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单位名称：江苏祥能工程项目管理有限公司</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单位地址：南京市江宁区秣陵街道苏源大道100号1幢</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联系人：陈健</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联系电话：18952089947</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3.项目联系方式</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项目联系人：陈健</w:t>
      </w:r>
      <w:r/>
    </w:p>
    <w:p>
      <w:pPr>
        <w:pStyle w:val="862"/>
        <w:widowControl/>
        <w:rPr>
          <w:rFonts w:hint="eastAsia" w:ascii="仿宋" w:hAnsi="仿宋" w:eastAsia="仿宋" w:cs="仿宋"/>
        </w:rPr>
      </w:pPr>
      <w:r>
        <w:rPr>
          <w:rFonts w:hint="eastAsia" w:ascii="仿宋" w:hAnsi="仿宋" w:eastAsia="仿宋" w:cs="仿宋"/>
          <w:sz w:val="28"/>
          <w:szCs w:val="28"/>
        </w:rPr>
        <w:t xml:space="preserve">电话：18952089947</w:t>
      </w:r>
      <w:r/>
    </w:p>
    <w:p>
      <w:pPr>
        <w:ind w:firstLine="3300"/>
        <w:spacing w:before="156" w:after="156" w:line="460" w:lineRule="exact"/>
        <w:rPr>
          <w:rFonts w:hint="eastAsia" w:ascii="仿宋" w:hAnsi="仿宋" w:eastAsia="仿宋" w:cs="仿宋"/>
          <w:color w:val="000000"/>
          <w:sz w:val="30"/>
          <w:szCs w:val="30"/>
        </w:rPr>
        <w:outlineLvl w:val="0"/>
      </w:pPr>
      <w:r/>
      <w:bookmarkStart w:id="22" w:name="_Toc17111"/>
      <w:r/>
      <w:bookmarkStart w:id="23" w:name="_Toc8791"/>
      <w:r>
        <w:rPr>
          <w:rFonts w:hint="eastAsia" w:ascii="仿宋" w:hAnsi="仿宋" w:eastAsia="仿宋" w:cs="仿宋"/>
          <w:color w:val="000000"/>
          <w:sz w:val="30"/>
          <w:szCs w:val="30"/>
        </w:rPr>
        <w:t xml:space="preserve">第二章 竞争性磋商须知</w:t>
      </w:r>
      <w:bookmarkEnd w:id="2"/>
      <w:r/>
      <w:bookmarkEnd w:id="3"/>
      <w:r/>
      <w:bookmarkEnd w:id="22"/>
      <w:r/>
      <w:bookmarkEnd w:id="23"/>
      <w:r/>
      <w:r/>
    </w:p>
    <w:p>
      <w:pPr>
        <w:ind w:firstLine="422"/>
        <w:jc w:val="left"/>
        <w:spacing w:before="156" w:after="156" w:line="46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江苏祥能工程项目管理有限公司</w:t>
      </w:r>
      <w:r>
        <w:rPr>
          <w:rFonts w:hint="eastAsia" w:ascii="仿宋" w:hAnsi="仿宋" w:eastAsia="仿宋" w:cs="仿宋"/>
          <w:color w:val="000000"/>
          <w:sz w:val="28"/>
          <w:szCs w:val="28"/>
        </w:rPr>
        <w:t xml:space="preserve"> 受 </w:t>
      </w:r>
      <w:r>
        <w:rPr>
          <w:rFonts w:hint="eastAsia" w:ascii="仿宋" w:hAnsi="仿宋" w:eastAsia="仿宋" w:cs="仿宋"/>
          <w:b/>
          <w:bCs/>
          <w:color w:val="000000"/>
          <w:sz w:val="28"/>
          <w:szCs w:val="28"/>
        </w:rPr>
        <w:t xml:space="preserve">南京江宁经济技术开发区管理委员会 </w:t>
      </w:r>
      <w:r>
        <w:rPr>
          <w:rFonts w:hint="eastAsia" w:ascii="仿宋" w:hAnsi="仿宋" w:eastAsia="仿宋" w:cs="仿宋"/>
          <w:color w:val="000000"/>
          <w:sz w:val="28"/>
          <w:szCs w:val="28"/>
        </w:rPr>
        <w:t xml:space="preserve">委托，</w:t>
      </w:r>
      <w:r>
        <w:rPr>
          <w:rFonts w:hint="eastAsia" w:ascii="仿宋" w:hAnsi="仿宋" w:eastAsia="仿宋" w:cs="仿宋"/>
          <w:color w:val="000000"/>
          <w:sz w:val="28"/>
          <w:szCs w:val="28"/>
          <w:lang w:eastAsia="zh-CN"/>
        </w:rPr>
        <w:t xml:space="preserve">对</w:t>
      </w:r>
      <w:r>
        <w:rPr>
          <w:rFonts w:hint="eastAsia" w:ascii="仿宋" w:hAnsi="仿宋" w:eastAsia="仿宋" w:cs="仿宋"/>
          <w:b/>
          <w:bCs/>
          <w:color w:val="000000"/>
          <w:sz w:val="28"/>
          <w:szCs w:val="28"/>
        </w:rPr>
        <w:t xml:space="preserve">江宁开发区2026年度涉林项目报批咨询服务 </w:t>
      </w:r>
      <w:r>
        <w:rPr>
          <w:rFonts w:hint="eastAsia" w:ascii="仿宋" w:hAnsi="仿宋" w:eastAsia="仿宋" w:cs="仿宋"/>
          <w:color w:val="000000"/>
          <w:sz w:val="28"/>
          <w:szCs w:val="28"/>
        </w:rPr>
        <w:t xml:space="preserve">（项目名称）进行竞争性磋商采购，兹邀请符合条件的供应商参与投标，相关信息如下：</w:t>
      </w:r>
      <w:r/>
    </w:p>
    <w:tbl>
      <w:tblPr>
        <w:tblStyle w:val="839"/>
        <w:tblW w:w="10126"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900"/>
        <w:gridCol w:w="1080"/>
        <w:gridCol w:w="1620"/>
        <w:gridCol w:w="5586"/>
      </w:tblGrid>
      <w:tr>
        <w:trPr>
          <w:trHeight w:val="197"/>
        </w:trPr>
        <w:tc>
          <w:tcPr>
            <w:tcW w:w="940" w:type="dxa"/>
            <w:vAlign w:val="center"/>
            <w:textDirection w:val="lrTb"/>
            <w:noWrap w:val="false"/>
          </w:tcPr>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p>
        </w:tc>
        <w:tc>
          <w:tcPr>
            <w:gridSpan w:val="2"/>
            <w:tcW w:w="1980" w:type="dxa"/>
            <w:vAlign w:val="center"/>
            <w:textDirection w:val="lrTb"/>
            <w:noWrap w:val="false"/>
          </w:tcPr>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项  目</w:t>
            </w:r>
            <w:r/>
          </w:p>
        </w:tc>
        <w:tc>
          <w:tcPr>
            <w:gridSpan w:val="2"/>
            <w:tcW w:w="7206" w:type="dxa"/>
            <w:vAlign w:val="center"/>
            <w:textDirection w:val="lrTb"/>
            <w:noWrap w:val="false"/>
          </w:tcPr>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p>
        </w:tc>
      </w:tr>
      <w:tr>
        <w:trPr>
          <w:trHeight w:val="162"/>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JSZC-320115-JSXN-C2026-0003</w:t>
            </w:r>
            <w:r/>
          </w:p>
        </w:tc>
      </w:tr>
      <w:tr>
        <w:trPr>
          <w:trHeight w:val="340"/>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江宁开发区2026年度涉林项目报批咨询服务 </w:t>
            </w:r>
            <w:r/>
          </w:p>
        </w:tc>
      </w:tr>
      <w:tr>
        <w:trPr>
          <w:trHeight w:val="305"/>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采购代理机构</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江苏祥能工程项目管理有限公司</w:t>
            </w:r>
            <w:r/>
          </w:p>
        </w:tc>
      </w:tr>
      <w:tr>
        <w:trPr>
          <w:trHeight w:val="337"/>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代理机构地址</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南京市江宁区秣陵街道苏源大道100号4楼</w:t>
            </w:r>
            <w:r/>
          </w:p>
        </w:tc>
      </w:tr>
      <w:tr>
        <w:trPr>
          <w:trHeight w:val="1475"/>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磋商文件获取方法</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供应商登录“江苏政府采购网”，在网站首页点击“苏采云”→使用CA锁登录系统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新用户需进行“平台用户注册”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→“项目参与”进行登记，在“可参与项目”中选择“我要参与”，参与成功后到“已参与项目”界面中找到该项目下载文件并进行操作。</w:t>
            </w:r>
            <w:r/>
          </w:p>
        </w:tc>
      </w:tr>
      <w:tr>
        <w:trPr>
          <w:trHeight w:val="381"/>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项目最高限价</w:t>
            </w:r>
            <w:r/>
          </w:p>
        </w:tc>
        <w:tc>
          <w:tcPr>
            <w:gridSpan w:val="2"/>
            <w:tcW w:w="7206" w:type="dxa"/>
            <w:vAlign w:val="center"/>
            <w:textDirection w:val="lrTb"/>
            <w:noWrap w:val="false"/>
          </w:tcPr>
          <w:p>
            <w:pPr>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费率</w:t>
            </w:r>
            <w:r>
              <w:rPr>
                <w:rFonts w:hint="eastAsia" w:ascii="仿宋" w:hAnsi="仿宋" w:eastAsia="仿宋" w:cs="仿宋"/>
                <w:color w:val="000000"/>
                <w:sz w:val="28"/>
                <w:szCs w:val="28"/>
              </w:rPr>
              <w:t xml:space="preserve">：70%</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投标折扣率不得超过本项目最高限价</w:t>
            </w:r>
            <w:r>
              <w:rPr>
                <w:rFonts w:hint="eastAsia" w:ascii="仿宋" w:hAnsi="仿宋" w:eastAsia="仿宋" w:cs="仿宋"/>
                <w:color w:val="000000"/>
                <w:sz w:val="28"/>
                <w:szCs w:val="28"/>
                <w:lang w:eastAsia="zh-CN"/>
              </w:rPr>
              <w:t xml:space="preserve">）</w:t>
            </w:r>
            <w:r/>
          </w:p>
          <w:p>
            <w:pPr>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费率：折扣率=1-优惠率</w:t>
            </w:r>
            <w:r/>
          </w:p>
        </w:tc>
      </w:tr>
      <w:tr>
        <w:trPr>
          <w:trHeight w:val="266"/>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服务期</w:t>
            </w:r>
            <w:r/>
          </w:p>
        </w:tc>
        <w:tc>
          <w:tcPr>
            <w:gridSpan w:val="2"/>
            <w:tcW w:w="7206" w:type="dxa"/>
            <w:vAlign w:val="center"/>
            <w:textDirection w:val="lrTb"/>
            <w:noWrap w:val="false"/>
          </w:tcPr>
          <w:p>
            <w:pPr>
              <w:jc w:val="lef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一年</w:t>
            </w:r>
            <w:r/>
          </w:p>
        </w:tc>
      </w:tr>
      <w:tr>
        <w:trPr>
          <w:trHeight w:val="332"/>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磋商保证金</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无</w:t>
            </w:r>
            <w:r/>
          </w:p>
        </w:tc>
      </w:tr>
      <w:tr>
        <w:trPr>
          <w:trHeight w:val="524"/>
        </w:trPr>
        <w:tc>
          <w:tcPr>
            <w:tcW w:w="94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9</w:t>
            </w:r>
            <w:r/>
          </w:p>
        </w:tc>
        <w:tc>
          <w:tcPr>
            <w:tcW w:w="900" w:type="dxa"/>
            <w:vAlign w:val="center"/>
            <w:vMerge w:val="restart"/>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磋商</w:t>
            </w:r>
            <w:r/>
          </w:p>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报名</w:t>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时间</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sz w:val="28"/>
                <w:szCs w:val="28"/>
              </w:rPr>
              <w:t xml:space="preserve">自磋商文件公告发布之日起5个工作日</w:t>
            </w:r>
            <w:r/>
          </w:p>
        </w:tc>
      </w:tr>
      <w:tr>
        <w:trPr>
          <w:trHeight w:val="378"/>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地点</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sz w:val="28"/>
                <w:szCs w:val="28"/>
              </w:rPr>
              <w:t xml:space="preserve">“江苏政府采购网、南京公共采购信息网”自行免费下载 </w:t>
            </w:r>
            <w:r/>
          </w:p>
        </w:tc>
      </w:tr>
      <w:tr>
        <w:trPr>
          <w:trHeight w:val="478"/>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要求</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供应商登录“江苏政府采购网”，在网站首页点击“苏采云”→使用CA锁登录系统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新用户需进行“平台用户注册”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→“项目参与”进行登记，在“可参与项目”中选择“我要参与”，参与成功后到“已参与项目”界面中找到该项目下载文件并进行操作。</w:t>
            </w:r>
            <w:r/>
          </w:p>
        </w:tc>
      </w:tr>
      <w:tr>
        <w:trPr>
          <w:trHeight w:val="245"/>
        </w:trPr>
        <w:tc>
          <w:tcPr>
            <w:tcW w:w="94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10</w:t>
            </w:r>
            <w:r/>
          </w:p>
        </w:tc>
        <w:tc>
          <w:tcPr>
            <w:tcW w:w="90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响应性文件递交信息</w:t>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时间</w:t>
            </w:r>
            <w:r/>
          </w:p>
        </w:tc>
        <w:tc>
          <w:tcPr>
            <w:gridSpan w:val="2"/>
            <w:tcW w:w="7206" w:type="dxa"/>
            <w:vAlign w:val="center"/>
            <w:textDirection w:val="lrTb"/>
            <w:noWrap w:val="false"/>
          </w:tcPr>
          <w:p>
            <w:pPr>
              <w:rPr>
                <w:rFonts w:hint="eastAsia" w:ascii="仿宋" w:hAnsi="仿宋" w:eastAsia="仿宋" w:cs="仿宋"/>
                <w:color w:val="000000"/>
                <w:sz w:val="28"/>
                <w:szCs w:val="28"/>
                <w:lang w:eastAsia="zh-CN"/>
              </w:rPr>
            </w:pPr>
            <w:r>
              <w:rPr>
                <w:rFonts w:hint="eastAsia" w:ascii="仿宋" w:hAnsi="仿宋" w:eastAsia="仿宋" w:cs="仿宋"/>
                <w:sz w:val="28"/>
                <w:szCs w:val="28"/>
                <w:lang w:eastAsia="zh-CN"/>
              </w:rPr>
              <w:t xml:space="preserve">2026-7-22  9:00</w:t>
            </w:r>
            <w:r/>
          </w:p>
        </w:tc>
      </w:tr>
      <w:tr>
        <w:trPr>
          <w:trHeight w:val="473"/>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地点</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sz w:val="28"/>
                <w:szCs w:val="28"/>
              </w:rPr>
              <w:t xml:space="preserve">“江苏政府采购网、南京公共采购信息网”自行上传</w:t>
            </w:r>
            <w:r/>
          </w:p>
        </w:tc>
      </w:tr>
      <w:tr>
        <w:trPr>
          <w:trHeight w:val="321"/>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要求</w:t>
            </w:r>
            <w:r/>
          </w:p>
        </w:tc>
        <w:tc>
          <w:tcPr>
            <w:gridSpan w:val="2"/>
            <w:tcW w:w="7206"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color w:val="000000"/>
                <w:sz w:val="28"/>
                <w:szCs w:val="28"/>
              </w:rPr>
              <w:t xml:space="preserve">供应商登录“江苏政府采购网”，在网站首页点击“苏采云”→使用CA锁登录系统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新用户需进行“平台用户注册”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→“项目参与”进行登记，在“可参与项目”中选择“我要参与”，参与成功后到“已参与项目”界面中找到该项目下载文件并进行操作。</w:t>
            </w:r>
            <w:r/>
          </w:p>
        </w:tc>
      </w:tr>
      <w:tr>
        <w:trPr>
          <w:trHeight w:val="90"/>
        </w:trPr>
        <w:tc>
          <w:tcPr>
            <w:tcW w:w="94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11</w:t>
            </w:r>
            <w:r/>
          </w:p>
        </w:tc>
        <w:tc>
          <w:tcPr>
            <w:tcW w:w="90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磋商 信息</w:t>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时间</w:t>
            </w:r>
            <w:r/>
          </w:p>
        </w:tc>
        <w:tc>
          <w:tcPr>
            <w:gridSpan w:val="2"/>
            <w:tcW w:w="7206" w:type="dxa"/>
            <w:vAlign w:val="center"/>
            <w:textDirection w:val="lrTb"/>
            <w:noWrap w:val="false"/>
          </w:tcPr>
          <w:p>
            <w:pPr>
              <w:rPr>
                <w:rFonts w:hint="eastAsia" w:ascii="仿宋" w:hAnsi="仿宋" w:eastAsia="仿宋" w:cs="仿宋"/>
                <w:color w:val="000000"/>
                <w:sz w:val="28"/>
                <w:szCs w:val="28"/>
                <w:lang w:eastAsia="zh-CN"/>
              </w:rPr>
            </w:pPr>
            <w:r>
              <w:rPr>
                <w:rFonts w:hint="eastAsia" w:ascii="仿宋" w:hAnsi="仿宋" w:eastAsia="仿宋" w:cs="仿宋"/>
                <w:sz w:val="28"/>
                <w:szCs w:val="28"/>
                <w:lang w:eastAsia="zh-CN"/>
              </w:rPr>
              <w:t xml:space="preserve">2026-7-22  9:00</w:t>
            </w:r>
            <w:r/>
          </w:p>
        </w:tc>
      </w:tr>
      <w:tr>
        <w:trPr>
          <w:trHeight w:val="350"/>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地点</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sz w:val="28"/>
                <w:szCs w:val="28"/>
              </w:rPr>
              <w:t xml:space="preserve">“苏采云”政府采购交易系统网上开标大厅</w:t>
            </w:r>
            <w:r/>
          </w:p>
        </w:tc>
      </w:tr>
      <w:tr>
        <w:trPr>
          <w:trHeight w:val="267"/>
        </w:trPr>
        <w:tc>
          <w:tcPr>
            <w:tcW w:w="940" w:type="dxa"/>
            <w:vAlign w:val="center"/>
            <w:vMerge w:val="restart"/>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w:t>
            </w:r>
            <w:r/>
          </w:p>
        </w:tc>
        <w:tc>
          <w:tcPr>
            <w:tcW w:w="900" w:type="dxa"/>
            <w:vAlign w:val="center"/>
            <w:vMerge w:val="restart"/>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 事项</w:t>
            </w:r>
            <w:r/>
          </w:p>
        </w:tc>
        <w:tc>
          <w:tcPr>
            <w:tcW w:w="1080" w:type="dxa"/>
            <w:vAlign w:val="center"/>
            <w:vMerge w:val="restart"/>
            <w:textDirection w:val="lrTb"/>
            <w:noWrap w:val="false"/>
          </w:tcPr>
          <w:p>
            <w:pP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W w:w="1620"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w:t>
            </w:r>
            <w:r/>
          </w:p>
        </w:tc>
        <w:tc>
          <w:tcPr>
            <w:tcW w:w="558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张主任</w:t>
            </w:r>
            <w:r/>
          </w:p>
        </w:tc>
      </w:tr>
      <w:tr>
        <w:trPr>
          <w:trHeight w:val="362"/>
        </w:trPr>
        <w:tc>
          <w:tcPr>
            <w:tcW w:w="940" w:type="dxa"/>
            <w:vAlign w:val="center"/>
            <w:vMerge w:val="continue"/>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vMerge w:val="continue"/>
            <w:textDirection w:val="lrTb"/>
            <w:noWrap w:val="false"/>
          </w:tcPr>
          <w:p>
            <w:pP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620"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p>
        </w:tc>
        <w:tc>
          <w:tcPr>
            <w:tcW w:w="5586" w:type="dxa"/>
            <w:vAlign w:val="center"/>
            <w:textDirection w:val="lrTb"/>
            <w:noWrap w:val="false"/>
          </w:tcPr>
          <w:p>
            <w:pPr>
              <w:rPr>
                <w:rFonts w:hint="eastAsia" w:ascii="仿宋" w:hAnsi="仿宋" w:eastAsia="仿宋" w:cs="仿宋"/>
                <w:color w:val="000000"/>
                <w:sz w:val="28"/>
                <w:szCs w:val="28"/>
                <w:highlight w:val="yellow"/>
                <w:lang w:eastAsia="zh-CN"/>
              </w:rPr>
            </w:pPr>
            <w:r>
              <w:rPr>
                <w:rFonts w:hint="eastAsia" w:ascii="仿宋" w:hAnsi="仿宋" w:eastAsia="仿宋" w:cs="仿宋"/>
                <w:color w:val="000000"/>
                <w:sz w:val="28"/>
                <w:szCs w:val="28"/>
                <w:highlight w:val="none"/>
                <w:lang w:eastAsia="zh-CN"/>
              </w:rPr>
              <w:t xml:space="preserve">025-52110015</w:t>
            </w:r>
            <w:r/>
          </w:p>
        </w:tc>
      </w:tr>
      <w:tr>
        <w:trPr>
          <w:trHeight w:val="363"/>
        </w:trPr>
        <w:tc>
          <w:tcPr>
            <w:tcW w:w="940" w:type="dxa"/>
            <w:vAlign w:val="center"/>
            <w:vMerge w:val="continue"/>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vMerge w:val="restart"/>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采购代理机构</w:t>
            </w:r>
            <w:r/>
          </w:p>
        </w:tc>
        <w:tc>
          <w:tcPr>
            <w:tcW w:w="1620"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w:t>
            </w:r>
            <w:r/>
          </w:p>
        </w:tc>
        <w:tc>
          <w:tcPr>
            <w:tcW w:w="558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陈健</w:t>
            </w:r>
            <w:r/>
          </w:p>
        </w:tc>
      </w:tr>
      <w:tr>
        <w:trPr>
          <w:trHeight w:val="320"/>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vMerge w:val="continue"/>
            <w:textDirection w:val="lrTb"/>
            <w:noWrap w:val="false"/>
          </w:tcPr>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620"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p>
        </w:tc>
        <w:tc>
          <w:tcPr>
            <w:tcW w:w="558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18952089947</w:t>
            </w:r>
            <w:r/>
          </w:p>
        </w:tc>
      </w:tr>
    </w:tbl>
    <w:p>
      <w:pPr>
        <w:rPr>
          <w:rFonts w:hint="eastAsia" w:ascii="仿宋" w:hAnsi="仿宋" w:eastAsia="仿宋" w:cs="仿宋"/>
          <w:b/>
          <w:color w:val="000000"/>
        </w:rPr>
      </w:pPr>
      <w:r/>
      <w:bookmarkStart w:id="24" w:name="_Toc26142"/>
      <w:r/>
      <w:r/>
    </w:p>
    <w:p>
      <w:pPr>
        <w:rPr>
          <w:rFonts w:hint="eastAsia" w:ascii="仿宋" w:hAnsi="仿宋" w:eastAsia="仿宋" w:cs="仿宋"/>
          <w:b/>
          <w:color w:val="000000"/>
        </w:rPr>
      </w:pPr>
      <w:r/>
      <w:bookmarkStart w:id="25" w:name="_Toc30246"/>
      <w:r/>
      <w:bookmarkStart w:id="26" w:name="_Toc18862"/>
      <w:r>
        <w:rPr>
          <w:rFonts w:hint="eastAsia" w:ascii="仿宋" w:hAnsi="仿宋" w:eastAsia="仿宋" w:cs="仿宋"/>
          <w:b/>
          <w:color w:val="000000"/>
        </w:rPr>
        <w:br w:type="page" w:clear="all"/>
      </w:r>
      <w:bookmarkEnd w:id="24"/>
      <w:r/>
      <w:bookmarkEnd w:id="25"/>
      <w:r/>
      <w:bookmarkEnd w:id="26"/>
      <w:r/>
      <w:r/>
    </w:p>
    <w:p>
      <w:pPr>
        <w:spacing w:before="98" w:line="276"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一、总则</w:t>
      </w:r>
      <w:r/>
    </w:p>
    <w:p>
      <w:pPr>
        <w:spacing w:before="122" w:line="276" w:lineRule="auto"/>
        <w:tabs>
          <w:tab w:val="left" w:pos="90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1.适用法律</w:t>
      </w:r>
      <w:r/>
    </w:p>
    <w:p>
      <w:pPr>
        <w:ind w:right="313"/>
        <w:spacing w:before="43" w:line="276" w:lineRule="auto"/>
        <w:tabs>
          <w:tab w:val="left" w:pos="1113"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1.1《中华人民共和国政府采购法</w:t>
      </w:r>
      <w:r>
        <w:rPr>
          <w:rFonts w:hint="eastAsia" w:ascii="仿宋" w:hAnsi="仿宋" w:eastAsia="仿宋" w:cs="仿宋"/>
          <w:b/>
          <w:bCs/>
          <w:color w:val="000000" w:themeColor="text1"/>
          <w:sz w:val="24"/>
          <w:lang w:eastAsia="zh-CN"/>
          <w14:textFill>
            <w14:solidFill>
              <w14:schemeClr w14:val="tx1"/>
            </w14:solidFill>
          </w14:textFill>
        </w:rPr>
        <w:t xml:space="preserve">》《</w:t>
      </w:r>
      <w:r>
        <w:rPr>
          <w:rFonts w:hint="eastAsia" w:ascii="仿宋" w:hAnsi="仿宋" w:eastAsia="仿宋" w:cs="仿宋"/>
          <w:b/>
          <w:bCs/>
          <w:color w:val="000000" w:themeColor="text1"/>
          <w:sz w:val="24"/>
          <w14:textFill>
            <w14:solidFill>
              <w14:schemeClr w14:val="tx1"/>
            </w14:solidFill>
          </w14:textFill>
        </w:rPr>
        <w:t xml:space="preserve">中华人民共和国政府采购法实施条例</w:t>
      </w:r>
      <w:r>
        <w:rPr>
          <w:rFonts w:hint="eastAsia" w:ascii="仿宋" w:hAnsi="仿宋" w:eastAsia="仿宋" w:cs="仿宋"/>
          <w:b/>
          <w:bCs/>
          <w:color w:val="000000" w:themeColor="text1"/>
          <w:sz w:val="24"/>
          <w:lang w:eastAsia="zh-CN"/>
          <w14:textFill>
            <w14:solidFill>
              <w14:schemeClr w14:val="tx1"/>
            </w14:solidFill>
          </w14:textFill>
        </w:rPr>
        <w:t xml:space="preserve">》《</w:t>
      </w:r>
      <w:r>
        <w:rPr>
          <w:rFonts w:hint="eastAsia" w:ascii="仿宋" w:hAnsi="仿宋" w:eastAsia="仿宋" w:cs="仿宋"/>
          <w:b/>
          <w:bCs/>
          <w:color w:val="000000" w:themeColor="text1"/>
          <w:sz w:val="24"/>
          <w14:textFill>
            <w14:solidFill>
              <w14:schemeClr w14:val="tx1"/>
            </w14:solidFill>
          </w14:textFill>
        </w:rPr>
        <w:t xml:space="preserve">政府采购竞争性磋商采购方式管理暂行办法》等有关法律、规章和规定等。</w:t>
      </w:r>
      <w:r/>
    </w:p>
    <w:p>
      <w:pPr>
        <w:spacing w:line="276"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2.定义</w:t>
      </w:r>
      <w:r/>
    </w:p>
    <w:p>
      <w:pPr>
        <w:spacing w:before="43" w:line="276" w:lineRule="auto"/>
        <w:tabs>
          <w:tab w:val="left" w:pos="1060"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2.1“供应商”是指参加磋商竞争，并符合采购文件规定资格条件的法人、其他组织或者自然人。</w:t>
      </w:r>
      <w:r/>
    </w:p>
    <w:p>
      <w:pPr>
        <w:spacing w:before="43" w:line="276" w:lineRule="auto"/>
        <w:tabs>
          <w:tab w:val="left" w:pos="1060"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2.2“服务”指本采购文件中所述产品及相关服务。</w:t>
      </w:r>
      <w:r/>
    </w:p>
    <w:p>
      <w:pPr>
        <w:spacing w:before="43" w:line="276" w:lineRule="auto"/>
        <w:tabs>
          <w:tab w:val="left" w:pos="1060"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2.3“采购人或使用单位”是指使用服务的单位。</w:t>
      </w:r>
      <w:r/>
    </w:p>
    <w:p>
      <w:pPr>
        <w:spacing w:before="43"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3.政策功能</w:t>
      </w:r>
      <w:r/>
    </w:p>
    <w:p>
      <w:pPr>
        <w:ind w:right="288"/>
        <w:spacing w:line="276" w:lineRule="auto"/>
        <w:tabs>
          <w:tab w:val="left" w:pos="1159"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3.1 中小企业、监狱企业、残疾人福利性单位相关政策</w:t>
      </w:r>
      <w:r/>
    </w:p>
    <w:p>
      <w:pPr>
        <w:ind w:right="784"/>
        <w:spacing w:before="43" w:line="276" w:lineRule="auto"/>
        <w:tabs>
          <w:tab w:val="left" w:pos="1827" w:leader="none"/>
        </w:tabs>
        <w:rPr>
          <w:rFonts w:hint="eastAsia" w:ascii="仿宋" w:hAnsi="仿宋" w:eastAsia="仿宋" w:cs="仿宋"/>
          <w:sz w:val="24"/>
        </w:rPr>
      </w:pPr>
      <w:r>
        <w:rPr>
          <w:rFonts w:hint="eastAsia" w:ascii="仿宋" w:hAnsi="仿宋" w:eastAsia="仿宋" w:cs="仿宋"/>
          <w:sz w:val="24"/>
        </w:rPr>
        <w:t xml:space="preserve">（1）中小企业划型标准按照《关于印发中小企业划型标准规定的通知（工信部联企业〔2011</w:t>
      </w:r>
      <w:r>
        <w:rPr>
          <w:rFonts w:hint="eastAsia" w:ascii="仿宋" w:hAnsi="仿宋" w:eastAsia="仿宋" w:cs="仿宋"/>
          <w:spacing w:val="-11"/>
          <w:sz w:val="24"/>
        </w:rPr>
        <w:t xml:space="preserve">〕</w:t>
      </w:r>
      <w:r>
        <w:rPr>
          <w:rFonts w:hint="eastAsia" w:ascii="仿宋" w:hAnsi="仿宋" w:eastAsia="仿宋" w:cs="仿宋"/>
          <w:sz w:val="24"/>
        </w:rPr>
        <w:t xml:space="preserve">300号）》</w:t>
      </w:r>
      <w:r>
        <w:rPr>
          <w:rFonts w:hint="eastAsia" w:ascii="仿宋" w:hAnsi="仿宋" w:eastAsia="仿宋" w:cs="仿宋"/>
          <w:sz w:val="24"/>
          <w:lang w:eastAsia="zh-CN"/>
        </w:rPr>
        <w:t xml:space="preserve">文件</w:t>
      </w:r>
      <w:r>
        <w:rPr>
          <w:rFonts w:hint="eastAsia" w:ascii="仿宋" w:hAnsi="仿宋" w:eastAsia="仿宋" w:cs="仿宋"/>
          <w:sz w:val="24"/>
        </w:rPr>
        <w:t xml:space="preserve">的相关规定认定。</w:t>
      </w:r>
      <w:r/>
    </w:p>
    <w:p>
      <w:pPr>
        <w:ind w:right="286"/>
        <w:spacing w:line="276" w:lineRule="auto"/>
        <w:tabs>
          <w:tab w:val="left" w:pos="1827" w:leader="none"/>
          <w:tab w:val="left" w:pos="8820" w:leader="none"/>
          <w:tab w:val="left" w:pos="9660" w:leader="none"/>
        </w:tabs>
        <w:rPr>
          <w:rFonts w:hint="eastAsia" w:ascii="仿宋" w:hAnsi="仿宋" w:eastAsia="仿宋" w:cs="仿宋"/>
          <w:spacing w:val="-4"/>
          <w:sz w:val="24"/>
        </w:rPr>
      </w:pPr>
      <w:r>
        <w:rPr>
          <w:rFonts w:hint="eastAsia" w:ascii="仿宋" w:hAnsi="仿宋" w:eastAsia="仿宋" w:cs="仿宋"/>
          <w:spacing w:val="-4"/>
          <w:sz w:val="24"/>
        </w:rPr>
        <w:t xml:space="preserve">（2）根据《政府采购促进中小企业发展管理办法》的相关规定，本项目对小型和微型企业产品的价格给予扣除，以扣除后的价格作为评审价格。</w:t>
      </w:r>
      <w:r/>
    </w:p>
    <w:p>
      <w:pPr>
        <w:ind w:right="286"/>
        <w:spacing w:line="276" w:lineRule="auto"/>
        <w:tabs>
          <w:tab w:val="left" w:pos="1827" w:leader="none"/>
        </w:tabs>
        <w:rPr>
          <w:rFonts w:hint="eastAsia" w:ascii="仿宋" w:hAnsi="仿宋" w:eastAsia="仿宋" w:cs="仿宋"/>
          <w:sz w:val="24"/>
        </w:rPr>
      </w:pPr>
      <w:r>
        <w:rPr>
          <w:rFonts w:hint="eastAsia" w:ascii="仿宋" w:hAnsi="仿宋" w:eastAsia="仿宋" w:cs="仿宋"/>
          <w:sz w:val="24"/>
        </w:rPr>
        <w:t xml:space="preserve">（3）根据《财库〔2014〕68号》监狱企业视同小型、微型企业，享受中小企业发展的政府采购</w:t>
      </w:r>
      <w:r>
        <w:rPr>
          <w:rFonts w:hint="eastAsia" w:ascii="仿宋" w:hAnsi="仿宋" w:eastAsia="仿宋" w:cs="仿宋"/>
          <w:spacing w:val="-7"/>
          <w:sz w:val="24"/>
        </w:rPr>
        <w:t xml:space="preserve">政策</w:t>
      </w:r>
      <w:r>
        <w:rPr>
          <w:rFonts w:hint="eastAsia" w:ascii="仿宋" w:hAnsi="仿宋" w:eastAsia="仿宋" w:cs="仿宋"/>
          <w:sz w:val="24"/>
        </w:rPr>
        <w:t xml:space="preserve">（</w:t>
      </w:r>
      <w:r>
        <w:rPr>
          <w:rFonts w:hint="eastAsia" w:ascii="仿宋" w:hAnsi="仿宋" w:eastAsia="仿宋" w:cs="仿宋"/>
          <w:spacing w:val="-3"/>
          <w:sz w:val="24"/>
        </w:rPr>
        <w:t xml:space="preserve">监狱企业参加政府采购活动时，应当提供由省级以上监狱管理局、戒毒管理局</w:t>
      </w:r>
      <w:r>
        <w:rPr>
          <w:rFonts w:hint="eastAsia" w:ascii="仿宋" w:hAnsi="仿宋" w:eastAsia="仿宋" w:cs="仿宋"/>
          <w:sz w:val="24"/>
        </w:rPr>
        <w:t xml:space="preserve">（含新疆生产建   </w:t>
      </w:r>
      <w:r>
        <w:rPr>
          <w:rFonts w:hint="eastAsia" w:ascii="仿宋" w:hAnsi="仿宋" w:eastAsia="仿宋" w:cs="仿宋"/>
          <w:sz w:val="24"/>
        </w:rPr>
        <w:t xml:space="preserve">设兵团）出具的属于监狱企业的证明文件）。</w:t>
      </w:r>
      <w:r/>
    </w:p>
    <w:p>
      <w:pPr>
        <w:ind w:right="86"/>
        <w:spacing w:line="276" w:lineRule="auto"/>
        <w:tabs>
          <w:tab w:val="left" w:pos="1823" w:leader="none"/>
          <w:tab w:val="left" w:pos="9460" w:leader="none"/>
        </w:tabs>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pacing w:val="-3"/>
          <w:sz w:val="24"/>
        </w:rPr>
        <w:t xml:space="preserve">根据《财库〔</w:t>
      </w:r>
      <w:r>
        <w:rPr>
          <w:rFonts w:hint="eastAsia" w:ascii="仿宋" w:hAnsi="仿宋" w:eastAsia="仿宋" w:cs="仿宋"/>
          <w:sz w:val="24"/>
        </w:rPr>
        <w:t xml:space="preserve">2017</w:t>
      </w:r>
      <w:r>
        <w:rPr>
          <w:rFonts w:hint="eastAsia" w:ascii="仿宋" w:hAnsi="仿宋" w:eastAsia="仿宋" w:cs="仿宋"/>
          <w:spacing w:val="-8"/>
          <w:sz w:val="24"/>
        </w:rPr>
        <w:t xml:space="preserve">〕</w:t>
      </w:r>
      <w:r>
        <w:rPr>
          <w:rFonts w:hint="eastAsia" w:ascii="仿宋" w:hAnsi="仿宋" w:eastAsia="仿宋" w:cs="仿宋"/>
          <w:sz w:val="24"/>
        </w:rPr>
        <w:t xml:space="preserve">141</w:t>
      </w:r>
      <w:r>
        <w:rPr>
          <w:rFonts w:hint="eastAsia" w:ascii="仿宋" w:hAnsi="仿宋" w:eastAsia="仿宋" w:cs="仿宋"/>
          <w:spacing w:val="-4"/>
          <w:sz w:val="24"/>
        </w:rPr>
        <w:t xml:space="preserve">号》符合条件的残疾人福利性单位视同小型、微型企业，享受中小 </w:t>
      </w:r>
      <w:r>
        <w:rPr>
          <w:rFonts w:hint="eastAsia" w:ascii="仿宋" w:hAnsi="仿宋" w:eastAsia="仿宋" w:cs="仿宋"/>
          <w:spacing w:val="-4"/>
          <w:sz w:val="24"/>
        </w:rPr>
        <w:t xml:space="preserve">企业发展的政府采购政策。残疾人福利性单位属于小型、微型企业的，不重复享受政策。</w:t>
      </w:r>
      <w:r/>
    </w:p>
    <w:p>
      <w:pPr>
        <w:spacing w:line="276" w:lineRule="auto"/>
        <w:tabs>
          <w:tab w:val="left" w:pos="1823" w:leader="none"/>
        </w:tabs>
        <w:rPr>
          <w:rFonts w:hint="eastAsia" w:ascii="仿宋" w:hAnsi="仿宋" w:eastAsia="仿宋" w:cs="仿宋"/>
          <w:sz w:val="24"/>
        </w:rPr>
      </w:pPr>
      <w:r>
        <w:rPr>
          <w:rFonts w:hint="eastAsia" w:ascii="仿宋" w:hAnsi="仿宋" w:eastAsia="仿宋" w:cs="仿宋"/>
          <w:sz w:val="24"/>
        </w:rPr>
        <w:t xml:space="preserve">（5）小型、微型企业提供中型或大型企业制造的货物的，视同为中型或大型企业。</w:t>
      </w:r>
      <w:r/>
    </w:p>
    <w:p>
      <w:pPr>
        <w:pStyle w:val="843"/>
        <w:ind w:right="730"/>
        <w:spacing w:before="42" w:line="276"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5"/>
          <w:sz w:val="24"/>
          <w:szCs w:val="24"/>
          <w14:textFill>
            <w14:solidFill>
              <w14:schemeClr w14:val="tx1"/>
            </w14:solidFill>
          </w14:textFill>
        </w:rPr>
        <w:t xml:space="preserve">参加政府采购活动的中小企业应当按“关于印发《政府采购促进中小企业发展管理办法》的通知[财库〔2020〕46号]</w:t>
      </w:r>
      <w:r>
        <w:rPr>
          <w:rFonts w:hint="eastAsia" w:ascii="仿宋" w:hAnsi="仿宋" w:eastAsia="仿宋" w:cs="仿宋"/>
          <w:color w:val="000000" w:themeColor="text1"/>
          <w:spacing w:val="-5"/>
          <w:sz w:val="24"/>
          <w:szCs w:val="24"/>
          <w14:textFill>
            <w14:solidFill>
              <w14:schemeClr w14:val="tx1"/>
            </w14:solidFill>
          </w14:textFill>
        </w:rPr>
        <w:t xml:space="preserve">” 和《财库〔2017〕141号》规定提供《中小企业声明函》和《残疾人福利性单位声明函》。未提供上述资料的报价，其价格不予扣除。</w:t>
      </w:r>
      <w:r/>
    </w:p>
    <w:p>
      <w:pPr>
        <w:ind w:right="288"/>
        <w:spacing w:line="276" w:lineRule="auto"/>
        <w:tabs>
          <w:tab w:val="left" w:pos="1159"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3.2 强制采购节能产品、信息安全产品，优先采购环境标志产品。</w:t>
      </w:r>
      <w:r/>
    </w:p>
    <w:p>
      <w:pPr>
        <w:ind w:right="288" w:firstLine="480"/>
        <w:spacing w:line="276" w:lineRule="auto"/>
        <w:tabs>
          <w:tab w:val="left" w:pos="1159" w:leader="none"/>
        </w:tabs>
        <w:rPr>
          <w:rFonts w:hint="eastAsia" w:ascii="仿宋" w:hAnsi="仿宋" w:eastAsia="仿宋" w:cs="仿宋"/>
          <w:color w:val="000000" w:themeColor="text1"/>
          <w:spacing w:val="-8"/>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4"/>
          <w14:textFill>
            <w14:solidFill>
              <w14:schemeClr w14:val="tx1"/>
            </w14:solidFill>
          </w14:textFill>
        </w:rPr>
        <w:t xml:space="preserve">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right="288"/>
        <w:spacing w:line="276" w:lineRule="auto"/>
        <w:tabs>
          <w:tab w:val="left" w:pos="1159" w:leader="none"/>
        </w:tabs>
        <w:rPr>
          <w:rFonts w:hint="eastAsia" w:ascii="仿宋" w:hAnsi="仿宋" w:eastAsia="仿宋" w:cs="仿宋"/>
          <w:color w:val="000000" w:themeColor="text1"/>
          <w:spacing w:val="-3"/>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（1）</w:t>
      </w:r>
      <w:r>
        <w:rPr>
          <w:rFonts w:hint="eastAsia" w:ascii="仿宋" w:hAnsi="仿宋" w:eastAsia="仿宋" w:cs="仿宋"/>
          <w:color w:val="000000" w:themeColor="text1"/>
          <w:spacing w:val="-3"/>
          <w:sz w:val="24"/>
          <w14:textFill>
            <w14:solidFill>
              <w14:schemeClr w14:val="tx1"/>
            </w14:solidFill>
          </w14:textFill>
        </w:rPr>
        <w:t xml:space="preserve">提供的产品属于信息安全产品的，供应商应当选择经国家认证的信息安全产品，并提供由中国信息安全认证中心按国家标准认证颁发的有效认证证书复印件。</w:t>
      </w:r>
      <w:r/>
    </w:p>
    <w:p>
      <w:pPr>
        <w:ind w:right="288"/>
        <w:spacing w:line="276" w:lineRule="auto"/>
        <w:tabs>
          <w:tab w:val="left" w:pos="1159"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（2）提供的产品属于政府强制采购节能产品的，供应商应当选择《节能产品政府采购清单》中的产</w:t>
      </w:r>
      <w:r>
        <w:rPr>
          <w:rFonts w:hint="eastAsia" w:ascii="仿宋" w:hAnsi="仿宋" w:eastAsia="仿宋" w:cs="仿宋"/>
          <w:color w:val="000000" w:themeColor="text1"/>
          <w:sz w:val="24"/>
          <w14:textFill>
            <w14:solidFill>
              <w14:schemeClr w14:val="tx1"/>
            </w14:solidFill>
          </w14:textFill>
        </w:rPr>
        <w:t xml:space="preserve">品，并提供有效的节能产品认证证书复印件。</w:t>
      </w:r>
      <w:r/>
    </w:p>
    <w:p>
      <w:pPr>
        <w:ind w:right="288"/>
        <w:spacing w:line="276" w:lineRule="auto"/>
        <w:tabs>
          <w:tab w:val="left" w:pos="1159"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（3）提供</w:t>
      </w:r>
      <w:r>
        <w:rPr>
          <w:rFonts w:hint="eastAsia" w:ascii="仿宋" w:hAnsi="仿宋" w:eastAsia="仿宋" w:cs="仿宋"/>
          <w:color w:val="000000" w:themeColor="text1"/>
          <w:spacing w:val="-3"/>
          <w:sz w:val="24"/>
          <w14:textFill>
            <w14:solidFill>
              <w14:schemeClr w14:val="tx1"/>
            </w14:solidFill>
          </w14:textFill>
        </w:rPr>
        <w:t xml:space="preserve">的产品属于环境标志产品的</w:t>
      </w:r>
      <w:r>
        <w:rPr>
          <w:rFonts w:hint="eastAsia" w:ascii="仿宋" w:hAnsi="仿宋" w:eastAsia="仿宋" w:cs="仿宋"/>
          <w:color w:val="000000" w:themeColor="text1"/>
          <w:spacing w:val="-3"/>
          <w:sz w:val="24"/>
          <w:lang w:eastAsia="zh-CN"/>
          <w14:textFill>
            <w14:solidFill>
              <w14:schemeClr w14:val="tx1"/>
            </w14:solidFill>
          </w14:textFill>
        </w:rPr>
        <w:t xml:space="preserve">，</w:t>
      </w:r>
      <w:r>
        <w:rPr>
          <w:rFonts w:hint="eastAsia" w:ascii="仿宋" w:hAnsi="仿宋" w:eastAsia="仿宋" w:cs="仿宋"/>
          <w:color w:val="000000" w:themeColor="text1"/>
          <w:spacing w:val="-3"/>
          <w:sz w:val="24"/>
          <w14:textFill>
            <w14:solidFill>
              <w14:schemeClr w14:val="tx1"/>
            </w14:solidFill>
          </w14:textFill>
        </w:rPr>
        <w:t xml:space="preserve">供应商应当选择《环境标志产品政府采购清单》中的</w:t>
      </w:r>
      <w:r>
        <w:rPr>
          <w:rFonts w:hint="eastAsia" w:ascii="仿宋" w:hAnsi="仿宋" w:eastAsia="仿宋" w:cs="仿宋"/>
          <w:color w:val="000000" w:themeColor="text1"/>
          <w:spacing w:val="-3"/>
          <w:sz w:val="24"/>
          <w:lang w:eastAsia="zh-CN"/>
          <w14:textFill>
            <w14:solidFill>
              <w14:schemeClr w14:val="tx1"/>
            </w14:solidFill>
          </w14:textFill>
        </w:rPr>
        <w:t xml:space="preserve">，</w:t>
      </w:r>
      <w:r>
        <w:rPr>
          <w:rFonts w:hint="eastAsia" w:ascii="仿宋" w:hAnsi="仿宋" w:eastAsia="仿宋" w:cs="仿宋"/>
          <w:color w:val="000000" w:themeColor="text1"/>
          <w:spacing w:val="-3"/>
          <w:sz w:val="24"/>
          <w14:textFill>
            <w14:solidFill>
              <w14:schemeClr w14:val="tx1"/>
            </w14:solidFill>
          </w14:textFill>
        </w:rPr>
        <w:t xml:space="preserve">且经过</w:t>
      </w:r>
      <w:r>
        <w:rPr>
          <w:rFonts w:hint="eastAsia" w:ascii="仿宋" w:hAnsi="仿宋" w:eastAsia="仿宋" w:cs="仿宋"/>
          <w:color w:val="000000" w:themeColor="text1"/>
          <w:spacing w:val="-3"/>
          <w:sz w:val="24"/>
          <w14:textFill>
            <w14:solidFill>
              <w14:schemeClr w14:val="tx1"/>
            </w14:solidFill>
          </w14:textFill>
        </w:rPr>
        <w:t xml:space="preserve">认证的环境标志产品投标</w:t>
      </w:r>
      <w:r>
        <w:rPr>
          <w:rFonts w:hint="eastAsia" w:ascii="仿宋" w:hAnsi="仿宋" w:eastAsia="仿宋" w:cs="仿宋"/>
          <w:color w:val="000000" w:themeColor="text1"/>
          <w:spacing w:val="-3"/>
          <w:sz w:val="24"/>
          <w:lang w:eastAsia="zh-CN"/>
          <w14:textFill>
            <w14:solidFill>
              <w14:schemeClr w14:val="tx1"/>
            </w14:solidFill>
          </w14:textFill>
        </w:rPr>
        <w:t xml:space="preserve">，</w:t>
      </w:r>
      <w:r>
        <w:rPr>
          <w:rFonts w:hint="eastAsia" w:ascii="仿宋" w:hAnsi="仿宋" w:eastAsia="仿宋" w:cs="仿宋"/>
          <w:color w:val="000000" w:themeColor="text1"/>
          <w:spacing w:val="-3"/>
          <w:sz w:val="24"/>
          <w14:textFill>
            <w14:solidFill>
              <w14:schemeClr w14:val="tx1"/>
            </w14:solidFill>
          </w14:textFill>
        </w:rPr>
        <w:t xml:space="preserve">并提供有效的环境标志产品认证证书复印件。</w:t>
      </w:r>
      <w:r/>
    </w:p>
    <w:p>
      <w:pPr>
        <w:ind w:right="276"/>
        <w:spacing w:line="276" w:lineRule="auto"/>
        <w:tabs>
          <w:tab w:val="left" w:pos="116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pacing w:val="-2"/>
          <w:sz w:val="24"/>
          <w14:textFill>
            <w14:solidFill>
              <w14:schemeClr w14:val="tx1"/>
            </w14:solidFill>
          </w14:textFill>
        </w:rPr>
        <w:t xml:space="preserve">3.3 采购文件中的参考产品品牌或型号（如有），是采购人根据项目所要实现的功能列出的品牌或型号，并不是限制条件。供应商可以采用不低于参考的产品档次参与竞争，但是所有技术和功能不得低于采购要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color w:val="000000" w:themeColor="text1"/>
          <w:spacing w:val="-3"/>
          <w:sz w:val="24"/>
          <w14:textFill>
            <w14:solidFill>
              <w14:schemeClr w14:val="tx1"/>
            </w14:solidFill>
          </w14:textFill>
        </w:rPr>
        <w:t xml:space="preserve">求，并提供证明材料以保证整体功能的实现，并在方案中加以合理的阐述说明，否则将可能作为无效投</w:t>
      </w:r>
      <w:r>
        <w:rPr>
          <w:rFonts w:hint="eastAsia" w:ascii="仿宋" w:hAnsi="仿宋" w:eastAsia="仿宋" w:cs="仿宋"/>
          <w:b/>
          <w:color w:val="000000" w:themeColor="text1"/>
          <w:spacing w:val="-3"/>
          <w:sz w:val="24"/>
          <w14:textFill>
            <w14:solidFill>
              <w14:schemeClr w14:val="tx1"/>
            </w14:solidFill>
          </w14:textFill>
        </w:rPr>
        <w:t xml:space="preserve">标处理。</w:t>
      </w:r>
      <w:r/>
    </w:p>
    <w:p>
      <w:pPr>
        <w:ind w:right="276"/>
        <w:spacing w:line="276" w:lineRule="auto"/>
        <w:tabs>
          <w:tab w:val="left" w:pos="1168"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4.参与竞争性磋商供应商资格条件</w:t>
      </w:r>
      <w:r/>
    </w:p>
    <w:p>
      <w:pPr>
        <w:spacing w:line="276" w:lineRule="auto"/>
        <w:tabs>
          <w:tab w:val="left" w:pos="1063" w:leader="none"/>
        </w:tabs>
        <w:rPr>
          <w:rFonts w:hint="eastAsia" w:ascii="仿宋" w:hAnsi="仿宋" w:eastAsia="仿宋" w:cs="仿宋"/>
          <w:bCs/>
          <w:color w:val="000000" w:themeColor="text1"/>
          <w:spacing w:val="-7"/>
          <w:sz w:val="24"/>
          <w14:textFill>
            <w14:solidFill>
              <w14:schemeClr w14:val="tx1"/>
            </w14:solidFill>
          </w14:textFill>
        </w:rPr>
      </w:pPr>
      <w:r>
        <w:rPr>
          <w:rFonts w:hint="eastAsia" w:ascii="仿宋" w:hAnsi="仿宋" w:eastAsia="仿宋" w:cs="仿宋"/>
          <w:bCs/>
          <w:color w:val="000000" w:themeColor="text1"/>
          <w:spacing w:val="-7"/>
          <w:sz w:val="24"/>
          <w14:textFill>
            <w14:solidFill>
              <w14:schemeClr w14:val="tx1"/>
            </w14:solidFill>
          </w14:textFill>
        </w:rPr>
        <w:t xml:space="preserve">详见“第一章 竞争性磋商邀请”。</w:t>
      </w:r>
      <w:r/>
    </w:p>
    <w:p>
      <w:pPr>
        <w:spacing w:line="276" w:lineRule="auto"/>
        <w:tabs>
          <w:tab w:val="left" w:pos="106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5. 供应商的义务及注意事项</w:t>
      </w:r>
      <w:r/>
    </w:p>
    <w:p>
      <w:pPr>
        <w:spacing w:line="276" w:lineRule="auto"/>
        <w:tabs>
          <w:tab w:val="left" w:pos="106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pacing w:val="-7"/>
          <w:sz w:val="24"/>
          <w14:textFill>
            <w14:solidFill>
              <w14:schemeClr w14:val="tx1"/>
            </w14:solidFill>
          </w14:textFill>
        </w:rPr>
        <w:t xml:space="preserve">5.1</w:t>
      </w:r>
      <w:r>
        <w:rPr>
          <w:rFonts w:hint="eastAsia" w:ascii="仿宋" w:hAnsi="仿宋" w:eastAsia="仿宋" w:cs="仿宋"/>
          <w:b/>
          <w:color w:val="000000" w:themeColor="text1"/>
          <w:sz w:val="24"/>
          <w14:textFill>
            <w14:solidFill>
              <w14:schemeClr w14:val="tx1"/>
            </w14:solidFill>
          </w14:textFill>
        </w:rPr>
        <w:t xml:space="preserve">集中现场答疑/勘察：</w:t>
      </w:r>
      <w:r/>
    </w:p>
    <w:p>
      <w:pPr>
        <w:spacing w:before="43" w:line="276" w:lineRule="auto"/>
        <w:tabs>
          <w:tab w:val="left" w:pos="1060" w:leader="none"/>
        </w:tabs>
        <w:rPr>
          <w:rFonts w:hint="eastAsia" w:ascii="仿宋" w:hAnsi="仿宋" w:eastAsia="仿宋" w:cs="仿宋"/>
          <w:bCs/>
          <w:sz w:val="24"/>
        </w:rPr>
      </w:pPr>
      <w:r>
        <w:rPr>
          <w:rFonts w:hint="eastAsia" w:ascii="仿宋" w:hAnsi="仿宋" w:eastAsia="仿宋" w:cs="仿宋"/>
          <w:bCs/>
          <w:color w:val="000000" w:themeColor="text1"/>
          <w:spacing w:val="-7"/>
          <w:sz w:val="24"/>
          <w14:textFill>
            <w14:solidFill>
              <w14:schemeClr w14:val="tx1"/>
            </w14:solidFill>
          </w14:textFill>
        </w:rPr>
        <w:t xml:space="preserve">详见“第一章 竞争性磋商邀请”</w:t>
      </w:r>
      <w:r>
        <w:rPr>
          <w:rFonts w:hint="eastAsia" w:ascii="仿宋" w:hAnsi="仿宋" w:eastAsia="仿宋" w:cs="仿宋"/>
          <w:bCs/>
          <w:color w:val="000000" w:themeColor="text1"/>
          <w:sz w:val="24"/>
          <w14:textFill>
            <w14:solidFill>
              <w14:schemeClr w14:val="tx1"/>
            </w14:solidFill>
          </w14:textFill>
        </w:rPr>
        <w:t xml:space="preserve">。</w:t>
      </w:r>
      <w:r/>
    </w:p>
    <w:p>
      <w:pPr>
        <w:spacing w:line="276" w:lineRule="auto"/>
        <w:tabs>
          <w:tab w:val="left" w:pos="106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5.2 义务</w:t>
      </w:r>
      <w:r/>
    </w:p>
    <w:p>
      <w:pPr>
        <w:ind w:right="204"/>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7"/>
          <w:sz w:val="24"/>
          <w14:textFill>
            <w14:solidFill>
              <w14:schemeClr w14:val="tx1"/>
            </w14:solidFill>
          </w14:textFill>
        </w:rPr>
        <w:t xml:space="preserve">5.2.1 供应商应当认真阅读本磋商文件，完全明了本项目之名称、用途、数量、质量和提供服务时间，</w:t>
      </w:r>
      <w:r>
        <w:rPr>
          <w:rFonts w:hint="eastAsia" w:ascii="仿宋" w:hAnsi="仿宋" w:eastAsia="仿宋" w:cs="仿宋"/>
          <w:color w:val="000000" w:themeColor="text1"/>
          <w:spacing w:val="-7"/>
          <w:sz w:val="24"/>
          <w14:textFill>
            <w14:solidFill>
              <w14:schemeClr w14:val="tx1"/>
            </w14:solidFill>
          </w14:textFill>
        </w:rPr>
        <w:t xml:space="preserve">完全明了应具备的资格条件。</w:t>
      </w:r>
      <w:r/>
    </w:p>
    <w:p>
      <w:pPr>
        <w:ind w:right="310"/>
        <w:spacing w:before="1"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7"/>
          <w:sz w:val="24"/>
          <w14:textFill>
            <w14:solidFill>
              <w14:schemeClr w14:val="tx1"/>
            </w14:solidFill>
          </w14:textFill>
        </w:rPr>
        <w:t xml:space="preserve">5.2.2 供应商应当按照磋商</w:t>
      </w:r>
      <w:r>
        <w:rPr>
          <w:rFonts w:hint="eastAsia" w:ascii="仿宋" w:hAnsi="仿宋" w:eastAsia="仿宋" w:cs="仿宋"/>
          <w:color w:val="000000" w:themeColor="text1"/>
          <w:spacing w:val="-2"/>
          <w:sz w:val="24"/>
          <w14:textFill>
            <w14:solidFill>
              <w14:schemeClr w14:val="tx1"/>
            </w14:solidFill>
          </w14:textFill>
        </w:rPr>
        <w:t xml:space="preserve">文件的要求编制响应性文件。响应性文件应对磋商文件提出的实质性要求</w:t>
      </w:r>
      <w:r>
        <w:rPr>
          <w:rFonts w:hint="eastAsia" w:ascii="仿宋" w:hAnsi="仿宋" w:eastAsia="仿宋" w:cs="仿宋"/>
          <w:color w:val="000000" w:themeColor="text1"/>
          <w:spacing w:val="-2"/>
          <w:sz w:val="24"/>
          <w14:textFill>
            <w14:solidFill>
              <w14:schemeClr w14:val="tx1"/>
            </w14:solidFill>
          </w14:textFill>
        </w:rPr>
        <w:t xml:space="preserve">和条件作出完全响应。</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5.2.3 供应商应在磋商截止时</w:t>
      </w:r>
      <w:r>
        <w:rPr>
          <w:rFonts w:hint="eastAsia" w:ascii="仿宋" w:hAnsi="仿宋" w:eastAsia="仿宋" w:cs="仿宋"/>
          <w:color w:val="000000" w:themeColor="text1"/>
          <w:sz w:val="24"/>
          <w:lang w:eastAsia="zh-CN"/>
          <w14:textFill>
            <w14:solidFill>
              <w14:schemeClr w14:val="tx1"/>
            </w14:solidFill>
          </w14:textFill>
        </w:rPr>
        <w:t xml:space="preserve">间之</w:t>
      </w:r>
      <w:r>
        <w:rPr>
          <w:rFonts w:hint="eastAsia" w:ascii="仿宋" w:hAnsi="仿宋" w:eastAsia="仿宋" w:cs="仿宋"/>
          <w:color w:val="000000" w:themeColor="text1"/>
          <w:sz w:val="24"/>
          <w14:textFill>
            <w14:solidFill>
              <w14:schemeClr w14:val="tx1"/>
            </w14:solidFill>
          </w14:textFill>
        </w:rPr>
        <w:t xml:space="preserve">前，将响应性文件递交。</w:t>
      </w:r>
      <w:r/>
    </w:p>
    <w:p>
      <w:pPr>
        <w:ind w:right="310"/>
        <w:spacing w:before="42"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5.2.4 供应商不得相互串通报价，不得排挤其他供应商的公平竞争，损害采购人或者其他供应商的合法权益。供应商不得与采购人串通磋商，损害国家利益，公众利益或者他人的合法权益。</w:t>
      </w:r>
      <w:r/>
    </w:p>
    <w:p>
      <w:pPr>
        <w:ind w:right="307"/>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5.2.5 供应商在磋商截止时</w:t>
      </w:r>
      <w:r>
        <w:rPr>
          <w:rFonts w:hint="eastAsia" w:ascii="仿宋" w:hAnsi="仿宋" w:eastAsia="仿宋" w:cs="仿宋"/>
          <w:color w:val="000000" w:themeColor="text1"/>
          <w:spacing w:val="-3"/>
          <w:sz w:val="24"/>
          <w:lang w:eastAsia="zh-CN"/>
          <w14:textFill>
            <w14:solidFill>
              <w14:schemeClr w14:val="tx1"/>
            </w14:solidFill>
          </w14:textFill>
        </w:rPr>
        <w:t xml:space="preserve">间之</w:t>
      </w:r>
      <w:r>
        <w:rPr>
          <w:rFonts w:hint="eastAsia" w:ascii="仿宋" w:hAnsi="仿宋" w:eastAsia="仿宋" w:cs="仿宋"/>
          <w:color w:val="000000" w:themeColor="text1"/>
          <w:spacing w:val="-3"/>
          <w:sz w:val="24"/>
          <w14:textFill>
            <w14:solidFill>
              <w14:schemeClr w14:val="tx1"/>
            </w14:solidFill>
          </w14:textFill>
        </w:rPr>
        <w:t xml:space="preserve">前，对所递交的响应性文件可以补充、修改或者撤回，并书面通知代理机构。补充、修改的内容为响应性文件的组成部分。</w:t>
      </w:r>
      <w:r/>
    </w:p>
    <w:p>
      <w:pPr>
        <w:spacing w:line="276" w:lineRule="auto"/>
        <w:tabs>
          <w:tab w:val="left" w:pos="106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5.3 注意事项</w:t>
      </w:r>
      <w:r/>
    </w:p>
    <w:p>
      <w:pPr>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5.3.1 本项目采购方式是竞争性磋商，整个项目是一个整体、不可分割。</w:t>
      </w:r>
      <w:r/>
    </w:p>
    <w:p>
      <w:pPr>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 验收标准</w:t>
      </w:r>
      <w:r/>
    </w:p>
    <w:p>
      <w:pPr>
        <w:spacing w:before="43" w:line="276" w:lineRule="auto"/>
        <w:tabs>
          <w:tab w:val="left" w:pos="1375"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5.3.2.1 磋商文件中明确的标准和技术要求，未明确部分按照国家最新的相关标准；</w:t>
      </w:r>
      <w:r/>
    </w:p>
    <w:p>
      <w:pPr>
        <w:ind w:right="310"/>
        <w:spacing w:before="43" w:line="276" w:lineRule="auto"/>
        <w:tabs>
          <w:tab w:val="left" w:pos="1375"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5.3.2.2 供应商随响应性文件提供的货物制造国制造及验收的官方标准或货物验收大纲，经采购单位确认后，将作为对货物的验收依据之一；</w:t>
      </w:r>
      <w:r/>
    </w:p>
    <w:p>
      <w:pPr>
        <w:spacing w:line="276" w:lineRule="auto"/>
        <w:tabs>
          <w:tab w:val="left" w:pos="1375"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5.3.2.3 供应商在澄清响应文件时作出的承诺，经采购单位确认后，将作为对货物的验收依据之一；</w:t>
      </w:r>
      <w:r/>
    </w:p>
    <w:p>
      <w:pPr>
        <w:spacing w:before="43" w:line="276" w:lineRule="auto"/>
        <w:tabs>
          <w:tab w:val="left" w:pos="1375"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5.3.2.4 项目完毕后，由采购单位组织按国家相关标准进行验收。</w:t>
      </w:r>
      <w:r/>
    </w:p>
    <w:p>
      <w:pPr>
        <w:ind w:right="307"/>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5.3.3 供应商应认真阅读磋商文件中所有的事项、格式、条款和规范等要求，如果没有按照磋商文件</w:t>
      </w:r>
      <w:r>
        <w:rPr>
          <w:rFonts w:hint="eastAsia" w:ascii="仿宋" w:hAnsi="仿宋" w:eastAsia="仿宋" w:cs="仿宋"/>
          <w:color w:val="000000" w:themeColor="text1"/>
          <w:spacing w:val="-3"/>
          <w:sz w:val="24"/>
          <w14:textFill>
            <w14:solidFill>
              <w14:schemeClr w14:val="tx1"/>
            </w14:solidFill>
          </w14:textFill>
        </w:rPr>
        <w:t xml:space="preserve">要求提交全部资料，或者没有对磋商文件作出实质性响应，相应风险应由供应商承担，包括作无效磋商处理。</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5.3.4 任何供应商中标</w:t>
      </w:r>
      <w:r>
        <w:rPr>
          <w:rFonts w:hint="eastAsia" w:ascii="仿宋" w:hAnsi="仿宋" w:eastAsia="仿宋" w:cs="仿宋"/>
          <w:color w:val="000000" w:themeColor="text1"/>
          <w:spacing w:val="-3"/>
          <w:sz w:val="24"/>
          <w:lang w:eastAsia="zh-CN"/>
          <w14:textFill>
            <w14:solidFill>
              <w14:schemeClr w14:val="tx1"/>
            </w14:solidFill>
          </w14:textFill>
        </w:rPr>
        <w:t xml:space="preserve">，必</w:t>
      </w:r>
      <w:r>
        <w:rPr>
          <w:rFonts w:hint="eastAsia" w:ascii="仿宋" w:hAnsi="仿宋" w:eastAsia="仿宋" w:cs="仿宋"/>
          <w:color w:val="000000" w:themeColor="text1"/>
          <w:spacing w:val="-3"/>
          <w:sz w:val="24"/>
          <w14:textFill>
            <w14:solidFill>
              <w14:schemeClr w14:val="tx1"/>
            </w14:solidFill>
          </w14:textFill>
        </w:rPr>
        <w:t xml:space="preserve">须保证所供货物能通过当地有关职能部门验收，否则采购单位有权拒绝支付</w:t>
      </w:r>
      <w:r>
        <w:rPr>
          <w:rFonts w:hint="eastAsia" w:ascii="仿宋" w:hAnsi="仿宋" w:eastAsia="仿宋" w:cs="仿宋"/>
          <w:color w:val="000000" w:themeColor="text1"/>
          <w:spacing w:val="-3"/>
          <w:sz w:val="24"/>
          <w14:textFill>
            <w14:solidFill>
              <w14:schemeClr w14:val="tx1"/>
            </w14:solidFill>
          </w14:textFill>
        </w:rPr>
        <w:t xml:space="preserve">合同款项。</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5.3.5 供应商应保证采购人在使用该货物或其任何一部分时不受第三方提出侵犯其专利权、版权、商</w:t>
      </w:r>
      <w:r>
        <w:rPr>
          <w:rFonts w:hint="eastAsia" w:ascii="仿宋" w:hAnsi="仿宋" w:eastAsia="仿宋" w:cs="仿宋"/>
          <w:color w:val="000000" w:themeColor="text1"/>
          <w:spacing w:val="-2"/>
          <w:sz w:val="24"/>
          <w14:textFill>
            <w14:solidFill>
              <w14:schemeClr w14:val="tx1"/>
            </w14:solidFill>
          </w14:textFill>
        </w:rPr>
        <w:t xml:space="preserve">标权或其他权利的起诉。一旦出现侵权，供应商应承担全部责任。</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5.3.6 </w:t>
      </w:r>
      <w:r>
        <w:rPr>
          <w:rFonts w:hint="eastAsia" w:ascii="仿宋" w:hAnsi="仿宋" w:eastAsia="仿宋" w:cs="仿宋"/>
          <w:color w:val="000000" w:themeColor="text1"/>
          <w:sz w:val="24"/>
          <w14:textFill>
            <w14:solidFill>
              <w14:schemeClr w14:val="tx1"/>
            </w14:solidFill>
          </w14:textFill>
        </w:rPr>
        <w:t xml:space="preserve">本次项目不接受联合体磋商。</w:t>
      </w:r>
      <w:r/>
    </w:p>
    <w:p>
      <w:pPr>
        <w:spacing w:before="42" w:line="276" w:lineRule="auto"/>
        <w:tabs>
          <w:tab w:val="left" w:pos="90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6. 磋商文件的澄清、修改</w:t>
      </w:r>
      <w:r/>
    </w:p>
    <w:p>
      <w:pPr>
        <w:ind w:right="305"/>
        <w:spacing w:before="43" w:line="276" w:lineRule="auto"/>
        <w:tabs>
          <w:tab w:val="left" w:pos="10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6"/>
          <w:sz w:val="24"/>
          <w14:textFill>
            <w14:solidFill>
              <w14:schemeClr w14:val="tx1"/>
            </w14:solidFill>
          </w14:textFill>
        </w:rPr>
        <w:t xml:space="preserve">6.1 任何要求对磋商文件进行澄清的供应商，应在磋商文件规定的响应性文件提交</w:t>
      </w:r>
      <w:r>
        <w:rPr>
          <w:rFonts w:hint="eastAsia" w:ascii="仿宋" w:hAnsi="仿宋" w:eastAsia="仿宋" w:cs="仿宋"/>
          <w:b/>
          <w:color w:val="000000" w:themeColor="text1"/>
          <w:sz w:val="24"/>
          <w14:textFill>
            <w14:solidFill>
              <w14:schemeClr w14:val="tx1"/>
            </w14:solidFill>
          </w14:textFill>
        </w:rPr>
        <w:t xml:space="preserve">截止日期五天前</w:t>
      </w:r>
      <w:r>
        <w:rPr>
          <w:rFonts w:hint="eastAsia" w:ascii="仿宋" w:hAnsi="仿宋" w:eastAsia="仿宋" w:cs="仿宋"/>
          <w:color w:val="000000" w:themeColor="text1"/>
          <w:sz w:val="24"/>
          <w14:textFill>
            <w14:solidFill>
              <w14:schemeClr w14:val="tx1"/>
            </w14:solidFill>
          </w14:textFill>
        </w:rPr>
        <w:t xml:space="preserve">按磋商文件中的联系方式以书面形式通知代理机构，代理机构将及时予以答复；在磋商文件公布期间，代理机构可主动对磋商文件进行澄清，磋商文件实质性变动的除外。</w:t>
      </w:r>
      <w:r/>
    </w:p>
    <w:p>
      <w:pPr>
        <w:ind w:right="226"/>
        <w:spacing w:line="276" w:lineRule="auto"/>
        <w:tabs>
          <w:tab w:val="left" w:pos="10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6.2 磋商文件公布期间如有实质性变动的，代理机构将在原磋商采购信息发布媒体上发布变更公告，</w:t>
      </w:r>
      <w:r>
        <w:rPr>
          <w:rFonts w:hint="eastAsia" w:ascii="仿宋" w:hAnsi="仿宋" w:eastAsia="仿宋" w:cs="仿宋"/>
          <w:color w:val="000000" w:themeColor="text1"/>
          <w:sz w:val="24"/>
          <w14:textFill>
            <w14:solidFill>
              <w14:schemeClr w14:val="tx1"/>
            </w14:solidFill>
          </w14:textFill>
        </w:rPr>
        <w:t xml:space="preserve">并自变更之日起公布期限顺延，相关供应商应请及时关注。如果潜在供应商因自身的原因未能及时获取相应信息，供应商将承担被拒绝参加磋商或被视为非实质性响应磋商文件的风险。</w:t>
      </w:r>
      <w:r/>
    </w:p>
    <w:p>
      <w:pPr>
        <w:spacing w:before="43" w:line="276" w:lineRule="auto"/>
        <w:tabs>
          <w:tab w:val="left" w:pos="90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7. 磋商有效期</w:t>
      </w:r>
      <w:r/>
    </w:p>
    <w:p>
      <w:pPr>
        <w:spacing w:before="43" w:line="276" w:lineRule="auto"/>
        <w:tabs>
          <w:tab w:val="left" w:pos="10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7.1 磋商有效期为磋商文件规定的磋商之日后 </w:t>
      </w:r>
      <w:r>
        <w:rPr>
          <w:rFonts w:hint="eastAsia" w:ascii="仿宋" w:hAnsi="仿宋" w:eastAsia="仿宋" w:cs="仿宋"/>
          <w:color w:val="000000" w:themeColor="text1"/>
          <w:sz w:val="24"/>
          <w14:textFill>
            <w14:solidFill>
              <w14:schemeClr w14:val="tx1"/>
            </w14:solidFill>
          </w14:textFill>
        </w:rPr>
        <w:t xml:space="preserve">90</w:t>
      </w:r>
      <w:r>
        <w:rPr>
          <w:rFonts w:hint="eastAsia" w:ascii="仿宋" w:hAnsi="仿宋" w:eastAsia="仿宋" w:cs="仿宋"/>
          <w:color w:val="000000" w:themeColor="text1"/>
          <w:spacing w:val="1"/>
          <w:sz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天。</w:t>
      </w:r>
      <w:r/>
    </w:p>
    <w:p>
      <w:pPr>
        <w:ind w:right="310"/>
        <w:spacing w:before="43" w:line="276" w:lineRule="auto"/>
        <w:tabs>
          <w:tab w:val="left" w:pos="10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7"/>
          <w:sz w:val="24"/>
          <w14:textFill>
            <w14:solidFill>
              <w14:schemeClr w14:val="tx1"/>
            </w14:solidFill>
          </w14:textFill>
        </w:rPr>
        <w:t xml:space="preserve">7.2 在特殊情况下，代理机构于原磋商有效期满之前，可向供应商提出延长磋商有效期的要求。供应</w:t>
      </w:r>
      <w:r>
        <w:rPr>
          <w:rFonts w:hint="eastAsia" w:ascii="仿宋" w:hAnsi="仿宋" w:eastAsia="仿宋" w:cs="仿宋"/>
          <w:color w:val="000000" w:themeColor="text1"/>
          <w:spacing w:val="-7"/>
          <w:sz w:val="24"/>
          <w14:textFill>
            <w14:solidFill>
              <w14:schemeClr w14:val="tx1"/>
            </w14:solidFill>
          </w14:textFill>
        </w:rPr>
        <w:t xml:space="preserve">商可以拒绝代理机构的这种要求。同意延长的供应商既不能要求也不允许修改其响应性文件。</w:t>
      </w:r>
      <w:r/>
    </w:p>
    <w:p>
      <w:pPr>
        <w:spacing w:line="276" w:lineRule="auto"/>
        <w:tabs>
          <w:tab w:val="left" w:pos="105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8. 磋商费用</w:t>
      </w:r>
      <w:r/>
    </w:p>
    <w:p>
      <w:pPr>
        <w:ind w:right="310"/>
        <w:spacing w:before="43" w:line="276" w:lineRule="auto"/>
        <w:tabs>
          <w:tab w:val="left" w:pos="1008"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8.1 供应商应承担所有与准备和参加磋商有关的费用，代理机构和采购人在任何情况下均无义务和责</w:t>
      </w:r>
      <w:r>
        <w:rPr>
          <w:rFonts w:hint="eastAsia" w:ascii="仿宋" w:hAnsi="仿宋" w:eastAsia="仿宋" w:cs="仿宋"/>
          <w:color w:val="000000" w:themeColor="text1"/>
          <w:spacing w:val="-2"/>
          <w:sz w:val="24"/>
          <w14:textFill>
            <w14:solidFill>
              <w14:schemeClr w14:val="tx1"/>
            </w14:solidFill>
          </w14:textFill>
        </w:rPr>
        <w:t xml:space="preserve">任承担这些费用。</w:t>
      </w:r>
      <w:r/>
    </w:p>
    <w:p>
      <w:pPr>
        <w:ind w:right="274"/>
        <w:spacing w:before="76" w:line="276" w:lineRule="auto"/>
        <w:tabs>
          <w:tab w:val="left" w:pos="1065" w:leader="none"/>
        </w:tabs>
        <w:rPr>
          <w:rFonts w:hint="eastAsia" w:ascii="仿宋" w:hAnsi="仿宋" w:eastAsia="仿宋" w:cs="仿宋"/>
          <w:bCs/>
          <w:color w:val="000000" w:themeColor="text1"/>
          <w:spacing w:val="4"/>
          <w:sz w:val="24"/>
          <w:highlight w:val="none"/>
          <w14:textFill>
            <w14:solidFill>
              <w14:schemeClr w14:val="tx1"/>
            </w14:solidFill>
          </w14:textFill>
        </w:rPr>
      </w:pPr>
      <w:r>
        <w:rPr>
          <w:rFonts w:hint="eastAsia" w:ascii="仿宋" w:hAnsi="仿宋" w:eastAsia="仿宋" w:cs="仿宋"/>
          <w:bCs/>
          <w:color w:val="000000" w:themeColor="text1"/>
          <w:spacing w:val="4"/>
          <w:sz w:val="24"/>
          <w:highlight w:val="none"/>
          <w14:textFill>
            <w14:solidFill>
              <w14:schemeClr w14:val="tx1"/>
            </w14:solidFill>
          </w14:textFill>
        </w:rPr>
        <w:t xml:space="preserve">8.2 招标代理费参照国家计委《计价格〔2002〕1980号》、发改价格〔2011〕534号规定的收费标准，按60%计算收取。相关技术咨询费：前期方案论证、市场调研、控制价审核等相关技术咨询服务，参照《苏价服〔2014〕383号》规定收费标准，按60%计算收取。该项费用请投标人综合考虑在投标报价中，后期采购人不单独列支。招标代理费</w:t>
      </w:r>
      <w:r>
        <w:rPr>
          <w:rFonts w:hint="eastAsia" w:ascii="仿宋" w:hAnsi="仿宋" w:eastAsia="仿宋" w:cs="仿宋"/>
          <w:bCs/>
          <w:color w:val="000000" w:themeColor="text1"/>
          <w:spacing w:val="4"/>
          <w:sz w:val="24"/>
          <w:highlight w:val="none"/>
          <w:lang w:val="en-US" w:eastAsia="zh-CN"/>
          <w14:textFill>
            <w14:solidFill>
              <w14:schemeClr w14:val="tx1"/>
            </w14:solidFill>
          </w14:textFill>
        </w:rPr>
        <w:t xml:space="preserve">和</w:t>
      </w:r>
      <w:r>
        <w:rPr>
          <w:rFonts w:hint="eastAsia" w:ascii="仿宋" w:hAnsi="仿宋" w:eastAsia="仿宋" w:cs="仿宋"/>
          <w:bCs/>
          <w:color w:val="000000" w:themeColor="text1"/>
          <w:spacing w:val="4"/>
          <w:sz w:val="24"/>
          <w:highlight w:val="none"/>
          <w14:textFill>
            <w14:solidFill>
              <w14:schemeClr w14:val="tx1"/>
            </w14:solidFill>
          </w14:textFill>
        </w:rPr>
        <w:t xml:space="preserve">技术咨询费由中标（成交）单位在发放中标（成交）通知书前一次性支付。招标代理费和技术咨询费，代理机构开具正规普通发票。</w:t>
      </w:r>
      <w:r>
        <w:rPr>
          <w:highlight w:val="none"/>
        </w:rPr>
      </w:r>
      <w:r/>
    </w:p>
    <w:p>
      <w:pPr>
        <w:spacing w:before="122" w:line="276" w:lineRule="auto"/>
        <w:rPr>
          <w:rFonts w:hint="eastAsia" w:ascii="仿宋" w:hAnsi="仿宋" w:eastAsia="仿宋" w:cs="仿宋"/>
          <w:b/>
          <w:bCs/>
          <w:color w:val="000000" w:themeColor="text1"/>
          <w:sz w:val="24"/>
          <w14:textFill>
            <w14:solidFill>
              <w14:schemeClr w14:val="tx1"/>
            </w14:solidFill>
          </w14:textFill>
        </w:rPr>
      </w:pPr>
      <w:r/>
      <w:bookmarkStart w:id="27" w:name="二、响应性文件的编制"/>
      <w:r/>
      <w:bookmarkEnd w:id="27"/>
      <w:r>
        <w:rPr>
          <w:rFonts w:hint="eastAsia" w:ascii="仿宋" w:hAnsi="仿宋" w:eastAsia="仿宋" w:cs="仿宋"/>
          <w:b/>
          <w:bCs/>
          <w:color w:val="000000" w:themeColor="text1"/>
          <w:sz w:val="24"/>
          <w14:textFill>
            <w14:solidFill>
              <w14:schemeClr w14:val="tx1"/>
            </w14:solidFill>
          </w14:textFill>
        </w:rPr>
        <w:t xml:space="preserve">二、响应性文件的编制</w:t>
      </w:r>
      <w:r/>
    </w:p>
    <w:p>
      <w:pPr>
        <w:spacing w:before="43" w:line="276" w:lineRule="auto"/>
        <w:tabs>
          <w:tab w:val="left" w:pos="100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9. 响应性文件的语言、计量单位、货币和编制</w:t>
      </w:r>
      <w:r/>
    </w:p>
    <w:p>
      <w:pPr>
        <w:ind w:right="310"/>
        <w:spacing w:before="43"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spacing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9.2 供应商所使用的计量单位应为国家法定计量单位。</w:t>
      </w:r>
      <w:r/>
    </w:p>
    <w:p>
      <w:pPr>
        <w:ind w:right="305"/>
        <w:spacing w:before="43"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9.3 供应商应用人民币报价。报价产品如果是进口产品的，应提供人民币与美元之间的汇率；报价单位为“元”。</w:t>
      </w:r>
      <w:r/>
    </w:p>
    <w:p>
      <w:pPr>
        <w:ind w:right="307"/>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9.4 磋商响应文件应字迹清楚、内容齐全、不得涂改。如有修改，修改处须有供应商公章或磋商专</w:t>
      </w:r>
      <w:r>
        <w:rPr>
          <w:rFonts w:hint="eastAsia" w:ascii="仿宋" w:hAnsi="仿宋" w:eastAsia="仿宋" w:cs="仿宋"/>
          <w:color w:val="000000" w:themeColor="text1"/>
          <w:spacing w:val="-4"/>
          <w:sz w:val="24"/>
          <w14:textFill>
            <w14:solidFill>
              <w14:schemeClr w14:val="tx1"/>
            </w14:solidFill>
          </w14:textFill>
        </w:rPr>
        <w:t xml:space="preserve">用章和法定代表人或其授权磋商代表签字。</w:t>
      </w:r>
      <w:r/>
    </w:p>
    <w:p>
      <w:pPr>
        <w:ind w:right="307"/>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9.5 磋商响应文件应按照竞争性磋商文件规定的顺序</w:t>
      </w:r>
      <w:r>
        <w:rPr>
          <w:rFonts w:hint="eastAsia" w:ascii="仿宋" w:hAnsi="仿宋" w:eastAsia="仿宋" w:cs="仿宋"/>
          <w:color w:val="000000" w:themeColor="text1"/>
          <w:spacing w:val="-6"/>
          <w:sz w:val="24"/>
          <w14:textFill>
            <w14:solidFill>
              <w14:schemeClr w14:val="tx1"/>
            </w14:solidFill>
          </w14:textFill>
        </w:rPr>
        <w:t xml:space="preserve">编制目</w:t>
      </w:r>
      <w:r>
        <w:rPr>
          <w:rFonts w:hint="eastAsia" w:ascii="仿宋" w:hAnsi="仿宋" w:eastAsia="仿宋" w:cs="仿宋"/>
          <w:color w:val="000000" w:themeColor="text1"/>
          <w:spacing w:val="-6"/>
          <w:sz w:val="24"/>
          <w14:textFill>
            <w14:solidFill>
              <w14:schemeClr w14:val="tx1"/>
            </w14:solidFill>
          </w14:textFill>
        </w:rPr>
        <w:t xml:space="preserve">录，由于编排混乱导致磋商响应文件被误读或查找不到，责任由供应商承担。</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5"/>
          <w:sz w:val="24"/>
          <w14:textFill>
            <w14:solidFill>
              <w14:schemeClr w14:val="tx1"/>
            </w14:solidFill>
          </w14:textFill>
        </w:rPr>
        <w:t xml:space="preserve">9.6 供应商应在磋商响应文件中写清相应的项目编号、项目名称、供应商全称、地址、电话、传真</w:t>
      </w:r>
      <w:r>
        <w:rPr>
          <w:rFonts w:hint="eastAsia" w:ascii="仿宋" w:hAnsi="仿宋" w:eastAsia="仿宋" w:cs="仿宋"/>
          <w:color w:val="000000" w:themeColor="text1"/>
          <w:sz w:val="24"/>
          <w14:textFill>
            <w14:solidFill>
              <w14:schemeClr w14:val="tx1"/>
            </w14:solidFill>
          </w14:textFill>
        </w:rPr>
        <w:t xml:space="preserve">等。</w:t>
      </w:r>
      <w:r/>
    </w:p>
    <w:p>
      <w:pPr>
        <w:spacing w:before="43" w:line="276" w:lineRule="auto"/>
        <w:tabs>
          <w:tab w:val="left" w:pos="996"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10. 响应性文件的组成</w:t>
      </w:r>
      <w:r/>
    </w:p>
    <w:p>
      <w:pPr>
        <w:spacing w:before="43" w:line="276" w:lineRule="auto"/>
        <w:tabs>
          <w:tab w:val="left" w:pos="1209"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10.1 供应商应当根据竞争性磋商文件要求编制磋商响应文件，并根据自己的商务能力、技术水平对</w:t>
      </w:r>
      <w:r>
        <w:rPr>
          <w:rFonts w:hint="eastAsia" w:ascii="仿宋" w:hAnsi="仿宋" w:eastAsia="仿宋" w:cs="仿宋"/>
          <w:color w:val="000000" w:themeColor="text1"/>
          <w:sz w:val="24"/>
          <w14:textFill>
            <w14:solidFill>
              <w14:schemeClr w14:val="tx1"/>
            </w14:solidFill>
          </w14:textFill>
        </w:rPr>
        <w:t xml:space="preserve">竞争性磋商文件提出的要求和条件逐条标明是否响应。</w:t>
      </w:r>
      <w:r/>
    </w:p>
    <w:p>
      <w:pPr>
        <w:spacing w:before="43" w:line="276" w:lineRule="auto"/>
        <w:tabs>
          <w:tab w:val="left" w:pos="115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10.2 磋商响应文件由商务部分、技术部分、价格部分，以及其他部分组成。</w:t>
      </w:r>
      <w:r/>
    </w:p>
    <w:p>
      <w:pPr>
        <w:ind w:right="208"/>
        <w:spacing w:before="93" w:line="276" w:lineRule="auto"/>
        <w:tabs>
          <w:tab w:val="left" w:pos="1012"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pacing w:val="7"/>
          <w:sz w:val="24"/>
          <w14:textFill>
            <w14:solidFill>
              <w14:schemeClr w14:val="tx1"/>
            </w14:solidFill>
          </w14:textFill>
        </w:rPr>
        <w:t xml:space="preserve">11. 响应性文件的商务部分</w:t>
      </w:r>
      <w:r>
        <w:rPr>
          <w:rFonts w:hint="eastAsia" w:ascii="仿宋" w:hAnsi="仿宋" w:eastAsia="仿宋" w:cs="仿宋"/>
          <w:b/>
          <w:color w:val="000000" w:themeColor="text1"/>
          <w:spacing w:val="7"/>
          <w:sz w:val="24"/>
          <w:lang w:eastAsia="zh-CN"/>
          <w14:textFill>
            <w14:solidFill>
              <w14:schemeClr w14:val="tx1"/>
            </w14:solidFill>
          </w14:textFill>
        </w:rPr>
        <w:t xml:space="preserve">：</w:t>
      </w:r>
      <w:r>
        <w:rPr>
          <w:rFonts w:hint="eastAsia" w:ascii="仿宋" w:hAnsi="仿宋" w:eastAsia="仿宋" w:cs="仿宋"/>
          <w:b/>
          <w:color w:val="000000" w:themeColor="text1"/>
          <w:spacing w:val="15"/>
          <w:sz w:val="24"/>
          <w14:textFill>
            <w14:solidFill>
              <w14:schemeClr w14:val="tx1"/>
            </w14:solidFill>
          </w14:textFill>
        </w:rPr>
        <w:t xml:space="preserve"> </w:t>
      </w:r>
      <w:r>
        <w:rPr>
          <w:rFonts w:hint="eastAsia" w:ascii="仿宋" w:hAnsi="仿宋" w:eastAsia="仿宋" w:cs="仿宋"/>
          <w:b/>
          <w:color w:val="000000" w:themeColor="text1"/>
          <w:spacing w:val="3"/>
          <w:sz w:val="24"/>
          <w14:textFill>
            <w14:solidFill>
              <w14:schemeClr w14:val="tx1"/>
            </w14:solidFill>
          </w14:textFill>
        </w:rPr>
        <w:t xml:space="preserve">商务部分是证明供应商有资格参加磋商和成交后有能力履行合同的文</w:t>
      </w:r>
      <w:r>
        <w:rPr>
          <w:rFonts w:hint="eastAsia" w:ascii="仿宋" w:hAnsi="仿宋" w:eastAsia="仿宋" w:cs="仿宋"/>
          <w:b/>
          <w:color w:val="000000" w:themeColor="text1"/>
          <w:spacing w:val="-13"/>
          <w:sz w:val="24"/>
          <w14:textFill>
            <w14:solidFill>
              <w14:schemeClr w14:val="tx1"/>
            </w14:solidFill>
          </w14:textFill>
        </w:rPr>
        <w:t xml:space="preserve">件，这些文件应能满足竞争性磋商采购的要求，包括但不限于下列文件，其中加</w:t>
      </w:r>
      <w:r>
        <w:rPr>
          <w:rFonts w:hint="eastAsia" w:ascii="仿宋" w:hAnsi="仿宋" w:eastAsia="仿宋" w:cs="仿宋"/>
          <w:b/>
          <w:color w:val="000000" w:themeColor="text1"/>
          <w:sz w:val="24"/>
          <w14:textFill>
            <w14:solidFill>
              <w14:schemeClr w14:val="tx1"/>
            </w14:solidFill>
          </w14:textFill>
        </w:rPr>
        <w:t xml:space="preserve">★项目不得有缺失或无效。</w:t>
      </w:r>
      <w:r/>
    </w:p>
    <w:p>
      <w:pPr>
        <w:spacing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（1）★磋商申请及声明；</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（2）★法定代表人资格证明及授权委托书；</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（3）★《商务条款响应表》</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（4）★《磋商报价表》</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（5）★《磋商分项报价表》</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（6）中小企业声明函</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（7）残疾人福利性单位声明函</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（8）项目参与人员的职称等能力证书复印件</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（9）经营业绩</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（10）供应商认为需</w:t>
      </w:r>
      <w:r>
        <w:rPr>
          <w:rFonts w:hint="eastAsia" w:ascii="仿宋" w:hAnsi="仿宋" w:eastAsia="仿宋" w:cs="仿宋"/>
          <w:color w:val="000000" w:themeColor="text1"/>
          <w:sz w:val="24"/>
          <w14:textFill>
            <w14:solidFill>
              <w14:schemeClr w14:val="tx1"/>
            </w14:solidFill>
          </w14:textFill>
        </w:rPr>
        <w:t xml:space="preserve">要提供的其他证明文件和商务资料</w:t>
      </w:r>
      <w:r/>
    </w:p>
    <w:p>
      <w:pPr>
        <w:spacing w:before="43" w:line="276" w:lineRule="auto"/>
        <w:tabs>
          <w:tab w:val="left" w:pos="100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12. 报价部分</w:t>
      </w:r>
      <w:r/>
    </w:p>
    <w:p>
      <w:pPr>
        <w:ind w:right="313"/>
        <w:spacing w:before="43" w:line="276" w:lineRule="auto"/>
        <w:tabs>
          <w:tab w:val="left" w:pos="1113"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12.1 价格部分是对货物和服务价格构成的说明，竞争性磋商文件如没有特别说明的话，对每一项货物和服务仅接受一个价格。</w:t>
      </w:r>
      <w:r/>
    </w:p>
    <w:p>
      <w:pPr>
        <w:ind w:right="276"/>
        <w:spacing w:line="276" w:lineRule="auto"/>
        <w:tabs>
          <w:tab w:val="left" w:pos="1113"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12.2 本项目报价形式采用工程量清单计价模式进行计价。投标报价：包括但不限于完成文件所确定</w:t>
      </w:r>
      <w:r>
        <w:rPr>
          <w:rFonts w:hint="eastAsia" w:ascii="仿宋" w:hAnsi="仿宋" w:eastAsia="仿宋" w:cs="仿宋"/>
          <w:color w:val="000000" w:themeColor="text1"/>
          <w:spacing w:val="-3"/>
          <w:sz w:val="24"/>
          <w14:textFill>
            <w14:solidFill>
              <w14:schemeClr w14:val="tx1"/>
            </w14:solidFill>
          </w14:textFill>
        </w:rPr>
        <w:t xml:space="preserve">的服务范围所需的全部费用，及其相应税费、政策性文件规定及实施过程中所有风险、责任等各项应有</w:t>
      </w:r>
      <w:r>
        <w:rPr>
          <w:rFonts w:hint="eastAsia" w:ascii="仿宋" w:hAnsi="仿宋" w:eastAsia="仿宋" w:cs="仿宋"/>
          <w:color w:val="000000" w:themeColor="text1"/>
          <w:spacing w:val="-3"/>
          <w:sz w:val="24"/>
          <w14:textFill>
            <w14:solidFill>
              <w14:schemeClr w14:val="tx1"/>
            </w14:solidFill>
          </w14:textFill>
        </w:rPr>
        <w:t xml:space="preserve">费用，不论其在采购文件中是否有提及。投标供应商应根据上述因素自行考虑含入投标报价。</w:t>
      </w:r>
      <w:r/>
    </w:p>
    <w:p>
      <w:pPr>
        <w:spacing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12.3 供应商应在《磋商报价表</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磋商分项报价表》等中标明拟提供货物和服务的单价、总价以及分项报价。</w:t>
      </w:r>
      <w:r/>
    </w:p>
    <w:p>
      <w:pPr>
        <w:ind w:right="276"/>
        <w:spacing w:before="2"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12.4 供应商应仔细阅读和理解磋商文件中有关项目需求、义务、付款方式、付款条件和时间进度安</w:t>
      </w:r>
      <w:r>
        <w:rPr>
          <w:rFonts w:hint="eastAsia" w:ascii="仿宋" w:hAnsi="仿宋" w:eastAsia="仿宋" w:cs="仿宋"/>
          <w:color w:val="000000" w:themeColor="text1"/>
          <w:spacing w:val="-3"/>
          <w:sz w:val="24"/>
          <w14:textFill>
            <w14:solidFill>
              <w14:schemeClr w14:val="tx1"/>
            </w14:solidFill>
          </w14:textFill>
        </w:rPr>
        <w:t xml:space="preserve">排，充分考虑到市场价格变动以及项目实施过程中的不可预见因素，结合企业自身条件进行报价。</w:t>
      </w:r>
      <w:r/>
    </w:p>
    <w:p>
      <w:pPr>
        <w:spacing w:before="1"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12.5 经磋商后，如果成交价高于或低于供应商在磋商响应文件报价的话，分项报价同比例调整。</w:t>
      </w:r>
      <w:r/>
    </w:p>
    <w:p>
      <w:pPr>
        <w:ind w:right="314"/>
        <w:spacing w:before="5"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12.6 报价表必须由供应商法人代表或委托授权人签字或加盖单位公章。如有优惠条款，请单独列明，但不得影响报价，影响货物或服务整体功能。</w:t>
      </w:r>
      <w:r/>
    </w:p>
    <w:p>
      <w:pPr>
        <w:ind w:right="173"/>
        <w:spacing w:before="1"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9"/>
          <w:sz w:val="24"/>
          <w14:textFill>
            <w14:solidFill>
              <w14:schemeClr w14:val="tx1"/>
            </w14:solidFill>
          </w14:textFill>
        </w:rPr>
        <w:t xml:space="preserve">12.7 政府采购提倡公平竞争，反对低于成本、串通报价、哄抬价格等恶意竞争行为，任何盲目压价、</w:t>
      </w:r>
      <w:r>
        <w:rPr>
          <w:rFonts w:hint="eastAsia" w:ascii="仿宋" w:hAnsi="仿宋" w:eastAsia="仿宋" w:cs="仿宋"/>
          <w:color w:val="000000" w:themeColor="text1"/>
          <w:spacing w:val="-9"/>
          <w:sz w:val="24"/>
          <w14:textFill>
            <w14:solidFill>
              <w14:schemeClr w14:val="tx1"/>
            </w14:solidFill>
          </w14:textFill>
        </w:rPr>
        <w:t xml:space="preserve">低于成本报价、串通哄抬报价等价格将会被拒绝。报价应低于市场平均价。</w:t>
      </w:r>
      <w:r/>
    </w:p>
    <w:p>
      <w:pPr>
        <w:ind w:right="308"/>
        <w:spacing w:before="15" w:line="276" w:lineRule="auto"/>
        <w:tabs>
          <w:tab w:val="left" w:pos="100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pacing w:val="1"/>
          <w:sz w:val="24"/>
          <w14:textFill>
            <w14:solidFill>
              <w14:schemeClr w14:val="tx1"/>
            </w14:solidFill>
          </w14:textFill>
        </w:rPr>
        <w:t xml:space="preserve">13. 技术部分</w:t>
      </w:r>
      <w:r/>
    </w:p>
    <w:p>
      <w:pPr>
        <w:ind w:right="308" w:firstLine="480"/>
        <w:spacing w:before="15" w:line="276" w:lineRule="auto"/>
        <w:tabs>
          <w:tab w:val="left" w:pos="1008"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sz w:val="24"/>
          <w14:textFill>
            <w14:solidFill>
              <w14:schemeClr w14:val="tx1"/>
            </w14:solidFill>
          </w14:textFill>
        </w:rPr>
        <w:t xml:space="preserve">争性磋商文件要求有不符之处，应说明其差别之所在。包括但不限于下列文件，其中加</w:t>
      </w:r>
      <w:r>
        <w:rPr>
          <w:rFonts w:hint="eastAsia" w:ascii="仿宋" w:hAnsi="仿宋" w:eastAsia="仿宋" w:cs="仿宋"/>
          <w:b/>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项目不得有缺失</w:t>
      </w:r>
      <w:r>
        <w:rPr>
          <w:rFonts w:hint="eastAsia" w:ascii="仿宋" w:hAnsi="仿宋" w:eastAsia="仿宋" w:cs="仿宋"/>
          <w:color w:val="000000" w:themeColor="text1"/>
          <w:sz w:val="24"/>
          <w14:textFill>
            <w14:solidFill>
              <w14:schemeClr w14:val="tx1"/>
            </w14:solidFill>
          </w14:textFill>
        </w:rPr>
        <w:t xml:space="preserve">或无效。</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（1）★《技术条款偏离表》</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（2）★项目实</w:t>
      </w:r>
      <w:r>
        <w:rPr>
          <w:rFonts w:hint="eastAsia" w:ascii="仿宋" w:hAnsi="仿宋" w:eastAsia="仿宋" w:cs="仿宋"/>
          <w:color w:val="000000" w:themeColor="text1"/>
          <w:sz w:val="24"/>
          <w14:textFill>
            <w14:solidFill>
              <w14:schemeClr w14:val="tx1"/>
            </w14:solidFill>
          </w14:textFill>
        </w:rPr>
        <w:t xml:space="preserve">施方案；</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（3）★项目组成员一览表；</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（4）★质量保</w:t>
      </w:r>
      <w:r>
        <w:rPr>
          <w:rFonts w:hint="eastAsia" w:ascii="仿宋" w:hAnsi="仿宋" w:eastAsia="仿宋" w:cs="仿宋"/>
          <w:color w:val="000000" w:themeColor="text1"/>
          <w:sz w:val="24"/>
          <w14:textFill>
            <w14:solidFill>
              <w14:schemeClr w14:val="tx1"/>
            </w14:solidFill>
          </w14:textFill>
        </w:rPr>
        <w:t xml:space="preserve">证及服务承诺；</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（5）供应商认为需要提供的其他技术文件或资料等。 </w:t>
      </w:r>
      <w:bookmarkStart w:id="28" w:name="三、响应性文件递交"/>
      <w:r/>
      <w:bookmarkEnd w:id="28"/>
      <w:r/>
      <w:r/>
    </w:p>
    <w:p>
      <w:pPr>
        <w:ind w:right="4426"/>
        <w:spacing w:before="43" w:line="276" w:lineRule="auto"/>
        <w:tabs>
          <w:tab w:val="left" w:pos="1270"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三、响应性文件递交</w:t>
      </w:r>
      <w:r/>
    </w:p>
    <w:p>
      <w:pPr>
        <w:spacing w:line="276" w:lineRule="auto"/>
        <w:tabs>
          <w:tab w:val="left" w:pos="1111"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14. 响应性文件应于规定时间内在“苏采云”政府采购交易系统网上开标大厅递交。</w:t>
      </w:r>
      <w:r/>
    </w:p>
    <w:p>
      <w:pPr>
        <w:spacing w:before="43" w:line="276" w:lineRule="auto"/>
        <w:tabs>
          <w:tab w:val="left" w:pos="1270"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spacing w:val="-10"/>
          <w:sz w:val="24"/>
        </w:rPr>
        <w:t xml:space="preserve">15. </w:t>
      </w:r>
      <w:r>
        <w:rPr>
          <w:rFonts w:hint="eastAsia" w:ascii="仿宋" w:hAnsi="仿宋" w:eastAsia="仿宋" w:cs="仿宋"/>
          <w:b/>
          <w:bCs/>
          <w:color w:val="000000" w:themeColor="text1"/>
          <w:sz w:val="24"/>
          <w14:textFill>
            <w14:solidFill>
              <w14:schemeClr w14:val="tx1"/>
            </w14:solidFill>
          </w14:textFill>
        </w:rPr>
        <w:t xml:space="preserve">在投标截止时间后递交文件的将被拒绝。</w:t>
      </w:r>
      <w:r/>
    </w:p>
    <w:p>
      <w:pPr>
        <w:spacing w:before="42" w:line="276" w:lineRule="auto"/>
        <w:tabs>
          <w:tab w:val="left" w:pos="1111"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16. 诚实信用</w:t>
      </w:r>
      <w:r/>
    </w:p>
    <w:p>
      <w:pPr>
        <w:ind w:right="310"/>
        <w:spacing w:before="9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16.1 供应商之间不得相互串通报价，不得妨碍其他供应商的公平竞争，不得损害采购人或者其他供</w:t>
      </w:r>
      <w:r>
        <w:rPr>
          <w:rFonts w:hint="eastAsia" w:ascii="仿宋" w:hAnsi="仿宋" w:eastAsia="仿宋" w:cs="仿宋"/>
          <w:color w:val="000000" w:themeColor="text1"/>
          <w:spacing w:val="-3"/>
          <w:sz w:val="24"/>
          <w14:textFill>
            <w14:solidFill>
              <w14:schemeClr w14:val="tx1"/>
            </w14:solidFill>
          </w14:textFill>
        </w:rPr>
        <w:t xml:space="preserve">应商的合法权益。</w:t>
      </w:r>
      <w:r/>
    </w:p>
    <w:p>
      <w:pPr>
        <w:ind w:right="49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16.2 供应商不得以向代理机构工作人员、磋商小组成员行贿或者采取其他不正当手段谋取成交。</w:t>
      </w:r>
      <w:bookmarkStart w:id="29" w:name="四、磋商"/>
      <w:r/>
      <w:bookmarkEnd w:id="29"/>
      <w:r/>
      <w:r/>
    </w:p>
    <w:p>
      <w:pPr>
        <w:ind w:right="490"/>
        <w:spacing w:line="276" w:lineRule="auto"/>
        <w:tabs>
          <w:tab w:val="left" w:pos="1216"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四、磋商</w:t>
      </w:r>
      <w:r/>
    </w:p>
    <w:p>
      <w:pPr>
        <w:spacing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eastAsia="zh-CN"/>
          <w14:textFill>
            <w14:solidFill>
              <w14:schemeClr w14:val="tx1"/>
            </w14:solidFill>
          </w14:textFill>
        </w:rPr>
        <w:t xml:space="preserve">17.</w:t>
      </w:r>
      <w:r>
        <w:rPr>
          <w:rFonts w:hint="eastAsia" w:ascii="仿宋" w:hAnsi="仿宋" w:eastAsia="仿宋" w:cs="仿宋"/>
          <w:b/>
          <w:color w:val="000000" w:themeColor="text1"/>
          <w:sz w:val="24"/>
          <w14:textFill>
            <w14:solidFill>
              <w14:schemeClr w14:val="tx1"/>
            </w14:solidFill>
          </w14:textFill>
        </w:rPr>
        <w:t xml:space="preserve">磋商组织</w:t>
      </w:r>
      <w:r/>
    </w:p>
    <w:p>
      <w:pPr>
        <w:ind w:right="310"/>
        <w:spacing w:before="42"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17.1 在递交磋商响应文件时间截止后，代理机构在规定的时间和地点组织磋商小组分别与供应商进</w:t>
      </w:r>
      <w:r>
        <w:rPr>
          <w:rFonts w:hint="eastAsia" w:ascii="仿宋" w:hAnsi="仿宋" w:eastAsia="仿宋" w:cs="仿宋"/>
          <w:color w:val="000000" w:themeColor="text1"/>
          <w:spacing w:val="-3"/>
          <w:sz w:val="24"/>
          <w14:textFill>
            <w14:solidFill>
              <w14:schemeClr w14:val="tx1"/>
            </w14:solidFill>
          </w14:textFill>
        </w:rPr>
        <w:t xml:space="preserve">行磋商。</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17.2 磋商工作由代理机构负责组织，具体磋商事务由依法组建的磋商小组负责。</w:t>
      </w:r>
      <w:r/>
    </w:p>
    <w:p>
      <w:pPr>
        <w:spacing w:before="43"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eastAsia="zh-CN"/>
          <w14:textFill>
            <w14:solidFill>
              <w14:schemeClr w14:val="tx1"/>
            </w14:solidFill>
          </w14:textFill>
        </w:rPr>
        <w:t xml:space="preserve">18.</w:t>
      </w:r>
      <w:r>
        <w:rPr>
          <w:rFonts w:hint="eastAsia" w:ascii="仿宋" w:hAnsi="仿宋" w:eastAsia="仿宋" w:cs="仿宋"/>
          <w:b/>
          <w:color w:val="000000" w:themeColor="text1"/>
          <w:sz w:val="24"/>
          <w14:textFill>
            <w14:solidFill>
              <w14:schemeClr w14:val="tx1"/>
            </w14:solidFill>
          </w14:textFill>
        </w:rPr>
        <w:t xml:space="preserve">磋商程序</w:t>
      </w:r>
      <w:r/>
    </w:p>
    <w:p>
      <w:pPr>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18.1 磋商小组审阅供应商所递交的响应性文件，凡不具备资格条件的供应商不得进入磋商程序。</w:t>
      </w:r>
      <w:r/>
    </w:p>
    <w:p>
      <w:pPr>
        <w:ind w:right="312"/>
        <w:spacing w:before="43" w:line="276" w:lineRule="auto"/>
        <w:tabs>
          <w:tab w:val="left" w:pos="1221"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18.2 磋商小组所有成员集中与单一供应商分别就竞争性磋商采购项目的技术、商务和价格进行磋</w:t>
      </w:r>
      <w:r>
        <w:rPr>
          <w:rFonts w:hint="eastAsia" w:ascii="仿宋" w:hAnsi="仿宋" w:eastAsia="仿宋" w:cs="仿宋"/>
          <w:color w:val="000000" w:themeColor="text1"/>
          <w:spacing w:val="3"/>
          <w:sz w:val="24"/>
          <w14:textFill>
            <w14:solidFill>
              <w14:schemeClr w14:val="tx1"/>
            </w14:solidFill>
          </w14:textFill>
        </w:rPr>
        <w:t xml:space="preserve">商，磋商的轮次由磋商小组决定。</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18.3 磋商文件如有实质性变动的，磋商小组将以书面形式通知所有参加磋商的供应商。</w:t>
      </w:r>
      <w:r/>
    </w:p>
    <w:p>
      <w:pPr>
        <w:ind w:right="310"/>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18.4 磋商小组制定一个符合采购人要求的最优方案，或直接根据响应性文件要求所有供应商在规定</w:t>
      </w:r>
      <w:r>
        <w:rPr>
          <w:rFonts w:hint="eastAsia" w:ascii="仿宋" w:hAnsi="仿宋" w:eastAsia="仿宋" w:cs="仿宋"/>
          <w:color w:val="000000" w:themeColor="text1"/>
          <w:spacing w:val="-2"/>
          <w:sz w:val="24"/>
          <w14:textFill>
            <w14:solidFill>
              <w14:schemeClr w14:val="tx1"/>
            </w14:solidFill>
          </w14:textFill>
        </w:rPr>
        <w:t xml:space="preserve">时间内作最后报价。</w:t>
      </w:r>
      <w:r/>
    </w:p>
    <w:p>
      <w:pPr>
        <w:spacing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18.5 出现下列情形之一的磋商响应文件按照无效处理：</w:t>
      </w:r>
      <w:r/>
    </w:p>
    <w:p>
      <w:pPr>
        <w:ind w:right="2895"/>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（1）不具备竞争性磋商文件中规定资格条件的；</w:t>
      </w:r>
      <w:r/>
    </w:p>
    <w:p>
      <w:pPr>
        <w:ind w:right="-3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（2）未实质性响应采购要求的（如“磋商项目需求”等（“磋商项目需求”可用承诺书或</w:t>
      </w:r>
      <w:r>
        <w:rPr>
          <w:rFonts w:hint="eastAsia" w:ascii="仿宋" w:hAnsi="仿宋" w:eastAsia="仿宋" w:cs="仿宋"/>
          <w:color w:val="000000" w:themeColor="text1"/>
          <w:sz w:val="24"/>
          <w14:textFill>
            <w14:solidFill>
              <w14:schemeClr w14:val="tx1"/>
            </w14:solidFill>
          </w14:textFill>
        </w:rPr>
        <w:t xml:space="preserve">技术条款偏离表或证明性材料等形式响应））</w:t>
      </w:r>
      <w:r>
        <w:rPr>
          <w:rFonts w:hint="eastAsia" w:ascii="仿宋" w:hAnsi="仿宋" w:eastAsia="仿宋" w:cs="仿宋"/>
          <w:sz w:val="24"/>
        </w:rPr>
        <w:t xml:space="preserve">；</w:t>
      </w:r>
      <w:r/>
    </w:p>
    <w:p>
      <w:pPr>
        <w:ind w:right="5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right="2895"/>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（4）报价超过竞争性磋商文件中规定的预算金额或者最高限价的；</w:t>
      </w:r>
      <w:r/>
    </w:p>
    <w:p>
      <w:pPr>
        <w:ind w:right="5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（5）竞争性磋商文件中的打“★”或“*”项缺失或者未实质性响应的；</w:t>
      </w:r>
      <w:r/>
    </w:p>
    <w:p>
      <w:pPr>
        <w:ind w:right="5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（6）投标报价存在缺项、漏项或私自修改采购人给定清单内容</w:t>
      </w:r>
      <w:r/>
    </w:p>
    <w:p>
      <w:pPr>
        <w:ind w:right="5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（7）不符合</w:t>
      </w:r>
      <w:r>
        <w:rPr>
          <w:rFonts w:hint="eastAsia" w:ascii="仿宋" w:hAnsi="仿宋" w:eastAsia="仿宋" w:cs="仿宋"/>
          <w:sz w:val="24"/>
          <w:lang w:eastAsia="zh-CN"/>
        </w:rPr>
        <w:t xml:space="preserve">法律法规</w:t>
      </w:r>
      <w:r>
        <w:rPr>
          <w:rFonts w:hint="eastAsia" w:ascii="仿宋" w:hAnsi="仿宋" w:eastAsia="仿宋" w:cs="仿宋"/>
          <w:sz w:val="24"/>
        </w:rPr>
        <w:t xml:space="preserve">和竞争性磋商文件规定的其他实质性要求的。</w:t>
      </w:r>
      <w:r/>
    </w:p>
    <w:p>
      <w:pPr>
        <w:spacing w:before="43"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18.6 出现下列情形之一的磋商终止，无成交供应商：</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（1）</w:t>
      </w:r>
      <w:r>
        <w:rPr>
          <w:rFonts w:hint="eastAsia" w:ascii="仿宋" w:hAnsi="仿宋" w:eastAsia="仿宋" w:cs="仿宋"/>
          <w:color w:val="000000" w:themeColor="text1"/>
          <w:sz w:val="24"/>
          <w14:textFill>
            <w14:solidFill>
              <w14:schemeClr w14:val="tx1"/>
            </w14:solidFill>
          </w14:textFill>
        </w:rPr>
        <w:t xml:space="preserve">因情况变化，不再符合规定的竞争性磋商采购方式适用情形的；</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（2）</w:t>
      </w:r>
      <w:r>
        <w:rPr>
          <w:rFonts w:hint="eastAsia" w:ascii="仿宋" w:hAnsi="仿宋" w:eastAsia="仿宋" w:cs="仿宋"/>
          <w:color w:val="000000" w:themeColor="text1"/>
          <w:sz w:val="24"/>
          <w14:textFill>
            <w14:solidFill>
              <w14:schemeClr w14:val="tx1"/>
            </w14:solidFill>
          </w14:textFill>
        </w:rPr>
        <w:t xml:space="preserve">所有供应商的磋商响应文件被磋商小组认定为无效的；</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（3）</w:t>
      </w:r>
      <w:r>
        <w:rPr>
          <w:rFonts w:hint="eastAsia" w:ascii="仿宋" w:hAnsi="仿宋" w:eastAsia="仿宋" w:cs="仿宋"/>
          <w:color w:val="000000" w:themeColor="text1"/>
          <w:sz w:val="24"/>
          <w14:textFill>
            <w14:solidFill>
              <w14:schemeClr w14:val="tx1"/>
            </w14:solidFill>
          </w14:textFill>
        </w:rPr>
        <w:t xml:space="preserve">出现影响采购公正的违法、违规行为的；</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（4）</w:t>
      </w:r>
      <w:r>
        <w:rPr>
          <w:rFonts w:hint="eastAsia" w:ascii="仿宋" w:hAnsi="仿宋" w:eastAsia="仿宋" w:cs="仿宋"/>
          <w:color w:val="000000" w:themeColor="text1"/>
          <w:sz w:val="24"/>
          <w14:textFill>
            <w14:solidFill>
              <w14:schemeClr w14:val="tx1"/>
            </w14:solidFill>
          </w14:textFill>
        </w:rPr>
        <w:t xml:space="preserve">供应商的最终报价超过采购预算，且采购人不能支付的；</w:t>
      </w:r>
      <w:r/>
    </w:p>
    <w:p>
      <w:pPr>
        <w:spacing w:before="42"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（5）</w:t>
      </w:r>
      <w:r>
        <w:rPr>
          <w:rFonts w:hint="eastAsia" w:ascii="仿宋" w:hAnsi="仿宋" w:eastAsia="仿宋" w:cs="仿宋"/>
          <w:color w:val="000000" w:themeColor="text1"/>
          <w:sz w:val="24"/>
          <w14:textFill>
            <w14:solidFill>
              <w14:schemeClr w14:val="tx1"/>
            </w14:solidFill>
          </w14:textFill>
        </w:rPr>
        <w:t xml:space="preserve">因重大变故，采购任务取消的；</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（6）</w:t>
      </w:r>
      <w:r>
        <w:rPr>
          <w:rFonts w:hint="eastAsia" w:ascii="仿宋" w:hAnsi="仿宋" w:eastAsia="仿宋" w:cs="仿宋"/>
          <w:color w:val="000000" w:themeColor="text1"/>
          <w:sz w:val="24"/>
          <w14:textFill>
            <w14:solidFill>
              <w14:schemeClr w14:val="tx1"/>
            </w14:solidFill>
          </w14:textFill>
        </w:rPr>
        <w:t xml:space="preserve">采购人需求发生重大变化暂时不能确定或供应商提供的服务不能满足需求等。</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18.7根据《关于推动解决政府采购异常低价问题的通知》（财库〔2026〕2号）的规定如下：</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（一）评标过程中出现下列情形之一的，评委会应当启动异常低价投标审查程序：</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（1）投标报价低于全部通过符合性审查供应商投标报价平均值65%的，即投标报价&lt;全部通过符合性审查供应商投标报价平均值×65%；</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（2）投标报价低于通过符合性审查的次低报价供应商投标报价65%的，即投标报价&lt;通过符合性审查的次低报价供应商投标报价×65%；</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（3）投标报价低于采购项目最高限价65%的，即投标报价&lt;采购项目最高限价×65%；</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（4）评委会基于专业判断，认为供应商报价过低，有可能影响产品质量或者不能诚信履约的其他情形。</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before="43" w:line="276" w:lineRule="auto"/>
        <w:tabs>
          <w:tab w:val="left" w:pos="1270" w:leader="none"/>
        </w:tabs>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spacing w:before="43"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19. 评分方法和标准。</w:t>
      </w:r>
      <w:r/>
    </w:p>
    <w:p>
      <w:pPr>
        <w:ind w:right="310"/>
        <w:spacing w:before="22"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19.1 采用综合评分法。即在满足磋商文件实质性要求前提下，按照磋商文件中规定的各项因素进行</w:t>
      </w:r>
      <w:r>
        <w:rPr>
          <w:rFonts w:hint="eastAsia" w:ascii="仿宋" w:hAnsi="仿宋" w:eastAsia="仿宋" w:cs="仿宋"/>
          <w:color w:val="000000" w:themeColor="text1"/>
          <w:spacing w:val="-3"/>
          <w:sz w:val="24"/>
          <w14:textFill>
            <w14:solidFill>
              <w14:schemeClr w14:val="tx1"/>
            </w14:solidFill>
          </w14:textFill>
        </w:rPr>
        <w:t xml:space="preserve">综合评审后，以评审总得分最高的供应商作为成交候选供应商或者成交供应商的评分方法。</w:t>
      </w:r>
      <w:r/>
    </w:p>
    <w:p>
      <w:pPr>
        <w:spacing w:before="15" w:line="276" w:lineRule="auto"/>
        <w:tabs>
          <w:tab w:val="left" w:pos="1216"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19.2 综合评分的主要因素是：</w:t>
      </w:r>
      <w:r>
        <w:rPr>
          <w:rFonts w:hint="eastAsia" w:ascii="仿宋" w:hAnsi="仿宋" w:eastAsia="仿宋" w:cs="仿宋"/>
          <w:bCs/>
          <w:color w:val="000000" w:themeColor="text1"/>
          <w:sz w:val="24"/>
          <w14:textFill>
            <w14:solidFill>
              <w14:schemeClr w14:val="tx1"/>
            </w14:solidFill>
          </w14:textFill>
        </w:rPr>
        <w:t xml:space="preserve">价格、业绩、对采购文件的响应程度等。</w:t>
      </w:r>
      <w:r/>
    </w:p>
    <w:p>
      <w:pPr>
        <w:spacing w:before="24"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19.3 评分标准详见第四章</w:t>
      </w:r>
      <w:r/>
    </w:p>
    <w:p>
      <w:pPr>
        <w:spacing w:before="23"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20. 确定成交供应商</w:t>
      </w:r>
      <w:r/>
    </w:p>
    <w:p>
      <w:pPr>
        <w:ind w:right="204"/>
        <w:spacing w:before="43"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themeColor="text1"/>
          <w:spacing w:val="-22"/>
          <w:sz w:val="24"/>
          <w14:textFill>
            <w14:solidFill>
              <w14:schemeClr w14:val="tx1"/>
            </w14:solidFill>
          </w14:textFill>
        </w:rPr>
        <w:t xml:space="preserve">商。</w:t>
      </w:r>
      <w:r>
        <w:rPr>
          <w:rFonts w:hint="eastAsia" w:ascii="仿宋" w:hAnsi="仿宋" w:eastAsia="仿宋" w:cs="仿宋"/>
          <w:color w:val="000000" w:themeColor="text1"/>
          <w:spacing w:val="-7"/>
          <w:sz w:val="24"/>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20.2 成交供应商确定后，将在原采购公告发布媒体上发布公告，向成交供应商发出成交通知书。成</w:t>
      </w:r>
      <w:r>
        <w:rPr>
          <w:rFonts w:hint="eastAsia" w:ascii="仿宋" w:hAnsi="仿宋" w:eastAsia="仿宋" w:cs="仿宋"/>
          <w:color w:val="000000" w:themeColor="text1"/>
          <w:spacing w:val="-4"/>
          <w:sz w:val="24"/>
          <w14:textFill>
            <w14:solidFill>
              <w14:schemeClr w14:val="tx1"/>
            </w14:solidFill>
          </w14:textFill>
        </w:rPr>
        <w:t xml:space="preserve">交供应商应按成交通知书规定的时间、地点与采购单位、政府代理机构签订政府采购合同。</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20.3 成交通知书对采购人和成交供应商具有同等法律效力。</w:t>
      </w:r>
      <w:r/>
    </w:p>
    <w:p>
      <w:pPr>
        <w:ind w:right="312"/>
        <w:spacing w:before="42"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20.4 成交通知书发出后，采购人或成交供应商拒绝签订合同的，拒绝签订合同的一方应至少向另一</w:t>
      </w:r>
      <w:r>
        <w:rPr>
          <w:rFonts w:hint="eastAsia" w:ascii="仿宋" w:hAnsi="仿宋" w:eastAsia="仿宋" w:cs="仿宋"/>
          <w:color w:val="000000" w:themeColor="text1"/>
          <w:spacing w:val="-3"/>
          <w:sz w:val="24"/>
          <w14:textFill>
            <w14:solidFill>
              <w14:schemeClr w14:val="tx1"/>
            </w14:solidFill>
          </w14:textFill>
        </w:rPr>
        <w:t xml:space="preserve">方支付与预算2%相等的补偿金，以及为磋商过程所发生的有关费用和双方商定的其他补偿。</w:t>
      </w:r>
      <w:r/>
    </w:p>
    <w:p>
      <w:pPr>
        <w:ind w:right="276"/>
        <w:spacing w:before="93"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pacing w:val="-6"/>
          <w:sz w:val="24"/>
          <w14:textFill>
            <w14:solidFill>
              <w14:schemeClr w14:val="tx1"/>
            </w14:solidFill>
          </w14:textFill>
        </w:rPr>
        <w:t xml:space="preserve">20.5 成交通知书发出后，成交供应商除发生法律规定的不能预见、不能避免并不能克服的客观情况</w:t>
      </w:r>
      <w:r>
        <w:rPr>
          <w:rFonts w:hint="eastAsia" w:ascii="仿宋" w:hAnsi="仿宋" w:eastAsia="仿宋" w:cs="仿宋"/>
          <w:bCs/>
          <w:color w:val="000000" w:themeColor="text1"/>
          <w:spacing w:val="-5"/>
          <w:sz w:val="24"/>
          <w14:textFill>
            <w14:solidFill>
              <w14:schemeClr w14:val="tx1"/>
            </w14:solidFill>
          </w14:textFill>
        </w:rPr>
        <w:t xml:space="preserve">外不得放弃或拒绝签订合同的。放弃或拒绝签订合同的，情节严重的财政部门将</w:t>
      </w:r>
      <w:r>
        <w:rPr>
          <w:rFonts w:hint="eastAsia" w:ascii="仿宋" w:hAnsi="仿宋" w:eastAsia="仿宋" w:cs="仿宋"/>
          <w:bCs/>
          <w:color w:val="000000" w:themeColor="text1"/>
          <w:spacing w:val="-5"/>
          <w:sz w:val="24"/>
          <w14:textFill>
            <w14:solidFill>
              <w14:schemeClr w14:val="tx1"/>
            </w14:solidFill>
          </w14:textFill>
        </w:rPr>
        <w:t xml:space="preserve">其列入不良行为名单，在一至三年内不得参加南京市江宁区政府采购活动。</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20.6 代理机构对未成交的供应商不作未成交原因的解释。</w:t>
      </w:r>
      <w:r/>
    </w:p>
    <w:p>
      <w:pPr>
        <w:spacing w:before="43" w:line="276" w:lineRule="auto"/>
        <w:tabs>
          <w:tab w:val="left" w:pos="1216"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21. 编写磋商（评审）报告</w:t>
      </w:r>
      <w:r/>
    </w:p>
    <w:p>
      <w:pPr>
        <w:pStyle w:val="843"/>
        <w:ind w:right="4323"/>
        <w:spacing w:before="43" w:line="276"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磋商小组根据磋商过程和结果编写磋商（评审）报告。 </w:t>
      </w:r>
      <w:bookmarkStart w:id="30" w:name="五、签订合同"/>
      <w:r/>
      <w:bookmarkEnd w:id="30"/>
      <w:r/>
      <w:r/>
    </w:p>
    <w:p>
      <w:pPr>
        <w:pStyle w:val="843"/>
        <w:ind w:right="4323"/>
        <w:spacing w:before="43" w:line="276"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五、签订合同</w:t>
      </w:r>
      <w:r/>
    </w:p>
    <w:p>
      <w:pPr>
        <w:ind w:right="312"/>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22.1 成交供应商应当自成交通知书发出之日起三十日内，与采购人签订政府采购合同，所签订的合</w:t>
      </w:r>
      <w:r>
        <w:rPr>
          <w:rFonts w:hint="eastAsia" w:ascii="仿宋" w:hAnsi="仿宋" w:eastAsia="仿宋" w:cs="仿宋"/>
          <w:color w:val="000000" w:themeColor="text1"/>
          <w:spacing w:val="-2"/>
          <w:sz w:val="24"/>
          <w14:textFill>
            <w14:solidFill>
              <w14:schemeClr w14:val="tx1"/>
            </w14:solidFill>
          </w14:textFill>
        </w:rPr>
        <w:t xml:space="preserve">同不得对竞争性磋商文件和竞争性磋商响应文件作实质性修改。</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22.2 采购人不得向成交供应商提出任何不合理的要求作为签订合同的条件，不得与成交供应商私下</w:t>
      </w:r>
      <w:r>
        <w:rPr>
          <w:rFonts w:hint="eastAsia" w:ascii="仿宋" w:hAnsi="仿宋" w:eastAsia="仿宋" w:cs="仿宋"/>
          <w:color w:val="000000" w:themeColor="text1"/>
          <w:spacing w:val="-2"/>
          <w:sz w:val="24"/>
          <w14:textFill>
            <w14:solidFill>
              <w14:schemeClr w14:val="tx1"/>
            </w14:solidFill>
          </w14:textFill>
        </w:rPr>
        <w:t xml:space="preserve">订立背离合同实质性内容的协议。</w:t>
      </w:r>
      <w:r/>
    </w:p>
    <w:p>
      <w:pPr>
        <w:ind w:right="312"/>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22.3 成交供应商因不可抗力或者自身原因不能履行政府采购合同的，采购人可以视情与排位在成交</w:t>
      </w:r>
      <w:r>
        <w:rPr>
          <w:rFonts w:hint="eastAsia" w:ascii="仿宋" w:hAnsi="仿宋" w:eastAsia="仿宋" w:cs="仿宋"/>
          <w:color w:val="000000" w:themeColor="text1"/>
          <w:spacing w:val="-2"/>
          <w:sz w:val="24"/>
          <w14:textFill>
            <w14:solidFill>
              <w14:schemeClr w14:val="tx1"/>
            </w14:solidFill>
          </w14:textFill>
        </w:rPr>
        <w:t xml:space="preserve">供应商之后第一位的成交候选供应商签订政府采购合同，以此类推。</w:t>
      </w:r>
      <w:r/>
    </w:p>
    <w:p>
      <w:pPr>
        <w:ind w:right="312"/>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22.4 政府采购合同履行中，采购人需追加与合同标的相同的服务的，在不改变合同其他条款的前提</w:t>
      </w:r>
      <w:r>
        <w:rPr>
          <w:rFonts w:hint="eastAsia" w:ascii="仿宋" w:hAnsi="仿宋" w:eastAsia="仿宋" w:cs="仿宋"/>
          <w:color w:val="000000" w:themeColor="text1"/>
          <w:spacing w:val="-9"/>
          <w:sz w:val="24"/>
          <w14:textFill>
            <w14:solidFill>
              <w14:schemeClr w14:val="tx1"/>
            </w14:solidFill>
          </w14:textFill>
        </w:rPr>
        <w:t xml:space="preserve">下，可以与供应商协商签订补充合同，但所有补充合同的采购金额不得超过原合同采购金额的百分之十。</w:t>
      </w:r>
      <w:r/>
    </w:p>
    <w:p>
      <w:pPr>
        <w:spacing w:line="276" w:lineRule="auto"/>
        <w:rPr>
          <w:rFonts w:hint="eastAsia" w:ascii="仿宋" w:hAnsi="仿宋" w:eastAsia="仿宋" w:cs="仿宋"/>
          <w:b/>
          <w:bCs/>
          <w:color w:val="000000" w:themeColor="text1"/>
          <w:sz w:val="24"/>
          <w14:textFill>
            <w14:solidFill>
              <w14:schemeClr w14:val="tx1"/>
            </w14:solidFill>
          </w14:textFill>
        </w:rPr>
      </w:pPr>
      <w:r/>
      <w:bookmarkStart w:id="31" w:name="六、质疑和投诉"/>
      <w:r/>
      <w:bookmarkEnd w:id="31"/>
      <w:r>
        <w:rPr>
          <w:rFonts w:hint="eastAsia" w:ascii="仿宋" w:hAnsi="仿宋" w:eastAsia="仿宋" w:cs="仿宋"/>
          <w:b/>
          <w:bCs/>
          <w:color w:val="000000" w:themeColor="text1"/>
          <w:sz w:val="24"/>
          <w14:textFill>
            <w14:solidFill>
              <w14:schemeClr w14:val="tx1"/>
            </w14:solidFill>
          </w14:textFill>
        </w:rPr>
        <w:t xml:space="preserve">六、质疑和投诉</w:t>
      </w:r>
      <w:r/>
    </w:p>
    <w:p>
      <w:pPr>
        <w:spacing w:before="42"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23. 质疑</w:t>
      </w:r>
      <w:r/>
    </w:p>
    <w:p>
      <w:pPr>
        <w:ind w:right="307"/>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23.1 供应商对磋商活动事项有疑问的，可以向代理机构提出询问。代理机构将依法作出答复，但答</w:t>
      </w:r>
      <w:r>
        <w:rPr>
          <w:rFonts w:hint="eastAsia" w:ascii="仿宋" w:hAnsi="仿宋" w:eastAsia="仿宋" w:cs="仿宋"/>
          <w:color w:val="000000" w:themeColor="text1"/>
          <w:spacing w:val="-3"/>
          <w:sz w:val="24"/>
          <w14:textFill>
            <w14:solidFill>
              <w14:schemeClr w14:val="tx1"/>
            </w14:solidFill>
          </w14:textFill>
        </w:rPr>
        <w:t xml:space="preserve">复的内容不涉及商业秘密。</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23.2 供应商认为采购文件、采购过程和成交结果使自己的合法权益受到损害的，可以在知道或者应</w:t>
      </w:r>
      <w:r>
        <w:rPr>
          <w:rFonts w:hint="eastAsia" w:ascii="仿宋" w:hAnsi="仿宋" w:eastAsia="仿宋" w:cs="仿宋"/>
          <w:color w:val="000000" w:themeColor="text1"/>
          <w:spacing w:val="-3"/>
          <w:sz w:val="24"/>
          <w14:textFill>
            <w14:solidFill>
              <w14:schemeClr w14:val="tx1"/>
            </w14:solidFill>
          </w14:textFill>
        </w:rPr>
        <w:t xml:space="preserve">当知道其权益受到损害之日起七个工作日内，将质疑文件原件送达代理机构，供应商提出质疑时，须一次性提出全部问题及相关质疑资料。</w:t>
      </w:r>
      <w:r/>
    </w:p>
    <w:p>
      <w:pPr>
        <w:ind w:right="304"/>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23.3 质疑文件应包括以下主要内容，并按照</w:t>
      </w:r>
      <w:r>
        <w:rPr>
          <w:rFonts w:hint="eastAsia" w:ascii="仿宋" w:hAnsi="仿宋" w:eastAsia="仿宋" w:cs="仿宋"/>
          <w:color w:val="000000" w:themeColor="text1"/>
          <w:spacing w:val="3"/>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谁主张、谁举证”的原则，附上相关证明材料。否则，</w:t>
      </w:r>
      <w:r>
        <w:rPr>
          <w:rFonts w:hint="eastAsia" w:ascii="仿宋" w:hAnsi="仿宋" w:eastAsia="仿宋" w:cs="仿宋"/>
          <w:color w:val="000000" w:themeColor="text1"/>
          <w:sz w:val="24"/>
          <w14:textFill>
            <w14:solidFill>
              <w14:schemeClr w14:val="tx1"/>
            </w14:solidFill>
          </w14:textFill>
        </w:rPr>
        <w:t xml:space="preserve">代理机构不予受理：</w:t>
      </w:r>
      <w:r/>
    </w:p>
    <w:p>
      <w:pPr>
        <w:spacing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（1）质疑项目名称、项目编号、包号、磋商公告发布时间、磋商时间；</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（2）具体的质疑事项及法律依据（具体条款）；</w:t>
      </w:r>
      <w:r/>
    </w:p>
    <w:p>
      <w:pPr>
        <w:ind w:right="312"/>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w:t>
      </w:r>
      <w:r>
        <w:rPr>
          <w:rFonts w:hint="eastAsia" w:ascii="仿宋" w:hAnsi="仿宋" w:eastAsia="仿宋" w:cs="仿宋"/>
          <w:color w:val="000000" w:themeColor="text1"/>
          <w:spacing w:val="-3"/>
          <w:sz w:val="24"/>
          <w14:textFill>
            <w14:solidFill>
              <w14:schemeClr w14:val="tx1"/>
            </w14:solidFill>
          </w14:textFill>
        </w:rPr>
        <w:t xml:space="preserve">质疑相关证明文件或证明材料，如果</w:t>
      </w:r>
      <w:r>
        <w:rPr>
          <w:rFonts w:hint="eastAsia" w:ascii="仿宋" w:hAnsi="仿宋" w:eastAsia="仿宋" w:cs="仿宋"/>
          <w:color w:val="000000" w:themeColor="text1"/>
          <w:spacing w:val="-3"/>
          <w:sz w:val="24"/>
          <w:lang w:eastAsia="zh-CN"/>
          <w14:textFill>
            <w14:solidFill>
              <w14:schemeClr w14:val="tx1"/>
            </w14:solidFill>
          </w14:textFill>
        </w:rPr>
        <w:t xml:space="preserve">涉及</w:t>
      </w:r>
      <w:r>
        <w:rPr>
          <w:rFonts w:hint="eastAsia" w:ascii="仿宋" w:hAnsi="仿宋" w:eastAsia="仿宋" w:cs="仿宋"/>
          <w:color w:val="000000" w:themeColor="text1"/>
          <w:spacing w:val="-3"/>
          <w:sz w:val="24"/>
          <w14:textFill>
            <w14:solidFill>
              <w14:schemeClr w14:val="tx1"/>
            </w14:solidFill>
          </w14:textFill>
        </w:rPr>
        <w:t xml:space="preserve">产品功能或技术指标的，应出具相关制造商的证明文件（友情提示：供应商全部产品线中没有满足技术需求要求的产品才可以对采购产品</w:t>
      </w:r>
      <w:r>
        <w:rPr>
          <w:rFonts w:hint="eastAsia" w:ascii="仿宋" w:hAnsi="仿宋" w:eastAsia="仿宋" w:cs="仿宋"/>
          <w:color w:val="000000" w:themeColor="text1"/>
          <w:spacing w:val="-3"/>
          <w:sz w:val="24"/>
          <w:lang w:eastAsia="zh-CN"/>
          <w14:textFill>
            <w14:solidFill>
              <w14:schemeClr w14:val="tx1"/>
            </w14:solidFill>
          </w14:textFill>
        </w:rPr>
        <w:t xml:space="preserve">质疑</w:t>
      </w:r>
      <w:r>
        <w:rPr>
          <w:rFonts w:hint="eastAsia" w:ascii="仿宋" w:hAnsi="仿宋" w:eastAsia="仿宋" w:cs="仿宋"/>
          <w:color w:val="000000" w:themeColor="text1"/>
          <w:spacing w:val="-3"/>
          <w:sz w:val="24"/>
          <w14:textFill>
            <w14:solidFill>
              <w14:schemeClr w14:val="tx1"/>
            </w14:solidFill>
          </w14:textFill>
        </w:rPr>
        <w:t xml:space="preserve">，并提出修改理由和修改建议）；</w:t>
      </w:r>
      <w:r/>
    </w:p>
    <w:p>
      <w:pPr>
        <w:spacing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（4）质疑供应商名称、地址、联系方式（包括手机、传真号码）；</w:t>
      </w:r>
      <w:r/>
    </w:p>
    <w:p>
      <w:pPr>
        <w:ind w:right="312"/>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hint="eastAsia" w:ascii="仿宋" w:hAnsi="仿宋" w:eastAsia="仿宋" w:cs="仿宋"/>
          <w:color w:val="000000" w:themeColor="text1"/>
          <w:spacing w:val="-2"/>
          <w:sz w:val="24"/>
          <w14:textFill>
            <w14:solidFill>
              <w14:schemeClr w14:val="tx1"/>
            </w14:solidFill>
          </w14:textFill>
        </w:rPr>
        <w:t xml:space="preserve">法定代表人签署本人姓名或印盖本人姓名章并加盖单位公章，或由参加采购项目的授权委托代理人签署本人姓名或印盖本人姓名章并加盖单位公章等。</w:t>
      </w:r>
      <w:r/>
    </w:p>
    <w:p>
      <w:pPr>
        <w:ind w:right="312"/>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23.4 供应商不得虚假质疑和恶意质疑，并对质疑内容的真实性承担责任。供应商或者其他利害关系</w:t>
      </w:r>
      <w:r>
        <w:rPr>
          <w:rFonts w:hint="eastAsia" w:ascii="仿宋" w:hAnsi="仿宋" w:eastAsia="仿宋" w:cs="仿宋"/>
          <w:color w:val="000000" w:themeColor="text1"/>
          <w:spacing w:val="-2"/>
          <w:sz w:val="24"/>
          <w14:textFill>
            <w14:solidFill>
              <w14:schemeClr w14:val="tx1"/>
            </w14:solidFill>
          </w14:textFill>
        </w:rPr>
        <w:t xml:space="preserve">人通过捏造事实、伪造证明材料等方式提出异议或投诉，阻碍政府采购活动正常进行的，属于严重不良行为，代理机构将提请财政部门将其列入不良行为记录名单，并依法予以处罚。</w:t>
      </w:r>
      <w:r/>
    </w:p>
    <w:p>
      <w:pPr>
        <w:ind w:right="305"/>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23.5 代理机构在收到供应商的书面质疑后将及时组织调查核实，在</w:t>
      </w:r>
      <w:r>
        <w:rPr>
          <w:rFonts w:hint="eastAsia" w:ascii="仿宋" w:hAnsi="仿宋" w:eastAsia="仿宋" w:cs="仿宋"/>
          <w:color w:val="000000" w:themeColor="text1"/>
          <w:sz w:val="24"/>
          <w14:textFill>
            <w14:solidFill>
              <w14:schemeClr w14:val="tx1"/>
            </w14:solidFill>
          </w14:textFill>
        </w:rPr>
        <w:t xml:space="preserve">七个工作日内</w:t>
      </w:r>
      <w:r>
        <w:rPr>
          <w:rFonts w:hint="eastAsia" w:ascii="仿宋" w:hAnsi="仿宋" w:eastAsia="仿宋" w:cs="仿宋"/>
          <w:color w:val="000000" w:themeColor="text1"/>
          <w:spacing w:val="-4"/>
          <w:sz w:val="24"/>
          <w14:textFill>
            <w14:solidFill>
              <w14:schemeClr w14:val="tx1"/>
            </w14:solidFill>
          </w14:textFill>
        </w:rPr>
        <w:t xml:space="preserve">作出答复，并以书</w:t>
      </w:r>
      <w:r>
        <w:rPr>
          <w:rFonts w:hint="eastAsia" w:ascii="仿宋" w:hAnsi="仿宋" w:eastAsia="仿宋" w:cs="仿宋"/>
          <w:color w:val="000000" w:themeColor="text1"/>
          <w:spacing w:val="-7"/>
          <w:sz w:val="24"/>
          <w14:textFill>
            <w14:solidFill>
              <w14:schemeClr w14:val="tx1"/>
            </w14:solidFill>
          </w14:textFill>
        </w:rPr>
        <w:t xml:space="preserve">面或在网站公告形式通知质疑供应商和其他有关供应商，答复的内容不涉及商业秘密。代理机构遵循</w:t>
      </w:r>
      <w:r>
        <w:rPr>
          <w:rFonts w:hint="eastAsia" w:ascii="仿宋" w:hAnsi="仿宋" w:eastAsia="仿宋" w:cs="仿宋"/>
          <w:color w:val="000000" w:themeColor="text1"/>
          <w:sz w:val="24"/>
          <w14:textFill>
            <w14:solidFill>
              <w14:schemeClr w14:val="tx1"/>
            </w14:solidFill>
          </w14:textFill>
        </w:rPr>
        <w:t xml:space="preserve">“谁过错谁负担”的原则，有过错的一方承担调查论证费用。</w:t>
      </w:r>
      <w:r/>
    </w:p>
    <w:p>
      <w:pPr>
        <w:spacing w:line="276"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24. 投诉</w:t>
      </w:r>
      <w:r/>
    </w:p>
    <w:p>
      <w:pPr>
        <w:pStyle w:val="843"/>
        <w:ind w:right="312"/>
        <w:spacing w:before="42" w:line="276"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质疑供应商对代理机构的答复不满意，或代理机构未在规定的时间内作出答复的，可以在答复期满后十五个工作日内向同级财政部门投诉。</w:t>
      </w:r>
      <w:r/>
    </w:p>
    <w:p>
      <w:pPr>
        <w:ind w:firstLine="420"/>
        <w:rPr>
          <w:rFonts w:hint="eastAsia" w:ascii="仿宋" w:hAnsi="仿宋" w:eastAsia="仿宋" w:cs="仿宋"/>
          <w:color w:val="000000"/>
          <w:sz w:val="24"/>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24"/>
        </w:rPr>
        <w:t xml:space="preserve"> </w:t>
      </w:r>
      <w:r/>
    </w:p>
    <w:p>
      <w:pPr>
        <w:jc w:val="center"/>
        <w:rPr>
          <w:rFonts w:hint="eastAsia" w:ascii="仿宋" w:hAnsi="仿宋" w:eastAsia="仿宋" w:cs="仿宋"/>
          <w:bCs/>
          <w:iCs/>
          <w:color w:val="000000"/>
          <w:szCs w:val="21"/>
          <w:lang w:val="zh-CN"/>
        </w:rPr>
        <w:outlineLvl w:val="0"/>
      </w:pPr>
      <w:r/>
      <w:bookmarkStart w:id="32" w:name="_Toc20825"/>
      <w:r/>
      <w:bookmarkStart w:id="33" w:name="_Toc15935"/>
      <w:r/>
      <w:bookmarkStart w:id="34" w:name="_Toc1537"/>
      <w:r/>
      <w:bookmarkStart w:id="35" w:name="_Toc25279"/>
      <w:r/>
      <w:bookmarkStart w:id="36" w:name="_Toc25744"/>
      <w:r/>
      <w:bookmarkStart w:id="37" w:name="_Toc480985231"/>
      <w:r/>
      <w:bookmarkStart w:id="38" w:name="_Toc458771617"/>
      <w:r/>
      <w:bookmarkStart w:id="39" w:name="_Toc18531"/>
      <w:r>
        <w:rPr>
          <w:rFonts w:hint="eastAsia" w:ascii="仿宋" w:hAnsi="仿宋" w:eastAsia="仿宋" w:cs="仿宋"/>
          <w:color w:val="000000"/>
          <w:sz w:val="30"/>
          <w:szCs w:val="30"/>
        </w:rPr>
        <w:t xml:space="preserve">第三章 </w:t>
      </w:r>
      <w:r>
        <w:rPr>
          <w:rFonts w:hint="eastAsia" w:ascii="仿宋" w:hAnsi="仿宋" w:eastAsia="仿宋" w:cs="仿宋"/>
          <w:color w:val="000000"/>
          <w:sz w:val="30"/>
          <w:szCs w:val="30"/>
          <w:lang w:val="zh-CN"/>
        </w:rPr>
        <w:t xml:space="preserve">磋商项目需求</w:t>
      </w:r>
      <w:bookmarkEnd w:id="32"/>
      <w:r/>
      <w:bookmarkEnd w:id="33"/>
      <w:r/>
      <w:bookmarkEnd w:id="34"/>
      <w:r/>
      <w:bookmarkEnd w:id="35"/>
      <w:r/>
      <w:bookmarkEnd w:id="36"/>
      <w:r/>
      <w:bookmarkEnd w:id="37"/>
      <w:r/>
      <w:bookmarkEnd w:id="38"/>
      <w:r/>
      <w:bookmarkEnd w:id="39"/>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一、基本情况 </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项目名称：江宁开发区2026年度涉林项目报批咨询服务</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预算金额：178.5万元</w:t>
      </w:r>
      <w:r/>
    </w:p>
    <w:p>
      <w:pPr>
        <w:ind w:firstLine="480"/>
        <w:spacing w:line="560" w:lineRule="exact"/>
        <w:rPr>
          <w:rFonts w:hint="default" w:ascii="仿宋" w:hAnsi="仿宋" w:eastAsia="仿宋" w:cs="仿宋"/>
          <w:sz w:val="24"/>
          <w:lang w:val="en-US" w:eastAsia="zh-CN"/>
        </w:rPr>
      </w:pPr>
      <w:r>
        <w:rPr>
          <w:rFonts w:hint="eastAsia" w:ascii="仿宋" w:hAnsi="仿宋" w:eastAsia="仿宋" w:cs="仿宋"/>
          <w:sz w:val="24"/>
          <w:lang w:eastAsia="zh-CN"/>
        </w:rPr>
        <w:t xml:space="preserve">3.</w:t>
      </w:r>
      <w:r>
        <w:rPr>
          <w:rFonts w:hint="eastAsia" w:ascii="仿宋" w:hAnsi="仿宋" w:eastAsia="仿宋" w:cs="仿宋"/>
          <w:sz w:val="24"/>
        </w:rPr>
        <w:t xml:space="preserve">最高限价：</w:t>
      </w:r>
      <w:r>
        <w:rPr>
          <w:rFonts w:hint="eastAsia" w:ascii="仿宋" w:hAnsi="仿宋" w:eastAsia="仿宋" w:cs="仿宋"/>
          <w:sz w:val="24"/>
          <w:lang w:val="en-US" w:eastAsia="zh-CN"/>
        </w:rPr>
        <w:t xml:space="preserve">费率</w:t>
      </w:r>
      <w:r>
        <w:rPr>
          <w:rFonts w:hint="eastAsia" w:ascii="仿宋" w:hAnsi="仿宋" w:eastAsia="仿宋" w:cs="仿宋"/>
          <w:sz w:val="24"/>
        </w:rPr>
        <w:t xml:space="preserve">70%</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投标费率不高于最高限价</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费率：折扣率=1-优惠率</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二、服务范围</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江宁开发区本级、软件园、空港、紫金山科技城范围内2026年度拟建设项目地块，最终结算时根据实际办理成功的林地调整地块数量计算，具体项目以采购人实际下达任务为准。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三、服务内容</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根据现场实际情况对拟占用林地进行调查和分析，编制使用林地可行性研究报告或使用林地现状调查表，完成林地组卷报批工作，取得《使用林地审核同意书》；</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编制采伐作业设计书，取得《林木采伐许可证》。</w:t>
      </w:r>
      <w:r>
        <w:rPr>
          <w:rFonts w:ascii="仿宋" w:hAnsi="仿宋" w:eastAsia="仿宋" w:cs="仿宋"/>
          <w:sz w:val="24"/>
        </w:rPr>
        <w:t xml:space="preserve">（如需）</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四、服务期限</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合同履行期限：一年或本次项目预算178.5万元使用完毕，二者以先到为准。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五、工作要求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（1）技术依据：为保证本项目实施的科学性、规范性和准确性，技术设计需要严格遵照国家有关</w:t>
      </w:r>
      <w:r>
        <w:rPr>
          <w:rFonts w:hint="eastAsia" w:ascii="仿宋" w:hAnsi="仿宋" w:eastAsia="仿宋" w:cs="仿宋"/>
          <w:sz w:val="24"/>
          <w:lang w:eastAsia="zh-CN"/>
        </w:rPr>
        <w:t xml:space="preserve">法律法规</w:t>
      </w:r>
      <w:r>
        <w:rPr>
          <w:rFonts w:hint="eastAsia" w:ascii="仿宋" w:hAnsi="仿宋" w:eastAsia="仿宋" w:cs="仿宋"/>
          <w:sz w:val="24"/>
        </w:rPr>
        <w:t xml:space="preserve">、规章制度以及国家和行业颁布的相关技术标准和规范。</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（2）递交的成果内容必须符合采购文件的有关要求和国家有关标准。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（3）最终以取得林业主管部门的林业用地批文等批复文件为准，需向甲方提供林地占用许可批复文件的全部原件。</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六、人员要求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为保证项目的顺利实施，项目组必须明确1名项目负责人、1名项目技术负责人以及其他项目组成员不少于10名。未经采购人允许，供应商不得随意更换项目负责人，如需更换须提前5个工作日通知采购人，并征得采购人同意。</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（2）如因供应商项目组人员存在技术不达标或服务质量未达到采购人要求的，采购人有权要求更换相关项目组成员，供应商应无条件更换相关人员。供应商无故不得缺席工作推进会议、拖延项目进度。</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七、成果要求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符合国家现行规范、行业标准以及省、市、区相关审核要求、采购文件及相关附件、技术条件及成交单位承诺</w:t>
      </w:r>
      <w:r>
        <w:rPr>
          <w:rFonts w:hint="eastAsia" w:ascii="仿宋" w:hAnsi="仿宋" w:eastAsia="仿宋" w:cs="仿宋"/>
          <w:sz w:val="24"/>
          <w:lang w:eastAsia="zh-CN"/>
        </w:rPr>
        <w:t xml:space="preserve">的其他指标</w:t>
      </w:r>
      <w:r>
        <w:rPr>
          <w:rFonts w:hint="eastAsia" w:ascii="仿宋" w:hAnsi="仿宋" w:eastAsia="仿宋" w:cs="仿宋"/>
          <w:sz w:val="24"/>
        </w:rPr>
        <w:t xml:space="preserve">。</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八、报价要求</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单个项目费用包含：1、使用林地可行性报告或使用林地现状调查表编制费；2、林木采伐作业设计书编制费。</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使用林地可行性报告或使用林地现状调查表编制费按照《林业和草原工程建设项目服务计费指导意见》（林建协〔2024〕54号）第三章第五节“征占用调查”标准不高于七折计取。通用系数中工程级别（T1）取1.0，项目地域（T2）取1.4，作业区域（T3）取1.0、资质资信（T4）取1.0，通用系数T=T1*T2*T3*T4=1.4。</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采伐作业设计书编制费按照《林业和草原工程建设项目服务计费指导意见》（林建协〔2024〕54号）第三章第一节“基础调查”标准（最低计费额按10万元计），参考市场价取3.5万元/个。</w:t>
      </w:r>
      <w:r/>
    </w:p>
    <w:p>
      <w:pPr>
        <w:ind w:firstLine="480"/>
        <w:spacing w:line="560" w:lineRule="exact"/>
        <w:rPr>
          <w:rFonts w:hint="eastAsia" w:ascii="仿宋" w:hAnsi="仿宋" w:eastAsia="仿宋" w:cs="仿宋"/>
          <w:sz w:val="24"/>
          <w:lang w:eastAsia="zh-CN"/>
        </w:rPr>
      </w:pPr>
      <w:r>
        <w:rPr>
          <w:rFonts w:hint="eastAsia" w:ascii="仿宋" w:hAnsi="仿宋" w:eastAsia="仿宋" w:cs="仿宋"/>
          <w:sz w:val="24"/>
          <w:lang w:eastAsia="zh-CN"/>
        </w:rPr>
        <w:t xml:space="preserve">4.</w:t>
      </w:r>
      <w:r>
        <w:rPr>
          <w:rFonts w:hint="eastAsia" w:ascii="仿宋" w:hAnsi="仿宋" w:eastAsia="仿宋" w:cs="仿宋"/>
          <w:sz w:val="24"/>
        </w:rPr>
        <w:t xml:space="preserve">单个项目费用=（6万元+1.5万元/公顷*项目征占用林地面积）*1.4*</w:t>
      </w:r>
      <w:r>
        <w:rPr>
          <w:rFonts w:hint="eastAsia" w:ascii="仿宋" w:hAnsi="仿宋" w:eastAsia="仿宋" w:cs="仿宋"/>
          <w:sz w:val="24"/>
          <w:lang w:val="en-US" w:eastAsia="zh-CN"/>
        </w:rPr>
        <w:t xml:space="preserve">折扣率</w:t>
      </w:r>
      <w:r>
        <w:rPr>
          <w:rFonts w:hint="eastAsia" w:ascii="仿宋" w:hAnsi="仿宋" w:eastAsia="仿宋" w:cs="仿宋"/>
          <w:sz w:val="24"/>
        </w:rPr>
        <w:t xml:space="preserve">+3.5万元*</w:t>
      </w:r>
      <w:r>
        <w:rPr>
          <w:rFonts w:hint="eastAsia" w:ascii="仿宋" w:hAnsi="仿宋" w:eastAsia="仿宋" w:cs="仿宋"/>
          <w:sz w:val="24"/>
          <w:lang w:val="en-US" w:eastAsia="zh-CN"/>
        </w:rPr>
        <w:t xml:space="preserve">折扣率</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报价金额应包含可能出现的报批费用、评审费用等，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甲方不再支付其他任何费用。此外，除非合同条款中另有规定，否则，前述合同价格在合同实施期间不因市场因素、政策规定变更因素等任何因素调整。</w:t>
      </w:r>
      <w:r/>
    </w:p>
    <w:p>
      <w:pPr>
        <w:ind w:firstLine="480"/>
        <w:spacing w:line="560" w:lineRule="exact"/>
        <w:rPr>
          <w:rFonts w:hint="eastAsia" w:ascii="仿宋" w:hAnsi="仿宋" w:eastAsia="仿宋" w:cs="仿宋"/>
          <w:sz w:val="24"/>
        </w:rPr>
      </w:pPr>
      <w:r>
        <w:rPr>
          <w:rFonts w:hint="eastAsia" w:ascii="仿宋" w:hAnsi="仿宋" w:eastAsia="仿宋" w:cs="仿宋"/>
          <w:sz w:val="24"/>
        </w:rPr>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九、付款方式</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合同签订后，单宗地块取得相关主管部门的审查意见或批复文件后即可申报结算，结算审定后一次性支付单宗地块费用。</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甲方每次付款前，乙方均应当向甲方开具等额、合法的符合甲方及相关主管部门要求的增值税发票，并提出书面申请，否则甲方有权延迟付款且无须承担任何责任，乙方仍应按照本合同约定内容履行全部义务和责任。</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合同履行过程中涉及的所有工作发生的费用均由乙方承担，此费用已包含在合同总价中，甲方不再另行支付。</w:t>
      </w:r>
      <w:r/>
    </w:p>
    <w:p>
      <w:pPr>
        <w:pStyle w:val="1040"/>
        <w:rPr>
          <w:rFonts w:hint="eastAsia" w:ascii="仿宋" w:hAnsi="仿宋" w:eastAsia="仿宋" w:cs="仿宋"/>
          <w:sz w:val="24"/>
          <w:szCs w:val="24"/>
        </w:rPr>
      </w:pPr>
      <w:r>
        <w:rPr>
          <w:rFonts w:hint="eastAsia" w:ascii="仿宋" w:hAnsi="仿宋" w:eastAsia="仿宋" w:cs="仿宋"/>
          <w:sz w:val="24"/>
          <w:szCs w:val="24"/>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rPr>
          <w:rFonts w:hint="eastAsia" w:ascii="仿宋" w:hAnsi="仿宋" w:eastAsia="仿宋" w:cs="仿宋"/>
          <w:color w:val="000000"/>
          <w:sz w:val="36"/>
          <w:szCs w:val="36"/>
          <w:lang w:val="zh-CN"/>
        </w:rPr>
      </w:pPr>
      <w:r/>
      <w:bookmarkStart w:id="40" w:name="_Toc8085"/>
      <w:r>
        <w:rPr>
          <w:rFonts w:hint="eastAsia" w:ascii="仿宋" w:hAnsi="仿宋" w:eastAsia="仿宋" w:cs="仿宋"/>
          <w:color w:val="000000"/>
          <w:sz w:val="36"/>
          <w:szCs w:val="36"/>
          <w:lang w:val="zh-CN"/>
        </w:rPr>
        <w:br w:type="page" w:clear="all"/>
      </w:r>
      <w:r/>
    </w:p>
    <w:p>
      <w:pPr>
        <w:jc w:val="center"/>
        <w:widowControl/>
        <w:rPr>
          <w:rFonts w:hint="eastAsia" w:ascii="仿宋" w:hAnsi="仿宋" w:eastAsia="仿宋" w:cs="仿宋"/>
          <w:color w:val="000000"/>
        </w:rPr>
        <w:outlineLvl w:val="0"/>
      </w:pPr>
      <w:r/>
      <w:bookmarkStart w:id="41" w:name="_Toc31287"/>
      <w:r>
        <w:rPr>
          <w:rFonts w:hint="eastAsia" w:ascii="仿宋" w:hAnsi="仿宋" w:eastAsia="仿宋" w:cs="仿宋"/>
          <w:color w:val="000000"/>
          <w:sz w:val="36"/>
          <w:szCs w:val="36"/>
          <w:lang w:val="zh-CN"/>
        </w:rPr>
        <w:t xml:space="preserve">第四章 评分标准</w:t>
      </w:r>
      <w:bookmarkEnd w:id="40"/>
      <w:r/>
      <w:bookmarkEnd w:id="41"/>
      <w:r/>
      <w:r/>
    </w:p>
    <w:p>
      <w:pPr>
        <w:ind w:firstLine="42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本次采购得分最高者为成交供应商，得分相同的，按技术方案的优劣顺序排列，由评标委员会依次推荐三家中标候选供应商。第二名为备选供应商，当成交供应商不能履行其义务时，由备选供应商顶替，成为新的成交供应商或重新招标。</w:t>
      </w:r>
      <w:r/>
    </w:p>
    <w:tbl>
      <w:tblPr>
        <w:tblStyle w:val="839"/>
        <w:tblpPr w:horzAnchor="page" w:tblpXSpec="center" w:vertAnchor="text" w:tblpY="1506" w:leftFromText="180" w:topFromText="0" w:rightFromText="180" w:bottomFromText="0"/>
        <w:tblW w:w="50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404"/>
        <w:gridCol w:w="6080"/>
        <w:gridCol w:w="1359"/>
      </w:tblGrid>
      <w:tr>
        <w:trPr>
          <w:jc w:val="center"/>
          <w:trHeight w:val="90"/>
        </w:trPr>
        <w:tc>
          <w:tcPr>
            <w:tcW w:w="1258" w:type="dxa"/>
            <w:vAlign w:val="center"/>
            <w:textDirection w:val="lrTb"/>
            <w:noWrap w:val="false"/>
          </w:tcPr>
          <w:p>
            <w:pPr>
              <w:ind w:left="1473" w:hanging="1448"/>
              <w:jc w:val="center"/>
              <w:rPr>
                <w:rFonts w:hint="eastAsia" w:ascii="仿宋" w:hAnsi="仿宋" w:eastAsia="仿宋" w:cs="仿宋"/>
                <w:b/>
                <w:bCs/>
                <w:szCs w:val="21"/>
              </w:rPr>
            </w:pPr>
            <w:r>
              <w:rPr>
                <w:rFonts w:hint="eastAsia" w:ascii="仿宋" w:hAnsi="仿宋" w:eastAsia="仿宋" w:cs="仿宋"/>
                <w:b/>
                <w:bCs/>
                <w:szCs w:val="21"/>
              </w:rPr>
              <w:br w:type="page" w:clear="all"/>
            </w:r>
            <w:bookmarkStart w:id="42" w:name="_Hlk69399474"/>
            <w:r>
              <w:rPr>
                <w:rFonts w:hint="eastAsia" w:ascii="仿宋" w:hAnsi="仿宋" w:eastAsia="仿宋" w:cs="仿宋"/>
                <w:b/>
                <w:bCs/>
                <w:szCs w:val="21"/>
              </w:rPr>
              <w:t xml:space="preserve">序号</w:t>
            </w:r>
            <w:r/>
          </w:p>
        </w:tc>
        <w:tc>
          <w:tcPr>
            <w:tcW w:w="1365" w:type="dxa"/>
            <w:vAlign w:val="center"/>
            <w:textDirection w:val="lrTb"/>
            <w:noWrap w:val="false"/>
          </w:tcPr>
          <w:p>
            <w:pPr>
              <w:ind w:left="1473" w:hanging="1448"/>
              <w:jc w:val="center"/>
              <w:rPr>
                <w:rFonts w:hint="eastAsia" w:ascii="仿宋" w:hAnsi="仿宋" w:eastAsia="仿宋" w:cs="仿宋"/>
                <w:b/>
                <w:bCs/>
                <w:szCs w:val="21"/>
              </w:rPr>
            </w:pPr>
            <w:r>
              <w:rPr>
                <w:rFonts w:hint="eastAsia" w:ascii="仿宋" w:hAnsi="仿宋" w:eastAsia="仿宋" w:cs="仿宋"/>
                <w:b/>
                <w:bCs/>
                <w:szCs w:val="21"/>
              </w:rPr>
              <w:t xml:space="preserve">内容</w:t>
            </w:r>
            <w:r/>
          </w:p>
        </w:tc>
        <w:tc>
          <w:tcPr>
            <w:tcW w:w="5912" w:type="dxa"/>
            <w:vAlign w:val="center"/>
            <w:textDirection w:val="lrTb"/>
            <w:noWrap w:val="false"/>
          </w:tcPr>
          <w:p>
            <w:pPr>
              <w:ind w:left="1473" w:hanging="1448"/>
              <w:jc w:val="center"/>
              <w:rPr>
                <w:rFonts w:hint="eastAsia" w:ascii="仿宋" w:hAnsi="仿宋" w:eastAsia="仿宋" w:cs="仿宋"/>
                <w:b/>
                <w:bCs/>
                <w:szCs w:val="21"/>
              </w:rPr>
            </w:pPr>
            <w:r>
              <w:rPr>
                <w:rFonts w:hint="eastAsia" w:ascii="仿宋" w:hAnsi="仿宋" w:eastAsia="仿宋" w:cs="仿宋"/>
                <w:b/>
                <w:bCs/>
                <w:szCs w:val="21"/>
              </w:rPr>
              <w:t xml:space="preserve">评分原则</w:t>
            </w:r>
            <w:r/>
          </w:p>
        </w:tc>
        <w:tc>
          <w:tcPr>
            <w:tcW w:w="1321" w:type="dxa"/>
            <w:vAlign w:val="center"/>
            <w:textDirection w:val="lrTb"/>
            <w:noWrap w:val="false"/>
          </w:tcPr>
          <w:p>
            <w:pPr>
              <w:ind w:left="1473" w:hanging="1448"/>
              <w:jc w:val="center"/>
              <w:rPr>
                <w:rFonts w:hint="eastAsia" w:ascii="仿宋" w:hAnsi="仿宋" w:eastAsia="仿宋" w:cs="仿宋"/>
                <w:b/>
                <w:bCs/>
                <w:szCs w:val="21"/>
              </w:rPr>
            </w:pPr>
            <w:r>
              <w:rPr>
                <w:rFonts w:hint="eastAsia" w:ascii="仿宋" w:hAnsi="仿宋" w:eastAsia="仿宋" w:cs="仿宋"/>
                <w:b/>
                <w:bCs/>
                <w:szCs w:val="21"/>
              </w:rPr>
              <w:t xml:space="preserve">分值范围</w:t>
            </w:r>
            <w:r/>
          </w:p>
        </w:tc>
      </w:tr>
      <w:tr>
        <w:trPr>
          <w:jc w:val="center"/>
          <w:trHeight w:val="90"/>
        </w:trPr>
        <w:tc>
          <w:tcPr>
            <w:gridSpan w:val="4"/>
            <w:tcW w:w="9856" w:type="dxa"/>
            <w:vAlign w:val="center"/>
            <w:textDirection w:val="lrTb"/>
            <w:noWrap w:val="false"/>
          </w:tcPr>
          <w:p>
            <w:pPr>
              <w:ind w:firstLine="482"/>
              <w:jc w:val="left"/>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价格部分30分</w:t>
            </w:r>
            <w:r/>
          </w:p>
        </w:tc>
      </w:tr>
      <w:tr>
        <w:trPr>
          <w:jc w:val="center"/>
          <w:trHeight w:val="90"/>
        </w:trPr>
        <w:tc>
          <w:tcPr>
            <w:tcW w:w="1258"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1 </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投标价格</w:t>
            </w:r>
            <w:r/>
          </w:p>
        </w:tc>
        <w:tc>
          <w:tcPr>
            <w:tcW w:w="5912"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rPr>
              <w:t xml:space="preserve">采用低价优先法计算。本次磋商，以进入详细评审的各供应商报价费率（供应商报价费率=1-</w:t>
            </w:r>
            <w:r>
              <w:rPr>
                <w:rFonts w:hint="eastAsia" w:ascii="仿宋" w:hAnsi="仿宋" w:eastAsia="仿宋" w:cs="仿宋"/>
                <w:szCs w:val="21"/>
                <w:lang w:val="en-US" w:eastAsia="zh-CN"/>
              </w:rPr>
              <w:t xml:space="preserve">优惠率</w:t>
            </w:r>
            <w:r>
              <w:rPr>
                <w:rFonts w:hint="eastAsia" w:ascii="仿宋" w:hAnsi="仿宋" w:eastAsia="仿宋" w:cs="仿宋"/>
                <w:szCs w:val="21"/>
              </w:rPr>
              <w:t xml:space="preserve">）A%的最低值A为基准值，等于A值价格分满分，即</w:t>
            </w:r>
            <w:r>
              <w:rPr>
                <w:rFonts w:hint="eastAsia" w:ascii="仿宋" w:hAnsi="仿宋" w:eastAsia="仿宋" w:cs="仿宋"/>
                <w:szCs w:val="21"/>
                <w:lang w:val="en-US" w:eastAsia="zh-CN"/>
              </w:rPr>
              <w:t xml:space="preserve">30</w:t>
            </w:r>
            <w:r>
              <w:rPr>
                <w:rFonts w:hint="eastAsia" w:ascii="仿宋" w:hAnsi="仿宋" w:eastAsia="仿宋" w:cs="仿宋"/>
                <w:szCs w:val="21"/>
              </w:rPr>
              <w:t xml:space="preserve">分。其他供应商报价得分=（A/该供应商报价费率）×</w:t>
            </w:r>
            <w:r>
              <w:rPr>
                <w:rFonts w:hint="eastAsia" w:ascii="仿宋" w:hAnsi="仿宋" w:eastAsia="仿宋" w:cs="仿宋"/>
                <w:szCs w:val="21"/>
                <w:lang w:val="en-US" w:eastAsia="zh-CN"/>
              </w:rPr>
              <w:t xml:space="preserve">30</w:t>
            </w:r>
            <w:r>
              <w:rPr>
                <w:rFonts w:hint="eastAsia" w:ascii="仿宋" w:hAnsi="仿宋" w:eastAsia="仿宋" w:cs="仿宋"/>
                <w:szCs w:val="21"/>
              </w:rPr>
              <w:t xml:space="preserve">（小数点保留两位）。</w:t>
            </w:r>
            <w:r/>
          </w:p>
          <w:p>
            <w:pPr>
              <w:jc w:val="left"/>
              <w:spacing w:line="360" w:lineRule="exact"/>
              <w:widowControl/>
              <w:rPr>
                <w:rFonts w:hint="eastAsia" w:ascii="仿宋" w:hAnsi="仿宋" w:eastAsia="仿宋" w:cs="仿宋"/>
              </w:rPr>
            </w:pPr>
            <w:r>
              <w:rPr>
                <w:rFonts w:hint="eastAsia" w:ascii="仿宋" w:hAnsi="仿宋" w:eastAsia="仿宋" w:cs="仿宋"/>
                <w:szCs w:val="21"/>
              </w:rPr>
              <w:t xml:space="preserve">注：评标委员会认为投标供应商的折扣明显低于其他通过符合性审查投标人的报价，有可能影响服务质量或者不能诚信履约的，评标委员会有权要求其在评标现场合理的时间内提供书面说明，必要时提交相关证明材料；投标人不能证明其报价合理性的，评标委员会将其作为无效投标处理。</w:t>
            </w:r>
            <w:r/>
          </w:p>
        </w:tc>
        <w:tc>
          <w:tcPr>
            <w:tcW w:w="1321"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szCs w:val="21"/>
              </w:rPr>
              <w:t xml:space="preserve">30</w:t>
            </w:r>
            <w:r/>
          </w:p>
        </w:tc>
      </w:tr>
      <w:tr>
        <w:trPr>
          <w:jc w:val="center"/>
          <w:trHeight w:val="346"/>
        </w:trPr>
        <w:tc>
          <w:tcPr>
            <w:gridSpan w:val="4"/>
            <w:tcW w:w="9856" w:type="dxa"/>
            <w:vAlign w:val="center"/>
            <w:textDirection w:val="lrTb"/>
            <w:noWrap w:val="false"/>
          </w:tcPr>
          <w:p>
            <w:pPr>
              <w:ind w:firstLine="482"/>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商务评分30分</w:t>
            </w:r>
            <w:r/>
          </w:p>
        </w:tc>
      </w:tr>
      <w:tr>
        <w:trPr>
          <w:jc w:val="center"/>
          <w:trHeight w:val="558"/>
        </w:trPr>
        <w:tc>
          <w:tcPr>
            <w:tcW w:w="1258" w:type="dxa"/>
            <w:vAlign w:val="center"/>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t xml:space="preserve">1</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项目负责人</w:t>
            </w:r>
            <w:r/>
          </w:p>
        </w:tc>
        <w:tc>
          <w:tcPr>
            <w:tcW w:w="591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项目负责人具有土地类或林业类专业中级职称的得2分；高级及以上职称的得4分；本项最高得4分。</w:t>
            </w:r>
            <w:r/>
          </w:p>
          <w:p>
            <w:pPr>
              <w:jc w:val="left"/>
              <w:rPr>
                <w:rStyle w:val="1120"/>
                <w:rFonts w:hint="eastAsia" w:ascii="仿宋" w:hAnsi="仿宋" w:eastAsia="仿宋" w:cs="仿宋"/>
                <w:szCs w:val="21"/>
              </w:rPr>
            </w:pPr>
            <w:r>
              <w:rPr>
                <w:rFonts w:hint="eastAsia" w:ascii="仿宋" w:hAnsi="仿宋" w:eastAsia="仿宋" w:cs="仿宋"/>
                <w:b/>
                <w:bCs/>
                <w:szCs w:val="21"/>
              </w:rPr>
              <w:t xml:space="preserve">注：提供供应商为其缴纳社保（2026年</w:t>
            </w:r>
            <w:r>
              <w:rPr>
                <w:rFonts w:hint="eastAsia" w:ascii="仿宋" w:hAnsi="仿宋" w:eastAsia="仿宋" w:cs="仿宋"/>
                <w:b/>
                <w:bCs/>
                <w:szCs w:val="21"/>
                <w:lang w:val="en-US" w:eastAsia="zh-CN"/>
              </w:rPr>
              <w:t xml:space="preserve">4</w:t>
            </w:r>
            <w:r>
              <w:rPr>
                <w:rFonts w:hint="eastAsia" w:ascii="仿宋" w:hAnsi="仿宋" w:eastAsia="仿宋" w:cs="仿宋"/>
                <w:b/>
                <w:bCs/>
                <w:szCs w:val="21"/>
              </w:rPr>
              <w:t xml:space="preserve">月</w:t>
            </w:r>
            <w:r>
              <w:rPr>
                <w:rFonts w:hint="eastAsia" w:ascii="仿宋" w:hAnsi="仿宋" w:eastAsia="仿宋" w:cs="仿宋"/>
                <w:b/>
                <w:bCs/>
                <w:szCs w:val="21"/>
                <w:lang w:eastAsia="zh-CN"/>
              </w:rPr>
              <w:t xml:space="preserve">—</w:t>
            </w:r>
            <w:r>
              <w:rPr>
                <w:rFonts w:hint="eastAsia" w:ascii="仿宋" w:hAnsi="仿宋" w:eastAsia="仿宋" w:cs="仿宋"/>
                <w:b/>
                <w:bCs/>
                <w:szCs w:val="21"/>
              </w:rPr>
              <w:t xml:space="preserve">2026年</w:t>
            </w:r>
            <w:r>
              <w:rPr>
                <w:rFonts w:hint="eastAsia" w:ascii="仿宋" w:hAnsi="仿宋" w:eastAsia="仿宋" w:cs="仿宋"/>
                <w:b/>
                <w:bCs/>
                <w:szCs w:val="21"/>
                <w:lang w:val="en-US" w:eastAsia="zh-CN"/>
              </w:rPr>
              <w:t xml:space="preserve">6</w:t>
            </w:r>
            <w:r>
              <w:rPr>
                <w:rFonts w:hint="eastAsia" w:ascii="仿宋" w:hAnsi="仿宋" w:eastAsia="仿宋" w:cs="仿宋"/>
                <w:b/>
                <w:bCs/>
                <w:szCs w:val="21"/>
              </w:rPr>
              <w:t xml:space="preserve">月内任意一个月）及职称证书扫描件，否则不得分。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4</w:t>
            </w:r>
            <w:r/>
          </w:p>
        </w:tc>
      </w:tr>
      <w:tr>
        <w:trPr>
          <w:jc w:val="center"/>
          <w:trHeight w:val="558"/>
        </w:trPr>
        <w:tc>
          <w:tcPr>
            <w:tcW w:w="1258" w:type="dxa"/>
            <w:vAlign w:val="center"/>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t xml:space="preserve">2</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项目技术负责人</w:t>
            </w:r>
            <w:r/>
          </w:p>
        </w:tc>
        <w:tc>
          <w:tcPr>
            <w:tcW w:w="5912"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项目技术负责人具有土地类或林业类专业中级职称的得1.5分；高级及以上职称的得3分；本项最高得3分。</w:t>
            </w:r>
            <w:r/>
          </w:p>
          <w:p>
            <w:pPr>
              <w:rPr>
                <w:rStyle w:val="1120"/>
                <w:rFonts w:hint="eastAsia" w:ascii="仿宋" w:hAnsi="仿宋" w:eastAsia="仿宋" w:cs="仿宋"/>
                <w:szCs w:val="21"/>
              </w:rPr>
            </w:pPr>
            <w:r>
              <w:rPr>
                <w:rFonts w:hint="eastAsia" w:ascii="仿宋" w:hAnsi="仿宋" w:eastAsia="仿宋" w:cs="仿宋"/>
                <w:b/>
                <w:bCs/>
                <w:szCs w:val="21"/>
              </w:rPr>
              <w:t xml:space="preserve">注：提供供应商为其缴纳社保（</w:t>
            </w:r>
            <w:r>
              <w:rPr>
                <w:rFonts w:hint="eastAsia" w:ascii="仿宋" w:hAnsi="仿宋" w:eastAsia="仿宋" w:cs="仿宋"/>
                <w:b/>
                <w:bCs/>
                <w:szCs w:val="21"/>
                <w:lang w:eastAsia="zh-CN"/>
              </w:rPr>
              <w:t xml:space="preserve">2026年4月—2026年6月</w:t>
            </w:r>
            <w:r>
              <w:rPr>
                <w:rFonts w:hint="eastAsia" w:ascii="仿宋" w:hAnsi="仿宋" w:eastAsia="仿宋" w:cs="仿宋"/>
                <w:b/>
                <w:bCs/>
                <w:szCs w:val="21"/>
              </w:rPr>
              <w:t xml:space="preserve">内任意一个月）及证书扫描件，否则不得分。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3</w:t>
            </w:r>
            <w:r/>
          </w:p>
        </w:tc>
      </w:tr>
      <w:tr>
        <w:trPr>
          <w:jc w:val="center"/>
          <w:trHeight w:val="558"/>
        </w:trPr>
        <w:tc>
          <w:tcPr>
            <w:tcW w:w="1258" w:type="dxa"/>
            <w:vAlign w:val="center"/>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t xml:space="preserve">3</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项目组成员（除项目负责人和技术负责人外）</w:t>
            </w:r>
            <w:r/>
          </w:p>
        </w:tc>
        <w:tc>
          <w:tcPr>
            <w:tcW w:w="5912"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具有土地类或林业类专业高级职称证书的，每提供一个人员得2分</w:t>
            </w:r>
            <w:r>
              <w:rPr>
                <w:rFonts w:hint="eastAsia" w:ascii="仿宋" w:hAnsi="仿宋" w:eastAsia="仿宋" w:cs="仿宋"/>
                <w:szCs w:val="21"/>
                <w:lang w:eastAsia="zh-CN"/>
              </w:rPr>
              <w:t xml:space="preserve">，</w:t>
            </w:r>
            <w:r>
              <w:rPr>
                <w:rFonts w:hint="eastAsia" w:ascii="仿宋" w:hAnsi="仿宋" w:eastAsia="仿宋" w:cs="仿宋"/>
                <w:szCs w:val="21"/>
              </w:rPr>
              <w:t xml:space="preserve">最高4分；具有土地类或林业类专业中级及以上职称证书的，每提供一个人员得</w:t>
            </w:r>
            <w:r>
              <w:rPr>
                <w:rFonts w:hint="eastAsia" w:ascii="仿宋" w:hAnsi="仿宋" w:eastAsia="仿宋" w:cs="仿宋"/>
                <w:szCs w:val="21"/>
                <w:lang w:val="en-US" w:eastAsia="zh-CN"/>
              </w:rPr>
              <w:t xml:space="preserve">1</w:t>
            </w:r>
            <w:r>
              <w:rPr>
                <w:rFonts w:hint="eastAsia" w:ascii="仿宋" w:hAnsi="仿宋" w:eastAsia="仿宋" w:cs="仿宋"/>
                <w:szCs w:val="21"/>
              </w:rPr>
              <w:t xml:space="preserve">分，最高4分。本项最高得8分。</w:t>
            </w:r>
            <w:r/>
          </w:p>
          <w:p>
            <w:pPr>
              <w:jc w:val="left"/>
              <w:rPr>
                <w:rFonts w:hint="eastAsia" w:ascii="仿宋" w:hAnsi="仿宋" w:eastAsia="仿宋" w:cs="仿宋"/>
                <w:b/>
                <w:bCs/>
                <w:szCs w:val="21"/>
              </w:rPr>
            </w:pPr>
            <w:r>
              <w:rPr>
                <w:rFonts w:hint="eastAsia" w:ascii="仿宋" w:hAnsi="仿宋" w:eastAsia="仿宋" w:cs="仿宋"/>
                <w:b/>
                <w:bCs/>
                <w:szCs w:val="21"/>
              </w:rPr>
              <w:t xml:space="preserve">注1：提供供应商为其缴纳社保（</w:t>
            </w:r>
            <w:r>
              <w:rPr>
                <w:rFonts w:hint="eastAsia" w:ascii="仿宋" w:hAnsi="仿宋" w:eastAsia="仿宋" w:cs="仿宋"/>
                <w:b/>
                <w:bCs/>
                <w:szCs w:val="21"/>
                <w:lang w:eastAsia="zh-CN"/>
              </w:rPr>
              <w:t xml:space="preserve">2026年4月—2026年6月</w:t>
            </w:r>
            <w:r>
              <w:rPr>
                <w:rFonts w:hint="eastAsia" w:ascii="仿宋" w:hAnsi="仿宋" w:eastAsia="仿宋" w:cs="仿宋"/>
                <w:b/>
                <w:bCs/>
                <w:szCs w:val="21"/>
              </w:rPr>
              <w:t xml:space="preserve">内任意一个月）及证书扫描件，否则不得分。</w:t>
            </w:r>
            <w:r/>
          </w:p>
          <w:p>
            <w:pPr>
              <w:jc w:val="left"/>
              <w:rPr>
                <w:rFonts w:hint="eastAsia" w:ascii="仿宋" w:hAnsi="仿宋" w:eastAsia="仿宋" w:cs="仿宋"/>
                <w:b/>
                <w:bCs/>
                <w:szCs w:val="21"/>
              </w:rPr>
            </w:pPr>
            <w:r>
              <w:rPr>
                <w:rFonts w:hint="eastAsia" w:ascii="仿宋" w:hAnsi="仿宋" w:eastAsia="仿宋" w:cs="仿宋"/>
                <w:b/>
                <w:bCs/>
                <w:szCs w:val="21"/>
              </w:rPr>
              <w:t xml:space="preserve">注2：所有人员（含项目负责人与技术负责人）不重复得分，满足多个条件的，按照得分最高的进行赋分。</w:t>
            </w:r>
            <w:r/>
          </w:p>
          <w:p>
            <w:pPr>
              <w:jc w:val="left"/>
              <w:rPr>
                <w:rFonts w:hint="eastAsia" w:ascii="仿宋" w:hAnsi="仿宋" w:eastAsia="仿宋" w:cs="仿宋"/>
                <w:szCs w:val="21"/>
              </w:rPr>
            </w:pPr>
            <w:r>
              <w:rPr>
                <w:rFonts w:hint="eastAsia" w:ascii="仿宋" w:hAnsi="仿宋" w:eastAsia="仿宋" w:cs="仿宋"/>
                <w:b/>
                <w:bCs/>
                <w:szCs w:val="21"/>
              </w:rPr>
              <w:t xml:space="preserve">注3：未提供或提供材料模糊不清无法辨认的不予计分；专业以职称证书或学历证书专业为准。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558"/>
        </w:trPr>
        <w:tc>
          <w:tcPr>
            <w:tcW w:w="1258"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4</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业绩情况</w:t>
            </w:r>
            <w:r/>
          </w:p>
        </w:tc>
        <w:tc>
          <w:tcPr>
            <w:tcW w:w="5912"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供应商2022年1月1日以来（以合同签订日期为准）承担过类似林地报批类项目的，有1个得5分，本项最高得15分。</w:t>
            </w:r>
            <w:r/>
          </w:p>
          <w:p>
            <w:pPr>
              <w:rPr>
                <w:rFonts w:hint="eastAsia" w:ascii="仿宋" w:hAnsi="仿宋" w:eastAsia="仿宋" w:cs="仿宋"/>
                <w:szCs w:val="21"/>
              </w:rPr>
            </w:pPr>
            <w:r>
              <w:rPr>
                <w:rFonts w:hint="eastAsia" w:ascii="仿宋" w:hAnsi="仿宋" w:eastAsia="仿宋" w:cs="仿宋"/>
                <w:b/>
                <w:bCs/>
                <w:szCs w:val="21"/>
              </w:rPr>
              <w:t xml:space="preserve">注：提供合同扫描件，未提供不得分。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15</w:t>
            </w:r>
            <w:r/>
          </w:p>
        </w:tc>
      </w:tr>
      <w:tr>
        <w:trPr>
          <w:jc w:val="center"/>
          <w:trHeight w:val="558"/>
        </w:trPr>
        <w:tc>
          <w:tcPr>
            <w:gridSpan w:val="4"/>
            <w:tcW w:w="9856"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b/>
                <w:bCs/>
                <w:szCs w:val="21"/>
              </w:rPr>
              <w:t xml:space="preserve">技术评分40分</w:t>
            </w:r>
            <w:r/>
          </w:p>
        </w:tc>
      </w:tr>
      <w:tr>
        <w:trPr>
          <w:jc w:val="center"/>
          <w:trHeight w:val="222"/>
        </w:trPr>
        <w:tc>
          <w:tcPr>
            <w:tcW w:w="1258" w:type="dxa"/>
            <w:vAlign w:val="center"/>
            <w:vMerge w:val="restart"/>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szCs w:val="21"/>
              </w:rPr>
              <w:t xml:space="preserve">服务方案</w:t>
            </w:r>
            <w:r/>
          </w:p>
        </w:tc>
        <w:tc>
          <w:tcPr>
            <w:tcW w:w="1365"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项目理解</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根据投标人对项目要求（项目背景、项目范围、项目编制依据、项目编制原则、项目内容、项目成果要求等）的总体理解程度和深度，目标任务明确、思路清晰与否进行打分。 </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（1）内容构思缜密、符合实际、完整详细，能够针对本项目主要工作内容要求而细化制定方案，语言表述准确清晰，得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（2）内容解读具有比较可行性、合理性、能够基本满足本项目采购需求内容，为本项目制定较完善的工作方案，完整和实用的得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（3）内容基本完整、思路清晰、可行性较好的，得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（4）方案内容有一定偏差，但不影响实质性内容表达，较具有针对性和可操作性，得 </w:t>
            </w:r>
            <w:r>
              <w:rPr>
                <w:rFonts w:hint="eastAsia" w:ascii="仿宋" w:hAnsi="仿宋" w:eastAsia="仿宋" w:cs="仿宋"/>
                <w:szCs w:val="21"/>
                <w:lang w:val="en-US" w:eastAsia="zh-CN"/>
              </w:rPr>
              <w:t xml:space="preserve">2</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（5）有项目实施方案，但方案内容模糊，没有针对本项目主要工作内容制定，内容不详实、不完整、内容不全面得</w:t>
            </w:r>
            <w:r>
              <w:rPr>
                <w:rFonts w:hint="eastAsia" w:ascii="仿宋" w:hAnsi="仿宋" w:eastAsia="仿宋" w:cs="仿宋"/>
                <w:szCs w:val="21"/>
                <w:lang w:val="en-US" w:eastAsia="zh-CN"/>
              </w:rPr>
              <w:t xml:space="preserve">1</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600"/>
        </w:trPr>
        <w:tc>
          <w:tcPr>
            <w:tcW w:w="1258" w:type="dxa"/>
            <w:vAlign w:val="center"/>
            <w:vMerge w:val="continue"/>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r>
            <w:r/>
          </w:p>
        </w:tc>
        <w:tc>
          <w:tcPr>
            <w:tcW w:w="1365" w:type="dxa"/>
            <w:vAlign w:val="center"/>
            <w:textDirection w:val="lrTb"/>
            <w:noWrap w:val="false"/>
          </w:tcPr>
          <w:p>
            <w:pPr>
              <w:jc w:val="left"/>
              <w:spacing w:line="360" w:lineRule="exact"/>
              <w:widowControl/>
              <w:rPr>
                <w:rFonts w:hint="default" w:ascii="仿宋" w:hAnsi="仿宋" w:eastAsia="仿宋" w:cs="仿宋"/>
                <w:szCs w:val="21"/>
                <w:lang w:val="en-US" w:eastAsia="zh-CN"/>
              </w:rPr>
            </w:pPr>
            <w:r>
              <w:rPr>
                <w:rFonts w:hint="eastAsia" w:ascii="仿宋" w:hAnsi="仿宋" w:eastAsia="仿宋" w:cs="仿宋"/>
                <w:szCs w:val="21"/>
                <w:lang w:val="en-US" w:eastAsia="zh-CN"/>
              </w:rPr>
              <w:t xml:space="preserve">技术方案评价</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根据本项目特征梳理本项目技术路线，形成完整的技术思路，根据投标人提供的技术方案（主要内容为林地报批咨询等内容），提供必要的资料、报告等进行打分。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（1）内容构思缜密、符合实际、完整详细，能够制定详细、具体方案，语言表述准确清晰，得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（2）内容解读具有可行性、合理性、能够满足本项目采购需求内容，为本项目制定较完善的工作方案，方案完整和实用的得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（3）内容解读具有可行性、合理性、能够基本满足本项目采购需求内容，方案基本满足使用要求的得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（4）内容基本完整、思路基本清晰、可行性较好的，得</w:t>
            </w:r>
            <w:r>
              <w:rPr>
                <w:rFonts w:hint="eastAsia" w:ascii="仿宋" w:hAnsi="仿宋" w:eastAsia="仿宋" w:cs="仿宋"/>
                <w:szCs w:val="21"/>
                <w:lang w:val="en-US" w:eastAsia="zh-CN"/>
              </w:rPr>
              <w:t xml:space="preserve">2</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（5）方案内容有一定偏差，但不影响实质性内容表达，较具有针对性和可操作性，得</w:t>
            </w:r>
            <w:r>
              <w:rPr>
                <w:rFonts w:hint="eastAsia" w:ascii="仿宋" w:hAnsi="仿宋" w:eastAsia="仿宋" w:cs="仿宋"/>
                <w:szCs w:val="21"/>
                <w:lang w:val="en-US" w:eastAsia="zh-CN"/>
              </w:rPr>
              <w:t xml:space="preserve">1</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858"/>
        </w:trPr>
        <w:tc>
          <w:tcPr>
            <w:tcW w:w="1258" w:type="dxa"/>
            <w:vAlign w:val="center"/>
            <w:vMerge w:val="continue"/>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r>
            <w:r/>
          </w:p>
        </w:tc>
        <w:tc>
          <w:tcPr>
            <w:tcW w:w="1365"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项目实施进度评价</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根据项目需求分析，从供应商对项目完成期限，对项目进度安排合理性、工序管理措施科学性、工期时间长短进行评审，编制详细、可行的实施方案。</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（1）内容构思缜密、符合实际、完整详细，能够制定详细、具体方案，语言表述准确清晰，得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（2）内容解读具有比较可行性、合理性、能够基本满足本项目采购需求内容，为本项目制定较完善的工作方案，方案完整和实用的得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（3）内容基本完整、思路清晰、可行性较好的，得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（4）方案内容有一定偏差，但不影响实质性内容表达，较具有针对性和可操作性，得 </w:t>
            </w:r>
            <w:r>
              <w:rPr>
                <w:rFonts w:hint="eastAsia" w:ascii="仿宋" w:hAnsi="仿宋" w:eastAsia="仿宋" w:cs="仿宋"/>
                <w:szCs w:val="21"/>
                <w:lang w:val="en-US" w:eastAsia="zh-CN"/>
              </w:rPr>
              <w:t xml:space="preserve">5</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（5）有项目实施方案，但方案内容模糊，没有针对本项目主要工作内容制定，内容不详实、不完整、不全面得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448"/>
        </w:trPr>
        <w:tc>
          <w:tcPr>
            <w:tcW w:w="1258" w:type="dxa"/>
            <w:vAlign w:val="center"/>
            <w:vMerge w:val="continue"/>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r>
            <w:r/>
          </w:p>
        </w:tc>
        <w:tc>
          <w:tcPr>
            <w:tcW w:w="1365"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质量保障措施评价</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根据项目需求分析，从供应商提供的质量、安全、保密等保障措施完整性、合理性；制定明确的成果资料保密措施和安全保障手段进行评审，编制详细、可行的实施方案。  </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（1）内容构思缜密、符合实际、完整详细，能够制定详细、具体方案，语言表述准确清晰，得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（2）内容解读具有比较可行性、合理性、能够基本满足本项目采购需求内容，为本项目制定较完善的工作方案，方案完整和实用的得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（3）内容基本完整、思路清晰、可行性较好的，得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（4）方案内容有一定偏差，但不影响实质性内容表达，较具有针对性和可操作性，得</w:t>
            </w:r>
            <w:r>
              <w:rPr>
                <w:rFonts w:hint="eastAsia" w:ascii="仿宋" w:hAnsi="仿宋" w:eastAsia="仿宋" w:cs="仿宋"/>
                <w:szCs w:val="21"/>
                <w:lang w:val="en-US" w:eastAsia="zh-CN"/>
              </w:rPr>
              <w:t xml:space="preserve">2</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（5）有项目实施方案，但方案内容模糊，没有针对本项目主要工作内容制定，内容不详实、不完整、内容不全面得</w:t>
            </w:r>
            <w:r>
              <w:rPr>
                <w:rFonts w:hint="eastAsia" w:ascii="仿宋" w:hAnsi="仿宋" w:eastAsia="仿宋" w:cs="仿宋"/>
                <w:szCs w:val="21"/>
                <w:lang w:val="en-US" w:eastAsia="zh-CN"/>
              </w:rPr>
              <w:t xml:space="preserve">1</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448"/>
        </w:trPr>
        <w:tc>
          <w:tcPr>
            <w:tcW w:w="1258" w:type="dxa"/>
            <w:vAlign w:val="center"/>
            <w:vMerge w:val="continue"/>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r>
            <w:r/>
          </w:p>
        </w:tc>
        <w:tc>
          <w:tcPr>
            <w:tcW w:w="1365"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后续服务内容及后续服务承诺</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对本项目的</w:t>
            </w:r>
            <w:r>
              <w:rPr>
                <w:rFonts w:hint="eastAsia" w:ascii="仿宋" w:hAnsi="仿宋" w:eastAsia="仿宋" w:cs="仿宋"/>
                <w:szCs w:val="21"/>
                <w:lang w:val="en-US" w:eastAsia="zh-CN"/>
              </w:rPr>
              <w:t xml:space="preserve">后续服务内容及后续服务承诺</w:t>
            </w:r>
            <w:r>
              <w:rPr>
                <w:rFonts w:hint="eastAsia" w:ascii="仿宋" w:hAnsi="仿宋" w:eastAsia="仿宋" w:cs="仿宋"/>
                <w:szCs w:val="21"/>
                <w:lang w:val="zh-CN"/>
              </w:rPr>
              <w:t xml:space="preserve">方案进行评分，要求结合项目实际情况，服务宗旨明确，服务效率高，按时保质完成项目报告的编制，后续服务及时具体。</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（1）服务承诺、后续服务安排完善合理、措施有效、可操作性强的，得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（2）服务承诺、后续服务安排较合理、措施较有效、可操作性较强的，得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（3）服务承诺、后续服务安排基本合理、措施一般、可行性一般的，得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（4）服务承诺、后续服务安排有欠缺，但仍具有可操作性，得</w:t>
            </w:r>
            <w:r>
              <w:rPr>
                <w:rFonts w:hint="eastAsia" w:ascii="仿宋" w:hAnsi="仿宋" w:eastAsia="仿宋" w:cs="仿宋"/>
                <w:szCs w:val="21"/>
                <w:lang w:val="en-US" w:eastAsia="zh-CN"/>
              </w:rPr>
              <w:t xml:space="preserve">2</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（5）服务承诺、后续服务安排表述模糊，内容不完整、不具体，得</w:t>
            </w:r>
            <w:r>
              <w:rPr>
                <w:rFonts w:hint="eastAsia" w:ascii="仿宋" w:hAnsi="仿宋" w:eastAsia="仿宋" w:cs="仿宋"/>
                <w:szCs w:val="21"/>
                <w:lang w:val="en-US" w:eastAsia="zh-CN"/>
              </w:rPr>
              <w:t xml:space="preserve">1</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bookmarkEnd w:id="42"/>
            <w:r/>
            <w:r/>
          </w:p>
        </w:tc>
      </w:tr>
    </w:tbl>
    <w:p>
      <w:pPr>
        <w:pStyle w:val="864"/>
        <w:ind w:left="0" w:firstLine="0"/>
        <w:rPr>
          <w:rFonts w:hint="eastAsia"/>
        </w:rPr>
      </w:pPr>
      <w:r>
        <w:rPr>
          <w:rFonts w:hint="eastAsia"/>
        </w:rPr>
      </w:r>
      <w:r/>
    </w:p>
    <w:p>
      <w:pPr>
        <w:rPr>
          <w:rFonts w:hint="eastAsia" w:ascii="仿宋" w:hAnsi="仿宋" w:eastAsia="仿宋" w:cs="仿宋"/>
          <w:sz w:val="24"/>
          <w:szCs w:val="21"/>
        </w:rPr>
      </w:pPr>
      <w:r>
        <w:rPr>
          <w:rFonts w:hint="eastAsia" w:ascii="仿宋" w:hAnsi="仿宋" w:eastAsia="仿宋" w:cs="仿宋"/>
          <w:sz w:val="24"/>
          <w:szCs w:val="21"/>
        </w:rPr>
        <w:t xml:space="preserve">说明：</w:t>
      </w:r>
      <w:r/>
    </w:p>
    <w:p>
      <w:pPr>
        <w:ind w:firstLine="480"/>
        <w:rPr>
          <w:rFonts w:hint="eastAsia" w:ascii="仿宋" w:hAnsi="仿宋" w:eastAsia="仿宋" w:cs="仿宋"/>
          <w:sz w:val="24"/>
          <w:szCs w:val="21"/>
        </w:rPr>
      </w:pPr>
      <w:r>
        <w:rPr>
          <w:rFonts w:hint="eastAsia" w:ascii="仿宋" w:hAnsi="仿宋" w:eastAsia="仿宋" w:cs="仿宋"/>
          <w:sz w:val="24"/>
          <w:szCs w:val="21"/>
        </w:rPr>
        <w:t xml:space="preserve">1.实质性要求不得负偏离；否则，按照无效投标处理。</w:t>
      </w:r>
      <w:r/>
    </w:p>
    <w:p>
      <w:pPr>
        <w:ind w:firstLine="480"/>
        <w:jc w:val="left"/>
        <w:rPr>
          <w:rFonts w:hint="eastAsia" w:ascii="仿宋" w:hAnsi="仿宋" w:eastAsia="仿宋" w:cs="仿宋"/>
          <w:sz w:val="24"/>
          <w:szCs w:val="21"/>
        </w:rPr>
      </w:pPr>
      <w:r>
        <w:rPr>
          <w:rFonts w:hint="eastAsia" w:ascii="仿宋" w:hAnsi="仿宋" w:eastAsia="仿宋" w:cs="仿宋"/>
          <w:sz w:val="24"/>
          <w:szCs w:val="21"/>
        </w:rPr>
        <w:t xml:space="preserve">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jc w:val="left"/>
        <w:rPr>
          <w:rFonts w:hint="eastAsia" w:ascii="仿宋" w:hAnsi="仿宋" w:eastAsia="仿宋" w:cs="仿宋"/>
          <w:b/>
          <w:color w:val="000000"/>
          <w:sz w:val="30"/>
          <w:szCs w:val="30"/>
        </w:rPr>
      </w:pPr>
      <w:r>
        <w:rPr>
          <w:rFonts w:hint="eastAsia" w:ascii="仿宋" w:hAnsi="仿宋" w:eastAsia="仿宋" w:cs="仿宋"/>
          <w:sz w:val="24"/>
          <w:szCs w:val="21"/>
        </w:rPr>
        <w:t xml:space="preserve">3.本项目采购标的对应的中小企业划分标准所属行业为：</w:t>
      </w:r>
      <w:r>
        <w:rPr>
          <w:rFonts w:hint="eastAsia" w:ascii="仿宋" w:hAnsi="仿宋" w:eastAsia="仿宋" w:cs="仿宋"/>
          <w:sz w:val="24"/>
          <w:szCs w:val="21"/>
          <w:lang w:val="en-US" w:eastAsia="zh-CN"/>
        </w:rPr>
        <w:t xml:space="preserve">服务业</w:t>
      </w:r>
      <w:r>
        <w:rPr>
          <w:rFonts w:hint="eastAsia" w:ascii="仿宋" w:hAnsi="仿宋" w:eastAsia="仿宋" w:cs="仿宋"/>
          <w:sz w:val="24"/>
          <w:szCs w:val="21"/>
        </w:rPr>
        <w:t xml:space="preserve">，根据《中小企业划型标准规定》工信部联企业〔2011〕300号规定落实</w:t>
      </w:r>
      <w:r>
        <w:rPr>
          <w:rFonts w:hint="eastAsia" w:ascii="仿宋" w:hAnsi="仿宋" w:eastAsia="仿宋" w:cs="仿宋"/>
          <w:sz w:val="24"/>
          <w:szCs w:val="20"/>
        </w:rPr>
        <w:t xml:space="preserve">。</w:t>
      </w:r>
      <w:r/>
    </w:p>
    <w:p>
      <w:pPr>
        <w:pStyle w:val="871"/>
        <w:rPr>
          <w:rFonts w:hint="eastAsia" w:ascii="仿宋" w:hAnsi="仿宋" w:eastAsia="仿宋" w:cs="仿宋"/>
        </w:rPr>
      </w:pPr>
      <w:r/>
      <w:bookmarkStart w:id="43" w:name="_Toc20623"/>
      <w:r/>
      <w:bookmarkStart w:id="44" w:name="_Toc215"/>
      <w:r/>
      <w:r/>
    </w:p>
    <w:p>
      <w:pPr>
        <w:rPr>
          <w:rFonts w:hint="eastAsia" w:ascii="仿宋" w:hAnsi="仿宋" w:eastAsia="仿宋" w:cs="仿宋"/>
          <w:b/>
          <w:color w:val="000000"/>
          <w:sz w:val="30"/>
          <w:szCs w:val="30"/>
        </w:rPr>
      </w:pPr>
      <w:r/>
      <w:bookmarkStart w:id="45" w:name="_Toc24435"/>
      <w:r>
        <w:rPr>
          <w:rFonts w:hint="eastAsia" w:ascii="仿宋" w:hAnsi="仿宋" w:eastAsia="仿宋" w:cs="仿宋"/>
          <w:b/>
          <w:color w:val="000000"/>
          <w:sz w:val="30"/>
          <w:szCs w:val="30"/>
        </w:rPr>
        <w:br w:type="page" w:clear="all"/>
      </w:r>
      <w:r/>
    </w:p>
    <w:p>
      <w:pPr>
        <w:jc w:val="center"/>
        <w:rPr>
          <w:rFonts w:hint="eastAsia" w:ascii="仿宋" w:hAnsi="仿宋" w:eastAsia="仿宋" w:cs="仿宋"/>
          <w:b/>
          <w:color w:val="000000"/>
          <w:sz w:val="30"/>
          <w:szCs w:val="30"/>
        </w:rPr>
        <w:outlineLvl w:val="0"/>
      </w:pPr>
      <w:r/>
      <w:bookmarkStart w:id="46" w:name="_Toc22824"/>
      <w:r>
        <w:rPr>
          <w:rFonts w:hint="eastAsia" w:ascii="仿宋" w:hAnsi="仿宋" w:eastAsia="仿宋" w:cs="仿宋"/>
          <w:b/>
          <w:color w:val="000000"/>
          <w:sz w:val="30"/>
          <w:szCs w:val="30"/>
        </w:rPr>
        <w:t xml:space="preserve">第五章 南京市政府采购合同格式</w:t>
      </w:r>
      <w:bookmarkEnd w:id="43"/>
      <w:r/>
      <w:bookmarkEnd w:id="44"/>
      <w:r/>
      <w:bookmarkEnd w:id="45"/>
      <w:r/>
      <w:bookmarkEnd w:id="46"/>
      <w:r/>
      <w:r/>
    </w:p>
    <w:p>
      <w:pPr>
        <w:spacing w:line="360" w:lineRule="auto"/>
        <w:shd w:val="clear" w:color="auto" w:fill="ffffff"/>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jc w:val="center"/>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jc w:val="center"/>
        <w:spacing w:line="360" w:lineRule="auto"/>
        <w:rPr>
          <w:rFonts w:hint="eastAsia" w:ascii="仿宋" w:hAnsi="仿宋" w:eastAsia="仿宋" w:cs="仿宋"/>
          <w:b/>
          <w:bCs/>
          <w:color w:val="000000"/>
          <w:sz w:val="44"/>
          <w:szCs w:val="44"/>
        </w:rPr>
      </w:pPr>
      <w:r>
        <w:rPr>
          <w:rFonts w:hint="eastAsia" w:ascii="仿宋" w:hAnsi="仿宋" w:eastAsia="仿宋" w:cs="仿宋"/>
          <w:b/>
          <w:bCs/>
          <w:color w:val="000000"/>
          <w:sz w:val="44"/>
          <w:szCs w:val="44"/>
        </w:rPr>
        <w:t xml:space="preserve">南京市政府采购合同</w:t>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jc w:val="center"/>
        <w:rPr>
          <w:rFonts w:hint="eastAsia" w:ascii="仿宋" w:hAnsi="仿宋" w:eastAsia="仿宋" w:cs="仿宋"/>
          <w:color w:val="000000"/>
        </w:rPr>
      </w:pPr>
      <w:r>
        <w:rPr>
          <w:rFonts w:hint="eastAsia" w:ascii="仿宋" w:hAnsi="仿宋" w:eastAsia="仿宋" w:cs="仿宋"/>
          <w:color w:val="000000"/>
        </w:rPr>
        <w:t xml:space="preserve">（供参考）</w:t>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ind w:firstLine="1383"/>
        <w:rPr>
          <w:rFonts w:hint="eastAsia" w:ascii="仿宋" w:hAnsi="仿宋" w:eastAsia="仿宋" w:cs="仿宋"/>
          <w:b/>
          <w:color w:val="000000"/>
          <w:sz w:val="28"/>
          <w:szCs w:val="28"/>
          <w:u w:val="single"/>
        </w:rPr>
      </w:pPr>
      <w:r>
        <w:rPr>
          <w:rFonts w:hint="eastAsia" w:ascii="仿宋" w:hAnsi="仿宋" w:eastAsia="仿宋" w:cs="仿宋"/>
          <w:b/>
          <w:color w:val="000000"/>
          <w:sz w:val="28"/>
          <w:szCs w:val="28"/>
        </w:rPr>
        <w:t xml:space="preserve">项目编号 ：</w:t>
      </w:r>
      <w:r>
        <w:rPr>
          <w:rFonts w:hint="eastAsia" w:ascii="仿宋" w:hAnsi="仿宋" w:eastAsia="仿宋" w:cs="仿宋"/>
          <w:b/>
          <w:color w:val="000000"/>
          <w:sz w:val="28"/>
          <w:szCs w:val="28"/>
          <w:u w:val="single"/>
        </w:rPr>
        <w:t xml:space="preserve">JSZC-320115-JSXN-C2026-0003</w:t>
      </w:r>
      <w:r/>
    </w:p>
    <w:p>
      <w:pPr>
        <w:ind w:firstLine="1383"/>
        <w:rPr>
          <w:rFonts w:hint="eastAsia" w:ascii="仿宋" w:hAnsi="仿宋" w:eastAsia="仿宋" w:cs="仿宋"/>
          <w:b/>
          <w:color w:val="000000"/>
          <w:sz w:val="28"/>
          <w:szCs w:val="28"/>
          <w:u w:val="single"/>
        </w:rPr>
      </w:pPr>
      <w:r>
        <w:rPr>
          <w:rFonts w:hint="eastAsia" w:ascii="仿宋" w:hAnsi="仿宋" w:eastAsia="仿宋" w:cs="仿宋"/>
          <w:b/>
          <w:color w:val="000000"/>
          <w:sz w:val="28"/>
          <w:szCs w:val="28"/>
        </w:rPr>
        <w:t xml:space="preserve">项目名称 ：</w:t>
      </w:r>
      <w:r>
        <w:rPr>
          <w:rFonts w:hint="eastAsia" w:ascii="仿宋" w:hAnsi="仿宋" w:eastAsia="仿宋" w:cs="仿宋"/>
          <w:b/>
          <w:color w:val="000000"/>
          <w:sz w:val="28"/>
          <w:szCs w:val="28"/>
          <w:u w:val="single"/>
        </w:rPr>
        <w:t xml:space="preserve">江宁开发区2026年度涉林项目报批咨询服务 </w:t>
      </w:r>
      <w:r/>
    </w:p>
    <w:p>
      <w:pPr>
        <w:ind w:firstLine="1383"/>
        <w:rPr>
          <w:rFonts w:hint="eastAsia" w:ascii="仿宋" w:hAnsi="仿宋" w:eastAsia="仿宋" w:cs="仿宋"/>
          <w:b/>
          <w:color w:val="000000"/>
          <w:sz w:val="28"/>
          <w:szCs w:val="28"/>
          <w:u w:val="single"/>
        </w:rPr>
      </w:pPr>
      <w:r>
        <w:rPr>
          <w:rFonts w:hint="eastAsia" w:ascii="仿宋" w:hAnsi="仿宋" w:eastAsia="仿宋" w:cs="仿宋"/>
          <w:b/>
          <w:color w:val="000000"/>
          <w:sz w:val="28"/>
          <w:szCs w:val="28"/>
        </w:rPr>
        <w:t xml:space="preserve">采购单位 ：</w:t>
      </w:r>
      <w:r>
        <w:rPr>
          <w:rFonts w:hint="eastAsia" w:ascii="仿宋" w:hAnsi="仿宋" w:eastAsia="仿宋" w:cs="仿宋"/>
          <w:b/>
          <w:color w:val="000000"/>
          <w:sz w:val="28"/>
          <w:szCs w:val="28"/>
          <w:u w:val="single"/>
        </w:rPr>
        <w:t xml:space="preserve">南京江宁经济技术开发区管理委员会 </w:t>
      </w:r>
      <w:r/>
    </w:p>
    <w:p>
      <w:pPr>
        <w:ind w:firstLine="1383"/>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成交单位 ：</w:t>
      </w:r>
      <w:r/>
    </w:p>
    <w:p>
      <w:pPr>
        <w:ind w:firstLine="1383"/>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签订日期 ：</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20"/>
        <w:rPr>
          <w:rFonts w:hint="eastAsia" w:ascii="仿宋" w:hAnsi="仿宋" w:eastAsia="仿宋" w:cs="仿宋"/>
          <w:color w:val="000000"/>
          <w:szCs w:val="21"/>
        </w:rPr>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Cs w:val="21"/>
        </w:rPr>
      </w:r>
      <w:r/>
    </w:p>
    <w:tbl>
      <w:tblPr>
        <w:tblStyle w:val="839"/>
        <w:tblW w:w="8539"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896"/>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rPr>
              <w:t xml:space="preserve">采购人（以</w:t>
            </w:r>
            <w:r>
              <w:rPr>
                <w:rFonts w:hint="eastAsia" w:ascii="仿宋" w:hAnsi="仿宋" w:eastAsia="仿宋" w:cs="仿宋"/>
                <w:color w:val="auto"/>
                <w:sz w:val="24"/>
                <w:szCs w:val="24"/>
                <w:lang w:val="zh-TW" w:eastAsia="zh-CN"/>
              </w:rPr>
              <w:t xml:space="preserve">下简</w:t>
            </w:r>
            <w:r>
              <w:rPr>
                <w:rFonts w:hint="eastAsia" w:ascii="仿宋" w:hAnsi="仿宋" w:eastAsia="仿宋" w:cs="仿宋"/>
                <w:color w:val="auto"/>
                <w:sz w:val="24"/>
                <w:szCs w:val="24"/>
                <w:lang w:val="zh-TW"/>
              </w:rPr>
              <w:t xml:space="preserve">称甲方）</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896" w:type="dxa"/>
            <w:textDirection w:val="lrTb"/>
            <w:noWrap w:val="false"/>
          </w:tcPr>
          <w:p>
            <w:pPr>
              <w:pStyle w:val="1118"/>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rPr>
              <w:t xml:space="preserve">供应商：（以</w:t>
            </w:r>
            <w:r>
              <w:rPr>
                <w:rFonts w:hint="eastAsia" w:ascii="仿宋" w:hAnsi="仿宋" w:eastAsia="仿宋" w:cs="仿宋"/>
                <w:color w:val="auto"/>
                <w:sz w:val="24"/>
                <w:szCs w:val="24"/>
                <w:lang w:val="zh-TW" w:eastAsia="zh-CN"/>
              </w:rPr>
              <w:t xml:space="preserve">下简</w:t>
            </w:r>
            <w:r>
              <w:rPr>
                <w:rFonts w:hint="eastAsia" w:ascii="仿宋" w:hAnsi="仿宋" w:eastAsia="仿宋" w:cs="仿宋"/>
                <w:color w:val="auto"/>
                <w:sz w:val="24"/>
                <w:szCs w:val="24"/>
                <w:lang w:val="zh-TW"/>
              </w:rPr>
              <w:t xml:space="preserve">称乙方）</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eastAsia="zh-TW"/>
              </w:rPr>
              <w:t xml:space="preserve">住所地：</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896" w:type="dxa"/>
            <w:textDirection w:val="lrTb"/>
            <w:noWrap w:val="false"/>
          </w:tcPr>
          <w:p>
            <w:pPr>
              <w:pStyle w:val="1118"/>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eastAsia="zh-TW"/>
              </w:rPr>
              <w:t xml:space="preserve">住所地</w:t>
            </w:r>
            <w:r/>
          </w:p>
        </w:tc>
      </w:tr>
    </w:tbl>
    <w:p>
      <w:pPr>
        <w:pStyle w:val="1118"/>
        <w:spacing w:line="360" w:lineRule="auto"/>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r>
      <w:r/>
    </w:p>
    <w:p>
      <w:pPr>
        <w:pStyle w:val="1118"/>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    根据《中华人民共和国政府采购法</w:t>
      </w:r>
      <w:r>
        <w:rPr>
          <w:rFonts w:hint="eastAsia" w:ascii="仿宋" w:hAnsi="仿宋" w:eastAsia="仿宋" w:cs="仿宋"/>
          <w:color w:val="auto"/>
          <w:sz w:val="24"/>
          <w:szCs w:val="24"/>
          <w:lang w:val="zh-TW" w:eastAsia="zh-CN"/>
        </w:rPr>
        <w:t xml:space="preserve">》和《</w:t>
      </w:r>
      <w:r>
        <w:rPr>
          <w:rFonts w:hint="eastAsia" w:ascii="仿宋" w:hAnsi="仿宋" w:eastAsia="仿宋" w:cs="仿宋"/>
          <w:color w:val="auto"/>
          <w:sz w:val="24"/>
          <w:szCs w:val="24"/>
          <w:lang w:val="zh-TW"/>
        </w:rPr>
        <w:t xml:space="preserve">中华人民共和国民法典》等法律法规的规定，甲乙双方按照采购代理机构的</w:t>
      </w:r>
      <w:r>
        <w:rPr>
          <w:rFonts w:hint="eastAsia" w:ascii="仿宋" w:hAnsi="仿宋" w:eastAsia="仿宋" w:cs="仿宋"/>
          <w:color w:val="auto"/>
          <w:sz w:val="24"/>
          <w:szCs w:val="24"/>
        </w:rPr>
        <w:t xml:space="preserve">采购</w:t>
      </w:r>
      <w:r>
        <w:rPr>
          <w:rFonts w:hint="eastAsia" w:ascii="仿宋" w:hAnsi="仿宋" w:eastAsia="仿宋" w:cs="仿宋"/>
          <w:color w:val="auto"/>
          <w:sz w:val="24"/>
          <w:szCs w:val="24"/>
          <w:lang w:val="zh-TW"/>
        </w:rPr>
        <w:t xml:space="preserve">结果签订本合同。</w:t>
      </w:r>
      <w:r/>
    </w:p>
    <w:p>
      <w:pPr>
        <w:pStyle w:val="1118"/>
        <w:ind w:firstLine="420"/>
        <w:spacing w:line="360" w:lineRule="auto"/>
        <w:rPr>
          <w:rFonts w:hint="eastAsia" w:ascii="仿宋" w:hAnsi="仿宋" w:eastAsia="仿宋" w:cs="仿宋"/>
          <w:color w:val="auto"/>
          <w:sz w:val="24"/>
          <w:szCs w:val="24"/>
          <w:lang w:val="zh-TW"/>
        </w:rPr>
        <w:framePr w:wrap="auto" w:vAnchor="margin" w:hAnchor="text" w:yAlign="inline"/>
      </w:pPr>
      <w:r/>
      <w:bookmarkStart w:id="47" w:name="OLE_LINK1"/>
      <w:r>
        <w:rPr>
          <w:rFonts w:hint="eastAsia" w:ascii="仿宋" w:hAnsi="仿宋" w:eastAsia="仿宋" w:cs="仿宋"/>
          <w:b/>
          <w:bCs/>
          <w:color w:val="auto"/>
          <w:sz w:val="24"/>
          <w:szCs w:val="24"/>
          <w:lang w:val="zh-TW"/>
        </w:rPr>
        <w:t xml:space="preserve">第一条 </w:t>
      </w:r>
      <w:bookmarkEnd w:id="47"/>
      <w:r>
        <w:rPr>
          <w:rFonts w:hint="eastAsia" w:ascii="仿宋" w:hAnsi="仿宋" w:eastAsia="仿宋" w:cs="仿宋"/>
          <w:b/>
          <w:bCs/>
          <w:color w:val="auto"/>
          <w:sz w:val="24"/>
          <w:szCs w:val="24"/>
          <w:lang w:val="zh-TW"/>
        </w:rPr>
        <w:t xml:space="preserve">合同标的</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TW"/>
        </w:rPr>
        <w:t xml:space="preserve">乙方根据甲方需求提供下列服务报价表：</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4227"/>
        <w:gridCol w:w="4467"/>
        <w:gridCol w:w="636"/>
      </w:tblGrid>
      <w:tr>
        <w:trPr>
          <w:jc w:val="center"/>
        </w:trPr>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序号</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服务内容</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单价</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费率</w:t>
            </w:r>
            <w:r/>
          </w:p>
        </w:tc>
      </w:tr>
      <w:tr>
        <w:trPr>
          <w:jc w:val="center"/>
        </w:trPr>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sz w:val="24"/>
              </w:rPr>
              <w:t xml:space="preserve">使用林地可行性报告或使用林地现状调查表编制费</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ascii="仿宋" w:hAnsi="仿宋" w:eastAsia="仿宋" w:cs="仿宋"/>
                <w:color w:val="auto"/>
                <w:sz w:val="24"/>
                <w:szCs w:val="24"/>
                <w:lang w:val="zh-TW"/>
              </w:rPr>
              <w:t xml:space="preserve">（6万元+1.5万元/公顷*项目征占用林地面积）*1.4</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r>
            <w:r/>
          </w:p>
        </w:tc>
      </w:tr>
      <w:tr>
        <w:trPr>
          <w:jc w:val="center"/>
        </w:trPr>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w:t>
            </w:r>
            <w:r/>
          </w:p>
        </w:tc>
        <w:tc>
          <w:tcPr>
            <w:tcW w:w="0" w:type="auto"/>
            <w:textDirection w:val="lrTb"/>
            <w:noWrap w:val="false"/>
          </w:tcPr>
          <w:p>
            <w:pPr>
              <w:pStyle w:val="1118"/>
              <w:jc w:val="center"/>
              <w:spacing w:line="360" w:lineRule="auto"/>
              <w:rPr>
                <w:rFonts w:hint="eastAsia" w:ascii="仿宋" w:hAnsi="仿宋" w:eastAsia="仿宋" w:cs="仿宋"/>
                <w:sz w:val="24"/>
              </w:rPr>
              <w:framePr w:wrap="auto" w:vAnchor="margin" w:hAnchor="text" w:yAlign="inline"/>
            </w:pPr>
            <w:r>
              <w:rPr>
                <w:rFonts w:hint="eastAsia" w:ascii="仿宋" w:hAnsi="仿宋" w:eastAsia="仿宋" w:cs="仿宋"/>
                <w:sz w:val="24"/>
              </w:rPr>
              <w:t xml:space="preserve">林木采伐作业设计书编制费</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3.5万元</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r>
            <w:r/>
          </w:p>
        </w:tc>
      </w:tr>
    </w:tbl>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color w:val="auto"/>
          <w:sz w:val="24"/>
          <w:szCs w:val="24"/>
          <w:lang w:val="zh-CN"/>
        </w:rPr>
        <w:t xml:space="preserve">服务内容详见乙方响应文件。</w:t>
      </w:r>
      <w:r/>
    </w:p>
    <w:p>
      <w:pPr>
        <w:pStyle w:val="1118"/>
        <w:ind w:firstLine="413"/>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二</w:t>
      </w:r>
      <w:r>
        <w:rPr>
          <w:rFonts w:hint="eastAsia" w:ascii="仿宋" w:hAnsi="仿宋" w:eastAsia="仿宋" w:cs="仿宋"/>
          <w:b/>
          <w:bCs/>
          <w:color w:val="auto"/>
          <w:sz w:val="24"/>
          <w:szCs w:val="24"/>
          <w:lang w:val="zh-TW"/>
        </w:rPr>
        <w:t xml:space="preserve">条 合同总价款 </w:t>
      </w:r>
      <w:r/>
    </w:p>
    <w:p>
      <w:pPr>
        <w:pStyle w:val="1118"/>
        <w:ind w:firstLine="413"/>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rPr>
        <w:t xml:space="preserve">本合同项下费率为__________百分比，分项价款详见 《报价表》。</w:t>
      </w:r>
      <w:r/>
    </w:p>
    <w:p>
      <w:pPr>
        <w:pStyle w:val="1118"/>
        <w:ind w:firstLine="413"/>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本合同价款包含以下内容：</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（1）完成本服务项目发生的所有含税费用；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（2）</w:t>
      </w:r>
      <w:r>
        <w:rPr>
          <w:rFonts w:hint="eastAsia" w:ascii="仿宋" w:hAnsi="仿宋" w:eastAsia="仿宋" w:cs="仿宋"/>
          <w:color w:val="auto"/>
          <w:sz w:val="24"/>
          <w:szCs w:val="24"/>
          <w:lang w:val="zh-TW" w:eastAsia="zh-CN"/>
        </w:rPr>
        <w:t xml:space="preserve">支付</w:t>
      </w:r>
      <w:r>
        <w:rPr>
          <w:rFonts w:hint="eastAsia" w:ascii="仿宋" w:hAnsi="仿宋" w:eastAsia="仿宋" w:cs="仿宋"/>
          <w:color w:val="auto"/>
          <w:sz w:val="24"/>
          <w:szCs w:val="24"/>
          <w:lang w:val="zh-TW"/>
        </w:rPr>
        <w:t xml:space="preserve">员工的工资和国家强制缴纳的各种社会保障资金；</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（3）乙方应当提供的伴随服务/售后服务费用；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（4）供应商认为需要的其他费用。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甲方除此费用外不再向乙方支付其他任何费用。</w:t>
      </w:r>
      <w:r/>
    </w:p>
    <w:p>
      <w:pPr>
        <w:pStyle w:val="1118"/>
        <w:ind w:firstLine="413"/>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b/>
          <w:bCs/>
          <w:color w:val="auto"/>
          <w:sz w:val="24"/>
          <w:szCs w:val="24"/>
          <w:lang w:val="zh-TW"/>
        </w:rPr>
        <w:t xml:space="preserve">第三条 合同期限</w:t>
      </w:r>
      <w:r>
        <w:rPr>
          <w:rFonts w:hint="eastAsia" w:ascii="仿宋" w:hAnsi="仿宋" w:eastAsia="仿宋" w:cs="仿宋"/>
          <w:b/>
          <w:bCs/>
          <w:color w:val="auto"/>
          <w:sz w:val="24"/>
          <w:szCs w:val="24"/>
        </w:rPr>
        <w:t xml:space="preserve">  </w:t>
      </w:r>
      <w:r>
        <w:rPr>
          <w:rFonts w:hint="eastAsia" w:ascii="仿宋" w:hAnsi="仿宋" w:eastAsia="仿宋" w:cs="仿宋"/>
          <w:color w:val="auto"/>
          <w:sz w:val="24"/>
          <w:szCs w:val="24"/>
        </w:rPr>
        <w:t xml:space="preserve">自本合同生效之日起，至乙方所承诺的服务期届满之日。</w:t>
      </w:r>
      <w:r/>
    </w:p>
    <w:p>
      <w:pPr>
        <w:pStyle w:val="1118"/>
        <w:ind w:firstLine="413"/>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四</w:t>
      </w:r>
      <w:r>
        <w:rPr>
          <w:rFonts w:hint="eastAsia" w:ascii="仿宋" w:hAnsi="仿宋" w:eastAsia="仿宋" w:cs="仿宋"/>
          <w:b/>
          <w:bCs/>
          <w:color w:val="auto"/>
          <w:sz w:val="24"/>
          <w:szCs w:val="24"/>
          <w:lang w:val="zh-TW"/>
        </w:rPr>
        <w:t xml:space="preserve">条 组成本合同的有关文件</w:t>
      </w:r>
      <w:r>
        <w:rPr>
          <w:rFonts w:hint="eastAsia" w:ascii="仿宋" w:hAnsi="仿宋" w:eastAsia="仿宋" w:cs="仿宋"/>
          <w:color w:val="auto"/>
          <w:sz w:val="24"/>
          <w:szCs w:val="24"/>
          <w:lang w:val="zh-TW"/>
        </w:rPr>
        <w:t xml:space="preserve">  招标（采购）文件、投标（响应）文件，以及与本次采购活动相关的文件及有关附件是本合同不可分割的组成部分，与本合同具有同等法律效力，这些文件包括但不限于：</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（1）投标（响应）文件和报价表；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（2）服务一览表；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（3）交付一览表；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（4）技术规格响应表；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（5）投标（响应）承诺；</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（6）服务承诺；</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（7）中标（成交）通知书；</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（8）甲乙双方商定的其他文件。</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五</w:t>
      </w:r>
      <w:r>
        <w:rPr>
          <w:rFonts w:hint="eastAsia" w:ascii="仿宋" w:hAnsi="仿宋" w:eastAsia="仿宋" w:cs="仿宋"/>
          <w:b/>
          <w:bCs/>
          <w:color w:val="auto"/>
          <w:sz w:val="24"/>
          <w:szCs w:val="24"/>
          <w:lang w:val="zh-TW"/>
        </w:rPr>
        <w:t xml:space="preserve">条 权利保证</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乙方应保证向甲方提供的本合同项下服务任何</w:t>
      </w:r>
      <w:r>
        <w:rPr>
          <w:rFonts w:hint="eastAsia" w:ascii="仿宋" w:hAnsi="仿宋" w:eastAsia="仿宋" w:cs="仿宋"/>
          <w:color w:val="auto"/>
          <w:sz w:val="24"/>
          <w:szCs w:val="24"/>
          <w:lang w:val="zh-TW" w:eastAsia="zh-CN"/>
        </w:rPr>
        <w:t xml:space="preserve">一部分</w:t>
      </w:r>
      <w:r>
        <w:rPr>
          <w:rFonts w:hint="eastAsia" w:ascii="仿宋" w:hAnsi="仿宋" w:eastAsia="仿宋" w:cs="仿宋"/>
          <w:color w:val="auto"/>
          <w:sz w:val="24"/>
          <w:szCs w:val="24"/>
          <w:lang w:val="zh-TW"/>
        </w:rPr>
        <w:t xml:space="preserve">不受第三方提出侵犯其专利权、版权、商标权或其他权利的起诉。一旦出现侵权，乙方应承担全部责任。</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六</w:t>
      </w:r>
      <w:r>
        <w:rPr>
          <w:rFonts w:hint="eastAsia" w:ascii="仿宋" w:hAnsi="仿宋" w:eastAsia="仿宋" w:cs="仿宋"/>
          <w:b/>
          <w:bCs/>
          <w:color w:val="auto"/>
          <w:sz w:val="24"/>
          <w:szCs w:val="24"/>
          <w:lang w:val="zh-TW"/>
        </w:rPr>
        <w:t xml:space="preserve">条 质量保证</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乙方所提供的服务的技术规格应与招标（采购）文件规定的技术规格及所附的“技术规格响应表”相一致；若技术性能无特殊说明，则按国家有关部门最新颁布的标准及规范及甲方需求为准。</w:t>
      </w:r>
      <w:r/>
    </w:p>
    <w:p>
      <w:pPr>
        <w:pStyle w:val="1118"/>
        <w:ind w:firstLine="420"/>
        <w:jc w:val="left"/>
        <w:spacing w:line="360" w:lineRule="auto"/>
        <w:rPr>
          <w:rFonts w:hint="eastAsia" w:ascii="仿宋" w:hAnsi="仿宋" w:eastAsia="仿宋" w:cs="仿宋"/>
          <w:b/>
          <w:bCs/>
          <w:color w:val="auto"/>
          <w:sz w:val="24"/>
          <w:szCs w:val="24"/>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七</w:t>
      </w:r>
      <w:r>
        <w:rPr>
          <w:rFonts w:hint="eastAsia" w:ascii="仿宋" w:hAnsi="仿宋" w:eastAsia="仿宋" w:cs="仿宋"/>
          <w:b/>
          <w:bCs/>
          <w:color w:val="auto"/>
          <w:sz w:val="24"/>
          <w:szCs w:val="24"/>
          <w:lang w:val="zh-TW"/>
        </w:rPr>
        <w:t xml:space="preserve">条 </w:t>
      </w:r>
      <w:r>
        <w:rPr>
          <w:rFonts w:hint="eastAsia" w:ascii="仿宋" w:hAnsi="仿宋" w:eastAsia="仿宋" w:cs="仿宋"/>
          <w:b/>
          <w:bCs/>
          <w:color w:val="auto"/>
          <w:sz w:val="24"/>
          <w:szCs w:val="24"/>
        </w:rPr>
        <w:t xml:space="preserve">服务期限</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rPr>
        <w:t xml:space="preserve">1.乙方</w:t>
      </w:r>
      <w:r>
        <w:rPr>
          <w:rFonts w:hint="eastAsia" w:ascii="仿宋" w:hAnsi="仿宋" w:eastAsia="仿宋" w:cs="仿宋"/>
          <w:color w:val="auto"/>
          <w:sz w:val="24"/>
          <w:szCs w:val="24"/>
          <w:lang w:val="zh-TW"/>
        </w:rPr>
        <w:t xml:space="preserve">应在签订合同后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zh-TW"/>
        </w:rPr>
        <w:t xml:space="preserve">个日历日内完成本项目。</w:t>
      </w:r>
      <w:r>
        <w:rPr>
          <w:rFonts w:hint="eastAsia" w:ascii="仿宋" w:hAnsi="仿宋" w:eastAsia="仿宋" w:cs="仿宋"/>
          <w:color w:val="auto"/>
          <w:sz w:val="24"/>
          <w:szCs w:val="24"/>
        </w:rPr>
        <w:t xml:space="preserve">甲方</w:t>
      </w:r>
      <w:r>
        <w:rPr>
          <w:rFonts w:hint="eastAsia" w:ascii="仿宋" w:hAnsi="仿宋" w:eastAsia="仿宋" w:cs="仿宋"/>
          <w:color w:val="auto"/>
          <w:sz w:val="24"/>
          <w:szCs w:val="24"/>
          <w:lang w:val="zh-TW"/>
        </w:rPr>
        <w:t xml:space="preserve">严格按照投标（响应）文件与招标（采购）文件对比验收，保留邀请第三方质检部门验收的权利。</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2</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TW"/>
        </w:rPr>
        <w:t xml:space="preserve">验收标准：按行业通行标准、招标（采购）文件、甲方认可的制作方案和乙方投标（响应）文件的承诺（详见合同附件载明的标准，并不低于国家相关标准）。</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八</w:t>
      </w:r>
      <w:r>
        <w:rPr>
          <w:rFonts w:hint="eastAsia" w:ascii="仿宋" w:hAnsi="仿宋" w:eastAsia="仿宋" w:cs="仿宋"/>
          <w:b/>
          <w:bCs/>
          <w:color w:val="auto"/>
          <w:sz w:val="24"/>
          <w:szCs w:val="24"/>
          <w:lang w:val="zh-TW"/>
        </w:rPr>
        <w:t xml:space="preserve">条 履约保证金</w:t>
      </w:r>
      <w:r/>
    </w:p>
    <w:p>
      <w:pPr>
        <w:pStyle w:val="1118"/>
        <w:ind w:firstLine="420"/>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1.乙方应按以下第（</w:t>
      </w:r>
      <w:r>
        <w:rPr>
          <w:rFonts w:hint="eastAsia" w:ascii="仿宋" w:hAnsi="仿宋" w:eastAsia="仿宋" w:cs="仿宋"/>
          <w:color w:val="auto"/>
          <w:sz w:val="24"/>
          <w:szCs w:val="24"/>
          <w:u w:val="single"/>
        </w:rPr>
        <w:t xml:space="preserve">1</w:t>
      </w:r>
      <w:r>
        <w:rPr>
          <w:rFonts w:hint="eastAsia" w:ascii="仿宋" w:hAnsi="仿宋" w:eastAsia="仿宋" w:cs="仿宋"/>
          <w:color w:val="auto"/>
          <w:sz w:val="24"/>
          <w:szCs w:val="24"/>
        </w:rPr>
        <w:t xml:space="preserve">）方式向甲方缴纳履约保证金：</w:t>
      </w:r>
      <w:r/>
    </w:p>
    <w:p>
      <w:pPr>
        <w:pStyle w:val="1118"/>
        <w:ind w:firstLine="420"/>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（1）无需缴纳履约保证金；</w:t>
      </w:r>
      <w:r/>
    </w:p>
    <w:p>
      <w:pPr>
        <w:pStyle w:val="1118"/>
        <w:ind w:firstLine="420"/>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（2）以支票、汇票、本票或者金融机构、担保机构出具的保函等非现金形式缴纳履约保证金，金额为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p>
    <w:p>
      <w:pPr>
        <w:pStyle w:val="1118"/>
        <w:ind w:firstLine="420"/>
        <w:jc w:val="left"/>
        <w:spacing w:line="360" w:lineRule="auto"/>
        <w:rPr>
          <w:rFonts w:hint="eastAsia" w:ascii="仿宋" w:hAnsi="仿宋" w:eastAsia="仿宋" w:cs="仿宋"/>
          <w:b/>
          <w:bCs/>
          <w:i/>
          <w:i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九</w:t>
      </w:r>
      <w:r>
        <w:rPr>
          <w:rFonts w:hint="eastAsia" w:ascii="仿宋" w:hAnsi="仿宋" w:eastAsia="仿宋" w:cs="仿宋"/>
          <w:b/>
          <w:bCs/>
          <w:color w:val="auto"/>
          <w:sz w:val="24"/>
          <w:szCs w:val="24"/>
          <w:lang w:val="zh-TW"/>
        </w:rPr>
        <w:t xml:space="preserve">条 合同款支付</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1.本合同项下所有款项均以人民币支付。</w:t>
      </w:r>
      <w:r/>
    </w:p>
    <w:p>
      <w:pPr>
        <w:pStyle w:val="1118"/>
        <w:ind w:firstLine="420"/>
        <w:jc w:val="left"/>
        <w:spacing w:line="360" w:lineRule="auto"/>
        <w:rPr>
          <w:rFonts w:hint="eastAsia" w:ascii="仿宋" w:hAnsi="仿宋" w:eastAsia="仿宋" w:cs="仿宋"/>
          <w:color w:val="auto"/>
          <w:sz w:val="24"/>
          <w:szCs w:val="24"/>
          <w:lang w:val="zh-CN"/>
        </w:rPr>
        <w:framePr w:wrap="auto" w:vAnchor="margin" w:hAnchor="text" w:yAlign="inline"/>
      </w:pPr>
      <w:r>
        <w:rPr>
          <w:rFonts w:hint="eastAsia" w:ascii="仿宋" w:hAnsi="仿宋" w:eastAsia="仿宋" w:cs="仿宋"/>
          <w:color w:val="auto"/>
          <w:sz w:val="24"/>
          <w:szCs w:val="24"/>
          <w:lang w:val="zh-TW"/>
        </w:rPr>
        <w:t xml:space="preserve">2.</w:t>
      </w:r>
      <w:r>
        <w:rPr>
          <w:rFonts w:hint="eastAsia" w:ascii="仿宋" w:hAnsi="仿宋" w:eastAsia="仿宋" w:cs="仿宋"/>
          <w:color w:val="auto"/>
          <w:sz w:val="24"/>
          <w:szCs w:val="24"/>
          <w:lang w:val="zh-CN"/>
        </w:rPr>
        <w:t xml:space="preserve">本合同采用费率报价合同。</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rPr>
        <w:t xml:space="preserve">3</w:t>
      </w:r>
      <w:r>
        <w:rPr>
          <w:rFonts w:hint="eastAsia" w:ascii="仿宋" w:hAnsi="仿宋" w:eastAsia="仿宋" w:cs="仿宋"/>
          <w:b/>
          <w:bCs/>
          <w:color w:val="auto"/>
          <w:sz w:val="24"/>
          <w:szCs w:val="24"/>
          <w:lang w:val="zh-TW"/>
        </w:rPr>
        <w:t xml:space="preserve">.付款</w:t>
      </w:r>
      <w:r>
        <w:rPr>
          <w:rFonts w:hint="eastAsia" w:ascii="仿宋" w:hAnsi="仿宋" w:eastAsia="仿宋" w:cs="仿宋"/>
          <w:b/>
          <w:bCs/>
          <w:color w:val="auto"/>
          <w:sz w:val="24"/>
          <w:szCs w:val="24"/>
        </w:rPr>
        <w:t xml:space="preserve">方式</w:t>
      </w:r>
      <w:r>
        <w:rPr>
          <w:rFonts w:hint="eastAsia" w:ascii="仿宋" w:hAnsi="仿宋" w:eastAsia="仿宋" w:cs="仿宋"/>
          <w:b/>
          <w:bCs/>
          <w:color w:val="auto"/>
          <w:sz w:val="24"/>
          <w:szCs w:val="24"/>
          <w:lang w:val="zh-TW"/>
        </w:rPr>
        <w:t xml:space="preserve">：</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①</w:t>
      </w:r>
      <w:r>
        <w:rPr>
          <w:rFonts w:ascii="仿宋" w:hAnsi="仿宋" w:eastAsia="仿宋" w:cs="仿宋"/>
          <w:color w:val="auto"/>
          <w:sz w:val="24"/>
          <w:szCs w:val="24"/>
          <w:lang w:val="zh-TW"/>
        </w:rPr>
        <w:t xml:space="preserve">合同签订后，单宗地块取得相关主管部门的审查意见或批复文件后即可申报结算，结算审定后一次性支付单宗地块费用。</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②</w:t>
      </w:r>
      <w:r>
        <w:rPr>
          <w:rFonts w:ascii="仿宋" w:hAnsi="仿宋" w:eastAsia="仿宋" w:cs="仿宋"/>
          <w:color w:val="auto"/>
          <w:sz w:val="24"/>
          <w:szCs w:val="24"/>
          <w:lang w:val="zh-TW"/>
        </w:rPr>
        <w:t xml:space="preserve">甲方每次付款前，乙方均应当向甲方开具等额、合法的符合甲方及相关主管部门要求的增值税发票，并提出书面申请，否则甲方有权延迟付款且无须承担任何责任，乙方仍应按照本合同约定内容履行全部义务和责任。</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③</w:t>
      </w:r>
      <w:r>
        <w:rPr>
          <w:rFonts w:ascii="仿宋" w:hAnsi="仿宋" w:eastAsia="仿宋" w:cs="仿宋"/>
          <w:color w:val="auto"/>
          <w:sz w:val="24"/>
          <w:szCs w:val="24"/>
          <w:lang w:val="zh-TW"/>
        </w:rPr>
        <w:t xml:space="preserve">合同履行过程中涉及的所有工作发生的费用均由乙方承担，此费用已包含在合同总价中，甲方不再另行支付。</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zh-TW"/>
        </w:rPr>
        <w:t xml:space="preserve">条 违约责任</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1.甲方无正当理由拒收服务、拒付服务款的，甲方向乙方偿付合同总价的5%违约金。</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2.甲方未按合同规定的期限向乙方支付服务款的，每逾期1天甲方向乙方偿付欠款总额的5‰滞纳金，但累计滞纳金总额不超过欠款总额的5%。</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3.如乙方不能如期交付服务的；乙方应向甲方支付合同总价5%的违约金并赔偿因此给甲方造成的损失。</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4.乙方逾期通过甲方验收并交付甲方使用的，每逾期1天，乙方向甲方偿付合同总额的5‰的滞纳金。如乙方逾期交付达10天，甲方有权解除合同，解除合同的通知自到达乙方时生效。</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5.在乙方承诺的服务期内，如经乙方2次整改仍不能达到合同约定的质量标准，乙方应退回全部合同价款，并按本条第3款处理，同时，乙方还</w:t>
      </w:r>
      <w:r>
        <w:rPr>
          <w:rFonts w:hint="eastAsia" w:ascii="仿宋" w:hAnsi="仿宋" w:eastAsia="仿宋" w:cs="仿宋"/>
          <w:color w:val="auto"/>
          <w:sz w:val="24"/>
          <w:szCs w:val="24"/>
          <w:lang w:eastAsia="zh-CN"/>
        </w:rPr>
        <w:t xml:space="preserve">需</w:t>
      </w:r>
      <w:r>
        <w:rPr>
          <w:rFonts w:hint="eastAsia" w:ascii="仿宋" w:hAnsi="仿宋" w:eastAsia="仿宋" w:cs="仿宋"/>
          <w:color w:val="auto"/>
          <w:sz w:val="24"/>
          <w:szCs w:val="24"/>
        </w:rPr>
        <w:t xml:space="preserve">赔偿甲方因此遭受的损失。</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6.乙方未按本合同的规定和服务承诺提供伴随服务/售后服务的，甲方有权委托第三方提供伴随服务/售后服务，由此产生的费用由乙方承担，且乙方应按合同总价款的5%向甲方承担违约责任。</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7.乙方所交付的服务不符合合同规定的，甲方有权拒收。甲方拒收的，乙方应向甲方支付合同总款5%的违约金。</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9.乙方响应属虚假承诺，或服务不能满足投标（响应）文件要求，或</w:t>
      </w:r>
      <w:r>
        <w:rPr>
          <w:rFonts w:hint="eastAsia" w:ascii="仿宋" w:hAnsi="仿宋" w:eastAsia="仿宋" w:cs="仿宋"/>
          <w:color w:val="auto"/>
          <w:sz w:val="24"/>
          <w:szCs w:val="24"/>
          <w:lang w:eastAsia="zh-CN"/>
        </w:rPr>
        <w:t xml:space="preserve">是由于乙方的过错</w:t>
      </w:r>
      <w:r>
        <w:rPr>
          <w:rFonts w:hint="eastAsia" w:ascii="仿宋" w:hAnsi="仿宋" w:eastAsia="仿宋" w:cs="仿宋"/>
          <w:color w:val="auto"/>
          <w:sz w:val="24"/>
          <w:szCs w:val="24"/>
        </w:rPr>
        <w:t xml:space="preserve">合同无法继续履行的，乙方应向甲方支付不少于合同总价 5%赔偿金。</w:t>
      </w:r>
      <w:r/>
    </w:p>
    <w:p>
      <w:pPr>
        <w:pStyle w:val="1118"/>
        <w:ind w:firstLine="420"/>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一</w:t>
      </w:r>
      <w:r>
        <w:rPr>
          <w:rFonts w:hint="eastAsia" w:ascii="仿宋" w:hAnsi="仿宋" w:eastAsia="仿宋" w:cs="仿宋"/>
          <w:b/>
          <w:bCs/>
          <w:color w:val="auto"/>
          <w:sz w:val="24"/>
          <w:szCs w:val="24"/>
          <w:lang w:val="zh-TW"/>
        </w:rPr>
        <w:t xml:space="preserve">条 合同的变更和终止</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1.除</w:t>
      </w:r>
      <w:r>
        <w:rPr>
          <w:rFonts w:hint="eastAsia" w:ascii="仿宋" w:hAnsi="仿宋" w:eastAsia="仿宋" w:cs="仿宋"/>
          <w:color w:val="auto"/>
          <w:sz w:val="24"/>
          <w:szCs w:val="24"/>
          <w:lang w:val="zh-TW" w:eastAsia="zh-CN"/>
        </w:rPr>
        <w:t xml:space="preserve">《中华人民共和国政府采购法》第五十条</w:t>
      </w:r>
      <w:r>
        <w:rPr>
          <w:rFonts w:hint="eastAsia" w:ascii="仿宋" w:hAnsi="仿宋" w:eastAsia="仿宋" w:cs="仿宋"/>
          <w:color w:val="auto"/>
          <w:sz w:val="24"/>
          <w:szCs w:val="24"/>
          <w:lang w:val="zh-TW"/>
        </w:rPr>
        <w:t xml:space="preserve">第二款规定的情形外，本合同一经签订，甲乙双方不得擅自变更、中止或终止合同。</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pStyle w:val="1118"/>
        <w:ind w:firstLine="420"/>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二</w:t>
      </w:r>
      <w:r>
        <w:rPr>
          <w:rFonts w:hint="eastAsia" w:ascii="仿宋" w:hAnsi="仿宋" w:eastAsia="仿宋" w:cs="仿宋"/>
          <w:b/>
          <w:bCs/>
          <w:color w:val="auto"/>
          <w:sz w:val="24"/>
          <w:szCs w:val="24"/>
          <w:lang w:val="zh-TW"/>
        </w:rPr>
        <w:t xml:space="preserve">条 合同的转让</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乙方不得擅自部分或全部转让其应履行的合同义务。</w:t>
      </w:r>
      <w:r/>
    </w:p>
    <w:p>
      <w:pPr>
        <w:pStyle w:val="1118"/>
        <w:ind w:firstLine="420"/>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三</w:t>
      </w:r>
      <w:r>
        <w:rPr>
          <w:rFonts w:hint="eastAsia" w:ascii="仿宋" w:hAnsi="仿宋" w:eastAsia="仿宋" w:cs="仿宋"/>
          <w:b/>
          <w:bCs/>
          <w:color w:val="auto"/>
          <w:sz w:val="24"/>
          <w:szCs w:val="24"/>
          <w:lang w:val="zh-TW"/>
        </w:rPr>
        <w:t xml:space="preserve">条 争议的解决</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1.因履行本合同引起的或与本合同有关的争议，甲、乙双方应首先通过友好协商解决，如果协商不能解决争议，则采取以下第（2）种方式解决争议：</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（1）向甲方所在地有管辖权的人民法院提起诉讼；</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（2）向南京仲裁委员会按其仲裁规则申请仲裁。</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如没有约定，默认采取第1种方式解决争议。</w:t>
      </w:r>
      <w:r/>
    </w:p>
    <w:p>
      <w:pPr>
        <w:pStyle w:val="1118"/>
        <w:ind w:firstLine="48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2.在诉讼或仲裁期间，本合同应继续履行。</w:t>
      </w:r>
      <w:r/>
    </w:p>
    <w:p>
      <w:pPr>
        <w:pStyle w:val="1118"/>
        <w:ind w:firstLine="482"/>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四条</w:t>
      </w:r>
      <w:r>
        <w:rPr>
          <w:rFonts w:hint="eastAsia" w:ascii="仿宋" w:hAnsi="仿宋" w:eastAsia="仿宋" w:cs="仿宋"/>
          <w:b/>
          <w:bCs/>
          <w:color w:val="auto"/>
          <w:sz w:val="24"/>
          <w:szCs w:val="24"/>
          <w:lang w:val="zh-TW"/>
        </w:rPr>
        <w:t xml:space="preserve"> 诚实信用 </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乙方应诚实信用，严格按照采购文件要求和乙方承诺履行合同，不向甲方进行商业贿赂或者提供不正当利益。</w:t>
      </w:r>
      <w:r/>
    </w:p>
    <w:p>
      <w:pPr>
        <w:pStyle w:val="1118"/>
        <w:ind w:firstLine="420"/>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五</w:t>
      </w:r>
      <w:r>
        <w:rPr>
          <w:rFonts w:hint="eastAsia" w:ascii="仿宋" w:hAnsi="仿宋" w:eastAsia="仿宋" w:cs="仿宋"/>
          <w:b/>
          <w:bCs/>
          <w:color w:val="auto"/>
          <w:sz w:val="24"/>
          <w:szCs w:val="24"/>
          <w:lang w:val="zh-TW"/>
        </w:rPr>
        <w:t xml:space="preserve">条 合同生效及其他</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1.本合同自签订之日起生效。</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rPr>
        <w:t xml:space="preserve">2.本合同一式4份，甲乙双方各执</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zh-TW"/>
        </w:rPr>
        <w:t xml:space="preserve">份。</w:t>
      </w:r>
      <w:r/>
    </w:p>
    <w:p>
      <w:pPr>
        <w:pStyle w:val="1118"/>
        <w:ind w:firstLine="420"/>
        <w:jc w:val="left"/>
        <w:spacing w:line="360" w:lineRule="auto"/>
        <w:widowControl/>
        <w:rPr>
          <w:rFonts w:hint="eastAsia" w:ascii="仿宋" w:hAnsi="仿宋" w:eastAsia="仿宋" w:cs="仿宋"/>
          <w:color w:val="auto"/>
          <w:lang w:val="zh-TW"/>
        </w:rPr>
        <w:framePr w:wrap="auto" w:vAnchor="margin" w:hAnchor="text" w:yAlign="inline"/>
      </w:pPr>
      <w:r>
        <w:rPr>
          <w:rFonts w:hint="eastAsia" w:ascii="仿宋" w:hAnsi="仿宋" w:eastAsia="仿宋" w:cs="仿宋"/>
          <w:color w:val="auto"/>
          <w:sz w:val="24"/>
          <w:szCs w:val="24"/>
          <w:lang w:val="zh-TW"/>
        </w:rPr>
        <w:t xml:space="preserve">3.本合同应按照中华人民共和国的现行法律进行解释。</w:t>
      </w:r>
      <w:r/>
    </w:p>
    <w:p>
      <w:pPr>
        <w:rPr>
          <w:rFonts w:hint="eastAsia" w:ascii="仿宋" w:hAnsi="仿宋" w:eastAsia="仿宋" w:cs="仿宋"/>
          <w:sz w:val="24"/>
          <w:lang w:val="zh-TW"/>
        </w:rPr>
      </w:pPr>
      <w:r>
        <w:rPr>
          <w:rFonts w:hint="eastAsia" w:ascii="仿宋" w:hAnsi="仿宋" w:eastAsia="仿宋" w:cs="仿宋"/>
          <w:sz w:val="24"/>
          <w:lang w:val="zh-TW"/>
        </w:rPr>
      </w:r>
      <w:r/>
    </w:p>
    <w:p>
      <w:pPr>
        <w:rPr>
          <w:rFonts w:hint="eastAsia" w:ascii="仿宋" w:hAnsi="仿宋" w:eastAsia="仿宋" w:cs="仿宋"/>
          <w:lang w:val="zh-TW"/>
        </w:rPr>
      </w:pPr>
      <w:r>
        <w:rPr>
          <w:rFonts w:hint="eastAsia" w:ascii="仿宋" w:hAnsi="仿宋" w:eastAsia="仿宋" w:cs="仿宋"/>
          <w:lang w:val="zh-TW"/>
        </w:rPr>
      </w:r>
      <w:r/>
    </w:p>
    <w:p>
      <w:pPr>
        <w:rPr>
          <w:rFonts w:hint="eastAsia" w:ascii="仿宋" w:hAnsi="仿宋" w:eastAsia="仿宋" w:cs="仿宋"/>
          <w:lang w:val="zh-TW"/>
        </w:rPr>
      </w:pPr>
      <w:r>
        <w:rPr>
          <w:rFonts w:hint="eastAsia" w:ascii="仿宋" w:hAnsi="仿宋" w:eastAsia="仿宋" w:cs="仿宋"/>
          <w:lang w:val="zh-TW"/>
        </w:rPr>
      </w:r>
      <w:r/>
    </w:p>
    <w:tbl>
      <w:tblPr>
        <w:tblStyle w:val="839"/>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电    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电    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CN"/>
              </w:rPr>
              <w:t xml:space="preserve">账</w:t>
            </w:r>
            <w:r>
              <w:rPr>
                <w:rFonts w:hint="eastAsia" w:ascii="仿宋" w:hAnsi="仿宋" w:eastAsia="仿宋" w:cs="仿宋"/>
                <w:color w:val="auto"/>
                <w:sz w:val="24"/>
                <w:szCs w:val="24"/>
                <w:lang w:val="zh-TW" w:eastAsia="zh-TW"/>
              </w:rPr>
              <w:t xml:space="preserve">    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CN"/>
              </w:rPr>
              <w:t xml:space="preserve">账</w:t>
            </w:r>
            <w:r>
              <w:rPr>
                <w:rFonts w:hint="eastAsia" w:ascii="仿宋" w:hAnsi="仿宋" w:eastAsia="仿宋" w:cs="仿宋"/>
                <w:color w:val="auto"/>
                <w:sz w:val="24"/>
                <w:szCs w:val="24"/>
                <w:lang w:val="zh-TW" w:eastAsia="zh-TW"/>
              </w:rPr>
              <w:t xml:space="preserve">    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      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ind w:firstLine="720"/>
              <w:jc w:val="left"/>
              <w:rPr>
                <w:rFonts w:hint="eastAsia" w:ascii="仿宋" w:hAnsi="仿宋" w:eastAsia="仿宋" w:cs="仿宋"/>
                <w:color w:val="auto"/>
              </w:rPr>
              <w:framePr w:wrap="auto" w:vAnchor="margin" w:hAnchor="text" w:yAlign="inline"/>
            </w:pPr>
            <w:r>
              <w:rPr>
                <w:rFonts w:hint="eastAsia" w:ascii="仿宋" w:hAnsi="仿宋" w:eastAsia="仿宋" w:cs="仿宋"/>
                <w:color w:val="auto"/>
                <w:sz w:val="24"/>
                <w:szCs w:val="24"/>
                <w:lang w:val="zh-TW" w:eastAsia="zh-TW"/>
              </w:rPr>
              <w:t xml:space="preserve">年    月    日</w:t>
            </w:r>
            <w:r/>
          </w:p>
        </w:tc>
      </w:tr>
    </w:tbl>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color w:val="000000"/>
          <w:sz w:val="24"/>
        </w:rPr>
      </w:pPr>
      <w:r>
        <w:rPr>
          <w:rFonts w:hint="eastAsia" w:ascii="仿宋" w:hAnsi="仿宋" w:eastAsia="仿宋" w:cs="仿宋"/>
          <w:b/>
          <w:color w:val="000000"/>
          <w:sz w:val="24"/>
        </w:rPr>
      </w:r>
      <w:r/>
    </w:p>
    <w:p>
      <w:pPr>
        <w:jc w:val="left"/>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b/>
          <w:color w:val="000000"/>
          <w:sz w:val="30"/>
          <w:szCs w:val="30"/>
        </w:rPr>
      </w:pPr>
      <w:r/>
      <w:bookmarkStart w:id="48" w:name="_Toc28461"/>
      <w:r/>
      <w:bookmarkStart w:id="49" w:name="_Toc23794"/>
      <w:r/>
      <w:bookmarkStart w:id="50" w:name="_Toc22771"/>
      <w:r>
        <w:rPr>
          <w:rFonts w:hint="eastAsia" w:ascii="仿宋" w:hAnsi="仿宋" w:eastAsia="仿宋" w:cs="仿宋"/>
          <w:b/>
          <w:color w:val="000000"/>
          <w:sz w:val="30"/>
          <w:szCs w:val="30"/>
        </w:rPr>
        <w:br w:type="page" w:clear="all"/>
      </w:r>
      <w:bookmarkEnd w:id="48"/>
      <w:r/>
      <w:bookmarkEnd w:id="49"/>
      <w:r/>
      <w:bookmarkEnd w:id="50"/>
      <w:r/>
      <w:r/>
    </w:p>
    <w:p>
      <w:pPr>
        <w:numPr>
          <w:ilvl w:val="0"/>
          <w:numId w:val="7"/>
        </w:numPr>
        <w:jc w:val="center"/>
        <w:rPr>
          <w:rFonts w:hint="eastAsia" w:ascii="仿宋" w:hAnsi="仿宋" w:eastAsia="仿宋" w:cs="仿宋"/>
          <w:b/>
          <w:color w:val="000000"/>
          <w:sz w:val="30"/>
          <w:szCs w:val="30"/>
        </w:rPr>
        <w:outlineLvl w:val="0"/>
      </w:pPr>
      <w:r/>
      <w:bookmarkStart w:id="51" w:name="_Toc32269"/>
      <w:r>
        <w:rPr>
          <w:rFonts w:hint="eastAsia" w:ascii="仿宋" w:hAnsi="仿宋" w:eastAsia="仿宋" w:cs="仿宋"/>
          <w:b/>
          <w:color w:val="000000"/>
          <w:sz w:val="30"/>
          <w:szCs w:val="30"/>
        </w:rPr>
        <w:t xml:space="preserve">竞争性磋商文件格式及附件</w:t>
      </w:r>
      <w:bookmarkEnd w:id="51"/>
      <w:r/>
      <w:r/>
    </w:p>
    <w:p>
      <w:pPr>
        <w:spacing w:line="360" w:lineRule="auto"/>
        <w:rPr>
          <w:rFonts w:hint="eastAsia" w:ascii="仿宋" w:hAnsi="仿宋" w:eastAsia="仿宋" w:cs="仿宋"/>
          <w:b/>
          <w:color w:val="000000"/>
          <w:sz w:val="72"/>
        </w:rPr>
      </w:pPr>
      <w:r>
        <w:rPr>
          <w:rFonts w:hint="eastAsia" w:ascii="仿宋" w:hAnsi="仿宋" w:eastAsia="仿宋" w:cs="仿宋"/>
          <w:b/>
          <w:color w:val="000000"/>
          <w:sz w:val="72"/>
        </w:rPr>
      </w:r>
      <w:r/>
    </w:p>
    <w:p>
      <w:pPr>
        <w:numPr>
          <w:ilvl w:val="0"/>
          <w:numId w:val="3"/>
        </w:numPr>
        <w:rPr>
          <w:rFonts w:hint="eastAsia" w:ascii="仿宋" w:hAnsi="仿宋" w:eastAsia="仿宋" w:cs="仿宋"/>
          <w:sz w:val="30"/>
          <w:szCs w:val="30"/>
        </w:rPr>
      </w:pPr>
      <w:r>
        <w:rPr>
          <w:rFonts w:hint="eastAsia" w:ascii="仿宋" w:hAnsi="仿宋" w:eastAsia="仿宋" w:cs="仿宋"/>
          <w:sz w:val="30"/>
          <w:szCs w:val="30"/>
        </w:rPr>
      </w:r>
      <w:r/>
    </w:p>
    <w:p>
      <w:pPr>
        <w:jc w:val="left"/>
        <w:rPr>
          <w:rFonts w:hint="eastAsia" w:ascii="仿宋" w:hAnsi="仿宋" w:eastAsia="仿宋" w:cs="仿宋"/>
          <w:b/>
          <w:bCs/>
          <w:szCs w:val="21"/>
        </w:rPr>
      </w:pPr>
      <w:r>
        <w:rPr>
          <w:rFonts w:hint="eastAsia" w:ascii="仿宋" w:hAnsi="仿宋" w:eastAsia="仿宋" w:cs="仿宋"/>
          <w:b/>
          <w:bCs/>
          <w:szCs w:val="21"/>
        </w:rPr>
      </w:r>
      <w:r/>
    </w:p>
    <w:p>
      <w:pPr>
        <w:rPr>
          <w:rFonts w:hint="eastAsia" w:ascii="仿宋" w:hAnsi="仿宋" w:eastAsia="仿宋" w:cs="仿宋"/>
          <w:sz w:val="20"/>
          <w:szCs w:val="20"/>
        </w:rPr>
      </w:pPr>
      <w:r>
        <w:rPr>
          <w:rFonts w:hint="eastAsia" w:ascii="仿宋" w:hAnsi="仿宋" w:eastAsia="仿宋" w:cs="仿宋"/>
          <w:sz w:val="20"/>
          <w:szCs w:val="20"/>
        </w:rPr>
      </w:r>
      <w:r/>
    </w:p>
    <w:p>
      <w:pPr>
        <w:rPr>
          <w:rFonts w:hint="eastAsia" w:ascii="仿宋" w:hAnsi="仿宋" w:eastAsia="仿宋" w:cs="仿宋"/>
          <w:sz w:val="20"/>
          <w:szCs w:val="20"/>
        </w:rPr>
      </w:pPr>
      <w:r>
        <w:rPr>
          <w:rFonts w:hint="eastAsia" w:ascii="仿宋" w:hAnsi="仿宋" w:eastAsia="仿宋" w:cs="仿宋"/>
          <w:sz w:val="20"/>
          <w:szCs w:val="20"/>
        </w:rPr>
      </w:r>
      <w:r/>
    </w:p>
    <w:p>
      <w:pPr>
        <w:rPr>
          <w:rFonts w:hint="eastAsia" w:ascii="仿宋" w:hAnsi="仿宋" w:eastAsia="仿宋" w:cs="仿宋"/>
          <w:sz w:val="20"/>
          <w:szCs w:val="20"/>
        </w:rPr>
      </w:pPr>
      <w:r>
        <w:rPr>
          <w:rFonts w:hint="eastAsia" w:ascii="仿宋" w:hAnsi="仿宋" w:eastAsia="仿宋" w:cs="仿宋"/>
          <w:sz w:val="20"/>
          <w:szCs w:val="20"/>
        </w:rPr>
      </w:r>
      <w:r/>
    </w:p>
    <w:p>
      <w:pPr>
        <w:rPr>
          <w:rFonts w:hint="eastAsia" w:ascii="仿宋" w:hAnsi="仿宋" w:eastAsia="仿宋" w:cs="仿宋"/>
          <w:sz w:val="20"/>
          <w:szCs w:val="20"/>
        </w:rPr>
      </w:pPr>
      <w:r>
        <w:rPr>
          <w:rFonts w:hint="eastAsia" w:ascii="仿宋" w:hAnsi="仿宋" w:eastAsia="仿宋" w:cs="仿宋"/>
          <w:sz w:val="20"/>
          <w:szCs w:val="20"/>
        </w:rPr>
      </w:r>
      <w:r/>
    </w:p>
    <w:p>
      <w:pPr>
        <w:jc w:val="center"/>
        <w:rPr>
          <w:rFonts w:hint="eastAsia" w:ascii="仿宋" w:hAnsi="仿宋" w:eastAsia="仿宋" w:cs="仿宋"/>
          <w:sz w:val="20"/>
          <w:szCs w:val="20"/>
        </w:rPr>
      </w:pPr>
      <w:r>
        <w:rPr>
          <w:rFonts w:hint="eastAsia" w:ascii="仿宋" w:hAnsi="仿宋" w:eastAsia="仿宋" w:cs="仿宋"/>
          <w:sz w:val="28"/>
          <w:szCs w:val="28"/>
        </w:rPr>
        <w:t xml:space="preserve">（项目编号）</w:t>
      </w:r>
      <w:r/>
    </w:p>
    <w:p>
      <w:pPr>
        <w:jc w:val="center"/>
        <w:rPr>
          <w:rFonts w:hint="eastAsia" w:ascii="仿宋" w:hAnsi="仿宋" w:eastAsia="仿宋" w:cs="仿宋"/>
          <w:sz w:val="20"/>
          <w:szCs w:val="20"/>
        </w:rPr>
      </w:pPr>
      <w:r>
        <w:rPr>
          <w:rFonts w:hint="eastAsia" w:ascii="仿宋" w:hAnsi="仿宋" w:eastAsia="仿宋" w:cs="仿宋"/>
          <w:sz w:val="28"/>
          <w:szCs w:val="28"/>
        </w:rPr>
        <w:t xml:space="preserve">（项目名称）</w:t>
      </w:r>
      <w:r/>
    </w:p>
    <w:p>
      <w:pPr>
        <w:rPr>
          <w:rFonts w:hint="eastAsia" w:ascii="仿宋" w:hAnsi="仿宋" w:eastAsia="仿宋" w:cs="仿宋"/>
          <w:sz w:val="20"/>
          <w:szCs w:val="20"/>
        </w:rPr>
      </w:pPr>
      <w:r>
        <w:rPr>
          <w:rFonts w:hint="eastAsia" w:ascii="仿宋" w:hAnsi="仿宋" w:eastAsia="仿宋" w:cs="仿宋"/>
          <w:sz w:val="20"/>
          <w:szCs w:val="20"/>
        </w:rPr>
      </w:r>
      <w:r/>
    </w:p>
    <w:p>
      <w:pPr>
        <w:jc w:val="center"/>
        <w:rPr>
          <w:rFonts w:hint="eastAsia" w:ascii="仿宋" w:hAnsi="仿宋" w:eastAsia="仿宋" w:cs="仿宋"/>
          <w:sz w:val="20"/>
          <w:szCs w:val="20"/>
        </w:rPr>
      </w:pPr>
      <w:r>
        <w:rPr>
          <w:rFonts w:hint="eastAsia" w:ascii="仿宋" w:hAnsi="仿宋" w:eastAsia="仿宋" w:cs="仿宋"/>
          <w:sz w:val="20"/>
          <w:szCs w:val="20"/>
        </w:rPr>
        <w:t xml:space="preserve">                                     </w:t>
      </w:r>
      <w:r>
        <w:rPr>
          <w:rFonts w:hint="eastAsia" w:ascii="仿宋" w:hAnsi="仿宋" w:eastAsia="仿宋" w:cs="仿宋"/>
          <w:sz w:val="32"/>
          <w:szCs w:val="32"/>
        </w:rPr>
        <w:t xml:space="preserve"> </w:t>
      </w:r>
      <w:r/>
    </w:p>
    <w:p>
      <w:pPr>
        <w:rPr>
          <w:rFonts w:hint="eastAsia" w:ascii="仿宋" w:hAnsi="仿宋" w:eastAsia="仿宋" w:cs="仿宋"/>
          <w:sz w:val="20"/>
          <w:szCs w:val="20"/>
        </w:rPr>
      </w:pPr>
      <w:r>
        <w:rPr>
          <w:rFonts w:hint="eastAsia" w:ascii="仿宋" w:hAnsi="仿宋" w:eastAsia="仿宋" w:cs="仿宋"/>
          <w:sz w:val="20"/>
          <w:szCs w:val="20"/>
        </w:rPr>
      </w:r>
      <w:r/>
    </w:p>
    <w:p>
      <w:pPr>
        <w:jc w:val="center"/>
        <w:rPr>
          <w:rFonts w:hint="eastAsia" w:ascii="仿宋" w:hAnsi="仿宋" w:eastAsia="仿宋" w:cs="仿宋"/>
          <w:sz w:val="44"/>
          <w:szCs w:val="44"/>
        </w:rPr>
      </w:pPr>
      <w:r>
        <w:rPr>
          <w:rFonts w:hint="eastAsia" w:ascii="仿宋" w:hAnsi="仿宋" w:eastAsia="仿宋" w:cs="仿宋"/>
          <w:sz w:val="44"/>
          <w:szCs w:val="44"/>
        </w:rPr>
        <w:t xml:space="preserve">响应文件</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u w:val="single"/>
        </w:rPr>
      </w:pPr>
      <w:r>
        <w:rPr>
          <w:rFonts w:hint="eastAsia" w:ascii="仿宋" w:hAnsi="仿宋" w:eastAsia="仿宋" w:cs="仿宋"/>
          <w:sz w:val="28"/>
          <w:szCs w:val="28"/>
        </w:rPr>
        <w:t xml:space="preserve">供应商：（盖单位章）</w:t>
      </w:r>
      <w:r/>
    </w:p>
    <w:p>
      <w:pPr>
        <w:jc w:val="center"/>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法定代表人或其委托代理人：（签字）</w:t>
      </w:r>
      <w:r/>
    </w:p>
    <w:p>
      <w:pPr>
        <w:jc w:val="center"/>
        <w:rPr>
          <w:rFonts w:hint="eastAsia" w:ascii="仿宋" w:hAnsi="仿宋" w:eastAsia="仿宋" w:cs="仿宋"/>
          <w:sz w:val="28"/>
          <w:szCs w:val="28"/>
        </w:rPr>
      </w:pPr>
      <w:r>
        <w:rPr>
          <w:rFonts w:hint="eastAsia" w:ascii="仿宋" w:hAnsi="仿宋" w:eastAsia="仿宋" w:cs="仿宋"/>
          <w:sz w:val="28"/>
          <w:szCs w:val="28"/>
        </w:rPr>
        <w:t xml:space="preserve">年  月  日</w:t>
      </w:r>
      <w:r/>
    </w:p>
    <w:p>
      <w:pPr>
        <w:jc w:val="center"/>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目录</w:t>
      </w:r>
      <w:r/>
    </w:p>
    <w:p>
      <w:pPr>
        <w:jc w:val="center"/>
        <w:rPr>
          <w:rFonts w:hint="eastAsia" w:ascii="仿宋" w:hAnsi="仿宋" w:eastAsia="仿宋" w:cs="仿宋"/>
          <w:sz w:val="18"/>
          <w:szCs w:val="20"/>
        </w:rPr>
      </w:pPr>
      <w:r>
        <w:rPr>
          <w:rFonts w:hint="eastAsia" w:ascii="仿宋" w:hAnsi="仿宋" w:eastAsia="仿宋" w:cs="仿宋"/>
          <w:sz w:val="24"/>
          <w:szCs w:val="28"/>
        </w:rPr>
        <w:t xml:space="preserve">（注：供应商根据附件顺序编制响应文件并制作目录（须生成页码））</w:t>
      </w:r>
      <w:r/>
    </w:p>
    <w:p>
      <w:pPr>
        <w:pStyle w:val="830"/>
        <w:ind w:left="743"/>
        <w:spacing w:before="62"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rPr>
        <w:br w:type="page" w:clear="all"/>
      </w:r>
      <w:bookmarkStart w:id="52" w:name="_Toc11492"/>
      <w:r/>
      <w:bookmarkStart w:id="53" w:name="_Toc757"/>
      <w:r>
        <w:rPr>
          <w:rFonts w:hint="eastAsia" w:ascii="仿宋" w:hAnsi="仿宋" w:eastAsia="仿宋" w:cs="仿宋"/>
          <w:b/>
          <w:color w:val="000000" w:themeColor="text1"/>
          <w:sz w:val="24"/>
          <w14:textFill>
            <w14:solidFill>
              <w14:schemeClr w14:val="tx1"/>
            </w14:solidFill>
          </w14:textFill>
        </w:rPr>
        <w:t xml:space="preserve">一、磋商申请及声明</w:t>
      </w:r>
      <w:bookmarkEnd w:id="52"/>
      <w:r/>
      <w:bookmarkEnd w:id="53"/>
      <w:r/>
      <w:r/>
    </w:p>
    <w:p>
      <w:pPr>
        <w:ind w:left="743"/>
        <w:jc w:val="center"/>
        <w:rPr>
          <w:rFonts w:hint="eastAsia" w:ascii="仿宋" w:hAnsi="仿宋" w:eastAsia="仿宋" w:cs="仿宋"/>
          <w:b/>
          <w:color w:val="000000" w:themeColor="text1"/>
          <w:sz w:val="32"/>
          <w14:textFill>
            <w14:solidFill>
              <w14:schemeClr w14:val="tx1"/>
            </w14:solidFill>
          </w14:textFill>
        </w:rPr>
      </w:pPr>
      <w:r>
        <w:rPr>
          <w:rFonts w:hint="eastAsia" w:ascii="仿宋" w:hAnsi="仿宋" w:eastAsia="仿宋" w:cs="仿宋"/>
          <w:b/>
          <w:color w:val="000000" w:themeColor="text1"/>
          <w:sz w:val="32"/>
          <w14:textFill>
            <w14:solidFill>
              <w14:schemeClr w14:val="tx1"/>
            </w14:solidFill>
          </w14:textFill>
        </w:rPr>
        <w:t xml:space="preserve">磋商申请及声明</w:t>
      </w:r>
      <w:r/>
    </w:p>
    <w:p>
      <w:pPr>
        <w:spacing w:line="276" w:lineRule="auto"/>
        <w:rPr>
          <w:rFonts w:hint="eastAsia"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lang w:eastAsia="zh-CN"/>
          <w14:textFill>
            <w14:solidFill>
              <w14:schemeClr w14:val="tx1"/>
            </w14:solidFill>
          </w14:textFill>
        </w:rPr>
        <w:t xml:space="preserve">（</w:t>
      </w:r>
      <w:r>
        <w:rPr>
          <w:rFonts w:hint="eastAsia" w:ascii="仿宋" w:hAnsi="仿宋" w:eastAsia="仿宋" w:cs="仿宋"/>
          <w:color w:val="000000" w:themeColor="text1"/>
          <w:u w:val="single"/>
          <w14:textFill>
            <w14:solidFill>
              <w14:schemeClr w14:val="tx1"/>
            </w14:solidFill>
          </w14:textFill>
        </w:rPr>
        <w:t xml:space="preserve">采购人名称） </w:t>
      </w:r>
      <w:r/>
    </w:p>
    <w:p>
      <w:pPr>
        <w:ind w:firstLine="420"/>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根据贵方</w:t>
      </w:r>
      <w:r>
        <w:rPr>
          <w:rFonts w:hint="eastAsia" w:ascii="仿宋" w:hAnsi="仿宋" w:eastAsia="仿宋" w:cs="仿宋"/>
          <w:color w:val="000000" w:themeColor="text1"/>
          <w:u w:val="single"/>
          <w14:textFill>
            <w14:solidFill>
              <w14:schemeClr w14:val="tx1"/>
            </w14:solidFill>
          </w14:textFill>
        </w:rPr>
        <w:t xml:space="preserve">  （项目名称）  </w:t>
      </w:r>
      <w:r>
        <w:rPr>
          <w:rFonts w:hint="eastAsia" w:ascii="仿宋" w:hAnsi="仿宋" w:eastAsia="仿宋" w:cs="仿宋"/>
          <w:color w:val="000000" w:themeColor="text1"/>
          <w14:textFill>
            <w14:solidFill>
              <w14:schemeClr w14:val="tx1"/>
            </w14:solidFill>
          </w14:textFill>
        </w:rPr>
        <w:t xml:space="preserve">采购文件，正式授权下述签字人</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lang w:eastAsia="zh-CN"/>
          <w14:textFill>
            <w14:solidFill>
              <w14:schemeClr w14:val="tx1"/>
            </w14:solidFill>
          </w14:textFill>
        </w:rPr>
        <w:t xml:space="preserve">（</w:t>
      </w:r>
      <w:r>
        <w:rPr>
          <w:rFonts w:hint="eastAsia" w:ascii="仿宋" w:hAnsi="仿宋" w:eastAsia="仿宋" w:cs="仿宋"/>
          <w:color w:val="000000" w:themeColor="text1"/>
          <w:u w:val="single"/>
          <w14:textFill>
            <w14:solidFill>
              <w14:schemeClr w14:val="tx1"/>
            </w14:solidFill>
          </w14:textFill>
        </w:rPr>
        <w:t xml:space="preserve">姓名和职务</w:t>
      </w:r>
      <w:r>
        <w:rPr>
          <w:rFonts w:hint="eastAsia" w:ascii="仿宋" w:hAnsi="仿宋" w:eastAsia="仿宋" w:cs="仿宋"/>
          <w:color w:val="000000" w:themeColor="text1"/>
          <w:u w:val="single"/>
          <w:lang w:eastAsia="zh-CN"/>
          <w14:textFill>
            <w14:solidFill>
              <w14:schemeClr w14:val="tx1"/>
            </w14:solidFill>
          </w14:textFill>
        </w:rPr>
        <w:t xml:space="preserve">）</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代表</w:t>
      </w:r>
      <w:r>
        <w:rPr>
          <w:rFonts w:hint="eastAsia" w:ascii="仿宋" w:hAnsi="仿宋" w:eastAsia="仿宋" w:cs="仿宋"/>
          <w:color w:val="000000" w:themeColor="text1"/>
          <w:u w:val="single"/>
          <w14:textFill>
            <w14:solidFill>
              <w14:schemeClr w14:val="tx1"/>
            </w14:solidFill>
          </w14:textFill>
        </w:rPr>
        <w:t xml:space="preserve">  （供应商名称）  </w:t>
      </w:r>
      <w:r>
        <w:rPr>
          <w:rFonts w:hint="eastAsia" w:ascii="仿宋" w:hAnsi="仿宋" w:eastAsia="仿宋" w:cs="仿宋"/>
          <w:color w:val="000000" w:themeColor="text1"/>
          <w14:textFill>
            <w14:solidFill>
              <w14:schemeClr w14:val="tx1"/>
            </w14:solidFill>
          </w14:textFill>
        </w:rPr>
        <w:t xml:space="preserve">，提交响应文件并参加磋商。</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据此函，签字人兹宣布同意如下：</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1.根据已收到的磋商文件，遵照规定，我单位经现场考察和认真研究上述磋商文件后，愿以</w:t>
      </w:r>
      <w:r>
        <w:rPr>
          <w:rFonts w:hint="eastAsia" w:ascii="仿宋" w:hAnsi="仿宋" w:eastAsia="仿宋" w:cs="仿宋"/>
          <w:color w:val="000000" w:themeColor="text1"/>
          <w:lang w:val="en-US" w:eastAsia="zh-CN"/>
          <w14:textFill>
            <w14:solidFill>
              <w14:schemeClr w14:val="tx1"/>
            </w14:solidFill>
          </w14:textFill>
        </w:rPr>
        <w:t xml:space="preserve">费率（折扣率）</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u w:val="single"/>
          <w:lang w:val="en-US" w:eastAsia="zh-CN"/>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作为磋商报价。我方保证在</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填写服务时间）内服务并完成整个项目。</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2.我们完全理解贵方不一定要接受最低报价的磋商或收到的任何磋商。</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4.我们同意从规定的磋商日期起遵循本磋商文件，并在规定的磋商有效期期满之前均具有约束力。</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5.同意向贵方提供贵方可能要求的与磋商有关的任何证据或资料。</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themeColor="text1"/>
          <w:u w:val="single"/>
          <w14:textFill>
            <w14:solidFill>
              <w14:schemeClr w14:val="tx1"/>
            </w14:solidFill>
          </w14:textFill>
        </w:rPr>
        <w:t xml:space="preserve">  （姓名）  </w:t>
      </w:r>
      <w:r>
        <w:rPr>
          <w:rFonts w:hint="eastAsia" w:ascii="仿宋" w:hAnsi="仿宋" w:eastAsia="仿宋" w:cs="仿宋"/>
          <w:color w:val="000000" w:themeColor="text1"/>
          <w14:textFill>
            <w14:solidFill>
              <w14:schemeClr w14:val="tx1"/>
            </w14:solidFill>
          </w14:textFill>
        </w:rPr>
        <w:t xml:space="preserve">作为本项目的项目负责人。</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（1）提供虚假材料谋取中标、成交的；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（2）采取不正当手段诋毁、排挤其他供应商的；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（3）与采购人、</w:t>
      </w:r>
      <w:r>
        <w:rPr>
          <w:rFonts w:hint="eastAsia" w:ascii="仿宋" w:hAnsi="仿宋" w:eastAsia="仿宋" w:cs="仿宋"/>
          <w:color w:val="000000" w:themeColor="text1"/>
          <w:lang w:eastAsia="zh-CN"/>
          <w14:textFill>
            <w14:solidFill>
              <w14:schemeClr w14:val="tx1"/>
            </w14:solidFill>
          </w14:textFill>
        </w:rPr>
        <w:t xml:space="preserve">其他</w:t>
      </w:r>
      <w:r>
        <w:rPr>
          <w:rFonts w:hint="eastAsia" w:ascii="仿宋" w:hAnsi="仿宋" w:eastAsia="仿宋" w:cs="仿宋"/>
          <w:color w:val="000000" w:themeColor="text1"/>
          <w14:textFill>
            <w14:solidFill>
              <w14:schemeClr w14:val="tx1"/>
            </w14:solidFill>
          </w14:textFill>
        </w:rPr>
        <w:t xml:space="preserve">供应商或者采购代理机构恶意串通的；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（4）向采购人、采购代理机构行贿或者提供其他不正当利益的；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（5）在采购过程中与采购人进行协商磋商的；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（6）拒绝有关部门监督检查或提供虚假情况的。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8.与本磋商有关的正式通讯地址为：</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供应商名称（盖章）：</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地址 ： </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联系电话/传真：</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开户银行：</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账号</w:t>
      </w:r>
      <w:r>
        <w:rPr>
          <w:rFonts w:hint="eastAsia" w:ascii="仿宋" w:hAnsi="仿宋" w:eastAsia="仿宋" w:cs="仿宋"/>
          <w:color w:val="000000" w:themeColor="text1"/>
          <w14:textFill>
            <w14:solidFill>
              <w14:schemeClr w14:val="tx1"/>
            </w14:solidFill>
          </w14:textFill>
        </w:rPr>
        <w:t xml:space="preserve">：</w:t>
      </w:r>
      <w:r/>
    </w:p>
    <w:p>
      <w:pPr>
        <w:spacing w:line="360" w:lineRule="auto"/>
        <w:rPr>
          <w:rFonts w:hint="eastAsia" w:ascii="仿宋" w:hAnsi="仿宋" w:eastAsia="仿宋" w:cs="仿宋"/>
          <w:color w:val="000000" w:themeColor="text1"/>
          <w14:textFill>
            <w14:solidFill>
              <w14:schemeClr w14:val="tx1"/>
            </w14:solidFill>
          </w14:textFill>
        </w:rPr>
        <w:sectPr>
          <w:footnotePr/>
          <w:endnotePr/>
          <w:type w:val="nextPage"/>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t xml:space="preserve">日期： 年 月 日</w:t>
      </w:r>
      <w:r>
        <w:rPr>
          <w:rFonts w:hint="eastAsia" w:ascii="仿宋" w:hAnsi="仿宋" w:eastAsia="仿宋" w:cs="仿宋"/>
        </w:rPr>
        <w:br w:type="page" w:clear="all"/>
      </w:r>
      <w:r/>
    </w:p>
    <w:p>
      <w:pPr>
        <w:pStyle w:val="830"/>
        <w:ind w:left="743"/>
        <w:spacing w:before="62" w:line="276" w:lineRule="auto"/>
        <w:rPr>
          <w:rFonts w:hint="eastAsia" w:ascii="仿宋" w:hAnsi="仿宋" w:eastAsia="仿宋" w:cs="仿宋"/>
          <w:color w:val="000000" w:themeColor="text1"/>
          <w:sz w:val="26"/>
          <w14:textFill>
            <w14:solidFill>
              <w14:schemeClr w14:val="tx1"/>
            </w14:solidFill>
          </w14:textFill>
        </w:rPr>
      </w:pPr>
      <w:r/>
      <w:bookmarkStart w:id="54" w:name="四、磋商分项报价表"/>
      <w:r/>
      <w:bookmarkEnd w:id="54"/>
      <w:r/>
      <w:bookmarkStart w:id="55" w:name="_Toc14825"/>
      <w:r/>
      <w:bookmarkStart w:id="56" w:name="_Toc24511"/>
      <w:r>
        <w:rPr>
          <w:rFonts w:hint="eastAsia" w:ascii="仿宋" w:hAnsi="仿宋" w:eastAsia="仿宋" w:cs="仿宋"/>
          <w:b/>
          <w:color w:val="000000" w:themeColor="text1"/>
          <w:sz w:val="24"/>
          <w14:textFill>
            <w14:solidFill>
              <w14:schemeClr w14:val="tx1"/>
            </w14:solidFill>
          </w14:textFill>
        </w:rPr>
        <w:t xml:space="preserve">二、法定代表人资格证明及授权委托书</w:t>
      </w:r>
      <w:bookmarkEnd w:id="55"/>
      <w:r/>
      <w:bookmarkEnd w:id="56"/>
      <w:r/>
      <w:r/>
    </w:p>
    <w:p>
      <w:pPr>
        <w:ind w:left="743"/>
        <w:jc w:val="center"/>
        <w:rPr>
          <w:rFonts w:hint="eastAsia" w:ascii="仿宋" w:hAnsi="仿宋" w:eastAsia="仿宋" w:cs="仿宋"/>
          <w:b/>
          <w:color w:val="000000" w:themeColor="text1"/>
          <w:sz w:val="32"/>
          <w14:textFill>
            <w14:solidFill>
              <w14:schemeClr w14:val="tx1"/>
            </w14:solidFill>
          </w14:textFill>
        </w:rPr>
      </w:pPr>
      <w:r>
        <w:rPr>
          <w:rFonts w:hint="eastAsia" w:ascii="仿宋" w:hAnsi="仿宋" w:eastAsia="仿宋" w:cs="仿宋"/>
          <w:b/>
          <w:color w:val="000000" w:themeColor="text1"/>
          <w:sz w:val="32"/>
          <w14:textFill>
            <w14:solidFill>
              <w14:schemeClr w14:val="tx1"/>
            </w14:solidFill>
          </w14:textFill>
        </w:rPr>
        <w:t xml:space="preserve">法定代表人资格证明及授权委托书</w:t>
      </w:r>
      <w:r/>
    </w:p>
    <w:p>
      <w:pPr>
        <w:spacing w:line="276" w:lineRule="auto"/>
        <w:rPr>
          <w:rFonts w:hint="eastAsia" w:ascii="仿宋" w:hAnsi="仿宋" w:eastAsia="仿宋" w:cs="仿宋"/>
          <w:color w:val="000000" w:themeColor="text1"/>
          <w:sz w:val="32"/>
          <w14:textFill>
            <w14:solidFill>
              <w14:schemeClr w14:val="tx1"/>
            </w14:solidFill>
          </w14:textFill>
        </w:rPr>
        <w:sectPr>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sz w:val="32"/>
          <w14:textFill>
            <w14:solidFill>
              <w14:schemeClr w14:val="tx1"/>
            </w14:solidFill>
          </w14:textFill>
        </w:rPr>
      </w:r>
      <w:r/>
    </w:p>
    <w:p>
      <w:pPr>
        <w:spacing w:line="440" w:lineRule="exact"/>
        <w:rPr>
          <w:rFonts w:hint="eastAsia" w:ascii="仿宋" w:hAnsi="仿宋" w:eastAsia="仿宋" w:cs="仿宋"/>
          <w:szCs w:val="20"/>
        </w:rPr>
      </w:pPr>
      <w:r>
        <w:rPr>
          <w:rFonts w:hint="eastAsia" w:ascii="仿宋" w:hAnsi="仿宋" w:eastAsia="仿宋" w:cs="仿宋"/>
          <w:szCs w:val="20"/>
        </w:rPr>
        <w:t xml:space="preserve">供应商名称：</w:t>
      </w:r>
      <w:r>
        <w:rPr>
          <w:rFonts w:hint="eastAsia" w:ascii="仿宋" w:hAnsi="仿宋" w:eastAsia="仿宋" w:cs="仿宋"/>
          <w:szCs w:val="20"/>
          <w:u w:val="single"/>
        </w:rPr>
        <w:t xml:space="preserve">                             </w:t>
      </w:r>
      <w:r>
        <w:rPr>
          <w:rFonts w:hint="eastAsia" w:ascii="仿宋" w:hAnsi="仿宋" w:eastAsia="仿宋" w:cs="仿宋"/>
          <w:szCs w:val="20"/>
        </w:rPr>
        <w:t xml:space="preserve"> </w:t>
      </w:r>
      <w:r/>
    </w:p>
    <w:p>
      <w:pPr>
        <w:spacing w:line="440" w:lineRule="exact"/>
        <w:rPr>
          <w:rFonts w:hint="eastAsia" w:ascii="仿宋" w:hAnsi="仿宋" w:eastAsia="仿宋" w:cs="仿宋"/>
          <w:szCs w:val="20"/>
        </w:rPr>
      </w:pPr>
      <w:r>
        <w:rPr>
          <w:rFonts w:hint="eastAsia" w:ascii="仿宋" w:hAnsi="仿宋" w:eastAsia="仿宋" w:cs="仿宋"/>
          <w:szCs w:val="20"/>
        </w:rPr>
        <w:t xml:space="preserve">地址：</w:t>
      </w:r>
      <w:r>
        <w:rPr>
          <w:rFonts w:hint="eastAsia" w:ascii="仿宋" w:hAnsi="仿宋" w:eastAsia="仿宋" w:cs="仿宋"/>
          <w:szCs w:val="20"/>
          <w:u w:val="single"/>
        </w:rPr>
        <w:t xml:space="preserve">                                   </w:t>
      </w:r>
      <w:r/>
    </w:p>
    <w:p>
      <w:pPr>
        <w:spacing w:line="440" w:lineRule="exact"/>
        <w:rPr>
          <w:rFonts w:hint="eastAsia" w:ascii="仿宋" w:hAnsi="仿宋" w:eastAsia="仿宋" w:cs="仿宋"/>
          <w:szCs w:val="20"/>
        </w:rPr>
      </w:pPr>
      <w:r>
        <w:rPr>
          <w:rFonts w:hint="eastAsia" w:ascii="仿宋" w:hAnsi="仿宋" w:eastAsia="仿宋" w:cs="仿宋"/>
          <w:szCs w:val="20"/>
        </w:rPr>
        <w:t xml:space="preserve">姓名：</w:t>
      </w:r>
      <w:r>
        <w:rPr>
          <w:rFonts w:hint="eastAsia" w:ascii="仿宋" w:hAnsi="仿宋" w:eastAsia="仿宋" w:cs="仿宋"/>
          <w:szCs w:val="20"/>
          <w:u w:val="single"/>
        </w:rPr>
        <w:t xml:space="preserve">        </w:t>
      </w:r>
      <w:r>
        <w:rPr>
          <w:rFonts w:hint="eastAsia" w:ascii="仿宋" w:hAnsi="仿宋" w:eastAsia="仿宋" w:cs="仿宋"/>
          <w:szCs w:val="20"/>
        </w:rPr>
        <w:t xml:space="preserve"> 性别：</w:t>
      </w:r>
      <w:r>
        <w:rPr>
          <w:rFonts w:hint="eastAsia" w:ascii="仿宋" w:hAnsi="仿宋" w:eastAsia="仿宋" w:cs="仿宋"/>
          <w:szCs w:val="20"/>
          <w:u w:val="single"/>
        </w:rPr>
        <w:t xml:space="preserve">         </w:t>
      </w:r>
      <w:r>
        <w:rPr>
          <w:rFonts w:hint="eastAsia" w:ascii="仿宋" w:hAnsi="仿宋" w:eastAsia="仿宋" w:cs="仿宋"/>
          <w:szCs w:val="20"/>
        </w:rPr>
        <w:t xml:space="preserve"> 年龄：</w:t>
      </w:r>
      <w:r>
        <w:rPr>
          <w:rFonts w:hint="eastAsia" w:ascii="仿宋" w:hAnsi="仿宋" w:eastAsia="仿宋" w:cs="仿宋"/>
          <w:szCs w:val="20"/>
          <w:u w:val="single"/>
        </w:rPr>
        <w:t xml:space="preserve">        </w:t>
      </w:r>
      <w:r>
        <w:rPr>
          <w:rFonts w:hint="eastAsia" w:ascii="仿宋" w:hAnsi="仿宋" w:eastAsia="仿宋" w:cs="仿宋"/>
          <w:szCs w:val="20"/>
        </w:rPr>
        <w:t xml:space="preserve">职务：</w:t>
      </w:r>
      <w:r>
        <w:rPr>
          <w:rFonts w:hint="eastAsia" w:ascii="仿宋" w:hAnsi="仿宋" w:eastAsia="仿宋" w:cs="仿宋"/>
          <w:szCs w:val="20"/>
          <w:u w:val="single"/>
        </w:rPr>
        <w:t xml:space="preserve">        </w:t>
      </w:r>
      <w:r/>
    </w:p>
    <w:p>
      <w:pPr>
        <w:spacing w:line="440" w:lineRule="exact"/>
        <w:rPr>
          <w:rFonts w:hint="eastAsia" w:ascii="仿宋" w:hAnsi="仿宋" w:eastAsia="仿宋" w:cs="仿宋"/>
          <w:szCs w:val="20"/>
        </w:rPr>
      </w:pPr>
      <w:r>
        <w:rPr>
          <w:rFonts w:hint="eastAsia" w:ascii="仿宋" w:hAnsi="仿宋" w:eastAsia="仿宋" w:cs="仿宋"/>
          <w:szCs w:val="20"/>
        </w:rPr>
        <w:t xml:space="preserve">身份证号码：</w:t>
      </w:r>
      <w:r>
        <w:rPr>
          <w:rFonts w:hint="eastAsia" w:ascii="仿宋" w:hAnsi="仿宋" w:eastAsia="仿宋" w:cs="仿宋"/>
          <w:szCs w:val="20"/>
          <w:u w:val="single"/>
        </w:rPr>
        <w:t xml:space="preserve">                </w:t>
      </w:r>
      <w:r>
        <w:rPr>
          <w:rFonts w:hint="eastAsia" w:ascii="仿宋" w:hAnsi="仿宋" w:eastAsia="仿宋" w:cs="仿宋"/>
          <w:szCs w:val="20"/>
        </w:rPr>
        <w:t xml:space="preserve">系</w:t>
      </w:r>
      <w:r>
        <w:rPr>
          <w:rFonts w:hint="eastAsia" w:ascii="仿宋" w:hAnsi="仿宋" w:eastAsia="仿宋" w:cs="仿宋"/>
          <w:szCs w:val="20"/>
          <w:u w:val="single"/>
        </w:rPr>
        <w:t xml:space="preserve">    （供应商名称）   </w:t>
      </w:r>
      <w:r>
        <w:rPr>
          <w:rFonts w:hint="eastAsia" w:ascii="仿宋" w:hAnsi="仿宋" w:eastAsia="仿宋" w:cs="仿宋"/>
          <w:szCs w:val="20"/>
        </w:rPr>
        <w:t xml:space="preserve">的法定代表人。</w:t>
      </w:r>
      <w:r/>
    </w:p>
    <w:p>
      <w:pPr>
        <w:ind w:firstLine="420"/>
        <w:spacing w:line="440" w:lineRule="exact"/>
        <w:rPr>
          <w:rFonts w:hint="eastAsia" w:ascii="仿宋" w:hAnsi="仿宋" w:eastAsia="仿宋" w:cs="仿宋"/>
          <w:szCs w:val="20"/>
        </w:rPr>
      </w:pPr>
      <w:r>
        <w:rPr>
          <w:rFonts w:hint="eastAsia" w:ascii="仿宋" w:hAnsi="仿宋" w:eastAsia="仿宋" w:cs="仿宋"/>
          <w:szCs w:val="20"/>
        </w:rPr>
        <w:t xml:space="preserve">特此证明。</w:t>
      </w:r>
      <w:r/>
    </w:p>
    <w:p>
      <w:pPr>
        <w:spacing w:line="440" w:lineRule="exact"/>
        <w:rPr>
          <w:rFonts w:hint="eastAsia" w:ascii="仿宋" w:hAnsi="仿宋" w:eastAsia="仿宋" w:cs="仿宋"/>
          <w:sz w:val="20"/>
          <w:szCs w:val="20"/>
        </w:rPr>
      </w:pPr>
      <w:r>
        <w:rPr>
          <w:rFonts w:hint="eastAsia" w:ascii="仿宋" w:hAnsi="仿宋" w:eastAsia="仿宋" w:cs="仿宋"/>
          <w:sz w:val="20"/>
          <w:szCs w:val="20"/>
        </w:rPr>
        <w:t xml:space="preserve">是否授权：</w:t>
      </w:r>
      <w:r>
        <w:rPr>
          <w:rFonts w:hint="eastAsia" w:ascii="仿宋" w:hAnsi="仿宋" w:eastAsia="仿宋" w:cs="仿宋"/>
          <w:sz w:val="20"/>
          <w:szCs w:val="20"/>
          <w:u w:val="single"/>
        </w:rPr>
        <w:t xml:space="preserve">      （是/否）</w:t>
      </w:r>
      <w:r/>
    </w:p>
    <w:p>
      <w:pPr>
        <w:spacing w:line="440" w:lineRule="exact"/>
        <w:rPr>
          <w:rFonts w:hint="eastAsia" w:ascii="仿宋" w:hAnsi="仿宋" w:eastAsia="仿宋" w:cs="仿宋"/>
          <w:szCs w:val="20"/>
        </w:rPr>
      </w:pPr>
      <w:r>
        <w:rPr>
          <w:rFonts w:hint="eastAsia" w:ascii="仿宋" w:hAnsi="仿宋" w:eastAsia="仿宋" w:cs="仿宋"/>
          <w:sz w:val="20"/>
          <w:szCs w:val="20"/>
        </w:rPr>
        <w:t xml:space="preserve">授权内容：</w:t>
      </w:r>
      <w:r/>
    </w:p>
    <w:p>
      <w:pPr>
        <w:ind w:firstLine="420"/>
        <w:spacing w:line="440" w:lineRule="exact"/>
        <w:rPr>
          <w:rFonts w:hint="eastAsia" w:ascii="仿宋" w:hAnsi="仿宋" w:eastAsia="仿宋" w:cs="仿宋"/>
          <w:szCs w:val="20"/>
        </w:rPr>
      </w:pPr>
      <w:r>
        <w:rPr>
          <w:rFonts w:hint="eastAsia" w:ascii="仿宋" w:hAnsi="仿宋" w:eastAsia="仿宋" w:cs="仿宋"/>
          <w:szCs w:val="20"/>
        </w:rPr>
        <w:t xml:space="preserve">本人</w:t>
      </w:r>
      <w:r>
        <w:rPr>
          <w:rFonts w:hint="eastAsia" w:ascii="仿宋" w:hAnsi="仿宋" w:eastAsia="仿宋" w:cs="仿宋"/>
          <w:szCs w:val="20"/>
          <w:u w:val="single"/>
        </w:rPr>
        <w:t xml:space="preserve">（姓名）</w:t>
      </w:r>
      <w:r>
        <w:rPr>
          <w:rFonts w:hint="eastAsia" w:ascii="仿宋" w:hAnsi="仿宋" w:eastAsia="仿宋" w:cs="仿宋"/>
          <w:szCs w:val="20"/>
        </w:rPr>
        <w:t xml:space="preserve">系</w:t>
      </w:r>
      <w:r>
        <w:rPr>
          <w:rFonts w:hint="eastAsia" w:ascii="仿宋" w:hAnsi="仿宋" w:eastAsia="仿宋" w:cs="仿宋"/>
          <w:szCs w:val="20"/>
          <w:u w:val="single"/>
        </w:rPr>
        <w:t xml:space="preserve"> （供应商名称）</w:t>
      </w:r>
      <w:r>
        <w:rPr>
          <w:rFonts w:hint="eastAsia" w:ascii="仿宋" w:hAnsi="仿宋" w:eastAsia="仿宋" w:cs="仿宋"/>
          <w:szCs w:val="20"/>
        </w:rPr>
        <w:t xml:space="preserve">的法定代表人，现委托</w:t>
      </w:r>
      <w:r>
        <w:rPr>
          <w:rFonts w:hint="eastAsia" w:ascii="仿宋" w:hAnsi="仿宋" w:eastAsia="仿宋" w:cs="仿宋"/>
          <w:szCs w:val="20"/>
          <w:u w:val="single"/>
        </w:rPr>
        <w:t xml:space="preserve"> （姓名） </w:t>
      </w:r>
      <w:r>
        <w:rPr>
          <w:rFonts w:hint="eastAsia" w:ascii="仿宋" w:hAnsi="仿宋" w:eastAsia="仿宋" w:cs="仿宋"/>
          <w:szCs w:val="20"/>
        </w:rPr>
        <w:t xml:space="preserve">，身份证号码：</w:t>
      </w:r>
      <w:r>
        <w:rPr>
          <w:rFonts w:hint="eastAsia" w:ascii="仿宋" w:hAnsi="仿宋" w:eastAsia="仿宋" w:cs="仿宋"/>
          <w:szCs w:val="20"/>
          <w:u w:val="single"/>
        </w:rPr>
        <w:t xml:space="preserve">         </w:t>
      </w:r>
      <w:r>
        <w:rPr>
          <w:rFonts w:hint="eastAsia" w:ascii="仿宋" w:hAnsi="仿宋" w:eastAsia="仿宋" w:cs="仿宋"/>
          <w:szCs w:val="20"/>
        </w:rPr>
        <w:t xml:space="preserve">为我方代理人。代理人根据授权，以我方名义签署、澄清、说明、补正、递交、撤回、修改</w:t>
      </w:r>
      <w:r>
        <w:rPr>
          <w:rFonts w:hint="eastAsia" w:ascii="仿宋" w:hAnsi="仿宋" w:eastAsia="仿宋" w:cs="仿宋"/>
          <w:szCs w:val="20"/>
          <w:u w:val="single"/>
        </w:rPr>
        <w:t xml:space="preserve">  （项目名称）（项目编号）  </w:t>
      </w:r>
      <w:r>
        <w:rPr>
          <w:rFonts w:hint="eastAsia" w:ascii="仿宋" w:hAnsi="仿宋" w:eastAsia="仿宋" w:cs="仿宋"/>
          <w:szCs w:val="20"/>
        </w:rPr>
        <w:t xml:space="preserve">投标文件、签订合同和处理有关事宜，其法律后果由我方承担。</w:t>
      </w:r>
      <w:r/>
    </w:p>
    <w:p>
      <w:pPr>
        <w:spacing w:line="440" w:lineRule="exact"/>
        <w:rPr>
          <w:rFonts w:hint="eastAsia" w:ascii="仿宋" w:hAnsi="仿宋" w:eastAsia="仿宋" w:cs="仿宋"/>
          <w:szCs w:val="20"/>
        </w:rPr>
      </w:pPr>
      <w:r>
        <w:rPr>
          <w:rFonts w:hint="eastAsia" w:ascii="仿宋" w:hAnsi="仿宋" w:eastAsia="仿宋" w:cs="仿宋"/>
          <w:szCs w:val="20"/>
        </w:rPr>
        <w:t xml:space="preserve">    委托期限：</w:t>
      </w:r>
      <w:r>
        <w:rPr>
          <w:rFonts w:hint="eastAsia" w:ascii="仿宋" w:hAnsi="仿宋" w:eastAsia="仿宋" w:cs="仿宋"/>
          <w:szCs w:val="20"/>
          <w:u w:val="single"/>
        </w:rPr>
        <w:t xml:space="preserve">             </w:t>
      </w:r>
      <w:r>
        <w:rPr>
          <w:rFonts w:hint="eastAsia" w:ascii="仿宋" w:hAnsi="仿宋" w:eastAsia="仿宋" w:cs="仿宋"/>
          <w:szCs w:val="20"/>
        </w:rPr>
        <w:t xml:space="preserve">。</w:t>
      </w:r>
      <w:r/>
    </w:p>
    <w:p>
      <w:pPr>
        <w:ind w:firstLine="420"/>
        <w:spacing w:line="440" w:lineRule="exact"/>
        <w:rPr>
          <w:rFonts w:hint="eastAsia" w:ascii="仿宋" w:hAnsi="仿宋" w:eastAsia="仿宋" w:cs="仿宋"/>
          <w:szCs w:val="20"/>
        </w:rPr>
      </w:pPr>
      <w:r>
        <w:rPr>
          <w:rFonts w:hint="eastAsia" w:ascii="仿宋" w:hAnsi="仿宋" w:eastAsia="仿宋" w:cs="仿宋"/>
          <w:szCs w:val="20"/>
        </w:rPr>
        <w:t xml:space="preserve">代理人无转委托权。</w:t>
      </w:r>
      <w:r/>
    </w:p>
    <w:p>
      <w:pPr>
        <w:ind w:firstLine="420"/>
        <w:spacing w:line="440" w:lineRule="exact"/>
        <w:rPr>
          <w:rFonts w:hint="eastAsia" w:ascii="仿宋" w:hAnsi="仿宋" w:eastAsia="仿宋" w:cs="仿宋"/>
          <w:szCs w:val="20"/>
        </w:rPr>
      </w:pPr>
      <w:r>
        <w:rPr>
          <w:rFonts w:hint="eastAsia" w:ascii="仿宋" w:hAnsi="仿宋" w:eastAsia="仿宋" w:cs="仿宋"/>
          <w:szCs w:val="20"/>
        </w:rPr>
        <w:t xml:space="preserve">法人代表身份证（正反面），授权代表身份证（正反面）（如有）</w:t>
      </w:r>
      <w:r/>
    </w:p>
    <w:p>
      <w:pPr>
        <w:jc w:val="right"/>
        <w:spacing w:line="440" w:lineRule="exact"/>
        <w:rPr>
          <w:rFonts w:hint="eastAsia" w:ascii="仿宋" w:hAnsi="仿宋" w:eastAsia="仿宋" w:cs="仿宋"/>
          <w:szCs w:val="20"/>
        </w:rPr>
      </w:pPr>
      <w:r>
        <w:rPr>
          <w:rFonts w:hint="eastAsia" w:ascii="仿宋" w:hAnsi="仿宋" w:eastAsia="仿宋" w:cs="仿宋"/>
          <w:szCs w:val="20"/>
        </w:rPr>
        <w:t xml:space="preserve">                          供应商：</w:t>
      </w:r>
      <w:r>
        <w:rPr>
          <w:rFonts w:hint="eastAsia" w:ascii="仿宋" w:hAnsi="仿宋" w:eastAsia="仿宋" w:cs="仿宋"/>
          <w:szCs w:val="20"/>
          <w:u w:val="single"/>
        </w:rPr>
        <w:t xml:space="preserve">                 </w:t>
      </w:r>
      <w:r>
        <w:rPr>
          <w:rFonts w:hint="eastAsia" w:ascii="仿宋" w:hAnsi="仿宋" w:eastAsia="仿宋" w:cs="仿宋"/>
          <w:szCs w:val="20"/>
        </w:rPr>
        <w:t xml:space="preserve">（盖章）</w:t>
      </w:r>
      <w:r/>
    </w:p>
    <w:p>
      <w:pPr>
        <w:jc w:val="right"/>
        <w:spacing w:line="440" w:lineRule="exact"/>
        <w:rPr>
          <w:rFonts w:hint="eastAsia" w:ascii="仿宋" w:hAnsi="仿宋" w:eastAsia="仿宋" w:cs="仿宋"/>
          <w:szCs w:val="20"/>
        </w:rPr>
      </w:pPr>
      <w:r>
        <w:rPr>
          <w:rFonts w:hint="eastAsia" w:ascii="仿宋" w:hAnsi="仿宋" w:eastAsia="仿宋" w:cs="仿宋"/>
          <w:szCs w:val="20"/>
        </w:rPr>
        <w:t xml:space="preserve">法定代表人：</w:t>
      </w:r>
      <w:r>
        <w:rPr>
          <w:rFonts w:hint="eastAsia" w:ascii="仿宋" w:hAnsi="仿宋" w:eastAsia="仿宋" w:cs="仿宋"/>
          <w:szCs w:val="20"/>
          <w:u w:val="single"/>
        </w:rPr>
        <w:t xml:space="preserve">（签字或盖章）</w:t>
      </w:r>
      <w:r/>
    </w:p>
    <w:p>
      <w:pPr>
        <w:ind w:left="743"/>
        <w:jc w:val="right"/>
        <w:spacing w:line="276" w:lineRule="auto"/>
        <w:rPr>
          <w:rFonts w:hint="eastAsia" w:ascii="仿宋" w:hAnsi="仿宋" w:eastAsia="仿宋" w:cs="仿宋"/>
          <w:szCs w:val="20"/>
        </w:rPr>
      </w:pPr>
      <w:r>
        <w:rPr>
          <w:rFonts w:hint="eastAsia" w:ascii="仿宋" w:hAnsi="仿宋" w:eastAsia="仿宋" w:cs="仿宋"/>
          <w:szCs w:val="20"/>
        </w:rPr>
        <w:t xml:space="preserve">                                   </w:t>
      </w:r>
      <w:r>
        <w:rPr>
          <w:rFonts w:hint="eastAsia" w:ascii="仿宋" w:hAnsi="仿宋" w:eastAsia="仿宋" w:cs="仿宋"/>
          <w:szCs w:val="20"/>
          <w:u w:val="single"/>
        </w:rPr>
        <w:t xml:space="preserve">       </w:t>
      </w:r>
      <w:r>
        <w:rPr>
          <w:rFonts w:hint="eastAsia" w:ascii="仿宋" w:hAnsi="仿宋" w:eastAsia="仿宋" w:cs="仿宋"/>
          <w:szCs w:val="20"/>
        </w:rPr>
        <w:t xml:space="preserve">年</w:t>
      </w:r>
      <w:r>
        <w:rPr>
          <w:rFonts w:hint="eastAsia" w:ascii="仿宋" w:hAnsi="仿宋" w:eastAsia="仿宋" w:cs="仿宋"/>
          <w:szCs w:val="20"/>
          <w:u w:val="single"/>
        </w:rPr>
        <w:t xml:space="preserve">       </w:t>
      </w:r>
      <w:r>
        <w:rPr>
          <w:rFonts w:hint="eastAsia" w:ascii="仿宋" w:hAnsi="仿宋" w:eastAsia="仿宋" w:cs="仿宋"/>
          <w:szCs w:val="20"/>
        </w:rPr>
        <w:t xml:space="preserve">月</w:t>
      </w:r>
      <w:r>
        <w:rPr>
          <w:rFonts w:hint="eastAsia" w:ascii="仿宋" w:hAnsi="仿宋" w:eastAsia="仿宋" w:cs="仿宋"/>
          <w:szCs w:val="20"/>
          <w:u w:val="single"/>
        </w:rPr>
        <w:t xml:space="preserve">       </w:t>
      </w:r>
      <w:r>
        <w:rPr>
          <w:rFonts w:hint="eastAsia" w:ascii="仿宋" w:hAnsi="仿宋" w:eastAsia="仿宋" w:cs="仿宋"/>
          <w:szCs w:val="20"/>
        </w:rPr>
        <w:t xml:space="preserve">日</w:t>
      </w:r>
      <w:r/>
    </w:p>
    <w:p>
      <w:pPr>
        <w:jc w:val="left"/>
        <w:widowControl/>
        <w:rPr>
          <w:rFonts w:hint="eastAsia" w:ascii="仿宋" w:hAnsi="仿宋" w:eastAsia="仿宋" w:cs="仿宋"/>
          <w:b/>
          <w:color w:val="000000" w:themeColor="text1"/>
          <w:sz w:val="24"/>
          <w14:textFill>
            <w14:solidFill>
              <w14:schemeClr w14:val="tx1"/>
            </w14:solidFill>
          </w14:textFill>
        </w:rPr>
      </w:pPr>
      <w:r/>
      <w:bookmarkStart w:id="57" w:name="_Toc315"/>
      <w:r/>
      <w:bookmarkStart w:id="58" w:name="_Toc9221"/>
      <w:r>
        <w:rPr>
          <w:rFonts w:hint="eastAsia" w:ascii="仿宋" w:hAnsi="仿宋" w:eastAsia="仿宋" w:cs="仿宋"/>
          <w:b/>
          <w:color w:val="000000" w:themeColor="text1"/>
          <w:sz w:val="24"/>
          <w14:textFill>
            <w14:solidFill>
              <w14:schemeClr w14:val="tx1"/>
            </w14:solidFill>
          </w14:textFill>
        </w:rPr>
        <w:br w:type="page" w:clear="all"/>
      </w:r>
      <w:r/>
    </w:p>
    <w:p>
      <w:pPr>
        <w:pStyle w:val="830"/>
        <w:ind w:left="743"/>
        <w:spacing w:before="62"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三、磋商报价表</w:t>
      </w:r>
      <w:bookmarkEnd w:id="57"/>
      <w:r/>
      <w:bookmarkEnd w:id="58"/>
      <w:r/>
      <w:r/>
    </w:p>
    <w:p>
      <w:pPr>
        <w:ind w:left="743"/>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磋商报价表</w:t>
      </w:r>
      <w:r/>
    </w:p>
    <w:p>
      <w:pPr>
        <w:pStyle w:val="862"/>
        <w:rPr>
          <w:rFonts w:hint="eastAsia" w:ascii="仿宋" w:hAnsi="仿宋" w:eastAsia="仿宋" w:cs="仿宋"/>
          <w:sz w:val="21"/>
          <w:szCs w:val="21"/>
        </w:rPr>
      </w:pPr>
      <w:r>
        <w:rPr>
          <w:rFonts w:hint="eastAsia" w:ascii="仿宋" w:hAnsi="仿宋" w:eastAsia="仿宋" w:cs="仿宋"/>
          <w:sz w:val="21"/>
          <w:szCs w:val="21"/>
        </w:rPr>
        <w:t xml:space="preserve">本次为首次报价                                  货币单位：人民币元</w:t>
      </w:r>
      <w:r/>
    </w:p>
    <w:p>
      <w:pPr>
        <w:pStyle w:val="862"/>
        <w:rPr>
          <w:rFonts w:hint="eastAsia" w:ascii="仿宋" w:hAnsi="仿宋" w:eastAsia="仿宋" w:cs="仿宋"/>
          <w:sz w:val="21"/>
          <w:szCs w:val="21"/>
        </w:rPr>
      </w:pPr>
      <w:r>
        <w:rPr>
          <w:rFonts w:hint="eastAsia" w:ascii="仿宋" w:hAnsi="仿宋" w:eastAsia="仿宋" w:cs="仿宋"/>
          <w:sz w:val="21"/>
          <w:szCs w:val="21"/>
        </w:rPr>
        <w:t xml:space="preserve">项目编号：</w:t>
      </w:r>
      <w:r>
        <w:rPr>
          <w:rStyle w:val="1121"/>
          <w:rFonts w:hint="eastAsia" w:ascii="仿宋" w:hAnsi="仿宋" w:eastAsia="仿宋" w:cs="仿宋"/>
          <w:sz w:val="21"/>
          <w:szCs w:val="21"/>
        </w:rPr>
        <w:t xml:space="preserve">项目编号</w:t>
      </w:r>
      <w:r>
        <w:rPr>
          <w:rFonts w:hint="eastAsia" w:ascii="仿宋" w:hAnsi="仿宋" w:eastAsia="仿宋" w:cs="仿宋"/>
          <w:sz w:val="21"/>
          <w:szCs w:val="21"/>
        </w:rPr>
        <w:t xml:space="preserve"> </w:t>
      </w:r>
      <w:r/>
    </w:p>
    <w:tbl>
      <w:tblPr>
        <w:tblStyle w:val="839"/>
        <w:tblW w:w="483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17"/>
        <w:gridCol w:w="3190"/>
        <w:gridCol w:w="1419"/>
        <w:gridCol w:w="3307"/>
      </w:tblGrid>
      <w:tr>
        <w:trPr>
          <w:jc w:val="center"/>
          <w:trHeight w:val="454"/>
        </w:trPr>
        <w:tc>
          <w:tcPr>
            <w:tcW w:w="1698"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项目名称：</w:t>
            </w:r>
            <w:r/>
          </w:p>
        </w:tc>
        <w:tc>
          <w:tcPr>
            <w:tcW w:w="3156" w:type="dxa"/>
            <w:vAlign w:val="center"/>
            <w:textDirection w:val="lrTb"/>
            <w:noWrap w:val="false"/>
          </w:tcPr>
          <w:p>
            <w:pPr>
              <w:ind w:left="743"/>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c>
          <w:tcPr>
            <w:tcW w:w="140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项目编号：</w:t>
            </w:r>
            <w:r/>
          </w:p>
        </w:tc>
        <w:tc>
          <w:tcPr>
            <w:tcW w:w="3271"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r>
      <w:tr>
        <w:trPr>
          <w:jc w:val="center"/>
          <w:trHeight w:val="491"/>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en-US" w:eastAsia="zh-CN" w:bidi="ar-SA"/>
              </w:rPr>
              <w:t xml:space="preserve">供应商名称</w:t>
            </w:r>
            <w:r/>
          </w:p>
        </w:tc>
        <w:tc>
          <w:tcPr>
            <w:gridSpan w:val="2"/>
            <w:tcW w:w="4675" w:type="dxa"/>
            <w:vAlign w:val="center"/>
            <w:textDirection w:val="lrTb"/>
            <w:noWrap w:val="false"/>
          </w:tcPr>
          <w:p>
            <w:pPr>
              <w:ind w:left="743"/>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r>
      <w:tr>
        <w:trPr>
          <w:jc w:val="center"/>
          <w:trHeight w:val="429"/>
        </w:trPr>
        <w:tc>
          <w:tcPr>
            <w:gridSpan w:val="2"/>
            <w:tcW w:w="4854" w:type="dxa"/>
            <w:vAlign w:val="center"/>
            <w:textDirection w:val="lrTb"/>
            <w:noWrap w:val="false"/>
          </w:tcPr>
          <w:p>
            <w:pPr>
              <w:jc w:val="center"/>
              <w:rPr>
                <w:rFonts w:hint="default"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折扣率（%）</w:t>
            </w:r>
            <w:r/>
          </w:p>
        </w:tc>
        <w:tc>
          <w:tcPr>
            <w:gridSpan w:val="2"/>
            <w:tcW w:w="4675" w:type="dxa"/>
            <w:vAlign w:val="center"/>
            <w:textDirection w:val="lrTb"/>
            <w:noWrap w:val="false"/>
          </w:tcPr>
          <w:p>
            <w:pPr>
              <w:ind w:left="743"/>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项目负责人（姓名）</w:t>
            </w:r>
            <w:r/>
          </w:p>
        </w:tc>
        <w:tc>
          <w:tcPr>
            <w:gridSpan w:val="2"/>
            <w:tcW w:w="4675" w:type="dxa"/>
            <w:vAlign w:val="center"/>
            <w:textDirection w:val="lrTb"/>
            <w:noWrap w:val="false"/>
          </w:tcPr>
          <w:p>
            <w:pPr>
              <w:ind w:left="743"/>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服务期</w:t>
            </w:r>
            <w:r/>
          </w:p>
        </w:tc>
        <w:tc>
          <w:tcPr>
            <w:gridSpan w:val="2"/>
            <w:tcW w:w="4675" w:type="dxa"/>
            <w:vAlign w:val="center"/>
            <w:textDirection w:val="lrTb"/>
            <w:noWrap w:val="false"/>
          </w:tcPr>
          <w:p>
            <w:pPr>
              <w:ind w:left="743"/>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是否属于小微型企业</w:t>
            </w:r>
            <w:r/>
          </w:p>
        </w:tc>
        <w:tc>
          <w:tcPr>
            <w:gridSpan w:val="2"/>
            <w:tcW w:w="4675"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 </w:t>
            </w:r>
            <w:r>
              <w:rPr>
                <w:rFonts w:hint="eastAsia" w:ascii="仿宋" w:hAnsi="仿宋" w:eastAsia="仿宋" w:cs="仿宋"/>
                <w:sz w:val="21"/>
                <w:szCs w:val="21"/>
                <w:lang w:val="en-US" w:eastAsia="zh-CN" w:bidi="ar-SA"/>
              </w:rPr>
              <w:t xml:space="preserve">   </w:t>
            </w:r>
            <w:r>
              <w:rPr>
                <w:rFonts w:hint="eastAsia" w:ascii="仿宋" w:hAnsi="仿宋" w:eastAsia="仿宋" w:cs="仿宋"/>
                <w:sz w:val="21"/>
                <w:szCs w:val="21"/>
                <w:lang w:val="zh-CN" w:eastAsia="zh-CN" w:bidi="ar-SA"/>
              </w:rPr>
              <w:t xml:space="preserve"> 否□</w:t>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是否全部属于残疾人福利性单位产品</w:t>
            </w:r>
            <w:r/>
          </w:p>
        </w:tc>
        <w:tc>
          <w:tcPr>
            <w:gridSpan w:val="2"/>
            <w:tcW w:w="4675"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     否□</w:t>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是否全部属于监狱企业产品</w:t>
            </w:r>
            <w:r/>
          </w:p>
        </w:tc>
        <w:tc>
          <w:tcPr>
            <w:gridSpan w:val="2"/>
            <w:tcW w:w="4675"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     否□</w:t>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是否全部属于</w:t>
            </w:r>
            <w:r>
              <w:rPr>
                <w:rFonts w:hint="eastAsia" w:ascii="仿宋" w:hAnsi="仿宋" w:eastAsia="仿宋" w:cs="仿宋"/>
                <w:sz w:val="21"/>
                <w:szCs w:val="21"/>
                <w:lang w:val="en-US" w:eastAsia="zh-CN" w:bidi="ar-SA"/>
              </w:rPr>
              <w:t xml:space="preserve">节能产品和环保产品</w:t>
            </w:r>
            <w:r/>
          </w:p>
        </w:tc>
        <w:tc>
          <w:tcPr>
            <w:gridSpan w:val="2"/>
            <w:tcW w:w="4675"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     否□</w:t>
            </w:r>
            <w:r/>
          </w:p>
        </w:tc>
      </w:tr>
    </w:tbl>
    <w:p>
      <w:pPr>
        <w:pStyle w:val="862"/>
        <w:spacing w:beforeAutospacing="0" w:afterAutospacing="0"/>
        <w:widowControl/>
        <w:rPr>
          <w:rFonts w:hint="eastAsia" w:ascii="仿宋" w:hAnsi="仿宋" w:eastAsia="仿宋" w:cs="仿宋"/>
          <w:sz w:val="21"/>
          <w:szCs w:val="21"/>
        </w:rPr>
      </w:pPr>
      <w:r>
        <w:rPr>
          <w:rFonts w:hint="eastAsia" w:ascii="仿宋" w:hAnsi="仿宋" w:eastAsia="仿宋" w:cs="仿宋"/>
          <w:sz w:val="21"/>
          <w:szCs w:val="21"/>
        </w:rPr>
        <w:t xml:space="preserve">报价说明：</w:t>
      </w:r>
      <w:r/>
    </w:p>
    <w:p>
      <w:pPr>
        <w:pStyle w:val="862"/>
        <w:spacing w:beforeAutospacing="0" w:afterAutospacing="0"/>
        <w:widowControl/>
        <w:rPr>
          <w:rFonts w:hint="eastAsia" w:ascii="仿宋" w:hAnsi="仿宋" w:eastAsia="仿宋" w:cs="仿宋"/>
          <w:sz w:val="21"/>
          <w:szCs w:val="21"/>
        </w:rPr>
      </w:pPr>
      <w:r>
        <w:rPr>
          <w:rFonts w:hint="eastAsia" w:ascii="仿宋" w:hAnsi="仿宋" w:eastAsia="仿宋" w:cs="仿宋"/>
          <w:sz w:val="21"/>
          <w:szCs w:val="21"/>
          <w:lang w:eastAsia="zh-CN"/>
        </w:rPr>
        <w:t xml:space="preserve">1.</w:t>
      </w:r>
      <w:r>
        <w:rPr>
          <w:rFonts w:hint="eastAsia" w:ascii="仿宋" w:hAnsi="仿宋" w:eastAsia="仿宋" w:cs="仿宋"/>
          <w:sz w:val="21"/>
          <w:szCs w:val="21"/>
        </w:rPr>
        <w:t xml:space="preserve">报价包括完成项目的所有费用。采购人不再支付报价以外的任何费用。</w:t>
      </w:r>
      <w:r/>
    </w:p>
    <w:p>
      <w:pPr>
        <w:pStyle w:val="862"/>
        <w:spacing w:beforeAutospacing="0" w:afterAutospacing="0"/>
        <w:widowControl/>
        <w:rPr>
          <w:rFonts w:hint="eastAsia" w:ascii="仿宋" w:hAnsi="仿宋" w:eastAsia="仿宋" w:cs="仿宋"/>
          <w:sz w:val="21"/>
          <w:szCs w:val="21"/>
        </w:rPr>
      </w:pPr>
      <w:r>
        <w:rPr>
          <w:rFonts w:hint="eastAsia" w:ascii="仿宋" w:hAnsi="仿宋" w:eastAsia="仿宋" w:cs="仿宋"/>
          <w:sz w:val="21"/>
          <w:szCs w:val="21"/>
          <w:lang w:eastAsia="zh-CN"/>
        </w:rPr>
        <w:t xml:space="preserve">2.</w:t>
      </w:r>
      <w:r>
        <w:rPr>
          <w:rFonts w:hint="eastAsia" w:ascii="仿宋" w:hAnsi="仿宋" w:eastAsia="仿宋" w:cs="仿宋"/>
          <w:sz w:val="21"/>
          <w:szCs w:val="21"/>
        </w:rPr>
        <w:t xml:space="preserve">报价以总价为准，大小写不一致以大写为准；</w:t>
      </w:r>
      <w:r/>
    </w:p>
    <w:p>
      <w:pPr>
        <w:pStyle w:val="862"/>
        <w:spacing w:beforeAutospacing="0" w:afterAutospacing="0"/>
        <w:widowControl/>
        <w:rPr>
          <w:rFonts w:hint="eastAsia" w:ascii="仿宋" w:hAnsi="仿宋" w:eastAsia="仿宋" w:cs="仿宋"/>
          <w:sz w:val="21"/>
          <w:szCs w:val="21"/>
        </w:rPr>
      </w:pPr>
      <w:r>
        <w:rPr>
          <w:rFonts w:hint="eastAsia" w:ascii="仿宋" w:hAnsi="仿宋" w:eastAsia="仿宋" w:cs="仿宋"/>
          <w:sz w:val="21"/>
          <w:szCs w:val="21"/>
          <w:lang w:eastAsia="zh-CN"/>
        </w:rPr>
        <w:t xml:space="preserve">3.</w:t>
      </w:r>
      <w:r>
        <w:rPr>
          <w:rFonts w:hint="eastAsia" w:ascii="仿宋" w:hAnsi="仿宋" w:eastAsia="仿宋" w:cs="仿宋"/>
          <w:sz w:val="21"/>
          <w:szCs w:val="21"/>
        </w:rPr>
        <w:t xml:space="preserve">偏离说明：详见《偏离表》；</w:t>
      </w:r>
      <w:r/>
    </w:p>
    <w:p>
      <w:pPr>
        <w:pStyle w:val="862"/>
        <w:spacing w:beforeAutospacing="0" w:afterAutospacing="0"/>
        <w:widowControl/>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sz w:val="21"/>
          <w:szCs w:val="21"/>
        </w:rPr>
        <w:t xml:space="preserve">供应商（盖章）：</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830"/>
        <w:ind w:left="743"/>
        <w:spacing w:before="62" w:line="276" w:lineRule="auto"/>
        <w:rPr>
          <w:rFonts w:hint="eastAsia" w:ascii="仿宋" w:hAnsi="仿宋" w:eastAsia="仿宋" w:cs="仿宋"/>
          <w:b/>
          <w:color w:val="000000" w:themeColor="text1"/>
          <w:sz w:val="24"/>
          <w14:textFill>
            <w14:solidFill>
              <w14:schemeClr w14:val="tx1"/>
            </w14:solidFill>
          </w14:textFill>
        </w:rPr>
      </w:pPr>
      <w:r/>
      <w:bookmarkStart w:id="59" w:name="七、商务条款响应表"/>
      <w:r/>
      <w:bookmarkEnd w:id="59"/>
      <w:r/>
      <w:bookmarkStart w:id="60" w:name="_Toc17929"/>
      <w:r/>
      <w:bookmarkStart w:id="61" w:name="_Toc30396"/>
      <w:r>
        <w:rPr>
          <w:rFonts w:hint="eastAsia" w:ascii="仿宋" w:hAnsi="仿宋" w:eastAsia="仿宋" w:cs="仿宋"/>
          <w:b/>
          <w:color w:val="000000" w:themeColor="text1"/>
          <w:sz w:val="24"/>
          <w14:textFill>
            <w14:solidFill>
              <w14:schemeClr w14:val="tx1"/>
            </w14:solidFill>
          </w14:textFill>
        </w:rPr>
        <w:t xml:space="preserve">四、磋商分项报价表</w:t>
      </w:r>
      <w:bookmarkEnd w:id="60"/>
      <w:r/>
      <w:bookmarkEnd w:id="61"/>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磋商分项报价表</w:t>
      </w:r>
      <w:r/>
    </w:p>
    <w:p>
      <w:pPr>
        <w:spacing w:line="276" w:lineRule="auto"/>
        <w:rPr>
          <w:rFonts w:hint="eastAsia" w:ascii="仿宋" w:hAnsi="仿宋" w:eastAsia="仿宋" w:cs="仿宋"/>
          <w:color w:val="000000" w:themeColor="text1"/>
          <w:sz w:val="28"/>
          <w14:textFill>
            <w14:solidFill>
              <w14:schemeClr w14:val="tx1"/>
            </w14:solidFill>
          </w14:textFill>
        </w:rPr>
        <w:sectPr>
          <w:footerReference w:type="default" r:id="rId14"/>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sz w:val="28"/>
          <w14:textFill>
            <w14:solidFill>
              <w14:schemeClr w14:val="tx1"/>
            </w14:solidFill>
          </w14:textFill>
        </w:rPr>
      </w:r>
      <w:r/>
    </w:p>
    <w:p>
      <w:pPr>
        <w:pStyle w:val="843"/>
        <w:spacing w:before="5" w:line="276" w:lineRule="auto"/>
        <w:rPr>
          <w:rFonts w:hint="eastAsia" w:ascii="仿宋" w:hAnsi="仿宋" w:eastAsia="仿宋" w:cs="仿宋"/>
          <w:b/>
          <w:color w:val="000000" w:themeColor="text1"/>
          <w:sz w:val="8"/>
          <w14:textFill>
            <w14:solidFill>
              <w14:schemeClr w14:val="tx1"/>
            </w14:solidFill>
          </w14:textFill>
        </w:rPr>
      </w:pPr>
      <w:r>
        <w:rPr>
          <w:rFonts w:hint="eastAsia" w:ascii="仿宋" w:hAnsi="仿宋" w:eastAsia="仿宋" w:cs="仿宋"/>
          <w:b/>
          <w:color w:val="000000" w:themeColor="text1"/>
          <w:sz w:val="8"/>
          <w14:textFill>
            <w14:solidFill>
              <w14:schemeClr w14:val="tx1"/>
            </w14:solidFill>
          </w14:textFill>
        </w:rPr>
      </w:r>
      <w:r/>
    </w:p>
    <w:p>
      <w:pPr>
        <w:pStyle w:val="843"/>
        <w:ind w:left="743"/>
        <w:spacing w:before="76"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项目编号： </w:t>
      </w:r>
      <w:r/>
    </w:p>
    <w:p>
      <w:pPr>
        <w:pStyle w:val="843"/>
        <w:ind w:left="743"/>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项目名称：</w:t>
      </w:r>
      <w:r/>
    </w:p>
    <w:p>
      <w:pPr>
        <w:pStyle w:val="843"/>
        <w:spacing w:line="276" w:lineRule="auto"/>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19"/>
          <w14:textFill>
            <w14:solidFill>
              <w14:schemeClr w14:val="tx1"/>
            </w14:solidFill>
          </w14:textFill>
        </w:rPr>
      </w:r>
      <w:r/>
    </w:p>
    <w:p>
      <w:pPr>
        <w:pStyle w:val="843"/>
        <w:ind w:left="743"/>
        <w:jc w:val="center"/>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（★请按照采购文件“第三章 磋商项目需求”中“报价要求”的给定格式报价）</w:t>
      </w:r>
      <w:r/>
    </w:p>
    <w:p>
      <w:pPr>
        <w:pStyle w:val="843"/>
        <w:ind w:left="743"/>
        <w:jc w:val="center"/>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843"/>
        <w:ind w:left="743"/>
        <w:jc w:val="center"/>
        <w:spacing w:before="3" w:line="276" w:lineRule="auto"/>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（如有）</w:t>
      </w:r>
      <w:r/>
    </w:p>
    <w:p>
      <w:pPr>
        <w:pStyle w:val="843"/>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sz w:val="13"/>
          <w14:textFill>
            <w14:solidFill>
              <w14:schemeClr w14:val="tx1"/>
            </w14:solidFill>
          </w14:textFill>
        </w:rPr>
      </w:r>
      <w:r/>
    </w:p>
    <w:p>
      <w:pPr>
        <w:spacing w:line="276" w:lineRule="auto"/>
        <w:rPr>
          <w:rFonts w:hint="eastAsia" w:ascii="仿宋" w:hAnsi="仿宋" w:eastAsia="仿宋" w:cs="仿宋"/>
          <w:color w:val="000000" w:themeColor="text1"/>
          <w:sz w:val="13"/>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13"/>
          <w14:textFill>
            <w14:solidFill>
              <w14:schemeClr w14:val="tx1"/>
            </w14:solidFill>
          </w14:textFill>
        </w:rPr>
      </w:r>
      <w:r/>
    </w:p>
    <w:p>
      <w:pPr>
        <w:pStyle w:val="843"/>
        <w:spacing w:line="276" w:lineRule="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43"/>
        <w:ind w:left="1268" w:right="630"/>
        <w:jc w:val="right"/>
        <w:spacing w:line="276" w:lineRule="auto"/>
        <w:tabs>
          <w:tab w:val="left" w:pos="1899" w:leader="none"/>
          <w:tab w:val="left" w:pos="2739" w:leader="none"/>
          <w:tab w:val="left" w:pos="3368" w:leader="none"/>
          <w:tab w:val="left" w:pos="3894"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pStyle w:val="843"/>
        <w:spacing w:line="276" w:lineRule="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r>
      <w:r/>
    </w:p>
    <w:p>
      <w:pPr>
        <w:pStyle w:val="843"/>
        <w:spacing w:before="4" w:line="276" w:lineRule="auto"/>
        <w:rPr>
          <w:rFonts w:hint="eastAsia" w:ascii="仿宋" w:hAnsi="仿宋" w:eastAsia="仿宋" w:cs="仿宋"/>
          <w:color w:val="000000" w:themeColor="text1"/>
          <w:sz w:val="25"/>
          <w14:textFill>
            <w14:solidFill>
              <w14:schemeClr w14:val="tx1"/>
            </w14:solidFill>
          </w14:textFill>
        </w:rPr>
      </w:pPr>
      <w:r>
        <w:rPr>
          <w:rFonts w:hint="eastAsia" w:ascii="仿宋" w:hAnsi="仿宋" w:eastAsia="仿宋" w:cs="仿宋"/>
          <w:color w:val="000000" w:themeColor="text1"/>
          <w:sz w:val="25"/>
          <w14:textFill>
            <w14:solidFill>
              <w14:schemeClr w14:val="tx1"/>
            </w14:solidFill>
          </w14:textFill>
        </w:rPr>
      </w:r>
      <w:r/>
    </w:p>
    <w:p>
      <w:pPr>
        <w:pStyle w:val="843"/>
        <w:ind w:right="834" w:firstLine="398"/>
        <w:spacing w:line="276" w:lineRule="auto"/>
        <w:rPr>
          <w:rFonts w:hint="eastAsia" w:ascii="仿宋" w:hAnsi="仿宋" w:eastAsia="仿宋" w:cs="仿宋"/>
          <w:color w:val="000000" w:themeColor="text1"/>
          <w14:textFill>
            <w14:solidFill>
              <w14:schemeClr w14:val="tx1"/>
            </w14:solidFill>
          </w14:textFill>
        </w:rPr>
      </w:pPr>
      <w:r/>
      <w:bookmarkStart w:id="62" w:name="五、磋商保证金到账收据"/>
      <w:r/>
      <w:bookmarkEnd w:id="62"/>
      <w:r/>
      <w:bookmarkStart w:id="63" w:name="_bookmark18"/>
      <w:r/>
      <w:bookmarkEnd w:id="63"/>
      <w:r>
        <w:rPr>
          <w:rFonts w:hint="eastAsia" w:ascii="仿宋" w:hAnsi="仿宋" w:eastAsia="仿宋" w:cs="仿宋"/>
          <w:color w:val="000000" w:themeColor="text1"/>
          <w14:textFill>
            <w14:solidFill>
              <w14:schemeClr w14:val="tx1"/>
            </w14:solidFill>
          </w14:textFill>
        </w:rPr>
        <w:t xml:space="preserve">说明</w:t>
      </w:r>
      <w:r>
        <w:rPr>
          <w:rFonts w:hint="eastAsia" w:ascii="仿宋" w:hAnsi="仿宋" w:eastAsia="仿宋" w:cs="仿宋"/>
          <w:color w:val="000000" w:themeColor="text1"/>
          <w:lang w:eastAsia="zh-CN"/>
          <w14:textFill>
            <w14:solidFill>
              <w14:schemeClr w14:val="tx1"/>
            </w14:solidFill>
          </w14:textFill>
        </w:rPr>
        <w:t xml:space="preserve">：</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843"/>
        <w:ind w:left="743" w:right="755"/>
        <w:spacing w:before="5"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7"/>
          <w14:textFill>
            <w14:solidFill>
              <w14:schemeClr w14:val="tx1"/>
            </w14:solidFill>
          </w14:textFill>
        </w:rPr>
        <w:t xml:space="preserve">代理机构对每一项货物和服务仅接受一个价格，</w:t>
      </w:r>
      <w:r>
        <w:rPr>
          <w:rFonts w:hint="eastAsia" w:ascii="仿宋" w:hAnsi="仿宋" w:eastAsia="仿宋" w:cs="仿宋"/>
          <w:color w:val="000000" w:themeColor="text1"/>
          <w14:textFill>
            <w14:solidFill>
              <w14:schemeClr w14:val="tx1"/>
            </w14:solidFill>
          </w14:textFill>
        </w:rPr>
        <w:t xml:space="preserve">不得填报有选择性报价方案</w:t>
      </w:r>
      <w:r>
        <w:rPr>
          <w:rFonts w:hint="eastAsia" w:ascii="仿宋" w:hAnsi="仿宋" w:eastAsia="仿宋" w:cs="仿宋"/>
          <w:color w:val="000000" w:themeColor="text1"/>
          <w:spacing w:val="-6"/>
          <w14:textFill>
            <w14:solidFill>
              <w14:schemeClr w14:val="tx1"/>
            </w14:solidFill>
          </w14:textFill>
        </w:rPr>
        <w:t xml:space="preserve">。若有优惠条款须注</w:t>
      </w:r>
      <w:r>
        <w:rPr>
          <w:rFonts w:hint="eastAsia" w:ascii="仿宋" w:hAnsi="仿宋" w:eastAsia="仿宋" w:cs="仿宋"/>
          <w:color w:val="000000" w:themeColor="text1"/>
          <w:spacing w:val="-6"/>
          <w14:textFill>
            <w14:solidFill>
              <w14:schemeClr w14:val="tx1"/>
            </w14:solidFill>
          </w14:textFill>
        </w:rPr>
        <w:t xml:space="preserve">明，但不得影响报价，影响产品整体功能。</w:t>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before="7"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jc w:val="left"/>
        <w:widowControl/>
        <w:rPr>
          <w:rFonts w:hint="eastAsia" w:ascii="仿宋" w:hAnsi="仿宋" w:eastAsia="仿宋" w:cs="仿宋"/>
          <w:b/>
          <w:color w:val="000000" w:themeColor="text1"/>
          <w:sz w:val="24"/>
          <w14:textFill>
            <w14:solidFill>
              <w14:schemeClr w14:val="tx1"/>
            </w14:solidFill>
          </w14:textFill>
        </w:rPr>
      </w:pPr>
      <w:r/>
      <w:bookmarkStart w:id="64" w:name="六、资格证明"/>
      <w:r/>
      <w:bookmarkEnd w:id="64"/>
      <w:r/>
      <w:bookmarkStart w:id="65" w:name="_Toc20900"/>
      <w:r/>
      <w:bookmarkStart w:id="66" w:name="_Toc13703"/>
      <w:r>
        <w:rPr>
          <w:rFonts w:hint="eastAsia" w:ascii="仿宋" w:hAnsi="仿宋" w:eastAsia="仿宋" w:cs="仿宋"/>
          <w:b/>
          <w:color w:val="000000" w:themeColor="text1"/>
          <w:sz w:val="24"/>
          <w14:textFill>
            <w14:solidFill>
              <w14:schemeClr w14:val="tx1"/>
            </w14:solidFill>
          </w14:textFill>
        </w:rPr>
        <w:br w:type="page" w:clear="all"/>
      </w:r>
      <w:r/>
    </w:p>
    <w:p>
      <w:pPr>
        <w:ind w:right="8032"/>
        <w:jc w:val="center"/>
        <w:spacing w:before="66" w:line="276" w:lineRule="auto"/>
        <w:rPr>
          <w:rFonts w:hint="eastAsia" w:ascii="仿宋" w:hAnsi="仿宋" w:eastAsia="仿宋" w:cs="仿宋"/>
          <w:b/>
          <w:color w:val="000000" w:themeColor="text1"/>
          <w:sz w:val="24"/>
          <w14:textFill>
            <w14:solidFill>
              <w14:schemeClr w14:val="tx1"/>
            </w14:solidFill>
          </w14:textFill>
        </w:rPr>
        <w:outlineLvl w:val="1"/>
      </w:pPr>
      <w:r>
        <w:rPr>
          <w:rFonts w:hint="eastAsia" w:ascii="仿宋" w:hAnsi="仿宋" w:eastAsia="仿宋" w:cs="仿宋"/>
          <w:b/>
          <w:color w:val="000000" w:themeColor="text1"/>
          <w:sz w:val="24"/>
          <w14:textFill>
            <w14:solidFill>
              <w14:schemeClr w14:val="tx1"/>
            </w14:solidFill>
          </w14:textFill>
        </w:rPr>
        <w:t xml:space="preserve">五、资格证明</w:t>
      </w:r>
      <w:bookmarkEnd w:id="65"/>
      <w:r/>
      <w:bookmarkEnd w:id="66"/>
      <w:r/>
      <w:r/>
    </w:p>
    <w:p>
      <w:pPr>
        <w:ind w:left="1767" w:right="1357"/>
        <w:jc w:val="center"/>
        <w:spacing w:before="2"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资格证明</w:t>
      </w:r>
      <w:r/>
    </w:p>
    <w:p>
      <w:pPr>
        <w:pStyle w:val="843"/>
        <w:spacing w:line="276" w:lineRule="auto"/>
        <w:rPr>
          <w:rFonts w:hint="eastAsia" w:ascii="仿宋" w:hAnsi="仿宋" w:eastAsia="仿宋" w:cs="仿宋"/>
          <w:b/>
          <w:color w:val="000000" w:themeColor="text1"/>
          <w:sz w:val="16"/>
          <w14:textFill>
            <w14:solidFill>
              <w14:schemeClr w14:val="tx1"/>
            </w14:solidFill>
          </w14:textFill>
        </w:rPr>
      </w:pPr>
      <w:r>
        <w:rPr>
          <w:rFonts w:hint="eastAsia" w:ascii="仿宋" w:hAnsi="仿宋" w:eastAsia="仿宋" w:cs="仿宋"/>
          <w:b/>
          <w:color w:val="000000" w:themeColor="text1"/>
          <w:sz w:val="16"/>
          <w14:textFill>
            <w14:solidFill>
              <w14:schemeClr w14:val="tx1"/>
            </w14:solidFill>
          </w14:textFill>
        </w:rPr>
      </w:r>
      <w:r/>
    </w:p>
    <w:p>
      <w:pPr>
        <w:ind w:left="743" w:right="752" w:firstLine="480"/>
        <w:spacing w:before="66"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pacing w:val="-7"/>
          <w:sz w:val="24"/>
          <w14:textFill>
            <w14:solidFill>
              <w14:schemeClr w14:val="tx1"/>
            </w14:solidFill>
          </w14:textFill>
        </w:rPr>
        <w:t xml:space="preserve">格式由供应商自定，根据招标文件资格要求据实提交</w:t>
      </w:r>
      <w:r>
        <w:rPr>
          <w:rFonts w:hint="eastAsia" w:ascii="仿宋" w:hAnsi="仿宋" w:eastAsia="仿宋" w:cs="仿宋"/>
          <w:color w:val="000000" w:themeColor="text1"/>
          <w:spacing w:val="-7"/>
          <w:sz w:val="24"/>
          <w:lang w:eastAsia="zh-CN"/>
          <w14:textFill>
            <w14:solidFill>
              <w14:schemeClr w14:val="tx1"/>
            </w14:solidFill>
          </w14:textFill>
        </w:rPr>
        <w:t xml:space="preserve">，以</w:t>
      </w:r>
      <w:r>
        <w:rPr>
          <w:rFonts w:hint="eastAsia" w:ascii="仿宋" w:hAnsi="仿宋" w:eastAsia="仿宋" w:cs="仿宋"/>
          <w:color w:val="000000" w:themeColor="text1"/>
          <w:sz w:val="24"/>
          <w14:textFill>
            <w14:solidFill>
              <w14:schemeClr w14:val="tx1"/>
            </w14:solidFill>
          </w14:textFill>
        </w:rPr>
        <w:t xml:space="preserve">及供应商认为需要提供的其他资格证明文件等）</w:t>
      </w:r>
      <w:r/>
    </w:p>
    <w:p>
      <w:pPr>
        <w:spacing w:line="276" w:lineRule="auto"/>
        <w:rPr>
          <w:rFonts w:hint="eastAsia" w:ascii="仿宋" w:hAnsi="仿宋" w:eastAsia="仿宋" w:cs="仿宋"/>
          <w:color w:val="000000" w:themeColor="text1"/>
          <w:sz w:val="24"/>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4"/>
          <w14:textFill>
            <w14:solidFill>
              <w14:schemeClr w14:val="tx1"/>
            </w14:solidFill>
          </w14:textFill>
        </w:rPr>
      </w:r>
      <w:r/>
    </w:p>
    <w:p>
      <w:pPr>
        <w:pStyle w:val="843"/>
        <w:spacing w:before="9" w:line="276" w:lineRule="auto"/>
        <w:rPr>
          <w:rFonts w:hint="eastAsia" w:ascii="仿宋" w:hAnsi="仿宋" w:eastAsia="仿宋" w:cs="仿宋"/>
          <w:color w:val="000000" w:themeColor="text1"/>
          <w:sz w:val="9"/>
          <w14:textFill>
            <w14:solidFill>
              <w14:schemeClr w14:val="tx1"/>
            </w14:solidFill>
          </w14:textFill>
        </w:rPr>
      </w:pPr>
      <w:r>
        <w:rPr>
          <w:rFonts w:hint="eastAsia" w:ascii="仿宋" w:hAnsi="仿宋" w:eastAsia="仿宋" w:cs="仿宋"/>
          <w:color w:val="000000" w:themeColor="text1"/>
          <w:sz w:val="9"/>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outlineLvl w:val="1"/>
      </w:pPr>
      <w:r/>
      <w:bookmarkStart w:id="67" w:name="九、项目参与人员基本情况表"/>
      <w:r/>
      <w:bookmarkEnd w:id="67"/>
      <w:r/>
      <w:bookmarkStart w:id="68" w:name="_Toc16454"/>
      <w:r/>
      <w:bookmarkStart w:id="69" w:name="_Toc30005"/>
      <w:r>
        <w:rPr>
          <w:rFonts w:hint="eastAsia" w:ascii="仿宋" w:hAnsi="仿宋" w:eastAsia="仿宋" w:cs="仿宋"/>
          <w:b/>
          <w:color w:val="000000" w:themeColor="text1"/>
          <w:sz w:val="24"/>
          <w14:textFill>
            <w14:solidFill>
              <w14:schemeClr w14:val="tx1"/>
            </w14:solidFill>
          </w14:textFill>
        </w:rPr>
        <w:t xml:space="preserve">六、商务条款响应表</w:t>
      </w:r>
      <w:bookmarkEnd w:id="68"/>
      <w:r/>
      <w:bookmarkEnd w:id="69"/>
      <w:r/>
      <w:r/>
    </w:p>
    <w:p>
      <w:pPr>
        <w:pStyle w:val="843"/>
        <w:spacing w:before="1" w:line="276" w:lineRule="auto"/>
        <w:rPr>
          <w:rFonts w:hint="eastAsia" w:ascii="仿宋" w:hAnsi="仿宋" w:eastAsia="仿宋" w:cs="仿宋"/>
          <w:b/>
          <w:color w:val="000000" w:themeColor="text1"/>
          <w:sz w:val="18"/>
          <w14:textFill>
            <w14:solidFill>
              <w14:schemeClr w14:val="tx1"/>
            </w14:solidFill>
          </w14:textFill>
        </w:rPr>
      </w:pPr>
      <w:r>
        <w:rPr>
          <w:rFonts w:hint="eastAsia" w:ascii="仿宋" w:hAnsi="仿宋" w:eastAsia="仿宋" w:cs="仿宋"/>
          <w:b/>
          <w:color w:val="000000" w:themeColor="text1"/>
          <w:sz w:val="18"/>
          <w14:textFill>
            <w14:solidFill>
              <w14:schemeClr w14:val="tx1"/>
            </w14:solidFill>
          </w14:textFill>
        </w:rPr>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商务条款响应表</w:t>
      </w:r>
      <w:r/>
    </w:p>
    <w:p>
      <w:pPr>
        <w:pStyle w:val="843"/>
        <w:ind w:left="743"/>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项目编号： </w:t>
      </w:r>
      <w:r/>
    </w:p>
    <w:p>
      <w:pPr>
        <w:pStyle w:val="843"/>
        <w:ind w:left="743"/>
        <w:spacing w:before="3" w:after="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项目名称：</w:t>
      </w:r>
      <w:r/>
    </w:p>
    <w:tbl>
      <w:tblPr>
        <w:tblStyle w:val="839"/>
        <w:tblW w:w="92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2814"/>
        <w:gridCol w:w="2803"/>
        <w:gridCol w:w="2368"/>
      </w:tblGrid>
      <w:tr>
        <w:trPr>
          <w:jc w:val="center"/>
          <w:trHeight w:val="402"/>
        </w:trPr>
        <w:tc>
          <w:tcPr>
            <w:tcW w:w="1225" w:type="dxa"/>
            <w:textDirection w:val="lrTb"/>
            <w:noWrap w:val="false"/>
          </w:tcPr>
          <w:p>
            <w:pPr>
              <w:pStyle w:val="1097"/>
              <w:ind w:left="402"/>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序号</w:t>
            </w:r>
            <w:r/>
          </w:p>
        </w:tc>
        <w:tc>
          <w:tcPr>
            <w:tcW w:w="2814" w:type="dxa"/>
            <w:textDirection w:val="lrTb"/>
            <w:noWrap w:val="false"/>
          </w:tcPr>
          <w:p>
            <w:pPr>
              <w:pStyle w:val="1097"/>
              <w:jc w:val="center"/>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采购文件的商务条款</w:t>
            </w:r>
            <w:r/>
          </w:p>
        </w:tc>
        <w:tc>
          <w:tcPr>
            <w:tcW w:w="2803" w:type="dxa"/>
            <w:textDirection w:val="lrTb"/>
            <w:noWrap w:val="false"/>
          </w:tcPr>
          <w:p>
            <w:pPr>
              <w:pStyle w:val="1097"/>
              <w:jc w:val="center"/>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响应文件的商务条款</w:t>
            </w:r>
            <w:r/>
          </w:p>
        </w:tc>
        <w:tc>
          <w:tcPr>
            <w:tcW w:w="2368" w:type="dxa"/>
            <w:textDirection w:val="lrTb"/>
            <w:noWrap w:val="false"/>
          </w:tcPr>
          <w:p>
            <w:pPr>
              <w:pStyle w:val="1097"/>
              <w:jc w:val="center"/>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符合/正偏离/负偏</w:t>
            </w:r>
            <w:r>
              <w:rPr>
                <w:rFonts w:hint="eastAsia" w:ascii="仿宋" w:hAnsi="仿宋" w:eastAsia="仿宋" w:cs="仿宋"/>
                <w:b/>
                <w:color w:val="000000" w:themeColor="text1"/>
                <w:sz w:val="21"/>
                <w14:textFill>
                  <w14:solidFill>
                    <w14:schemeClr w14:val="tx1"/>
                  </w14:solidFill>
                </w14:textFill>
              </w:rPr>
              <w:t xml:space="preserve">离</w:t>
            </w:r>
            <w:r/>
          </w:p>
        </w:tc>
      </w:tr>
      <w:tr>
        <w:trPr>
          <w:jc w:val="center"/>
          <w:trHeight w:val="402"/>
        </w:trPr>
        <w:tc>
          <w:tcPr>
            <w:tcW w:w="1225" w:type="dxa"/>
            <w:textDirection w:val="lrTb"/>
            <w:noWrap w:val="false"/>
          </w:tcPr>
          <w:p>
            <w:pPr>
              <w:pStyle w:val="1097"/>
              <w:ind w:left="11"/>
              <w:jc w:val="center"/>
              <w:spacing w:before="66"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w:t>
            </w:r>
            <w:r/>
          </w:p>
        </w:tc>
        <w:tc>
          <w:tcPr>
            <w:tcW w:w="2814" w:type="dxa"/>
            <w:textDirection w:val="lrTb"/>
            <w:noWrap w:val="false"/>
          </w:tcPr>
          <w:p>
            <w:pPr>
              <w:pStyle w:val="1097"/>
              <w:ind w:left="910"/>
              <w:spacing w:before="66"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r>
            <w:r/>
          </w:p>
        </w:tc>
        <w:tc>
          <w:tcPr>
            <w:tcW w:w="2803"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02"/>
        </w:trPr>
        <w:tc>
          <w:tcPr>
            <w:tcW w:w="1225" w:type="dxa"/>
            <w:textDirection w:val="lrTb"/>
            <w:noWrap w:val="false"/>
          </w:tcPr>
          <w:p>
            <w:pPr>
              <w:pStyle w:val="1097"/>
              <w:ind w:left="11"/>
              <w:jc w:val="center"/>
              <w:spacing w:before="64"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2</w:t>
            </w:r>
            <w:r/>
          </w:p>
        </w:tc>
        <w:tc>
          <w:tcPr>
            <w:tcW w:w="2814" w:type="dxa"/>
            <w:textDirection w:val="lrTb"/>
            <w:noWrap w:val="false"/>
          </w:tcPr>
          <w:p>
            <w:pPr>
              <w:pStyle w:val="1097"/>
              <w:ind w:left="593"/>
              <w:spacing w:before="64"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r>
            <w:r/>
          </w:p>
        </w:tc>
        <w:tc>
          <w:tcPr>
            <w:tcW w:w="2803"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02"/>
        </w:trPr>
        <w:tc>
          <w:tcPr>
            <w:tcW w:w="1225" w:type="dxa"/>
            <w:textDirection w:val="lrTb"/>
            <w:noWrap w:val="false"/>
          </w:tcPr>
          <w:p>
            <w:pPr>
              <w:pStyle w:val="1097"/>
              <w:ind w:left="11"/>
              <w:jc w:val="center"/>
              <w:spacing w:before="65"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3</w:t>
            </w:r>
            <w:r/>
          </w:p>
        </w:tc>
        <w:tc>
          <w:tcPr>
            <w:tcW w:w="2814" w:type="dxa"/>
            <w:textDirection w:val="lrTb"/>
            <w:noWrap w:val="false"/>
          </w:tcPr>
          <w:p>
            <w:pPr>
              <w:pStyle w:val="1097"/>
              <w:ind w:left="910"/>
              <w:spacing w:before="65"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r>
            <w:r/>
          </w:p>
        </w:tc>
        <w:tc>
          <w:tcPr>
            <w:tcW w:w="2803"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01"/>
        </w:trPr>
        <w:tc>
          <w:tcPr>
            <w:tcW w:w="1225" w:type="dxa"/>
            <w:textDirection w:val="lrTb"/>
            <w:noWrap w:val="false"/>
          </w:tcPr>
          <w:p>
            <w:pPr>
              <w:pStyle w:val="1097"/>
              <w:ind w:left="11"/>
              <w:jc w:val="center"/>
              <w:spacing w:before="65"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4</w:t>
            </w:r>
            <w:r/>
          </w:p>
        </w:tc>
        <w:tc>
          <w:tcPr>
            <w:tcW w:w="2814"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803"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3"/>
        </w:trPr>
        <w:tc>
          <w:tcPr>
            <w:tcW w:w="1225" w:type="dxa"/>
            <w:textDirection w:val="lrTb"/>
            <w:noWrap w:val="false"/>
          </w:tcPr>
          <w:p>
            <w:pPr>
              <w:pStyle w:val="1097"/>
              <w:ind w:left="429"/>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c>
          <w:tcPr>
            <w:tcW w:w="2814" w:type="dxa"/>
            <w:textDirection w:val="lrTb"/>
            <w:noWrap w:val="false"/>
          </w:tcPr>
          <w:p>
            <w:pPr>
              <w:pStyle w:val="1097"/>
              <w:ind w:left="434"/>
              <w:jc w:val="center"/>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c>
          <w:tcPr>
            <w:tcW w:w="2803" w:type="dxa"/>
            <w:textDirection w:val="lrTb"/>
            <w:noWrap w:val="false"/>
          </w:tcPr>
          <w:p>
            <w:pPr>
              <w:pStyle w:val="1097"/>
              <w:ind w:left="434"/>
              <w:jc w:val="center"/>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c>
          <w:tcPr>
            <w:tcW w:w="2368" w:type="dxa"/>
            <w:textDirection w:val="lrTb"/>
            <w:noWrap w:val="false"/>
          </w:tcPr>
          <w:p>
            <w:pPr>
              <w:pStyle w:val="1097"/>
              <w:ind w:left="737"/>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r>
      <w:tr>
        <w:trPr>
          <w:jc w:val="center"/>
          <w:trHeight w:val="345"/>
        </w:trPr>
        <w:tc>
          <w:tcPr>
            <w:tcW w:w="122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814" w:type="dxa"/>
            <w:textDirection w:val="lrTb"/>
            <w:noWrap w:val="false"/>
          </w:tcPr>
          <w:p>
            <w:pPr>
              <w:pStyle w:val="1097"/>
              <w:spacing w:before="37" w:line="276" w:lineRule="auto"/>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15"/>
                <w:lang w:eastAsia="zh-CN"/>
                <w14:textFill>
                  <w14:solidFill>
                    <w14:schemeClr w14:val="tx1"/>
                  </w14:solidFill>
                </w14:textFill>
              </w:rPr>
              <w:t xml:space="preserve">（</w:t>
            </w:r>
            <w:r>
              <w:rPr>
                <w:rFonts w:hint="eastAsia" w:ascii="仿宋" w:hAnsi="仿宋" w:eastAsia="仿宋" w:cs="仿宋"/>
                <w:color w:val="000000" w:themeColor="text1"/>
                <w:sz w:val="21"/>
                <w:lang w:eastAsia="zh-CN"/>
                <w14:textFill>
                  <w14:solidFill>
                    <w14:schemeClr w14:val="tx1"/>
                  </w14:solidFill>
                </w14:textFill>
              </w:rPr>
              <w:t xml:space="preserve">行数不够，自行添加。若所有条款完全响应无偏离，则在表格中写“符合无偏离”）</w:t>
            </w:r>
            <w:r/>
          </w:p>
        </w:tc>
        <w:tc>
          <w:tcPr>
            <w:tcW w:w="2803"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r>
    </w:tbl>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43"/>
        <w:ind w:right="630"/>
        <w:jc w:val="right"/>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sz w:val="13"/>
          <w14:textFill>
            <w14:solidFill>
              <w14:schemeClr w14:val="tx1"/>
            </w14:solidFill>
          </w14:textFill>
        </w:rPr>
        <w:sectPr>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sz w:val="13"/>
          <w14:textFill>
            <w14:solidFill>
              <w14:schemeClr w14:val="tx1"/>
            </w14:solidFill>
          </w14:textFill>
        </w:rPr>
      </w:r>
      <w:r/>
    </w:p>
    <w:p>
      <w:pPr>
        <w:ind w:left="743"/>
        <w:spacing w:before="67" w:line="276" w:lineRule="auto"/>
        <w:rPr>
          <w:rFonts w:hint="eastAsia" w:ascii="仿宋" w:hAnsi="仿宋" w:eastAsia="仿宋" w:cs="仿宋"/>
          <w:b/>
          <w:color w:val="000000" w:themeColor="text1"/>
          <w:sz w:val="24"/>
          <w14:textFill>
            <w14:solidFill>
              <w14:schemeClr w14:val="tx1"/>
            </w14:solidFill>
          </w14:textFill>
        </w:rPr>
      </w:pPr>
      <w:r/>
      <w:bookmarkStart w:id="70" w:name="八、项目实施方案"/>
      <w:r/>
      <w:bookmarkEnd w:id="70"/>
      <w:r/>
      <w:r/>
    </w:p>
    <w:p>
      <w:pPr>
        <w:ind w:left="743"/>
        <w:spacing w:before="67"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jc w:val="left"/>
        <w:widowControl/>
        <w:rPr>
          <w:rFonts w:hint="eastAsia" w:ascii="仿宋" w:hAnsi="仿宋" w:eastAsia="仿宋" w:cs="仿宋"/>
          <w:b/>
          <w:color w:val="000000" w:themeColor="text1"/>
          <w:sz w:val="24"/>
          <w14:textFill>
            <w14:solidFill>
              <w14:schemeClr w14:val="tx1"/>
            </w14:solidFill>
          </w14:textFill>
        </w:rPr>
      </w:pPr>
      <w:r/>
      <w:bookmarkStart w:id="71" w:name="_Toc9555"/>
      <w:r/>
      <w:bookmarkStart w:id="72" w:name="_Toc7059"/>
      <w:r>
        <w:rPr>
          <w:rFonts w:hint="eastAsia" w:ascii="仿宋" w:hAnsi="仿宋" w:eastAsia="仿宋" w:cs="仿宋"/>
          <w:b/>
          <w:color w:val="000000" w:themeColor="text1"/>
          <w:sz w:val="24"/>
          <w14:textFill>
            <w14:solidFill>
              <w14:schemeClr w14:val="tx1"/>
            </w14:solidFill>
          </w14:textFill>
        </w:rPr>
        <w:br w:type="page" w:clear="all"/>
      </w:r>
      <w:r/>
    </w:p>
    <w:p>
      <w:pPr>
        <w:ind w:left="743"/>
        <w:spacing w:before="67" w:line="276" w:lineRule="auto"/>
        <w:rPr>
          <w:rFonts w:hint="eastAsia" w:ascii="仿宋" w:hAnsi="仿宋" w:eastAsia="仿宋" w:cs="仿宋"/>
          <w:b/>
          <w:color w:val="000000" w:themeColor="text1"/>
          <w:sz w:val="24"/>
          <w14:textFill>
            <w14:solidFill>
              <w14:schemeClr w14:val="tx1"/>
            </w14:solidFill>
          </w14:textFill>
        </w:rPr>
        <w:outlineLvl w:val="1"/>
      </w:pPr>
      <w:r>
        <w:rPr>
          <w:rFonts w:hint="eastAsia" w:ascii="仿宋" w:hAnsi="仿宋" w:eastAsia="仿宋" w:cs="仿宋"/>
          <w:b/>
          <w:color w:val="000000" w:themeColor="text1"/>
          <w:sz w:val="24"/>
          <w14:textFill>
            <w14:solidFill>
              <w14:schemeClr w14:val="tx1"/>
            </w14:solidFill>
          </w14:textFill>
        </w:rPr>
        <w:t xml:space="preserve">七、项目实施方案</w:t>
      </w:r>
      <w:bookmarkEnd w:id="71"/>
      <w:r/>
      <w:bookmarkEnd w:id="72"/>
      <w:r/>
      <w:r/>
    </w:p>
    <w:p>
      <w:pPr>
        <w:ind w:left="743"/>
        <w:jc w:val="center"/>
        <w:spacing w:before="19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项目实施方案</w:t>
      </w:r>
      <w:r/>
    </w:p>
    <w:p>
      <w:pPr>
        <w:ind w:left="923"/>
        <w:jc w:val="center"/>
        <w:spacing w:before="26"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（格式自拟）</w:t>
      </w:r>
      <w:r/>
    </w:p>
    <w:p>
      <w:pPr>
        <w:spacing w:line="276" w:lineRule="auto"/>
        <w:rPr>
          <w:rFonts w:hint="eastAsia" w:ascii="仿宋" w:hAnsi="仿宋" w:eastAsia="仿宋" w:cs="仿宋"/>
          <w:color w:val="000000" w:themeColor="text1"/>
          <w:sz w:val="24"/>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4"/>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before="9" w:line="276" w:lineRule="auto"/>
        <w:rPr>
          <w:rFonts w:hint="eastAsia" w:ascii="仿宋" w:hAnsi="仿宋" w:eastAsia="仿宋" w:cs="仿宋"/>
          <w:color w:val="000000" w:themeColor="text1"/>
          <w:sz w:val="23"/>
          <w14:textFill>
            <w14:solidFill>
              <w14:schemeClr w14:val="tx1"/>
            </w14:solidFill>
          </w14:textFill>
        </w:rPr>
      </w:pPr>
      <w:r>
        <w:rPr>
          <w:rFonts w:hint="eastAsia" w:ascii="仿宋" w:hAnsi="仿宋" w:eastAsia="仿宋" w:cs="仿宋"/>
          <w:color w:val="000000" w:themeColor="text1"/>
          <w:sz w:val="23"/>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43"/>
        <w:ind w:right="630"/>
        <w:jc w:val="right"/>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sz w:val="24"/>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4"/>
          <w14:textFill>
            <w14:solidFill>
              <w14:schemeClr w14:val="tx1"/>
            </w14:solidFill>
          </w14:textFill>
        </w:rPr>
      </w:r>
      <w:r/>
    </w:p>
    <w:p>
      <w:pPr>
        <w:pStyle w:val="830"/>
        <w:ind w:left="743"/>
        <w:spacing w:before="62" w:line="276" w:lineRule="auto"/>
        <w:rPr>
          <w:rFonts w:hint="eastAsia" w:ascii="仿宋" w:hAnsi="仿宋" w:eastAsia="仿宋" w:cs="仿宋"/>
          <w:b/>
          <w:color w:val="000000" w:themeColor="text1"/>
          <w:sz w:val="24"/>
          <w14:textFill>
            <w14:solidFill>
              <w14:schemeClr w14:val="tx1"/>
            </w14:solidFill>
          </w14:textFill>
        </w:rPr>
      </w:pPr>
      <w:r/>
      <w:bookmarkStart w:id="73" w:name="十、技术规格偏离表"/>
      <w:r/>
      <w:bookmarkEnd w:id="73"/>
      <w:r/>
      <w:bookmarkStart w:id="74" w:name="_Toc23925"/>
      <w:r/>
      <w:bookmarkStart w:id="75" w:name="_Toc16771"/>
      <w:r>
        <w:rPr>
          <w:rFonts w:hint="eastAsia" w:ascii="仿宋" w:hAnsi="仿宋" w:eastAsia="仿宋" w:cs="仿宋"/>
          <w:b/>
          <w:color w:val="000000" w:themeColor="text1"/>
          <w:sz w:val="24"/>
          <w14:textFill>
            <w14:solidFill>
              <w14:schemeClr w14:val="tx1"/>
            </w14:solidFill>
          </w14:textFill>
        </w:rPr>
        <w:t xml:space="preserve">八、项目组成员一览表</w:t>
      </w:r>
      <w:bookmarkEnd w:id="74"/>
      <w:r/>
      <w:bookmarkEnd w:id="75"/>
      <w:r/>
      <w:r/>
    </w:p>
    <w:p>
      <w:pPr>
        <w:ind w:left="1265" w:right="2"/>
        <w:jc w:val="center"/>
        <w:spacing w:before="70" w:line="276" w:lineRule="auto"/>
        <w:tabs>
          <w:tab w:val="left" w:pos="4641" w:leader="none"/>
        </w:tabs>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项目组成员一览表</w:t>
      </w:r>
      <w:r/>
    </w:p>
    <w:p>
      <w:pPr>
        <w:ind w:left="1265" w:right="2"/>
        <w:spacing w:before="70" w:line="276" w:lineRule="auto"/>
        <w:tabs>
          <w:tab w:val="left" w:pos="4641" w:leader="none"/>
        </w:tabs>
        <w:rPr>
          <w:rFonts w:hint="eastAsia"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1.项目负责人简历表</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tbl>
      <w:tblPr>
        <w:tblStyle w:val="839"/>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443"/>
        <w:gridCol w:w="1582"/>
        <w:gridCol w:w="1753"/>
        <w:gridCol w:w="1753"/>
      </w:tblGrid>
      <w:tr>
        <w:trPr>
          <w:trHeight w:val="340"/>
        </w:trPr>
        <w:tc>
          <w:tcPr>
            <w:tcW w:w="1605" w:type="dxa"/>
            <w:textDirection w:val="lrTb"/>
            <w:noWrap w:val="false"/>
          </w:tcPr>
          <w:p>
            <w:pPr>
              <w:pStyle w:val="1097"/>
              <w:ind w:left="594"/>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姓名</w:t>
            </w:r>
            <w:r/>
          </w:p>
        </w:tc>
        <w:tc>
          <w:tcPr>
            <w:gridSpan w:val="2"/>
            <w:tcW w:w="1334"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443" w:type="dxa"/>
            <w:textDirection w:val="lrTb"/>
            <w:noWrap w:val="false"/>
          </w:tcPr>
          <w:p>
            <w:pPr>
              <w:pStyle w:val="1097"/>
              <w:ind w:left="507" w:right="466"/>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性别</w:t>
            </w:r>
            <w:r/>
          </w:p>
        </w:tc>
        <w:tc>
          <w:tcPr>
            <w:tcW w:w="1582"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1097"/>
              <w:ind w:left="647" w:right="630"/>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年龄</w:t>
            </w:r>
            <w:r/>
          </w:p>
        </w:tc>
        <w:tc>
          <w:tcPr>
            <w:tcBorders>
              <w:left w:val="single" w:color="000000" w:sz="8" w:space="0"/>
            </w:tcBorders>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340"/>
        </w:trPr>
        <w:tc>
          <w:tcPr>
            <w:tcW w:w="1605" w:type="dxa"/>
            <w:textDirection w:val="lrTb"/>
            <w:noWrap w:val="false"/>
          </w:tcPr>
          <w:p>
            <w:pPr>
              <w:pStyle w:val="1097"/>
              <w:ind w:left="594"/>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职务</w:t>
            </w:r>
            <w:r/>
          </w:p>
        </w:tc>
        <w:tc>
          <w:tcPr>
            <w:gridSpan w:val="2"/>
            <w:tcW w:w="1334"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443" w:type="dxa"/>
            <w:textDirection w:val="lrTb"/>
            <w:noWrap w:val="false"/>
          </w:tcPr>
          <w:p>
            <w:pPr>
              <w:pStyle w:val="1097"/>
              <w:ind w:left="507" w:right="466"/>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职称</w:t>
            </w:r>
            <w:r/>
          </w:p>
        </w:tc>
        <w:tc>
          <w:tcPr>
            <w:tcW w:w="1582"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1097"/>
              <w:ind w:left="647" w:right="630"/>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学历</w:t>
            </w:r>
            <w:r/>
          </w:p>
        </w:tc>
        <w:tc>
          <w:tcPr>
            <w:tcBorders>
              <w:left w:val="single" w:color="000000" w:sz="8" w:space="0"/>
            </w:tcBorders>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340"/>
        </w:trPr>
        <w:tc>
          <w:tcPr>
            <w:gridSpan w:val="2"/>
            <w:tcW w:w="2009" w:type="dxa"/>
            <w:textDirection w:val="lrTb"/>
            <w:noWrap w:val="false"/>
          </w:tcPr>
          <w:p>
            <w:pPr>
              <w:pStyle w:val="1097"/>
              <w:ind w:left="373"/>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参加工作时间</w:t>
            </w:r>
            <w:r/>
          </w:p>
        </w:tc>
        <w:tc>
          <w:tcPr>
            <w:gridSpan w:val="2"/>
            <w:tcW w:w="237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gridSpan w:val="2"/>
            <w:tcBorders>
              <w:right w:val="single" w:color="000000" w:sz="8" w:space="0"/>
            </w:tcBorders>
            <w:tcW w:w="3335" w:type="dxa"/>
            <w:textDirection w:val="lrTb"/>
            <w:noWrap w:val="false"/>
          </w:tcPr>
          <w:p>
            <w:pPr>
              <w:pStyle w:val="1097"/>
              <w:ind w:left="945"/>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从事本行业工作年限</w:t>
            </w:r>
            <w:r/>
          </w:p>
        </w:tc>
        <w:tc>
          <w:tcPr>
            <w:tcBorders>
              <w:left w:val="single" w:color="000000" w:sz="8" w:space="0"/>
            </w:tcBorders>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340"/>
        </w:trPr>
        <w:tc>
          <w:tcPr>
            <w:gridSpan w:val="7"/>
            <w:tcW w:w="9470" w:type="dxa"/>
            <w:textDirection w:val="lrTb"/>
            <w:noWrap w:val="false"/>
          </w:tcPr>
          <w:p>
            <w:pPr>
              <w:pStyle w:val="1097"/>
              <w:ind w:left="4096" w:right="3520"/>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项目负责人业绩</w:t>
            </w:r>
            <w:r/>
          </w:p>
        </w:tc>
      </w:tr>
      <w:tr>
        <w:trPr>
          <w:trHeight w:val="340"/>
        </w:trPr>
        <w:tc>
          <w:tcPr>
            <w:gridSpan w:val="2"/>
            <w:tcW w:w="2009" w:type="dxa"/>
            <w:textDirection w:val="lrTb"/>
            <w:noWrap w:val="false"/>
          </w:tcPr>
          <w:p>
            <w:pPr>
              <w:pStyle w:val="1097"/>
              <w:ind w:left="582"/>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项目名称</w:t>
            </w:r>
            <w:r/>
          </w:p>
        </w:tc>
        <w:tc>
          <w:tcPr>
            <w:gridSpan w:val="3"/>
            <w:tcW w:w="3955" w:type="dxa"/>
            <w:textDirection w:val="lrTb"/>
            <w:noWrap w:val="false"/>
          </w:tcPr>
          <w:p>
            <w:pPr>
              <w:pStyle w:val="1097"/>
              <w:ind w:left="158"/>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项目规模</w:t>
            </w:r>
            <w:r/>
          </w:p>
        </w:tc>
        <w:tc>
          <w:tcPr>
            <w:tcW w:w="1753" w:type="dxa"/>
            <w:textDirection w:val="lrTb"/>
            <w:noWrap w:val="false"/>
          </w:tcPr>
          <w:p>
            <w:pPr>
              <w:pStyle w:val="1097"/>
              <w:ind w:left="536" w:right="536"/>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合同价</w:t>
            </w:r>
            <w:r/>
          </w:p>
        </w:tc>
        <w:tc>
          <w:tcPr>
            <w:tcW w:w="1753" w:type="dxa"/>
            <w:textDirection w:val="lrTb"/>
            <w:noWrap w:val="false"/>
          </w:tcPr>
          <w:p>
            <w:pPr>
              <w:pStyle w:val="1097"/>
              <w:ind w:left="456"/>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其他情况</w:t>
            </w:r>
            <w:r/>
          </w:p>
        </w:tc>
      </w:tr>
      <w:tr>
        <w:trPr>
          <w:trHeight w:val="340"/>
        </w:trPr>
        <w:tc>
          <w:tcPr>
            <w:gridSpan w:val="2"/>
            <w:tcW w:w="2009"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gridSpan w:val="3"/>
            <w:tcW w:w="3955"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341"/>
        </w:trPr>
        <w:tc>
          <w:tcPr>
            <w:gridSpan w:val="2"/>
            <w:tcW w:w="2009"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gridSpan w:val="3"/>
            <w:tcW w:w="3955"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bl>
    <w:p>
      <w:pPr>
        <w:pStyle w:val="843"/>
        <w:spacing w:before="10" w:line="276" w:lineRule="auto"/>
        <w:rPr>
          <w:rFonts w:hint="eastAsia" w:ascii="仿宋" w:hAnsi="仿宋" w:eastAsia="仿宋" w:cs="仿宋"/>
          <w:color w:val="000000" w:themeColor="text1"/>
          <w:sz w:val="26"/>
          <w14:textFill>
            <w14:solidFill>
              <w14:schemeClr w14:val="tx1"/>
            </w14:solidFill>
          </w14:textFill>
        </w:rPr>
      </w:pPr>
      <w:r>
        <w:rPr>
          <w:rFonts w:hint="eastAsia" w:ascii="仿宋" w:hAnsi="仿宋" w:eastAsia="仿宋" w:cs="仿宋"/>
          <w:color w:val="000000" w:themeColor="text1"/>
          <w:sz w:val="26"/>
          <w14:textFill>
            <w14:solidFill>
              <w14:schemeClr w14:val="tx1"/>
            </w14:solidFill>
          </w14:textFill>
        </w:rPr>
      </w:r>
      <w:r/>
    </w:p>
    <w:p>
      <w:pPr>
        <w:ind w:left="1265" w:right="2"/>
        <w:spacing w:before="70" w:line="276" w:lineRule="auto"/>
        <w:tabs>
          <w:tab w:val="left" w:pos="4641" w:leader="none"/>
        </w:tabs>
        <w:rPr>
          <w:rFonts w:hint="eastAsia"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2.项目组成员一览表</w:t>
      </w:r>
      <w:r/>
    </w:p>
    <w:p>
      <w:pPr>
        <w:pStyle w:val="843"/>
        <w:spacing w:before="10" w:line="276" w:lineRule="auto"/>
        <w:rPr>
          <w:rFonts w:hint="eastAsia" w:ascii="仿宋" w:hAnsi="仿宋" w:eastAsia="仿宋" w:cs="仿宋"/>
          <w:b/>
          <w:color w:val="000000" w:themeColor="text1"/>
          <w:sz w:val="10"/>
          <w14:textFill>
            <w14:solidFill>
              <w14:schemeClr w14:val="tx1"/>
            </w14:solidFill>
          </w14:textFill>
        </w:rPr>
      </w:pPr>
      <w:r>
        <w:rPr>
          <w:rFonts w:hint="eastAsia" w:ascii="仿宋" w:hAnsi="仿宋" w:eastAsia="仿宋" w:cs="仿宋"/>
          <w:b/>
          <w:color w:val="000000" w:themeColor="text1"/>
          <w:sz w:val="10"/>
          <w14:textFill>
            <w14:solidFill>
              <w14:schemeClr w14:val="tx1"/>
            </w14:solidFill>
          </w14:textFill>
        </w:rPr>
      </w:r>
      <w:r/>
    </w:p>
    <w:tbl>
      <w:tblPr>
        <w:tblStyle w:val="839"/>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896"/>
        <w:gridCol w:w="1110"/>
        <w:gridCol w:w="876"/>
        <w:gridCol w:w="3664"/>
        <w:gridCol w:w="1208"/>
      </w:tblGrid>
      <w:tr>
        <w:trPr>
          <w:jc w:val="center"/>
          <w:trHeight w:val="340"/>
        </w:trPr>
        <w:tc>
          <w:tcPr>
            <w:tcW w:w="1312" w:type="dxa"/>
            <w:vAlign w:val="center"/>
            <w:textDirection w:val="lrTb"/>
            <w:noWrap w:val="false"/>
          </w:tcPr>
          <w:p>
            <w:pPr>
              <w:pStyle w:val="1097"/>
              <w:jc w:val="center"/>
              <w:spacing w:line="251"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姓名</w:t>
            </w:r>
            <w:r/>
          </w:p>
        </w:tc>
        <w:tc>
          <w:tcPr>
            <w:tcW w:w="896" w:type="dxa"/>
            <w:vAlign w:val="center"/>
            <w:textDirection w:val="lrTb"/>
            <w:noWrap w:val="false"/>
          </w:tcPr>
          <w:p>
            <w:pPr>
              <w:pStyle w:val="1097"/>
              <w:jc w:val="center"/>
              <w:spacing w:line="251" w:lineRule="exact"/>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性别</w:t>
            </w:r>
            <w:r/>
          </w:p>
        </w:tc>
        <w:tc>
          <w:tcPr>
            <w:tcW w:w="896" w:type="dxa"/>
            <w:vAlign w:val="center"/>
            <w:textDirection w:val="lrTb"/>
            <w:noWrap w:val="false"/>
          </w:tcPr>
          <w:p>
            <w:pPr>
              <w:pStyle w:val="1097"/>
              <w:jc w:val="center"/>
              <w:spacing w:line="251" w:lineRule="exact"/>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年龄</w:t>
            </w:r>
            <w:r/>
          </w:p>
        </w:tc>
        <w:tc>
          <w:tcPr>
            <w:tcW w:w="1110" w:type="dxa"/>
            <w:vAlign w:val="center"/>
            <w:textDirection w:val="lrTb"/>
            <w:noWrap w:val="false"/>
          </w:tcPr>
          <w:p>
            <w:pPr>
              <w:pStyle w:val="1097"/>
              <w:jc w:val="center"/>
              <w:spacing w:line="251"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本项目</w:t>
            </w:r>
            <w:r>
              <w:rPr>
                <w:rFonts w:hint="eastAsia" w:ascii="仿宋" w:hAnsi="仿宋" w:eastAsia="仿宋" w:cs="仿宋"/>
                <w:color w:val="000000" w:themeColor="text1"/>
                <w:sz w:val="21"/>
                <w14:textFill>
                  <w14:solidFill>
                    <w14:schemeClr w14:val="tx1"/>
                  </w14:solidFill>
                </w14:textFill>
              </w:rPr>
              <w:t xml:space="preserve">职务</w:t>
            </w:r>
            <w:r/>
          </w:p>
        </w:tc>
        <w:tc>
          <w:tcPr>
            <w:tcW w:w="876" w:type="dxa"/>
            <w:vAlign w:val="center"/>
            <w:textDirection w:val="lrTb"/>
            <w:noWrap w:val="false"/>
          </w:tcPr>
          <w:p>
            <w:pPr>
              <w:pStyle w:val="1097"/>
              <w:jc w:val="center"/>
              <w:spacing w:line="251"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职称</w:t>
            </w:r>
            <w:r/>
          </w:p>
        </w:tc>
        <w:tc>
          <w:tcPr>
            <w:tcW w:w="3664" w:type="dxa"/>
            <w:vAlign w:val="center"/>
            <w:textDirection w:val="lrTb"/>
            <w:noWrap w:val="false"/>
          </w:tcPr>
          <w:p>
            <w:pPr>
              <w:pStyle w:val="1097"/>
              <w:jc w:val="center"/>
              <w:spacing w:line="251" w:lineRule="exact"/>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主要资历、经验及承担过的项目</w:t>
            </w:r>
            <w:r/>
          </w:p>
        </w:tc>
        <w:tc>
          <w:tcPr>
            <w:tcW w:w="1208" w:type="dxa"/>
            <w:vAlign w:val="center"/>
            <w:textDirection w:val="lrTb"/>
            <w:noWrap w:val="false"/>
          </w:tcPr>
          <w:p>
            <w:pPr>
              <w:pStyle w:val="1097"/>
              <w:jc w:val="center"/>
              <w:spacing w:line="251" w:lineRule="exact"/>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备注</w:t>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t xml:space="preserve">（行数不够，请自行添加）</w:t>
            </w:r>
            <w:r/>
          </w:p>
        </w:tc>
        <w:tc>
          <w:tcPr>
            <w:tcW w:w="1208"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r>
    </w:tbl>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before="11" w:line="276" w:lineRule="auto"/>
        <w:rPr>
          <w:rFonts w:hint="eastAsia" w:ascii="仿宋" w:hAnsi="仿宋" w:eastAsia="仿宋" w:cs="仿宋"/>
          <w:b/>
          <w:color w:val="000000" w:themeColor="text1"/>
          <w:sz w:val="27"/>
          <w14:textFill>
            <w14:solidFill>
              <w14:schemeClr w14:val="tx1"/>
            </w14:solidFill>
          </w14:textFill>
        </w:rPr>
      </w:pPr>
      <w:r>
        <w:rPr>
          <w:rFonts w:hint="eastAsia" w:ascii="仿宋" w:hAnsi="仿宋" w:eastAsia="仿宋" w:cs="仿宋"/>
          <w:b/>
          <w:color w:val="000000" w:themeColor="text1"/>
          <w:sz w:val="27"/>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43"/>
        <w:ind w:right="630"/>
        <w:jc w:val="right"/>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843"/>
        <w:spacing w:before="9" w:line="276" w:lineRule="auto"/>
        <w:rPr>
          <w:rFonts w:hint="eastAsia" w:ascii="仿宋" w:hAnsi="仿宋" w:eastAsia="仿宋" w:cs="仿宋"/>
          <w:color w:val="000000" w:themeColor="text1"/>
          <w:sz w:val="9"/>
          <w14:textFill>
            <w14:solidFill>
              <w14:schemeClr w14:val="tx1"/>
            </w14:solidFill>
          </w14:textFill>
        </w:rPr>
      </w:pPr>
      <w:r>
        <w:rPr>
          <w:rFonts w:hint="eastAsia" w:ascii="仿宋" w:hAnsi="仿宋" w:eastAsia="仿宋" w:cs="仿宋"/>
          <w:color w:val="000000" w:themeColor="text1"/>
          <w:sz w:val="9"/>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bookmarkStart w:id="76" w:name="附件一：具备履行合同所必需的设备和专业技术能力的书面声明"/>
      <w:r/>
      <w:bookmarkEnd w:id="76"/>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outlineLvl w:val="1"/>
      </w:pPr>
      <w:r/>
      <w:bookmarkStart w:id="77" w:name="_Toc26841"/>
      <w:r/>
      <w:bookmarkStart w:id="78" w:name="_Toc20685"/>
      <w:r>
        <w:rPr>
          <w:rFonts w:hint="eastAsia" w:ascii="仿宋" w:hAnsi="仿宋" w:eastAsia="仿宋" w:cs="仿宋"/>
          <w:b/>
          <w:color w:val="000000" w:themeColor="text1"/>
          <w:sz w:val="24"/>
          <w14:textFill>
            <w14:solidFill>
              <w14:schemeClr w14:val="tx1"/>
            </w14:solidFill>
          </w14:textFill>
        </w:rPr>
        <w:t xml:space="preserve">九、技术规格偏离表</w:t>
      </w:r>
      <w:bookmarkEnd w:id="77"/>
      <w:r/>
      <w:bookmarkEnd w:id="78"/>
      <w:r/>
      <w:r/>
    </w:p>
    <w:p>
      <w:pPr>
        <w:pStyle w:val="843"/>
        <w:spacing w:before="6" w:line="276" w:lineRule="auto"/>
        <w:rPr>
          <w:rFonts w:hint="eastAsia" w:ascii="仿宋" w:hAnsi="仿宋" w:eastAsia="仿宋" w:cs="仿宋"/>
          <w:b/>
          <w:color w:val="000000" w:themeColor="text1"/>
          <w:sz w:val="23"/>
          <w14:textFill>
            <w14:solidFill>
              <w14:schemeClr w14:val="tx1"/>
            </w14:solidFill>
          </w14:textFill>
        </w:rPr>
      </w:pPr>
      <w:r>
        <w:rPr>
          <w:rFonts w:hint="eastAsia" w:ascii="仿宋" w:hAnsi="仿宋" w:eastAsia="仿宋" w:cs="仿宋"/>
          <w:b/>
          <w:color w:val="000000" w:themeColor="text1"/>
          <w:sz w:val="23"/>
          <w14:textFill>
            <w14:solidFill>
              <w14:schemeClr w14:val="tx1"/>
            </w14:solidFill>
          </w14:textFill>
        </w:rPr>
      </w:r>
      <w:r/>
    </w:p>
    <w:p>
      <w:pPr>
        <w:pStyle w:val="843"/>
        <w:ind w:left="743"/>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项目编号： </w:t>
      </w:r>
      <w:r/>
    </w:p>
    <w:p>
      <w:pPr>
        <w:pStyle w:val="843"/>
        <w:ind w:left="743"/>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项目名称：</w:t>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技术规格偏离表</w:t>
      </w:r>
      <w:r/>
    </w:p>
    <w:p>
      <w:pPr>
        <w:pStyle w:val="843"/>
        <w:ind w:left="725" w:right="622"/>
        <w:jc w:val="center"/>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（由投标人据实提交）</w:t>
      </w:r>
      <w:r/>
    </w:p>
    <w:p>
      <w:pPr>
        <w:jc w:val="cente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tbl>
      <w:tblPr>
        <w:tblStyle w:val="839"/>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jc w:val="center"/>
          <w:trHeight w:val="545"/>
        </w:trPr>
        <w:tc>
          <w:tcPr>
            <w:tcW w:w="1292" w:type="dxa"/>
            <w:vAlign w:val="center"/>
            <w:textDirection w:val="lrTb"/>
            <w:noWrap w:val="false"/>
          </w:tcPr>
          <w:p>
            <w:pPr>
              <w:pStyle w:val="1097"/>
              <w:jc w:val="center"/>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序号</w:t>
            </w:r>
            <w:r/>
          </w:p>
        </w:tc>
        <w:tc>
          <w:tcPr>
            <w:tcW w:w="3326" w:type="dxa"/>
            <w:vAlign w:val="center"/>
            <w:textDirection w:val="lrTb"/>
            <w:noWrap w:val="false"/>
          </w:tcPr>
          <w:p>
            <w:pPr>
              <w:pStyle w:val="1097"/>
              <w:ind w:right="500"/>
              <w:jc w:val="center"/>
              <w:spacing w:before="135" w:line="276" w:lineRule="auto"/>
              <w:rPr>
                <w:rFonts w:hint="eastAsia" w:ascii="仿宋" w:hAnsi="仿宋" w:eastAsia="仿宋" w:cs="仿宋"/>
                <w:b/>
                <w:color w:val="000000" w:themeColor="text1"/>
                <w:sz w:val="21"/>
                <w:lang w:eastAsia="zh-CN"/>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磋商文件的技术条款</w:t>
            </w:r>
            <w:r/>
          </w:p>
        </w:tc>
        <w:tc>
          <w:tcPr>
            <w:tcW w:w="1575" w:type="dxa"/>
            <w:vAlign w:val="center"/>
            <w:textDirection w:val="lrTb"/>
            <w:noWrap w:val="false"/>
          </w:tcPr>
          <w:p>
            <w:pPr>
              <w:pStyle w:val="1097"/>
              <w:jc w:val="center"/>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磋商实际响应</w:t>
            </w:r>
            <w:r/>
          </w:p>
        </w:tc>
        <w:tc>
          <w:tcPr>
            <w:tcW w:w="1995" w:type="dxa"/>
            <w:vAlign w:val="center"/>
            <w:textDirection w:val="lrTb"/>
            <w:noWrap w:val="false"/>
          </w:tcPr>
          <w:p>
            <w:pPr>
              <w:pStyle w:val="1097"/>
              <w:ind w:right="122"/>
              <w:jc w:val="center"/>
              <w:spacing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符合/正偏离/负偏</w:t>
            </w:r>
            <w:r>
              <w:rPr>
                <w:rFonts w:hint="eastAsia" w:ascii="仿宋" w:hAnsi="仿宋" w:eastAsia="仿宋" w:cs="仿宋"/>
                <w:b/>
                <w:color w:val="000000" w:themeColor="text1"/>
                <w:sz w:val="21"/>
                <w14:textFill>
                  <w14:solidFill>
                    <w14:schemeClr w14:val="tx1"/>
                  </w14:solidFill>
                </w14:textFill>
              </w:rPr>
              <w:t xml:space="preserve">离</w:t>
            </w:r>
            <w:r/>
          </w:p>
        </w:tc>
        <w:tc>
          <w:tcPr>
            <w:tcW w:w="1680" w:type="dxa"/>
            <w:vAlign w:val="center"/>
            <w:textDirection w:val="lrTb"/>
            <w:noWrap w:val="false"/>
          </w:tcPr>
          <w:p>
            <w:pPr>
              <w:pStyle w:val="1097"/>
              <w:ind w:left="91" w:right="80"/>
              <w:jc w:val="center"/>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备注</w:t>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ind w:right="510"/>
              <w:jc w:val="both"/>
              <w:spacing w:line="276" w:lineRule="auto"/>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15"/>
                <w:lang w:eastAsia="zh-CN"/>
                <w14:textFill>
                  <w14:solidFill>
                    <w14:schemeClr w14:val="tx1"/>
                  </w14:solidFill>
                </w14:textFill>
              </w:rPr>
              <w:t xml:space="preserve">（</w:t>
            </w:r>
            <w:r>
              <w:rPr>
                <w:rFonts w:hint="eastAsia" w:ascii="仿宋" w:hAnsi="仿宋" w:eastAsia="仿宋" w:cs="仿宋"/>
                <w:color w:val="000000" w:themeColor="text1"/>
                <w:sz w:val="21"/>
                <w:lang w:eastAsia="zh-CN"/>
                <w14:textFill>
                  <w14:solidFill>
                    <w14:schemeClr w14:val="tx1"/>
                  </w14:solidFill>
                </w14:textFill>
              </w:rPr>
              <w:t xml:space="preserve">行数不够，自行添加。若所有条款完全响应无偏离，则在表格中写“符合无偏离”）</w:t>
            </w:r>
            <w:r/>
          </w:p>
        </w:tc>
        <w:tc>
          <w:tcPr>
            <w:tcW w:w="1575"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r>
    </w:tbl>
    <w:p>
      <w:pPr>
        <w:spacing w:line="276" w:lineRule="auto"/>
        <w:rPr>
          <w:rFonts w:hint="eastAsia" w:ascii="仿宋" w:hAnsi="仿宋" w:eastAsia="仿宋" w:cs="仿宋"/>
          <w:color w:val="000000" w:themeColor="text1"/>
          <w:sz w:val="20"/>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843"/>
        <w:spacing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843"/>
        <w:spacing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843"/>
        <w:spacing w:before="5"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ind w:right="946" w:firstLine="456"/>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w:t>
      </w:r>
      <w:r>
        <w:rPr>
          <w:rFonts w:hint="eastAsia" w:ascii="仿宋" w:hAnsi="仿宋" w:eastAsia="仿宋" w:cs="仿宋"/>
          <w:color w:val="000000" w:themeColor="text1"/>
          <w14:textFill>
            <w14:solidFill>
              <w14:schemeClr w14:val="tx1"/>
            </w14:solidFill>
          </w14:textFill>
        </w:rPr>
        <w:t xml:space="preserve">1.按照项目需求详细填列。</w:t>
      </w:r>
      <w:r/>
    </w:p>
    <w:p>
      <w:pPr>
        <w:ind w:right="872"/>
        <w:spacing w:before="1" w:line="276" w:lineRule="auto"/>
        <w:tabs>
          <w:tab w:val="left" w:pos="159"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  2.行数不够，可自行添加。</w:t>
      </w:r>
      <w:r/>
    </w:p>
    <w:p>
      <w:pPr>
        <w:jc w:val="right"/>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spacing w:before="4" w:line="276" w:lineRule="auto"/>
        <w:tabs>
          <w:tab w:val="left" w:pos="91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3.请如实填写偏离表，如果虚假响应，将被暂停进入南京市江宁区政府采购活动。</w:t>
      </w:r>
      <w:r/>
    </w:p>
    <w:p>
      <w:pPr>
        <w:ind w:right="719"/>
        <w:spacing w:before="2" w:line="276" w:lineRule="auto"/>
        <w:tabs>
          <w:tab w:val="left" w:pos="929"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4.请供应商根据磋商实际情况填写，如果磋商实际响应与供应商提供的证明资料有实质性偏离</w:t>
      </w:r>
      <w:r>
        <w:rPr>
          <w:rFonts w:hint="eastAsia" w:ascii="仿宋" w:hAnsi="仿宋" w:eastAsia="仿宋" w:cs="仿宋"/>
          <w:color w:val="000000" w:themeColor="text1"/>
          <w14:textFill>
            <w14:solidFill>
              <w14:schemeClr w14:val="tx1"/>
            </w14:solidFill>
          </w14:textFill>
        </w:rPr>
        <w:t xml:space="preserve">的，将作无效磋商处理。</w:t>
      </w:r>
      <w:r/>
    </w:p>
    <w:p>
      <w:pPr>
        <w:rPr>
          <w:rFonts w:hint="eastAsia" w:ascii="仿宋" w:hAnsi="仿宋" w:eastAsia="仿宋" w:cs="仿宋"/>
        </w:rPr>
      </w:pPr>
      <w:r>
        <w:rPr>
          <w:rFonts w:hint="eastAsia" w:ascii="仿宋" w:hAnsi="仿宋" w:eastAsia="仿宋" w:cs="仿宋"/>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71"/>
        <w:ind w:right="660"/>
        <w:jc w:val="right"/>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日期：  年  月  日</w:t>
      </w:r>
      <w:r/>
    </w:p>
    <w:p>
      <w:pPr>
        <w:pStyle w:val="843"/>
        <w:spacing w:before="2" w:line="276" w:lineRule="auto"/>
        <w:rPr>
          <w:rFonts w:hint="eastAsia" w:ascii="仿宋" w:hAnsi="仿宋" w:eastAsia="仿宋" w:cs="仿宋"/>
          <w:b/>
          <w:color w:val="000000" w:themeColor="text1"/>
          <w:sz w:val="13"/>
          <w14:textFill>
            <w14:solidFill>
              <w14:schemeClr w14:val="tx1"/>
            </w14:solidFill>
          </w14:textFill>
        </w:rPr>
      </w:pPr>
      <w:r>
        <w:rPr>
          <w:rFonts w:hint="eastAsia" w:ascii="仿宋" w:hAnsi="仿宋" w:eastAsia="仿宋" w:cs="仿宋"/>
          <w:b/>
          <w:color w:val="000000" w:themeColor="text1"/>
          <w:sz w:val="13"/>
          <w14:textFill>
            <w14:solidFill>
              <w14:schemeClr w14:val="tx1"/>
            </w14:solidFill>
          </w14:textFill>
        </w:rPr>
      </w:r>
      <w:r/>
    </w:p>
    <w:p>
      <w:pPr>
        <w:spacing w:line="276" w:lineRule="auto"/>
        <w:rPr>
          <w:rFonts w:hint="eastAsia" w:ascii="仿宋" w:hAnsi="仿宋" w:eastAsia="仿宋" w:cs="仿宋"/>
          <w:color w:val="000000" w:themeColor="text1"/>
          <w:sz w:val="13"/>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13"/>
          <w14:textFill>
            <w14:solidFill>
              <w14:schemeClr w14:val="tx1"/>
            </w14:solidFill>
          </w14:textFill>
        </w:rPr>
      </w:r>
      <w:r/>
    </w:p>
    <w:p>
      <w:pPr>
        <w:jc w:val="left"/>
        <w:widowControl/>
        <w:rPr>
          <w:rFonts w:hint="eastAsia" w:ascii="仿宋" w:hAnsi="仿宋" w:eastAsia="仿宋" w:cs="仿宋"/>
          <w:b/>
          <w:color w:val="000000" w:themeColor="text1"/>
          <w:sz w:val="24"/>
          <w14:textFill>
            <w14:solidFill>
              <w14:schemeClr w14:val="tx1"/>
            </w14:solidFill>
          </w14:textFill>
        </w:rPr>
      </w:pPr>
      <w:r/>
      <w:bookmarkStart w:id="79" w:name="十一、质量保证及服务承诺"/>
      <w:r/>
      <w:bookmarkEnd w:id="79"/>
      <w:r/>
      <w:bookmarkStart w:id="80" w:name="_Toc1020"/>
      <w:r/>
      <w:bookmarkStart w:id="81" w:name="_Toc7842"/>
      <w:r>
        <w:rPr>
          <w:rFonts w:hint="eastAsia" w:ascii="仿宋" w:hAnsi="仿宋" w:eastAsia="仿宋" w:cs="仿宋"/>
          <w:b/>
          <w:color w:val="000000" w:themeColor="text1"/>
          <w:sz w:val="24"/>
          <w14:textFill>
            <w14:solidFill>
              <w14:schemeClr w14:val="tx1"/>
            </w14:solidFill>
          </w14:textFill>
        </w:rPr>
        <w:br w:type="page" w:clear="all"/>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outlineLvl w:val="1"/>
      </w:pPr>
      <w:r>
        <w:rPr>
          <w:rFonts w:hint="eastAsia" w:ascii="仿宋" w:hAnsi="仿宋" w:eastAsia="仿宋" w:cs="仿宋"/>
          <w:b/>
          <w:color w:val="000000" w:themeColor="text1"/>
          <w:sz w:val="24"/>
          <w14:textFill>
            <w14:solidFill>
              <w14:schemeClr w14:val="tx1"/>
            </w14:solidFill>
          </w14:textFill>
        </w:rPr>
        <w:t xml:space="preserve">十、质量保证及服务承诺</w:t>
      </w:r>
      <w:bookmarkEnd w:id="80"/>
      <w:r/>
      <w:bookmarkEnd w:id="81"/>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质量保证及服务承诺</w:t>
      </w:r>
      <w:r/>
    </w:p>
    <w:p>
      <w:pPr>
        <w:spacing w:line="276" w:lineRule="auto"/>
        <w:rPr>
          <w:rFonts w:hint="eastAsia" w:ascii="仿宋" w:hAnsi="仿宋" w:eastAsia="仿宋" w:cs="仿宋"/>
          <w:color w:val="000000" w:themeColor="text1"/>
          <w:sz w:val="28"/>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8"/>
          <w14:textFill>
            <w14:solidFill>
              <w14:schemeClr w14:val="tx1"/>
            </w14:solidFill>
          </w14:textFill>
        </w:rPr>
      </w:r>
      <w:r/>
    </w:p>
    <w:p>
      <w:pPr>
        <w:pStyle w:val="843"/>
        <w:spacing w:before="10" w:line="276" w:lineRule="auto"/>
        <w:rPr>
          <w:rFonts w:hint="eastAsia" w:ascii="仿宋" w:hAnsi="仿宋" w:eastAsia="仿宋" w:cs="仿宋"/>
          <w:b/>
          <w:color w:val="000000" w:themeColor="text1"/>
          <w:sz w:val="13"/>
          <w14:textFill>
            <w14:solidFill>
              <w14:schemeClr w14:val="tx1"/>
            </w14:solidFill>
          </w14:textFill>
        </w:rPr>
      </w:pPr>
      <w:r>
        <w:rPr>
          <w:rFonts w:hint="eastAsia" w:ascii="仿宋" w:hAnsi="仿宋" w:eastAsia="仿宋" w:cs="仿宋"/>
          <w:b/>
          <w:color w:val="000000" w:themeColor="text1"/>
          <w:sz w:val="13"/>
          <w14:textFill>
            <w14:solidFill>
              <w14:schemeClr w14:val="tx1"/>
            </w14:solidFill>
          </w14:textFill>
        </w:rPr>
      </w:r>
      <w:r/>
    </w:p>
    <w:p>
      <w:pPr>
        <w:ind w:left="743" w:right="731"/>
        <w:spacing w:before="67"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2"/>
          <w14:textFill>
            <w14:solidFill>
              <w14:schemeClr w14:val="tx1"/>
            </w14:solidFill>
          </w14:textFill>
        </w:rPr>
        <w:t xml:space="preserve">我公司就项目编号为</w:t>
      </w:r>
      <w:r>
        <w:rPr>
          <w:rFonts w:hint="eastAsia" w:ascii="仿宋" w:hAnsi="仿宋" w:eastAsia="仿宋" w:cs="仿宋"/>
          <w:color w:val="000000" w:themeColor="text1"/>
          <w14:textFill>
            <w14:solidFill>
              <w14:schemeClr w14:val="tx1"/>
            </w14:solidFill>
          </w14:textFill>
        </w:rPr>
        <w:t xml:space="preserve">“JSZC-320115-NJXZ-C2026-0004 ”</w:t>
      </w:r>
      <w:r>
        <w:rPr>
          <w:rFonts w:hint="eastAsia" w:ascii="仿宋" w:hAnsi="仿宋" w:eastAsia="仿宋" w:cs="仿宋"/>
          <w:color w:val="000000" w:themeColor="text1"/>
          <w:spacing w:val="-5"/>
          <w14:textFill>
            <w14:solidFill>
              <w14:schemeClr w14:val="tx1"/>
            </w14:solidFill>
          </w14:textFill>
        </w:rPr>
        <w:t xml:space="preserve">的</w:t>
      </w:r>
      <w:r>
        <w:rPr>
          <w:rFonts w:hint="eastAsia" w:ascii="仿宋" w:hAnsi="仿宋" w:eastAsia="仿宋" w:cs="仿宋"/>
          <w:color w:val="000000" w:themeColor="text1"/>
          <w:spacing w:val="3"/>
          <w:u w:val="single"/>
          <w14:textFill>
            <w14:solidFill>
              <w14:schemeClr w14:val="tx1"/>
            </w14:solidFill>
          </w14:textFill>
        </w:rPr>
        <w:t xml:space="preserve">秣陵街道秣陵、东善桥工业园公共设施维修与管养服务</w:t>
      </w:r>
      <w:r>
        <w:rPr>
          <w:rFonts w:hint="eastAsia" w:ascii="仿宋" w:hAnsi="仿宋" w:eastAsia="仿宋" w:cs="仿宋"/>
          <w:color w:val="000000" w:themeColor="text1"/>
          <w:spacing w:val="3"/>
          <w14:textFill>
            <w14:solidFill>
              <w14:schemeClr w14:val="tx1"/>
            </w14:solidFill>
          </w14:textFill>
        </w:rPr>
        <w:t xml:space="preserve">项目质量保证及服务承诺如下：</w:t>
      </w:r>
      <w:r/>
    </w:p>
    <w:p>
      <w:pPr>
        <w:pStyle w:val="843"/>
        <w:spacing w:before="3" w:line="276" w:lineRule="auto"/>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19"/>
          <w14:textFill>
            <w14:solidFill>
              <w14:schemeClr w14:val="tx1"/>
            </w14:solidFill>
          </w14:textFill>
        </w:rPr>
      </w:r>
      <w:r/>
    </w:p>
    <w:p>
      <w:pPr>
        <w:pStyle w:val="843"/>
        <w:ind w:left="1767" w:right="1417"/>
        <w:jc w:val="center"/>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（供应商自拟）</w:t>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before="4" w:line="276" w:lineRule="auto"/>
        <w:rPr>
          <w:rFonts w:hint="eastAsia" w:ascii="仿宋" w:hAnsi="仿宋" w:eastAsia="仿宋" w:cs="仿宋"/>
          <w:color w:val="000000" w:themeColor="text1"/>
          <w:sz w:val="14"/>
          <w14:textFill>
            <w14:solidFill>
              <w14:schemeClr w14:val="tx1"/>
            </w14:solidFill>
          </w14:textFill>
        </w:rPr>
      </w:pPr>
      <w:r>
        <w:rPr>
          <w:rFonts w:hint="eastAsia" w:ascii="仿宋" w:hAnsi="仿宋" w:eastAsia="仿宋" w:cs="仿宋"/>
          <w:color w:val="000000" w:themeColor="text1"/>
          <w:sz w:val="14"/>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71"/>
        <w:ind w:right="660"/>
        <w:jc w:val="right"/>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843"/>
        <w:spacing w:before="9" w:line="276" w:lineRule="auto"/>
        <w:rPr>
          <w:rFonts w:hint="eastAsia" w:ascii="仿宋" w:hAnsi="仿宋" w:eastAsia="仿宋" w:cs="仿宋"/>
          <w:color w:val="000000" w:themeColor="text1"/>
          <w:sz w:val="9"/>
          <w14:textFill>
            <w14:solidFill>
              <w14:schemeClr w14:val="tx1"/>
            </w14:solidFill>
          </w14:textFill>
        </w:rPr>
      </w:pPr>
      <w:r>
        <w:rPr>
          <w:rFonts w:hint="eastAsia" w:ascii="仿宋" w:hAnsi="仿宋" w:eastAsia="仿宋" w:cs="仿宋"/>
          <w:color w:val="000000" w:themeColor="text1"/>
          <w:sz w:val="9"/>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outlineLvl w:val="1"/>
      </w:pPr>
      <w:r/>
      <w:bookmarkStart w:id="82" w:name="附件三：中小企业声明函格式、残疾人福利性单位声明函（如有）"/>
      <w:r/>
      <w:bookmarkEnd w:id="82"/>
      <w:r/>
      <w:bookmarkStart w:id="83" w:name="_Toc24951"/>
      <w:r/>
      <w:bookmarkStart w:id="84" w:name="_Toc5104"/>
      <w:r>
        <w:rPr>
          <w:rFonts w:hint="eastAsia" w:ascii="仿宋" w:hAnsi="仿宋" w:eastAsia="仿宋" w:cs="仿宋"/>
          <w:b/>
          <w:color w:val="000000" w:themeColor="text1"/>
          <w:sz w:val="24"/>
          <w14:textFill>
            <w14:solidFill>
              <w14:schemeClr w14:val="tx1"/>
            </w14:solidFill>
          </w14:textFill>
        </w:rPr>
        <w:t xml:space="preserve">附件一：具备履行合同所必需的设备和专业技术能力的书面声明</w:t>
      </w:r>
      <w:bookmarkEnd w:id="83"/>
      <w:r/>
      <w:bookmarkEnd w:id="84"/>
      <w:r/>
      <w:r/>
    </w:p>
    <w:p>
      <w:pPr>
        <w:pStyle w:val="843"/>
        <w:spacing w:before="4" w:line="276" w:lineRule="auto"/>
        <w:rPr>
          <w:rFonts w:hint="eastAsia" w:ascii="仿宋" w:hAnsi="仿宋" w:eastAsia="仿宋" w:cs="仿宋"/>
          <w:b/>
          <w:color w:val="000000" w:themeColor="text1"/>
          <w:sz w:val="33"/>
          <w14:textFill>
            <w14:solidFill>
              <w14:schemeClr w14:val="tx1"/>
            </w14:solidFill>
          </w14:textFill>
        </w:rPr>
      </w:pPr>
      <w:r>
        <w:rPr>
          <w:rFonts w:hint="eastAsia" w:ascii="仿宋" w:hAnsi="仿宋" w:eastAsia="仿宋" w:cs="仿宋"/>
          <w:b/>
          <w:color w:val="000000" w:themeColor="text1"/>
          <w:sz w:val="33"/>
          <w14:textFill>
            <w14:solidFill>
              <w14:schemeClr w14:val="tx1"/>
            </w14:solidFill>
          </w14:textFill>
        </w:rPr>
      </w:r>
      <w:r/>
    </w:p>
    <w:p>
      <w:pPr>
        <w:ind w:left="1765" w:right="1753"/>
        <w:jc w:val="center"/>
        <w:spacing w:before="1"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具备履行合同所必需的设备和专业技术能力的书面声明</w:t>
      </w:r>
      <w:r/>
    </w:p>
    <w:p>
      <w:pPr>
        <w:pStyle w:val="843"/>
        <w:spacing w:before="2" w:line="276" w:lineRule="auto"/>
        <w:rPr>
          <w:rFonts w:hint="eastAsia" w:ascii="仿宋" w:hAnsi="仿宋" w:eastAsia="仿宋" w:cs="仿宋"/>
          <w:b/>
          <w:color w:val="000000" w:themeColor="text1"/>
          <w:sz w:val="30"/>
          <w14:textFill>
            <w14:solidFill>
              <w14:schemeClr w14:val="tx1"/>
            </w14:solidFill>
          </w14:textFill>
        </w:rPr>
      </w:pPr>
      <w:r>
        <w:rPr>
          <w:rFonts w:hint="eastAsia" w:ascii="仿宋" w:hAnsi="仿宋" w:eastAsia="仿宋" w:cs="仿宋"/>
          <w:b/>
          <w:color w:val="000000" w:themeColor="text1"/>
          <w:sz w:val="30"/>
          <w14:textFill>
            <w14:solidFill>
              <w14:schemeClr w14:val="tx1"/>
            </w14:solidFill>
          </w14:textFill>
        </w:rPr>
      </w:r>
      <w:r/>
    </w:p>
    <w:p>
      <w:pPr>
        <w:pStyle w:val="843"/>
        <w:ind w:left="743" w:right="767" w:firstLine="444"/>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我单位郑重声明：我单位具备履行本项采购合同所必需的设备和专业技术能力，为履行本项采  </w:t>
      </w:r>
      <w:r>
        <w:rPr>
          <w:rFonts w:hint="eastAsia" w:ascii="仿宋" w:hAnsi="仿宋" w:eastAsia="仿宋" w:cs="仿宋"/>
          <w:color w:val="000000" w:themeColor="text1"/>
          <w14:textFill>
            <w14:solidFill>
              <w14:schemeClr w14:val="tx1"/>
            </w14:solidFill>
          </w14:textFill>
        </w:rPr>
        <w:t xml:space="preserve">购合同我公司具备如下主要设备和主要专业技术能力：</w:t>
      </w:r>
      <w:r/>
    </w:p>
    <w:p>
      <w:pPr>
        <w:pStyle w:val="843"/>
        <w:ind w:left="1187"/>
        <w:spacing w:before="1" w:line="276" w:lineRule="auto"/>
        <w:tabs>
          <w:tab w:val="left" w:pos="4040"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1"/>
          <w14:textFill>
            <w14:solidFill>
              <w14:schemeClr w14:val="tx1"/>
            </w14:solidFill>
          </w14:textFill>
        </w:rPr>
        <w:t xml:space="preserve">主</w:t>
      </w:r>
      <w:r>
        <w:rPr>
          <w:rFonts w:hint="eastAsia" w:ascii="仿宋" w:hAnsi="仿宋" w:eastAsia="仿宋" w:cs="仿宋"/>
          <w:color w:val="000000" w:themeColor="text1"/>
          <w:spacing w:val="14"/>
          <w14:textFill>
            <w14:solidFill>
              <w14:schemeClr w14:val="tx1"/>
            </w14:solidFill>
          </w14:textFill>
        </w:rPr>
        <w:t xml:space="preserve">要</w:t>
      </w:r>
      <w:r>
        <w:rPr>
          <w:rFonts w:hint="eastAsia" w:ascii="仿宋" w:hAnsi="仿宋" w:eastAsia="仿宋" w:cs="仿宋"/>
          <w:color w:val="000000" w:themeColor="text1"/>
          <w:spacing w:val="11"/>
          <w14:textFill>
            <w14:solidFill>
              <w14:schemeClr w14:val="tx1"/>
            </w14:solidFill>
          </w14:textFill>
        </w:rPr>
        <w:t xml:space="preserve">设</w:t>
      </w:r>
      <w:r>
        <w:rPr>
          <w:rFonts w:hint="eastAsia" w:ascii="仿宋" w:hAnsi="仿宋" w:eastAsia="仿宋" w:cs="仿宋"/>
          <w:color w:val="000000" w:themeColor="text1"/>
          <w:spacing w:val="14"/>
          <w14:textFill>
            <w14:solidFill>
              <w14:schemeClr w14:val="tx1"/>
            </w14:solidFill>
          </w14:textFill>
        </w:rPr>
        <w:t xml:space="preserve">备</w:t>
      </w:r>
      <w:r>
        <w:rPr>
          <w:rFonts w:hint="eastAsia" w:ascii="仿宋" w:hAnsi="仿宋" w:eastAsia="仿宋" w:cs="仿宋"/>
          <w:color w:val="000000" w:themeColor="text1"/>
          <w:spacing w:val="11"/>
          <w14:textFill>
            <w14:solidFill>
              <w14:schemeClr w14:val="tx1"/>
            </w14:solidFill>
          </w14:textFill>
        </w:rPr>
        <w:t xml:space="preserve">有</w:t>
      </w:r>
      <w:r>
        <w:rPr>
          <w:rFonts w:hint="eastAsia" w:ascii="仿宋" w:hAnsi="仿宋" w:eastAsia="仿宋" w:cs="仿宋"/>
          <w:color w:val="000000" w:themeColor="text1"/>
          <w:spacing w:val="14"/>
          <w14:textFill>
            <w14:solidFill>
              <w14:schemeClr w14:val="tx1"/>
            </w14:solidFill>
          </w14:textFill>
        </w:rPr>
        <w:t xml:space="preserve">：</w:t>
      </w:r>
      <w:r>
        <w:rPr>
          <w:rFonts w:hint="eastAsia" w:ascii="仿宋" w:hAnsi="仿宋" w:eastAsia="仿宋" w:cs="仿宋"/>
          <w:color w:val="000000" w:themeColor="text1"/>
          <w:spacing w:val="14"/>
          <w:u w:val="single"/>
          <w14:textFill>
            <w14:solidFill>
              <w14:schemeClr w14:val="tx1"/>
            </w14:solidFill>
          </w14:textFill>
        </w:rPr>
        <w:t xml:space="preserve"> </w:t>
      </w:r>
      <w:r>
        <w:rPr>
          <w:rFonts w:hint="eastAsia" w:ascii="仿宋" w:hAnsi="仿宋" w:eastAsia="仿宋" w:cs="仿宋"/>
          <w:color w:val="000000" w:themeColor="text1"/>
          <w:spacing w:val="14"/>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w:t>
      </w:r>
      <w:r/>
    </w:p>
    <w:p>
      <w:pPr>
        <w:pStyle w:val="843"/>
        <w:ind w:left="1187"/>
        <w:spacing w:before="139" w:line="276" w:lineRule="auto"/>
        <w:tabs>
          <w:tab w:val="left" w:pos="492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1"/>
          <w14:textFill>
            <w14:solidFill>
              <w14:schemeClr w14:val="tx1"/>
            </w14:solidFill>
          </w14:textFill>
        </w:rPr>
        <w:t xml:space="preserve">主</w:t>
      </w:r>
      <w:r>
        <w:rPr>
          <w:rFonts w:hint="eastAsia" w:ascii="仿宋" w:hAnsi="仿宋" w:eastAsia="仿宋" w:cs="仿宋"/>
          <w:color w:val="000000" w:themeColor="text1"/>
          <w:spacing w:val="14"/>
          <w14:textFill>
            <w14:solidFill>
              <w14:schemeClr w14:val="tx1"/>
            </w14:solidFill>
          </w14:textFill>
        </w:rPr>
        <w:t xml:space="preserve">要</w:t>
      </w:r>
      <w:r>
        <w:rPr>
          <w:rFonts w:hint="eastAsia" w:ascii="仿宋" w:hAnsi="仿宋" w:eastAsia="仿宋" w:cs="仿宋"/>
          <w:color w:val="000000" w:themeColor="text1"/>
          <w:spacing w:val="11"/>
          <w14:textFill>
            <w14:solidFill>
              <w14:schemeClr w14:val="tx1"/>
            </w14:solidFill>
          </w14:textFill>
        </w:rPr>
        <w:t xml:space="preserve">专</w:t>
      </w:r>
      <w:r>
        <w:rPr>
          <w:rFonts w:hint="eastAsia" w:ascii="仿宋" w:hAnsi="仿宋" w:eastAsia="仿宋" w:cs="仿宋"/>
          <w:color w:val="000000" w:themeColor="text1"/>
          <w:spacing w:val="14"/>
          <w14:textFill>
            <w14:solidFill>
              <w14:schemeClr w14:val="tx1"/>
            </w14:solidFill>
          </w14:textFill>
        </w:rPr>
        <w:t xml:space="preserve">业</w:t>
      </w:r>
      <w:r>
        <w:rPr>
          <w:rFonts w:hint="eastAsia" w:ascii="仿宋" w:hAnsi="仿宋" w:eastAsia="仿宋" w:cs="仿宋"/>
          <w:color w:val="000000" w:themeColor="text1"/>
          <w:spacing w:val="11"/>
          <w14:textFill>
            <w14:solidFill>
              <w14:schemeClr w14:val="tx1"/>
            </w14:solidFill>
          </w14:textFill>
        </w:rPr>
        <w:t xml:space="preserve">技</w:t>
      </w:r>
      <w:r>
        <w:rPr>
          <w:rFonts w:hint="eastAsia" w:ascii="仿宋" w:hAnsi="仿宋" w:eastAsia="仿宋" w:cs="仿宋"/>
          <w:color w:val="000000" w:themeColor="text1"/>
          <w:spacing w:val="14"/>
          <w14:textFill>
            <w14:solidFill>
              <w14:schemeClr w14:val="tx1"/>
            </w14:solidFill>
          </w14:textFill>
        </w:rPr>
        <w:t xml:space="preserve">术</w:t>
      </w:r>
      <w:r>
        <w:rPr>
          <w:rFonts w:hint="eastAsia" w:ascii="仿宋" w:hAnsi="仿宋" w:eastAsia="仿宋" w:cs="仿宋"/>
          <w:color w:val="000000" w:themeColor="text1"/>
          <w:spacing w:val="11"/>
          <w14:textFill>
            <w14:solidFill>
              <w14:schemeClr w14:val="tx1"/>
            </w14:solidFill>
          </w14:textFill>
        </w:rPr>
        <w:t xml:space="preserve">能</w:t>
      </w:r>
      <w:r>
        <w:rPr>
          <w:rFonts w:hint="eastAsia" w:ascii="仿宋" w:hAnsi="仿宋" w:eastAsia="仿宋" w:cs="仿宋"/>
          <w:color w:val="000000" w:themeColor="text1"/>
          <w:spacing w:val="14"/>
          <w14:textFill>
            <w14:solidFill>
              <w14:schemeClr w14:val="tx1"/>
            </w14:solidFill>
          </w14:textFill>
        </w:rPr>
        <w:t xml:space="preserve">力</w:t>
      </w:r>
      <w:r>
        <w:rPr>
          <w:rFonts w:hint="eastAsia" w:ascii="仿宋" w:hAnsi="仿宋" w:eastAsia="仿宋" w:cs="仿宋"/>
          <w:color w:val="000000" w:themeColor="text1"/>
          <w:spacing w:val="11"/>
          <w14:textFill>
            <w14:solidFill>
              <w14:schemeClr w14:val="tx1"/>
            </w14:solidFill>
          </w14:textFill>
        </w:rPr>
        <w:t xml:space="preserve">有</w:t>
      </w:r>
      <w:r>
        <w:rPr>
          <w:rFonts w:hint="eastAsia" w:ascii="仿宋" w:hAnsi="仿宋" w:eastAsia="仿宋" w:cs="仿宋"/>
          <w:color w:val="000000" w:themeColor="text1"/>
          <w:spacing w:val="14"/>
          <w14:textFill>
            <w14:solidFill>
              <w14:schemeClr w14:val="tx1"/>
            </w14:solidFill>
          </w14:textFill>
        </w:rPr>
        <w:t xml:space="preserve">：</w:t>
      </w:r>
      <w:r>
        <w:rPr>
          <w:rFonts w:hint="eastAsia" w:ascii="仿宋" w:hAnsi="仿宋" w:eastAsia="仿宋" w:cs="仿宋"/>
          <w:color w:val="000000" w:themeColor="text1"/>
          <w:spacing w:val="14"/>
          <w:u w:val="single"/>
          <w14:textFill>
            <w14:solidFill>
              <w14:schemeClr w14:val="tx1"/>
            </w14:solidFill>
          </w14:textFill>
        </w:rPr>
        <w:t xml:space="preserve"> </w:t>
      </w:r>
      <w:r>
        <w:rPr>
          <w:rFonts w:hint="eastAsia" w:ascii="仿宋" w:hAnsi="仿宋" w:eastAsia="仿宋" w:cs="仿宋"/>
          <w:color w:val="000000" w:themeColor="text1"/>
          <w:spacing w:val="14"/>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w:t>
      </w:r>
      <w:r/>
    </w:p>
    <w:p>
      <w:pPr>
        <w:pStyle w:val="843"/>
        <w:spacing w:line="276" w:lineRule="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r>
      <w:r/>
    </w:p>
    <w:p>
      <w:pPr>
        <w:pStyle w:val="843"/>
        <w:spacing w:before="10"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71"/>
        <w:ind w:right="660"/>
        <w:jc w:val="right"/>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日期：  年  月  日</w:t>
      </w:r>
      <w:r/>
    </w:p>
    <w:p>
      <w:pPr>
        <w:pStyle w:val="843"/>
        <w:spacing w:line="276" w:lineRule="auto"/>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19"/>
          <w14:textFill>
            <w14:solidFill>
              <w14:schemeClr w14:val="tx1"/>
            </w14:solidFill>
          </w14:textFill>
        </w:rPr>
      </w:r>
      <w:r/>
    </w:p>
    <w:p>
      <w:pPr>
        <w:pStyle w:val="843"/>
        <w:spacing w:line="276" w:lineRule="auto"/>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19"/>
          <w14:textFill>
            <w14:solidFill>
              <w14:schemeClr w14:val="tx1"/>
            </w14:solidFill>
          </w14:textFill>
        </w:rPr>
      </w:r>
      <w:r/>
    </w:p>
    <w:p>
      <w:pPr>
        <w:ind w:left="743"/>
        <w:spacing w:line="276" w:lineRule="auto"/>
        <w:rPr>
          <w:rFonts w:hint="eastAsia" w:ascii="仿宋" w:hAnsi="仿宋" w:eastAsia="仿宋" w:cs="仿宋"/>
          <w:b/>
          <w:color w:val="000000" w:themeColor="text1"/>
          <w:sz w:val="24"/>
          <w14:textFill>
            <w14:solidFill>
              <w14:schemeClr w14:val="tx1"/>
            </w14:solidFill>
          </w14:textFill>
        </w:rPr>
        <w:outlineLvl w:val="1"/>
      </w:pPr>
      <w:r/>
      <w:bookmarkStart w:id="85" w:name="附件二：无重大违法记录声明格式"/>
      <w:r/>
      <w:bookmarkEnd w:id="85"/>
      <w:r/>
      <w:bookmarkStart w:id="86" w:name="_Toc2056"/>
      <w:r/>
      <w:bookmarkStart w:id="87" w:name="_Toc18399"/>
      <w:r>
        <w:rPr>
          <w:rFonts w:hint="eastAsia" w:ascii="仿宋" w:hAnsi="仿宋" w:eastAsia="仿宋" w:cs="仿宋"/>
          <w:b/>
          <w:color w:val="000000" w:themeColor="text1"/>
          <w:sz w:val="24"/>
          <w14:textFill>
            <w14:solidFill>
              <w14:schemeClr w14:val="tx1"/>
            </w14:solidFill>
          </w14:textFill>
        </w:rPr>
        <w:t xml:space="preserve">附件二：无重大违法记录声明格式</w:t>
      </w:r>
      <w:bookmarkEnd w:id="86"/>
      <w:r/>
      <w:bookmarkEnd w:id="87"/>
      <w:r/>
      <w:r/>
    </w:p>
    <w:p>
      <w:pPr>
        <w:ind w:right="7"/>
        <w:jc w:val="center"/>
        <w:spacing w:before="5"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无重大违法记录声明</w:t>
      </w:r>
      <w:r/>
    </w:p>
    <w:p>
      <w:pPr>
        <w:pStyle w:val="843"/>
        <w:ind w:left="743"/>
        <w:spacing w:before="2"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 xml:space="preserve">（采购人名称）</w:t>
      </w:r>
      <w:r>
        <w:rPr>
          <w:rFonts w:hint="eastAsia" w:ascii="仿宋" w:hAnsi="仿宋" w:eastAsia="仿宋" w:cs="仿宋"/>
          <w:color w:val="000000" w:themeColor="text1"/>
          <w14:textFill>
            <w14:solidFill>
              <w14:schemeClr w14:val="tx1"/>
            </w14:solidFill>
          </w14:textFill>
        </w:rPr>
        <w:t xml:space="preserve">：</w:t>
      </w:r>
      <w:r/>
    </w:p>
    <w:p>
      <w:pPr>
        <w:pStyle w:val="843"/>
        <w:ind w:left="1211"/>
        <w:spacing w:before="139" w:line="276" w:lineRule="auto"/>
        <w:tabs>
          <w:tab w:val="left" w:pos="6440"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1"/>
          <w14:textFill>
            <w14:solidFill>
              <w14:schemeClr w14:val="tx1"/>
            </w14:solidFill>
          </w14:textFill>
        </w:rPr>
        <w:t xml:space="preserve">我</w:t>
      </w:r>
      <w:r>
        <w:rPr>
          <w:rFonts w:hint="eastAsia" w:ascii="仿宋" w:hAnsi="仿宋" w:eastAsia="仿宋" w:cs="仿宋"/>
          <w:color w:val="000000" w:themeColor="text1"/>
          <w:spacing w:val="14"/>
          <w14:textFill>
            <w14:solidFill>
              <w14:schemeClr w14:val="tx1"/>
            </w14:solidFill>
          </w14:textFill>
        </w:rPr>
        <w:t xml:space="preserve">单</w:t>
      </w:r>
      <w:r>
        <w:rPr>
          <w:rFonts w:hint="eastAsia" w:ascii="仿宋" w:hAnsi="仿宋" w:eastAsia="仿宋" w:cs="仿宋"/>
          <w:color w:val="000000" w:themeColor="text1"/>
          <w:spacing w:val="13"/>
          <w14:textFill>
            <w14:solidFill>
              <w14:schemeClr w14:val="tx1"/>
            </w14:solidFill>
          </w14:textFill>
        </w:rPr>
        <w:t xml:space="preserve">位</w:t>
      </w:r>
      <w:r>
        <w:rPr>
          <w:rFonts w:hint="eastAsia" w:ascii="仿宋" w:hAnsi="仿宋" w:eastAsia="仿宋" w:cs="仿宋"/>
          <w:color w:val="000000" w:themeColor="text1"/>
          <w:spacing w:val="13"/>
          <w:u w:val="single"/>
          <w14:textFill>
            <w14:solidFill>
              <w14:schemeClr w14:val="tx1"/>
            </w14:solidFill>
          </w14:textFill>
        </w:rPr>
        <w:t xml:space="preserve"> </w:t>
      </w:r>
      <w:r>
        <w:rPr>
          <w:rFonts w:hint="eastAsia" w:ascii="仿宋" w:hAnsi="仿宋" w:eastAsia="仿宋" w:cs="仿宋"/>
          <w:color w:val="000000" w:themeColor="text1"/>
          <w:spacing w:val="13"/>
          <w:u w:val="single"/>
          <w14:textFill>
            <w14:solidFill>
              <w14:schemeClr w14:val="tx1"/>
            </w14:solidFill>
          </w14:textFill>
        </w:rPr>
        <w:tab/>
      </w:r>
      <w:r>
        <w:rPr>
          <w:rFonts w:hint="eastAsia" w:ascii="仿宋" w:hAnsi="仿宋" w:eastAsia="仿宋" w:cs="仿宋"/>
          <w:color w:val="000000" w:themeColor="text1"/>
          <w:spacing w:val="11"/>
          <w14:textFill>
            <w14:solidFill>
              <w14:schemeClr w14:val="tx1"/>
            </w14:solidFill>
          </w14:textFill>
        </w:rPr>
        <w:t xml:space="preserve">（</w:t>
      </w:r>
      <w:r>
        <w:rPr>
          <w:rFonts w:hint="eastAsia" w:ascii="仿宋" w:hAnsi="仿宋" w:eastAsia="仿宋" w:cs="仿宋"/>
          <w:color w:val="000000" w:themeColor="text1"/>
          <w:spacing w:val="14"/>
          <w14:textFill>
            <w14:solidFill>
              <w14:schemeClr w14:val="tx1"/>
            </w14:solidFill>
          </w14:textFill>
        </w:rPr>
        <w:t xml:space="preserve">供</w:t>
      </w:r>
      <w:r>
        <w:rPr>
          <w:rFonts w:hint="eastAsia" w:ascii="仿宋" w:hAnsi="仿宋" w:eastAsia="仿宋" w:cs="仿宋"/>
          <w:color w:val="000000" w:themeColor="text1"/>
          <w:spacing w:val="11"/>
          <w14:textFill>
            <w14:solidFill>
              <w14:schemeClr w14:val="tx1"/>
            </w14:solidFill>
          </w14:textFill>
        </w:rPr>
        <w:t xml:space="preserve">应</w:t>
      </w:r>
      <w:r>
        <w:rPr>
          <w:rFonts w:hint="eastAsia" w:ascii="仿宋" w:hAnsi="仿宋" w:eastAsia="仿宋" w:cs="仿宋"/>
          <w:color w:val="000000" w:themeColor="text1"/>
          <w:spacing w:val="14"/>
          <w14:textFill>
            <w14:solidFill>
              <w14:schemeClr w14:val="tx1"/>
            </w14:solidFill>
          </w14:textFill>
        </w:rPr>
        <w:t xml:space="preserve">商</w:t>
      </w:r>
      <w:r>
        <w:rPr>
          <w:rFonts w:hint="eastAsia" w:ascii="仿宋" w:hAnsi="仿宋" w:eastAsia="仿宋" w:cs="仿宋"/>
          <w:color w:val="000000" w:themeColor="text1"/>
          <w:spacing w:val="11"/>
          <w14:textFill>
            <w14:solidFill>
              <w14:schemeClr w14:val="tx1"/>
            </w14:solidFill>
          </w14:textFill>
        </w:rPr>
        <w:t xml:space="preserve">名</w:t>
      </w:r>
      <w:r>
        <w:rPr>
          <w:rFonts w:hint="eastAsia" w:ascii="仿宋" w:hAnsi="仿宋" w:eastAsia="仿宋" w:cs="仿宋"/>
          <w:color w:val="000000" w:themeColor="text1"/>
          <w:spacing w:val="14"/>
          <w14:textFill>
            <w14:solidFill>
              <w14:schemeClr w14:val="tx1"/>
            </w14:solidFill>
          </w14:textFill>
        </w:rPr>
        <w:t xml:space="preserve">称</w:t>
      </w:r>
      <w:r>
        <w:rPr>
          <w:rFonts w:hint="eastAsia" w:ascii="仿宋" w:hAnsi="仿宋" w:eastAsia="仿宋" w:cs="仿宋"/>
          <w:color w:val="000000" w:themeColor="text1"/>
          <w:spacing w:val="11"/>
          <w14:textFill>
            <w14:solidFill>
              <w14:schemeClr w14:val="tx1"/>
            </w14:solidFill>
          </w14:textFill>
        </w:rPr>
        <w:t xml:space="preserve">）</w:t>
      </w:r>
      <w:r>
        <w:rPr>
          <w:rFonts w:hint="eastAsia" w:ascii="仿宋" w:hAnsi="仿宋" w:eastAsia="仿宋" w:cs="仿宋"/>
          <w:color w:val="000000" w:themeColor="text1"/>
          <w:spacing w:val="14"/>
          <w14:textFill>
            <w14:solidFill>
              <w14:schemeClr w14:val="tx1"/>
            </w14:solidFill>
          </w14:textFill>
        </w:rPr>
        <w:t xml:space="preserve">郑</w:t>
      </w:r>
      <w:r>
        <w:rPr>
          <w:rFonts w:hint="eastAsia" w:ascii="仿宋" w:hAnsi="仿宋" w:eastAsia="仿宋" w:cs="仿宋"/>
          <w:color w:val="000000" w:themeColor="text1"/>
          <w:spacing w:val="11"/>
          <w14:textFill>
            <w14:solidFill>
              <w14:schemeClr w14:val="tx1"/>
            </w14:solidFill>
          </w14:textFill>
        </w:rPr>
        <w:t xml:space="preserve">重</w:t>
      </w:r>
      <w:r>
        <w:rPr>
          <w:rFonts w:hint="eastAsia" w:ascii="仿宋" w:hAnsi="仿宋" w:eastAsia="仿宋" w:cs="仿宋"/>
          <w:color w:val="000000" w:themeColor="text1"/>
          <w:spacing w:val="14"/>
          <w14:textFill>
            <w14:solidFill>
              <w14:schemeClr w14:val="tx1"/>
            </w14:solidFill>
          </w14:textFill>
        </w:rPr>
        <w:t xml:space="preserve">声</w:t>
      </w:r>
      <w:r>
        <w:rPr>
          <w:rFonts w:hint="eastAsia" w:ascii="仿宋" w:hAnsi="仿宋" w:eastAsia="仿宋" w:cs="仿宋"/>
          <w:color w:val="000000" w:themeColor="text1"/>
          <w:spacing w:val="11"/>
          <w14:textFill>
            <w14:solidFill>
              <w14:schemeClr w14:val="tx1"/>
            </w14:solidFill>
          </w14:textFill>
        </w:rPr>
        <w:t xml:space="preserve">明</w:t>
      </w:r>
      <w:r>
        <w:rPr>
          <w:rFonts w:hint="eastAsia" w:ascii="仿宋" w:hAnsi="仿宋" w:eastAsia="仿宋" w:cs="仿宋"/>
          <w:color w:val="000000" w:themeColor="text1"/>
          <w14:textFill>
            <w14:solidFill>
              <w14:schemeClr w14:val="tx1"/>
            </w14:solidFill>
          </w14:textFill>
        </w:rPr>
        <w:t xml:space="preserve">：</w:t>
      </w:r>
      <w:r/>
    </w:p>
    <w:p>
      <w:pPr>
        <w:pStyle w:val="843"/>
        <w:ind w:left="743" w:right="762" w:firstLine="468"/>
        <w:spacing w:before="141" w:line="276" w:lineRule="auto"/>
        <w:tabs>
          <w:tab w:val="left" w:pos="618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4"/>
          <w14:textFill>
            <w14:solidFill>
              <w14:schemeClr w14:val="tx1"/>
            </w14:solidFill>
          </w14:textFill>
        </w:rPr>
        <w:t xml:space="preserve">参加</w:t>
      </w:r>
      <w:r>
        <w:rPr>
          <w:rFonts w:hint="eastAsia" w:ascii="仿宋" w:hAnsi="仿宋" w:eastAsia="仿宋" w:cs="仿宋"/>
          <w:color w:val="000000" w:themeColor="text1"/>
          <w:spacing w:val="16"/>
          <w14:textFill>
            <w14:solidFill>
              <w14:schemeClr w14:val="tx1"/>
            </w14:solidFill>
          </w14:textFill>
        </w:rPr>
        <w:t xml:space="preserve">政</w:t>
      </w:r>
      <w:r>
        <w:rPr>
          <w:rFonts w:hint="eastAsia" w:ascii="仿宋" w:hAnsi="仿宋" w:eastAsia="仿宋" w:cs="仿宋"/>
          <w:color w:val="000000" w:themeColor="text1"/>
          <w:spacing w:val="14"/>
          <w14:textFill>
            <w14:solidFill>
              <w14:schemeClr w14:val="tx1"/>
            </w14:solidFill>
          </w14:textFill>
        </w:rPr>
        <w:t xml:space="preserve">府采购活</w:t>
      </w:r>
      <w:r>
        <w:rPr>
          <w:rFonts w:hint="eastAsia" w:ascii="仿宋" w:hAnsi="仿宋" w:eastAsia="仿宋" w:cs="仿宋"/>
          <w:color w:val="000000" w:themeColor="text1"/>
          <w:spacing w:val="16"/>
          <w14:textFill>
            <w14:solidFill>
              <w14:schemeClr w14:val="tx1"/>
            </w14:solidFill>
          </w14:textFill>
        </w:rPr>
        <w:t xml:space="preserve">动</w:t>
      </w:r>
      <w:r>
        <w:rPr>
          <w:rFonts w:hint="eastAsia" w:ascii="仿宋" w:hAnsi="仿宋" w:eastAsia="仿宋" w:cs="仿宋"/>
          <w:color w:val="000000" w:themeColor="text1"/>
          <w14:textFill>
            <w14:solidFill>
              <w14:schemeClr w14:val="tx1"/>
            </w14:solidFill>
          </w14:textFill>
        </w:rPr>
        <w:t xml:space="preserve">前</w:t>
      </w:r>
      <w:r>
        <w:rPr>
          <w:rFonts w:hint="eastAsia" w:ascii="仿宋" w:hAnsi="仿宋" w:eastAsia="仿宋" w:cs="仿宋"/>
          <w:color w:val="000000" w:themeColor="text1"/>
          <w:spacing w:val="-4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spacing w:val="7"/>
          <w14:textFill>
            <w14:solidFill>
              <w14:schemeClr w14:val="tx1"/>
            </w14:solidFill>
          </w14:textFill>
        </w:rPr>
        <w:t xml:space="preserve"> </w:t>
      </w:r>
      <w:r>
        <w:rPr>
          <w:rFonts w:hint="eastAsia" w:ascii="仿宋" w:hAnsi="仿宋" w:eastAsia="仿宋" w:cs="仿宋"/>
          <w:color w:val="000000" w:themeColor="text1"/>
          <w:spacing w:val="14"/>
          <w14:textFill>
            <w14:solidFill>
              <w14:schemeClr w14:val="tx1"/>
            </w14:solidFill>
          </w14:textFill>
        </w:rPr>
        <w:t xml:space="preserve">年内</w:t>
      </w:r>
      <w:r>
        <w:rPr>
          <w:rFonts w:hint="eastAsia" w:ascii="仿宋" w:hAnsi="仿宋" w:eastAsia="仿宋" w:cs="仿宋"/>
          <w:color w:val="000000" w:themeColor="text1"/>
          <w:spacing w:val="16"/>
          <w14:textFill>
            <w14:solidFill>
              <w14:schemeClr w14:val="tx1"/>
            </w14:solidFill>
          </w14:textFill>
        </w:rPr>
        <w:t xml:space="preserve">在</w:t>
      </w:r>
      <w:r>
        <w:rPr>
          <w:rFonts w:hint="eastAsia" w:ascii="仿宋" w:hAnsi="仿宋" w:eastAsia="仿宋" w:cs="仿宋"/>
          <w:color w:val="000000" w:themeColor="text1"/>
          <w:spacing w:val="14"/>
          <w14:textFill>
            <w14:solidFill>
              <w14:schemeClr w14:val="tx1"/>
            </w14:solidFill>
          </w14:textFill>
        </w:rPr>
        <w:t xml:space="preserve">经营活动</w:t>
      </w:r>
      <w:r>
        <w:rPr>
          <w:rFonts w:hint="eastAsia" w:ascii="仿宋" w:hAnsi="仿宋" w:eastAsia="仿宋" w:cs="仿宋"/>
          <w:color w:val="000000" w:themeColor="text1"/>
          <w:spacing w:val="16"/>
          <w14:textFill>
            <w14:solidFill>
              <w14:schemeClr w14:val="tx1"/>
            </w14:solidFill>
          </w14:textFill>
        </w:rPr>
        <w:t xml:space="preserve">中</w:t>
      </w:r>
      <w:r>
        <w:rPr>
          <w:rFonts w:hint="eastAsia" w:ascii="仿宋" w:hAnsi="仿宋" w:eastAsia="仿宋" w:cs="仿宋"/>
          <w:color w:val="000000" w:themeColor="text1"/>
          <w:spacing w:val="16"/>
          <w:u w:val="single"/>
          <w14:textFill>
            <w14:solidFill>
              <w14:schemeClr w14:val="tx1"/>
            </w14:solidFill>
          </w14:textFill>
        </w:rPr>
        <w:t xml:space="preserve"> </w:t>
      </w:r>
      <w:r>
        <w:rPr>
          <w:rFonts w:hint="eastAsia" w:ascii="仿宋" w:hAnsi="仿宋" w:eastAsia="仿宋" w:cs="仿宋"/>
          <w:color w:val="000000" w:themeColor="text1"/>
          <w:spacing w:val="16"/>
          <w:u w:val="single"/>
          <w14:textFill>
            <w14:solidFill>
              <w14:schemeClr w14:val="tx1"/>
            </w14:solidFill>
          </w14:textFill>
        </w:rPr>
        <w:tab/>
      </w:r>
      <w:r>
        <w:rPr>
          <w:rFonts w:hint="eastAsia" w:ascii="仿宋" w:hAnsi="仿宋" w:eastAsia="仿宋" w:cs="仿宋"/>
          <w:color w:val="000000" w:themeColor="text1"/>
          <w:spacing w:val="14"/>
          <w14:textFill>
            <w14:solidFill>
              <w14:schemeClr w14:val="tx1"/>
            </w14:solidFill>
          </w14:textFill>
        </w:rPr>
        <w:t xml:space="preserve">（在</w:t>
      </w:r>
      <w:r>
        <w:rPr>
          <w:rFonts w:hint="eastAsia" w:ascii="仿宋" w:hAnsi="仿宋" w:eastAsia="仿宋" w:cs="仿宋"/>
          <w:color w:val="000000" w:themeColor="text1"/>
          <w:spacing w:val="16"/>
          <w14:textFill>
            <w14:solidFill>
              <w14:schemeClr w14:val="tx1"/>
            </w14:solidFill>
          </w14:textFill>
        </w:rPr>
        <w:t xml:space="preserve">下</w:t>
      </w:r>
      <w:r>
        <w:rPr>
          <w:rFonts w:hint="eastAsia" w:ascii="仿宋" w:hAnsi="仿宋" w:eastAsia="仿宋" w:cs="仿宋"/>
          <w:color w:val="000000" w:themeColor="text1"/>
          <w:spacing w:val="14"/>
          <w14:textFill>
            <w14:solidFill>
              <w14:schemeClr w14:val="tx1"/>
            </w14:solidFill>
          </w14:textFill>
        </w:rPr>
        <w:t xml:space="preserve">划线上如</w:t>
      </w:r>
      <w:r>
        <w:rPr>
          <w:rFonts w:hint="eastAsia" w:ascii="仿宋" w:hAnsi="仿宋" w:eastAsia="仿宋" w:cs="仿宋"/>
          <w:color w:val="000000" w:themeColor="text1"/>
          <w:spacing w:val="16"/>
          <w14:textFill>
            <w14:solidFill>
              <w14:schemeClr w14:val="tx1"/>
            </w14:solidFill>
          </w14:textFill>
        </w:rPr>
        <w:t xml:space="preserve">实</w:t>
      </w:r>
      <w:r>
        <w:rPr>
          <w:rFonts w:hint="eastAsia" w:ascii="仿宋" w:hAnsi="仿宋" w:eastAsia="仿宋" w:cs="仿宋"/>
          <w:color w:val="000000" w:themeColor="text1"/>
          <w:spacing w:val="14"/>
          <w14:textFill>
            <w14:solidFill>
              <w14:schemeClr w14:val="tx1"/>
            </w14:solidFill>
          </w14:textFill>
        </w:rPr>
        <w:t xml:space="preserve">填写：有</w:t>
      </w:r>
      <w:r>
        <w:rPr>
          <w:rFonts w:hint="eastAsia" w:ascii="仿宋" w:hAnsi="仿宋" w:eastAsia="仿宋" w:cs="仿宋"/>
          <w:color w:val="000000" w:themeColor="text1"/>
          <w:spacing w:val="16"/>
          <w14:textFill>
            <w14:solidFill>
              <w14:schemeClr w14:val="tx1"/>
            </w14:solidFill>
          </w14:textFill>
        </w:rPr>
        <w:t xml:space="preserve">或</w:t>
      </w:r>
      <w:r>
        <w:rPr>
          <w:rFonts w:hint="eastAsia" w:ascii="仿宋" w:hAnsi="仿宋" w:eastAsia="仿宋" w:cs="仿宋"/>
          <w:color w:val="000000" w:themeColor="text1"/>
          <w:spacing w:val="14"/>
          <w14:textFill>
            <w14:solidFill>
              <w14:schemeClr w14:val="tx1"/>
            </w14:solidFill>
          </w14:textFill>
        </w:rPr>
        <w:t xml:space="preserve">没有）</w:t>
      </w:r>
      <w:r>
        <w:rPr>
          <w:rFonts w:hint="eastAsia" w:ascii="仿宋" w:hAnsi="仿宋" w:eastAsia="仿宋" w:cs="仿宋"/>
          <w:color w:val="000000" w:themeColor="text1"/>
          <w:spacing w:val="16"/>
          <w14:textFill>
            <w14:solidFill>
              <w14:schemeClr w14:val="tx1"/>
            </w14:solidFill>
          </w14:textFill>
        </w:rPr>
        <w:t xml:space="preserve">重</w:t>
      </w:r>
      <w:r>
        <w:rPr>
          <w:rFonts w:hint="eastAsia" w:ascii="仿宋" w:hAnsi="仿宋" w:eastAsia="仿宋" w:cs="仿宋"/>
          <w:color w:val="000000" w:themeColor="text1"/>
          <w:spacing w:val="-12"/>
          <w14:textFill>
            <w14:solidFill>
              <w14:schemeClr w14:val="tx1"/>
            </w14:solidFill>
          </w14:textFill>
        </w:rPr>
        <w:t xml:space="preserve">大</w:t>
      </w:r>
      <w:r>
        <w:rPr>
          <w:rFonts w:hint="eastAsia" w:ascii="仿宋" w:hAnsi="仿宋" w:eastAsia="仿宋" w:cs="仿宋"/>
          <w:color w:val="000000" w:themeColor="text1"/>
          <w:spacing w:val="11"/>
          <w14:textFill>
            <w14:solidFill>
              <w14:schemeClr w14:val="tx1"/>
            </w14:solidFill>
          </w14:textFill>
        </w:rPr>
        <w:t xml:space="preserve">违</w:t>
      </w:r>
      <w:r>
        <w:rPr>
          <w:rFonts w:hint="eastAsia" w:ascii="仿宋" w:hAnsi="仿宋" w:eastAsia="仿宋" w:cs="仿宋"/>
          <w:color w:val="000000" w:themeColor="text1"/>
          <w:spacing w:val="14"/>
          <w14:textFill>
            <w14:solidFill>
              <w14:schemeClr w14:val="tx1"/>
            </w14:solidFill>
          </w14:textFill>
        </w:rPr>
        <w:t xml:space="preserve">法</w:t>
      </w:r>
      <w:r>
        <w:rPr>
          <w:rFonts w:hint="eastAsia" w:ascii="仿宋" w:hAnsi="仿宋" w:eastAsia="仿宋" w:cs="仿宋"/>
          <w:color w:val="000000" w:themeColor="text1"/>
          <w:spacing w:val="11"/>
          <w14:textFill>
            <w14:solidFill>
              <w14:schemeClr w14:val="tx1"/>
            </w14:solidFill>
          </w14:textFill>
        </w:rPr>
        <w:t xml:space="preserve">记</w:t>
      </w:r>
      <w:r>
        <w:rPr>
          <w:rFonts w:hint="eastAsia" w:ascii="仿宋" w:hAnsi="仿宋" w:eastAsia="仿宋" w:cs="仿宋"/>
          <w:color w:val="000000" w:themeColor="text1"/>
          <w:spacing w:val="14"/>
          <w14:textFill>
            <w14:solidFill>
              <w14:schemeClr w14:val="tx1"/>
            </w14:solidFill>
          </w14:textFill>
        </w:rPr>
        <w:t xml:space="preserve">录</w:t>
      </w:r>
      <w:r>
        <w:rPr>
          <w:rFonts w:hint="eastAsia" w:ascii="仿宋" w:hAnsi="仿宋" w:eastAsia="仿宋" w:cs="仿宋"/>
          <w:color w:val="000000" w:themeColor="text1"/>
          <w14:textFill>
            <w14:solidFill>
              <w14:schemeClr w14:val="tx1"/>
            </w14:solidFill>
          </w14:textFill>
        </w:rPr>
        <w:t xml:space="preserve">。</w:t>
      </w:r>
      <w:r/>
    </w:p>
    <w:p>
      <w:pPr>
        <w:pStyle w:val="843"/>
        <w:ind w:left="743" w:right="767" w:firstLine="468"/>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（说明：政府采购法第二十二条第一款第五项所称重大违法记录，是指供应商因违法经营受到  </w:t>
      </w:r>
      <w:r>
        <w:rPr>
          <w:rFonts w:hint="eastAsia" w:ascii="仿宋" w:hAnsi="仿宋" w:eastAsia="仿宋" w:cs="仿宋"/>
          <w:color w:val="000000" w:themeColor="text1"/>
          <w14:textFill>
            <w14:solidFill>
              <w14:schemeClr w14:val="tx1"/>
            </w14:solidFill>
          </w14:textFill>
        </w:rPr>
        <w:t xml:space="preserve">刑事处罚或者责令停产停业、吊销许可证或者执照、较大数额罚款等行政处罚。）</w:t>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71"/>
        <w:ind w:right="660"/>
        <w:jc w:val="right"/>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ind w:left="743"/>
        <w:spacing w:before="64" w:line="276" w:lineRule="auto"/>
        <w:rPr>
          <w:rFonts w:hint="eastAsia" w:ascii="仿宋" w:hAnsi="仿宋" w:eastAsia="仿宋" w:cs="仿宋"/>
          <w:b/>
          <w:color w:val="000000" w:themeColor="text1"/>
          <w:sz w:val="24"/>
          <w14:textFill>
            <w14:solidFill>
              <w14:schemeClr w14:val="tx1"/>
            </w14:solidFill>
          </w14:textFill>
        </w:rPr>
        <w:outlineLvl w:val="1"/>
      </w:pPr>
      <w:r/>
      <w:bookmarkStart w:id="88" w:name="附件四：南京市政府采购供应商信用记录表"/>
      <w:r/>
      <w:bookmarkEnd w:id="88"/>
      <w:r/>
      <w:bookmarkStart w:id="89" w:name="_Toc11344"/>
      <w:r/>
      <w:bookmarkStart w:id="90" w:name="_Toc2219"/>
      <w:r>
        <w:rPr>
          <w:rFonts w:hint="eastAsia" w:ascii="仿宋" w:hAnsi="仿宋" w:eastAsia="仿宋" w:cs="仿宋"/>
          <w:b/>
          <w:color w:val="000000" w:themeColor="text1"/>
          <w:sz w:val="24"/>
          <w14:textFill>
            <w14:solidFill>
              <w14:schemeClr w14:val="tx1"/>
            </w14:solidFill>
          </w14:textFill>
        </w:rPr>
        <w:t xml:space="preserve">附件三：中小企业声明函格式、残疾人福利性单位声明函、监狱企业声明函</w:t>
      </w:r>
      <w:bookmarkEnd w:id="89"/>
      <w:r/>
      <w:bookmarkEnd w:id="90"/>
      <w:r/>
      <w:r/>
    </w:p>
    <w:p>
      <w:pPr>
        <w:ind w:right="7"/>
        <w:jc w:val="center"/>
        <w:spacing w:before="158"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中小企业声明函</w:t>
      </w:r>
      <w:r/>
    </w:p>
    <w:p>
      <w:pPr>
        <w:pStyle w:val="1122"/>
        <w:ind w:firstLine="420"/>
        <w:spacing w:line="276" w:lineRule="auto"/>
        <w:rPr>
          <w:rFonts w:hint="eastAsia" w:ascii="仿宋" w:hAnsi="仿宋" w:eastAsia="仿宋" w:cs="仿宋"/>
          <w:color w:val="000000"/>
          <w:lang w:eastAsia="zh-CN"/>
        </w:rPr>
      </w:pPr>
      <w:r>
        <w:rPr>
          <w:rFonts w:hint="eastAsia" w:ascii="仿宋" w:hAnsi="仿宋" w:eastAsia="仿宋" w:cs="仿宋"/>
          <w:color w:val="000000"/>
          <w:lang w:eastAsia="zh-CN"/>
        </w:rPr>
        <w:t xml:space="preserve">本公司（联合体）郑重声明，根据《政府采购促进中小企业发展管理办法》（财库〔2020〕46号）的规定，本公司（联合体）参加</w:t>
      </w:r>
      <w:r>
        <w:rPr>
          <w:rFonts w:hint="eastAsia" w:ascii="仿宋" w:hAnsi="仿宋" w:eastAsia="仿宋" w:cs="仿宋"/>
          <w:color w:val="000000"/>
          <w:u w:val="single"/>
          <w:lang w:eastAsia="zh-CN"/>
        </w:rPr>
        <w:t xml:space="preserve">（单位名称）</w:t>
      </w:r>
      <w:r>
        <w:rPr>
          <w:rFonts w:hint="eastAsia" w:ascii="仿宋" w:hAnsi="仿宋" w:eastAsia="仿宋" w:cs="仿宋"/>
          <w:color w:val="000000"/>
          <w:lang w:eastAsia="zh-CN"/>
        </w:rPr>
        <w:t xml:space="preserve">的</w:t>
      </w:r>
      <w:r>
        <w:rPr>
          <w:rFonts w:hint="eastAsia" w:ascii="仿宋" w:hAnsi="仿宋" w:eastAsia="仿宋" w:cs="仿宋"/>
          <w:color w:val="000000"/>
          <w:u w:val="single"/>
          <w:lang w:eastAsia="zh-CN"/>
        </w:rPr>
        <w:t xml:space="preserve">（项目名称）</w:t>
      </w:r>
      <w:r>
        <w:rPr>
          <w:rFonts w:hint="eastAsia" w:ascii="仿宋" w:hAnsi="仿宋" w:eastAsia="仿宋" w:cs="仿宋"/>
          <w:color w:val="00000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122"/>
        <w:spacing w:line="276" w:lineRule="auto"/>
        <w:rPr>
          <w:rFonts w:hint="eastAsia" w:ascii="仿宋" w:hAnsi="仿宋" w:eastAsia="仿宋" w:cs="仿宋"/>
          <w:color w:val="000000"/>
          <w:lang w:eastAsia="zh-CN"/>
        </w:rPr>
      </w:pPr>
      <w:r/>
      <w:bookmarkStart w:id="91" w:name="bookmark47"/>
      <w:r/>
      <w:bookmarkEnd w:id="91"/>
      <w:r>
        <w:rPr>
          <w:rFonts w:hint="eastAsia" w:ascii="仿宋" w:hAnsi="仿宋" w:eastAsia="仿宋" w:cs="仿宋"/>
          <w:color w:val="000000"/>
          <w:u w:val="single"/>
          <w:lang w:eastAsia="zh-CN"/>
        </w:rPr>
        <w:t xml:space="preserve">（标的名称），</w:t>
      </w:r>
      <w:r>
        <w:rPr>
          <w:rFonts w:hint="eastAsia" w:ascii="仿宋" w:hAnsi="仿宋" w:eastAsia="仿宋" w:cs="仿宋"/>
          <w:color w:val="000000"/>
          <w:lang w:eastAsia="zh-CN"/>
        </w:rPr>
        <w:t xml:space="preserve">属于</w:t>
      </w:r>
      <w:r>
        <w:rPr>
          <w:rFonts w:hint="eastAsia" w:ascii="仿宋" w:hAnsi="仿宋" w:eastAsia="仿宋" w:cs="仿宋"/>
          <w:color w:val="000000"/>
          <w:u w:val="single"/>
          <w:lang w:eastAsia="zh-CN"/>
        </w:rPr>
        <w:t xml:space="preserve">（采购文件中明确的所属行业）</w:t>
      </w:r>
      <w:r>
        <w:rPr>
          <w:rFonts w:hint="eastAsia" w:ascii="仿宋" w:hAnsi="仿宋" w:eastAsia="仿宋" w:cs="仿宋"/>
          <w:color w:val="000000"/>
          <w:u w:val="single"/>
          <w:lang w:val="en-US" w:eastAsia="zh-CN"/>
        </w:rPr>
        <w:t xml:space="preserve">；</w:t>
      </w:r>
      <w:r>
        <w:rPr>
          <w:rFonts w:hint="eastAsia" w:ascii="仿宋" w:hAnsi="仿宋" w:eastAsia="仿宋" w:cs="仿宋"/>
          <w:color w:val="000000"/>
          <w:lang w:eastAsia="zh-CN"/>
        </w:rPr>
        <w:t xml:space="preserve">承建（承接）企业为</w:t>
      </w:r>
      <w:r>
        <w:rPr>
          <w:rFonts w:hint="eastAsia" w:ascii="仿宋" w:hAnsi="仿宋" w:eastAsia="仿宋" w:cs="仿宋"/>
          <w:color w:val="000000"/>
          <w:u w:val="single"/>
          <w:lang w:eastAsia="zh-CN"/>
        </w:rPr>
        <w:t xml:space="preserve">（企业名称），</w:t>
      </w:r>
      <w:r>
        <w:rPr>
          <w:rFonts w:hint="eastAsia" w:ascii="仿宋" w:hAnsi="仿宋" w:eastAsia="仿宋" w:cs="仿宋"/>
          <w:color w:val="000000"/>
          <w:lang w:eastAsia="zh-CN"/>
        </w:rPr>
        <w:t xml:space="preserve">从业人员</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u w:val="single"/>
          <w:lang w:eastAsia="zh-CN"/>
        </w:rPr>
        <w:tab/>
      </w:r>
      <w:r>
        <w:rPr>
          <w:rFonts w:hint="eastAsia" w:ascii="仿宋" w:hAnsi="仿宋" w:eastAsia="仿宋" w:cs="仿宋"/>
          <w:color w:val="000000"/>
          <w:lang w:eastAsia="zh-CN"/>
        </w:rPr>
        <w:t xml:space="preserve">人，营业收入为</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lang w:eastAsia="zh-CN"/>
        </w:rPr>
        <w:t xml:space="preserve">万元，资产总额为</w:t>
      </w:r>
      <w:r>
        <w:rPr>
          <w:rFonts w:hint="eastAsia" w:ascii="仿宋" w:hAnsi="仿宋" w:eastAsia="仿宋" w:cs="仿宋"/>
          <w:color w:val="000000"/>
          <w:u w:val="single"/>
          <w:lang w:eastAsia="zh-CN"/>
        </w:rPr>
        <w:t xml:space="preserve"> </w:t>
      </w:r>
      <w:r>
        <w:rPr>
          <w:rFonts w:hint="eastAsia" w:ascii="仿宋" w:hAnsi="仿宋" w:eastAsia="仿宋" w:cs="仿宋"/>
          <w:color w:val="000000"/>
          <w:u w:val="single"/>
          <w:lang w:eastAsia="zh-CN"/>
        </w:rPr>
        <w:tab/>
      </w:r>
      <w:r>
        <w:rPr>
          <w:rFonts w:hint="eastAsia" w:ascii="仿宋" w:hAnsi="仿宋" w:eastAsia="仿宋" w:cs="仿宋"/>
          <w:color w:val="000000"/>
          <w:lang w:eastAsia="zh-CN"/>
        </w:rPr>
        <w:t xml:space="preserve">万元</w:t>
      </w:r>
      <w:r>
        <w:rPr>
          <w:rFonts w:hint="eastAsia" w:ascii="仿宋" w:hAnsi="仿宋" w:eastAsia="仿宋" w:cs="仿宋"/>
          <w:color w:val="000000"/>
          <w:lang w:val="en-US" w:eastAsia="zh-CN"/>
        </w:rPr>
        <w:t xml:space="preserve">，</w:t>
      </w:r>
      <w:r>
        <w:rPr>
          <w:rFonts w:hint="eastAsia" w:ascii="仿宋" w:hAnsi="仿宋" w:eastAsia="仿宋" w:cs="仿宋"/>
          <w:color w:val="000000"/>
          <w:lang w:eastAsia="zh-CN"/>
        </w:rPr>
        <w:t xml:space="preserve">属于</w:t>
      </w:r>
      <w:r>
        <w:rPr>
          <w:rFonts w:hint="eastAsia" w:ascii="仿宋" w:hAnsi="仿宋" w:eastAsia="仿宋" w:cs="仿宋"/>
          <w:color w:val="000000"/>
          <w:u w:val="single"/>
          <w:lang w:eastAsia="zh-CN"/>
        </w:rPr>
        <w:t xml:space="preserve">（中型企业、 小型企业、微型企业）</w:t>
      </w:r>
      <w:r>
        <w:rPr>
          <w:rFonts w:hint="eastAsia" w:ascii="仿宋" w:hAnsi="仿宋" w:eastAsia="仿宋" w:cs="仿宋"/>
          <w:color w:val="000000"/>
          <w:lang w:val="en-US" w:eastAsia="zh-CN"/>
        </w:rPr>
        <w:t xml:space="preserve">；</w:t>
      </w:r>
      <w:r/>
    </w:p>
    <w:p>
      <w:pPr>
        <w:pStyle w:val="1122"/>
        <w:spacing w:line="276" w:lineRule="auto"/>
        <w:rPr>
          <w:rFonts w:hint="eastAsia" w:ascii="仿宋" w:hAnsi="仿宋" w:eastAsia="仿宋" w:cs="仿宋"/>
          <w:color w:val="000000"/>
          <w:lang w:eastAsia="zh-CN"/>
        </w:rPr>
      </w:pPr>
      <w:r/>
      <w:bookmarkStart w:id="92" w:name="bookmark48"/>
      <w:r/>
      <w:bookmarkEnd w:id="92"/>
      <w:r>
        <w:rPr>
          <w:rFonts w:hint="eastAsia" w:ascii="仿宋" w:hAnsi="仿宋" w:eastAsia="仿宋" w:cs="仿宋"/>
          <w:color w:val="000000"/>
          <w:lang w:eastAsia="zh-CN"/>
        </w:rPr>
        <w:t xml:space="preserve">以上企业，不属于大企业的分支机构，不存在控股股东为大企业的情形，也不存在与大企业的负责人为同一人的情形。</w:t>
      </w:r>
      <w:r/>
    </w:p>
    <w:p>
      <w:pPr>
        <w:pStyle w:val="1122"/>
        <w:spacing w:line="276" w:lineRule="auto"/>
        <w:rPr>
          <w:rFonts w:hint="eastAsia" w:ascii="仿宋" w:hAnsi="仿宋" w:eastAsia="仿宋" w:cs="仿宋"/>
          <w:lang w:eastAsia="zh-CN"/>
        </w:rPr>
      </w:pPr>
      <w:r>
        <w:rPr>
          <w:rFonts w:hint="eastAsia" w:ascii="仿宋" w:hAnsi="仿宋" w:eastAsia="仿宋" w:cs="仿宋"/>
          <w:color w:val="000000"/>
          <w:lang w:eastAsia="zh-CN"/>
        </w:rPr>
        <w:t xml:space="preserve">本企业对上述声明内容的真实性负责。如有虚假，将依法承担相应责任。</w:t>
      </w:r>
      <w:r/>
    </w:p>
    <w:p>
      <w:pPr>
        <w:pStyle w:val="1122"/>
        <w:ind w:left="3860" w:firstLine="100"/>
        <w:jc w:val="center"/>
        <w:spacing w:line="276" w:lineRule="auto"/>
        <w:rPr>
          <w:rFonts w:hint="eastAsia" w:ascii="仿宋" w:hAnsi="仿宋" w:eastAsia="仿宋" w:cs="仿宋"/>
          <w:color w:val="000000"/>
          <w:lang w:eastAsia="zh-CN"/>
        </w:rPr>
      </w:pPr>
      <w:r>
        <w:rPr>
          <w:rFonts w:hint="eastAsia" w:ascii="仿宋" w:hAnsi="仿宋" w:eastAsia="仿宋" w:cs="仿宋"/>
          <w:color w:val="000000"/>
          <w:lang w:eastAsia="zh-CN"/>
        </w:rPr>
      </w:r>
      <w:r/>
    </w:p>
    <w:p>
      <w:pPr>
        <w:pStyle w:val="1122"/>
        <w:ind w:left="3860" w:firstLine="100"/>
        <w:jc w:val="center"/>
        <w:spacing w:line="276" w:lineRule="auto"/>
        <w:rPr>
          <w:rFonts w:hint="eastAsia" w:ascii="仿宋" w:hAnsi="仿宋" w:eastAsia="仿宋" w:cs="仿宋"/>
          <w:color w:val="000000"/>
          <w:lang w:eastAsia="zh-CN"/>
        </w:rPr>
      </w:pPr>
      <w:r>
        <w:rPr>
          <w:rFonts w:hint="eastAsia" w:ascii="仿宋" w:hAnsi="仿宋" w:eastAsia="仿宋" w:cs="仿宋"/>
          <w:color w:val="000000"/>
          <w:lang w:eastAsia="zh-CN"/>
        </w:rPr>
        <w:t xml:space="preserve">企业名称（盖章）： </w:t>
      </w:r>
      <w:r/>
    </w:p>
    <w:p>
      <w:pPr>
        <w:pStyle w:val="1122"/>
        <w:ind w:left="3860" w:firstLine="100"/>
        <w:jc w:val="center"/>
        <w:spacing w:line="276" w:lineRule="auto"/>
        <w:rPr>
          <w:rFonts w:hint="eastAsia" w:ascii="仿宋" w:hAnsi="仿宋" w:eastAsia="仿宋" w:cs="仿宋"/>
          <w:lang w:eastAsia="zh-CN"/>
        </w:rPr>
      </w:pPr>
      <w:r>
        <w:rPr>
          <w:rFonts w:hint="eastAsia" w:ascii="仿宋" w:hAnsi="仿宋" w:eastAsia="仿宋" w:cs="仿宋"/>
          <w:color w:val="000000"/>
          <w:lang w:eastAsia="zh-CN"/>
        </w:rPr>
        <w:t xml:space="preserve">日期：</w:t>
      </w:r>
      <w:r/>
    </w:p>
    <w:p>
      <w:pPr>
        <w:pStyle w:val="843"/>
        <w:spacing w:line="276" w:lineRule="auto"/>
        <w:rPr>
          <w:rFonts w:hint="eastAsia" w:ascii="仿宋" w:hAnsi="仿宋" w:eastAsia="仿宋" w:cs="仿宋"/>
          <w:color w:val="000000"/>
          <w:sz w:val="18"/>
          <w:szCs w:val="18"/>
        </w:rPr>
      </w:pPr>
      <w:r>
        <w:rPr>
          <w:rFonts w:hint="eastAsia" w:ascii="仿宋" w:hAnsi="仿宋" w:eastAsia="仿宋" w:cs="仿宋"/>
          <w:color w:val="000000"/>
          <w:sz w:val="18"/>
          <w:szCs w:val="18"/>
        </w:rPr>
      </w:r>
      <w:r/>
    </w:p>
    <w:p>
      <w:pPr>
        <w:pStyle w:val="843"/>
        <w:spacing w:line="276" w:lineRule="auto"/>
        <w:rPr>
          <w:rFonts w:hint="eastAsia" w:ascii="仿宋" w:hAnsi="仿宋" w:eastAsia="仿宋" w:cs="仿宋"/>
          <w:color w:val="000000"/>
          <w:sz w:val="18"/>
          <w:szCs w:val="18"/>
        </w:rPr>
      </w:pPr>
      <w:r>
        <w:rPr>
          <w:rFonts w:hint="eastAsia" w:ascii="仿宋" w:hAnsi="仿宋" w:eastAsia="仿宋" w:cs="仿宋"/>
          <w:color w:val="000000"/>
          <w:sz w:val="18"/>
          <w:szCs w:val="18"/>
        </w:rPr>
      </w:r>
      <w:r/>
    </w:p>
    <w:p>
      <w:pPr>
        <w:pStyle w:val="843"/>
        <w:spacing w:line="276" w:lineRule="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sz w:val="18"/>
          <w:szCs w:val="18"/>
        </w:rPr>
        <w:t xml:space="preserve">注：从业人员、营业收入、资产总额填报上一年度数据，无上一年度数据的新成立企业可不填报。</w:t>
      </w:r>
      <w:r/>
    </w:p>
    <w:p>
      <w:pPr>
        <w:pStyle w:val="843"/>
        <w:ind w:left="4943" w:right="4131"/>
        <w:spacing w:line="276" w:lineRule="auto"/>
        <w:tabs>
          <w:tab w:val="left" w:pos="6414"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before="10" w:line="276" w:lineRule="auto"/>
        <w:rPr>
          <w:rFonts w:hint="eastAsia" w:ascii="仿宋" w:hAnsi="仿宋" w:eastAsia="仿宋" w:cs="仿宋"/>
          <w:color w:val="000000" w:themeColor="text1"/>
          <w:sz w:val="14"/>
          <w14:textFill>
            <w14:solidFill>
              <w14:schemeClr w14:val="tx1"/>
            </w14:solidFill>
          </w14:textFill>
        </w:rPr>
      </w:pPr>
      <w:r>
        <w:rPr>
          <w:rFonts w:hint="eastAsia" w:ascii="仿宋" w:hAnsi="仿宋" w:eastAsia="仿宋" w:cs="仿宋"/>
          <w:color w:val="000000" w:themeColor="text1"/>
          <w:sz w:val="14"/>
          <w14:textFill>
            <w14:solidFill>
              <w14:schemeClr w14:val="tx1"/>
            </w14:solidFill>
          </w14:textFill>
        </w:rPr>
      </w:r>
      <w:r/>
    </w:p>
    <w:p>
      <w:pPr>
        <w:ind w:right="7"/>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残疾人福利性单位声明函</w:t>
      </w:r>
      <w:r/>
    </w:p>
    <w:p>
      <w:pPr>
        <w:pStyle w:val="843"/>
        <w:ind w:left="743" w:right="608" w:firstLine="420"/>
        <w:spacing w:before="239" w:line="276" w:lineRule="auto"/>
        <w:tabs>
          <w:tab w:val="left" w:pos="2634" w:leader="none"/>
          <w:tab w:val="left" w:pos="3894" w:leader="none"/>
          <w:tab w:val="left" w:pos="5967" w:leader="none"/>
          <w:tab w:val="left" w:pos="779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本单位郑重声明，根据《财政部</w:t>
      </w:r>
      <w:r>
        <w:rPr>
          <w:rFonts w:hint="eastAsia" w:ascii="仿宋" w:hAnsi="仿宋" w:eastAsia="仿宋" w:cs="仿宋"/>
          <w:color w:val="000000" w:themeColor="text1"/>
          <w:spacing w:val="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民政部</w:t>
      </w:r>
      <w:r>
        <w:rPr>
          <w:rFonts w:hint="eastAsia" w:ascii="仿宋" w:hAnsi="仿宋" w:eastAsia="仿宋" w:cs="仿宋"/>
          <w:color w:val="000000" w:themeColor="text1"/>
          <w:spacing w:val="-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中国残疾人联合会关于促进残疾人就业政府采购政策的通知</w:t>
      </w:r>
      <w:r>
        <w:rPr>
          <w:rFonts w:hint="eastAsia" w:ascii="仿宋" w:hAnsi="仿宋" w:eastAsia="仿宋" w:cs="仿宋"/>
          <w:color w:val="000000" w:themeColor="text1"/>
          <w:spacing w:val="-22"/>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（财</w:t>
      </w:r>
      <w:r>
        <w:rPr>
          <w:rFonts w:hint="eastAsia" w:ascii="仿宋" w:hAnsi="仿宋" w:eastAsia="仿宋" w:cs="仿宋"/>
          <w:color w:val="000000" w:themeColor="text1"/>
          <w:spacing w:val="-10"/>
          <w14:textFill>
            <w14:solidFill>
              <w14:schemeClr w14:val="tx1"/>
            </w14:solidFill>
          </w14:textFill>
        </w:rPr>
        <w:t xml:space="preserve">库</w:t>
      </w:r>
      <w:r>
        <w:rPr>
          <w:rFonts w:hint="eastAsia" w:ascii="仿宋" w:hAnsi="仿宋" w:eastAsia="仿宋" w:cs="仿宋"/>
          <w:color w:val="000000" w:themeColor="text1"/>
          <w14:textFill>
            <w14:solidFill>
              <w14:schemeClr w14:val="tx1"/>
            </w14:solidFill>
          </w14:textFill>
        </w:rPr>
        <w:t xml:space="preserve">〔2017〕</w:t>
      </w:r>
      <w:r>
        <w:rPr>
          <w:rFonts w:hint="eastAsia" w:ascii="仿宋" w:hAnsi="仿宋" w:eastAsia="仿宋" w:cs="仿宋"/>
          <w:color w:val="000000" w:themeColor="text1"/>
          <w:spacing w:val="-16"/>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141</w:t>
      </w:r>
      <w:r>
        <w:rPr>
          <w:rFonts w:hint="eastAsia" w:ascii="仿宋" w:hAnsi="仿宋" w:eastAsia="仿宋" w:cs="仿宋"/>
          <w:color w:val="000000" w:themeColor="text1"/>
          <w:spacing w:val="-3"/>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号</w:t>
      </w:r>
      <w:r>
        <w:rPr>
          <w:rFonts w:hint="eastAsia" w:ascii="仿宋" w:hAnsi="仿宋" w:eastAsia="仿宋" w:cs="仿宋"/>
          <w:color w:val="000000" w:themeColor="text1"/>
          <w:spacing w:val="-10"/>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的规定</w:t>
      </w:r>
      <w:r>
        <w:rPr>
          <w:rFonts w:hint="eastAsia" w:ascii="仿宋" w:hAnsi="仿宋" w:eastAsia="仿宋" w:cs="仿宋"/>
          <w:color w:val="000000" w:themeColor="text1"/>
          <w:spacing w:val="-10"/>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本单位为</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ab/>
      </w:r>
      <w:r>
        <w:rPr>
          <w:rFonts w:hint="eastAsia" w:ascii="仿宋" w:hAnsi="仿宋" w:eastAsia="仿宋" w:cs="仿宋"/>
          <w:color w:val="000000" w:themeColor="text1"/>
          <w:u w:val="single"/>
          <w14:textFill>
            <w14:solidFill>
              <w14:schemeClr w14:val="tx1"/>
            </w14:solidFill>
          </w14:textFill>
        </w:rPr>
        <w:t xml:space="preserve">（符合/不符合）</w:t>
      </w:r>
      <w:r>
        <w:rPr>
          <w:rFonts w:hint="eastAsia" w:ascii="仿宋" w:hAnsi="仿宋" w:eastAsia="仿宋" w:cs="仿宋"/>
          <w:color w:val="000000" w:themeColor="text1"/>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条件的残疾人福利性单位， 且本单位参加</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单位的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项目采购活动提供本单位制造的货</w:t>
      </w:r>
      <w:r>
        <w:rPr>
          <w:rFonts w:hint="eastAsia" w:ascii="仿宋" w:hAnsi="仿宋" w:eastAsia="仿宋" w:cs="仿宋"/>
          <w:color w:val="000000" w:themeColor="text1"/>
          <w:spacing w:val="-51"/>
          <w14:textFill>
            <w14:solidFill>
              <w14:schemeClr w14:val="tx1"/>
            </w14:solidFill>
          </w14:textFill>
        </w:rPr>
        <w:t xml:space="preserve">物</w:t>
      </w:r>
      <w:r>
        <w:rPr>
          <w:rFonts w:hint="eastAsia" w:ascii="仿宋" w:hAnsi="仿宋" w:eastAsia="仿宋" w:cs="仿宋"/>
          <w:color w:val="000000" w:themeColor="text1"/>
          <w14:textFill>
            <w14:solidFill>
              <w14:schemeClr w14:val="tx1"/>
            </w14:solidFill>
          </w14:textFill>
        </w:rPr>
        <w:t xml:space="preserve">（由本单位承担工程/提供服务</w:t>
      </w:r>
      <w:r>
        <w:rPr>
          <w:rFonts w:hint="eastAsia" w:ascii="仿宋" w:hAnsi="仿宋" w:eastAsia="仿宋" w:cs="仿宋"/>
          <w:color w:val="000000" w:themeColor="text1"/>
          <w:spacing w:val="-26"/>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或者提供其他残疾人福利性单位制造的货物（不包括使用非残疾人福利性单位注册商标的货物）。</w:t>
      </w:r>
      <w:r/>
    </w:p>
    <w:p>
      <w:pPr>
        <w:pStyle w:val="843"/>
        <w:ind w:left="1163"/>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本单位对上述声明的真实性负责。如有虚假，将依法承担相应责任。</w:t>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before="7" w:line="276" w:lineRule="auto"/>
        <w:rPr>
          <w:rFonts w:hint="eastAsia" w:ascii="仿宋" w:hAnsi="仿宋" w:eastAsia="仿宋" w:cs="仿宋"/>
          <w:color w:val="000000" w:themeColor="text1"/>
          <w:sz w:val="27"/>
          <w14:textFill>
            <w14:solidFill>
              <w14:schemeClr w14:val="tx1"/>
            </w14:solidFill>
          </w14:textFill>
        </w:rPr>
      </w:pPr>
      <w:r>
        <w:rPr>
          <w:rFonts w:hint="eastAsia" w:ascii="仿宋" w:hAnsi="仿宋" w:eastAsia="仿宋" w:cs="仿宋"/>
          <w:color w:val="000000" w:themeColor="text1"/>
          <w:sz w:val="27"/>
          <w14:textFill>
            <w14:solidFill>
              <w14:schemeClr w14:val="tx1"/>
            </w14:solidFill>
          </w14:textFill>
        </w:rPr>
      </w:r>
      <w:r/>
    </w:p>
    <w:p>
      <w:pPr>
        <w:pStyle w:val="843"/>
        <w:ind w:right="8120"/>
        <w:spacing w:before="1" w:line="276" w:lineRule="auto"/>
        <w:tabs>
          <w:tab w:val="left" w:pos="1583"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w:t>
      </w:r>
      <w:r>
        <w:rPr>
          <w:rFonts w:hint="eastAsia" w:ascii="仿宋" w:hAnsi="仿宋" w:eastAsia="仿宋" w:cs="仿宋"/>
          <w:color w:val="000000" w:themeColor="text1"/>
          <w:spacing w:val="-6"/>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日期：</w:t>
      </w:r>
      <w:r/>
    </w:p>
    <w:p>
      <w:pPr>
        <w:ind w:firstLine="210"/>
        <w:spacing w:line="276"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注意：《中小企业声明函》和《残疾人福利性单位声明函》供应商须认真如实填写，不得修改声明函内容。</w:t>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ind w:right="7"/>
        <w:jc w:val="center"/>
        <w:spacing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监狱企业声明函（如有）</w:t>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属于监狱企业的证明文件</w:t>
      </w:r>
      <w:r/>
    </w:p>
    <w:p>
      <w:pPr>
        <w:jc w:val="center"/>
        <w:rPr>
          <w:rFonts w:hint="eastAsia" w:ascii="仿宋" w:hAnsi="仿宋" w:eastAsia="仿宋" w:cs="仿宋"/>
          <w:color w:val="000000"/>
          <w:sz w:val="28"/>
          <w:szCs w:val="28"/>
        </w:rPr>
        <w:sectPr>
          <w:footnotePr/>
          <w:endnotePr/>
          <w:type w:val="nextPage"/>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sz w:val="28"/>
          <w:szCs w:val="28"/>
        </w:rPr>
        <w:t xml:space="preserve">提供由省级以上监狱管理局、戒毒管理局</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含新疆生产建设兵团</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出具的属于监狱企业的证明文件）</w:t>
      </w:r>
      <w:r/>
    </w:p>
    <w:p>
      <w:pPr>
        <w:pStyle w:val="830"/>
        <w:ind w:left="743"/>
        <w:spacing w:before="62" w:line="276" w:lineRule="auto"/>
        <w:rPr>
          <w:rFonts w:hint="eastAsia" w:ascii="仿宋" w:hAnsi="仿宋" w:eastAsia="仿宋" w:cs="仿宋"/>
          <w:color w:val="000000" w:themeColor="text1"/>
          <w14:textFill>
            <w14:solidFill>
              <w14:schemeClr w14:val="tx1"/>
            </w14:solidFill>
          </w14:textFill>
        </w:rPr>
      </w:pPr>
      <w:r/>
      <w:bookmarkStart w:id="93" w:name="_Toc9520"/>
      <w:r/>
      <w:bookmarkStart w:id="94" w:name="_Toc15214"/>
      <w:r>
        <w:rPr>
          <w:rFonts w:hint="eastAsia" w:ascii="仿宋" w:hAnsi="仿宋" w:eastAsia="仿宋" w:cs="仿宋"/>
          <w:color w:val="000000" w:themeColor="text1"/>
          <w14:textFill>
            <w14:solidFill>
              <w14:schemeClr w14:val="tx1"/>
            </w14:solidFill>
          </w14:textFill>
        </w:rPr>
        <w:t xml:space="preserve">附件四：南京市政府采购供应商信用记录表暨信用承诺书</w:t>
      </w:r>
      <w:bookmarkEnd w:id="93"/>
      <w:r/>
      <w:bookmarkEnd w:id="94"/>
      <w:r/>
      <w:r/>
    </w:p>
    <w:p>
      <w:pPr>
        <w:ind w:right="11"/>
        <w:jc w:val="center"/>
        <w:spacing w:before="62" w:line="276" w:lineRule="auto"/>
        <w:rPr>
          <w:rFonts w:hint="eastAsia"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 xml:space="preserve">南京市政府采购供应商信用记录表暨信用承诺书</w:t>
      </w:r>
      <w:r/>
    </w:p>
    <w:p>
      <w:pPr>
        <w:ind w:left="1767" w:right="1753"/>
        <w:spacing w:before="243" w:line="276" w:lineRule="auto"/>
        <w:rPr>
          <w:rFonts w:hint="eastAsia" w:ascii="仿宋" w:hAnsi="仿宋" w:eastAsia="仿宋" w:cs="仿宋"/>
          <w:b/>
          <w:color w:val="000000" w:themeColor="text1"/>
          <w:sz w:val="18"/>
          <w14:textFill>
            <w14:solidFill>
              <w14:schemeClr w14:val="tx1"/>
            </w14:solidFill>
          </w14:textFill>
        </w:rPr>
      </w:pPr>
      <w:r>
        <w:rPr>
          <w:rFonts w:hint="eastAsia" w:ascii="仿宋" w:hAnsi="仿宋" w:eastAsia="仿宋" w:cs="仿宋"/>
          <w:b/>
          <w:color w:val="000000" w:themeColor="text1"/>
          <w:sz w:val="18"/>
          <w14:textFill>
            <w14:solidFill>
              <w14:schemeClr w14:val="tx1"/>
            </w14:solidFill>
          </w14:textFill>
        </w:rPr>
        <w:t xml:space="preserve">（仅为示范格式，直接填写无效，需至“南京政府采购供应商诚信档案管理系统”在线打印）</w:t>
      </w:r>
      <w:r/>
    </w:p>
    <w:tbl>
      <w:tblPr>
        <w:tblStyle w:val="839"/>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tcW w:w="2405"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单位名称</w:t>
            </w:r>
            <w:r/>
          </w:p>
        </w:tc>
        <w:tc>
          <w:tcPr>
            <w:tcW w:w="2274"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268"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统一社会信用代码</w:t>
            </w:r>
            <w:r/>
          </w:p>
        </w:tc>
        <w:tc>
          <w:tcPr>
            <w:tcW w:w="2835"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jc w:val="center"/>
          <w:trHeight w:val="567"/>
        </w:trPr>
        <w:tc>
          <w:tcPr>
            <w:tcW w:w="2405"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法定代表人</w:t>
            </w:r>
            <w:r/>
          </w:p>
        </w:tc>
        <w:tc>
          <w:tcPr>
            <w:tcW w:w="2274"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268"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联系人</w:t>
            </w:r>
            <w:r/>
          </w:p>
        </w:tc>
        <w:tc>
          <w:tcPr>
            <w:tcW w:w="2835"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jc w:val="center"/>
          <w:trHeight w:val="567"/>
        </w:trPr>
        <w:tc>
          <w:tcPr>
            <w:tcW w:w="2405"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联系地址</w:t>
            </w:r>
            <w:r/>
          </w:p>
        </w:tc>
        <w:tc>
          <w:tcPr>
            <w:tcW w:w="2274"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268"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联系电话</w:t>
            </w:r>
            <w:r/>
          </w:p>
        </w:tc>
        <w:tc>
          <w:tcPr>
            <w:tcW w:w="2835"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jc w:val="center"/>
          <w:trHeight w:val="1661"/>
        </w:trPr>
        <w:tc>
          <w:tcPr>
            <w:tcW w:w="2405"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诚信档案记录情况</w:t>
            </w:r>
            <w:r/>
          </w:p>
        </w:tc>
        <w:tc>
          <w:tcPr>
            <w:gridSpan w:val="3"/>
            <w:tcW w:w="7377"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jc w:val="center"/>
          <w:trHeight w:val="6653"/>
        </w:trPr>
        <w:tc>
          <w:tcPr>
            <w:tcW w:w="2405" w:type="dxa"/>
            <w:vAlign w:val="center"/>
            <w:textDirection w:val="lrTb"/>
            <w:noWrap w:val="false"/>
          </w:tcPr>
          <w:p>
            <w:pPr>
              <w:jc w:val="center"/>
              <w:spacing w:line="276" w:lineRule="auto"/>
              <w:rPr>
                <w:rFonts w:hint="eastAsia" w:ascii="仿宋" w:hAnsi="仿宋" w:eastAsia="仿宋" w:cs="仿宋"/>
                <w:b/>
                <w:bCs/>
                <w:sz w:val="24"/>
              </w:rPr>
            </w:pPr>
            <w:r>
              <w:rPr>
                <w:rFonts w:hint="eastAsia" w:ascii="仿宋" w:hAnsi="仿宋" w:eastAsia="仿宋" w:cs="仿宋"/>
                <w:b/>
                <w:bCs/>
                <w:sz w:val="24"/>
              </w:rPr>
              <w:t xml:space="preserve">信用承诺</w:t>
            </w:r>
            <w:r/>
          </w:p>
        </w:tc>
        <w:tc>
          <w:tcPr>
            <w:gridSpan w:val="3"/>
            <w:tcW w:w="7377" w:type="dxa"/>
            <w:textDirection w:val="lrTb"/>
            <w:noWrap w:val="false"/>
          </w:tcPr>
          <w:p>
            <w:pPr>
              <w:ind w:firstLine="480"/>
              <w:spacing w:line="276" w:lineRule="auto"/>
              <w:rPr>
                <w:rFonts w:hint="eastAsia" w:ascii="仿宋" w:hAnsi="仿宋" w:eastAsia="仿宋" w:cs="仿宋"/>
                <w:sz w:val="24"/>
              </w:rPr>
            </w:pPr>
            <w:r>
              <w:rPr>
                <w:rFonts w:hint="eastAsia" w:ascii="仿宋" w:hAnsi="仿宋" w:eastAsia="仿宋" w:cs="仿宋"/>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仿宋" w:hAnsi="仿宋" w:eastAsia="仿宋" w:cs="仿宋"/>
                <w:sz w:val="24"/>
                <w:lang w:eastAsia="zh-CN"/>
              </w:rPr>
              <w:t xml:space="preserve">《中华人民共和国政府采购法》</w:t>
            </w:r>
            <w:r>
              <w:rPr>
                <w:rFonts w:hint="eastAsia" w:ascii="仿宋" w:hAnsi="仿宋" w:eastAsia="仿宋" w:cs="仿宋"/>
                <w:sz w:val="24"/>
              </w:rPr>
              <w:t xml:space="preserve">第二十二条规定的条件，包括：具有独立承担民事责任的能力；具有良好的商业信誉和健全的财务会计制度</w:t>
            </w:r>
            <w:r>
              <w:rPr>
                <w:rFonts w:hint="eastAsia" w:ascii="仿宋" w:hAnsi="仿宋" w:eastAsia="仿宋" w:cs="仿宋"/>
                <w:sz w:val="24"/>
                <w:lang w:eastAsia="zh-CN"/>
              </w:rPr>
              <w:t xml:space="preserve">；具</w:t>
            </w:r>
            <w:r>
              <w:rPr>
                <w:rFonts w:hint="eastAsia" w:ascii="仿宋" w:hAnsi="仿宋" w:eastAsia="仿宋" w:cs="仿宋"/>
                <w:sz w:val="24"/>
              </w:rPr>
              <w:t xml:space="preserve">有履行合同所必需的设备和专业技术能力</w:t>
            </w:r>
            <w:r>
              <w:rPr>
                <w:rFonts w:hint="eastAsia" w:ascii="仿宋" w:hAnsi="仿宋" w:eastAsia="仿宋" w:cs="仿宋"/>
                <w:sz w:val="24"/>
                <w:lang w:eastAsia="zh-CN"/>
              </w:rPr>
              <w:t xml:space="preserve">；具</w:t>
            </w:r>
            <w:r>
              <w:rPr>
                <w:rFonts w:hint="eastAsia" w:ascii="仿宋" w:hAnsi="仿宋" w:eastAsia="仿宋" w:cs="仿宋"/>
                <w:sz w:val="24"/>
              </w:rPr>
              <w:t xml:space="preserve">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仿宋" w:hAnsi="仿宋" w:eastAsia="仿宋" w:cs="仿宋"/>
                <w:sz w:val="24"/>
                <w:lang w:eastAsia="zh-CN"/>
              </w:rPr>
              <w:t xml:space="preserve">，自</w:t>
            </w:r>
            <w:r>
              <w:rPr>
                <w:rFonts w:hint="eastAsia" w:ascii="仿宋" w:hAnsi="仿宋" w:eastAsia="仿宋" w:cs="仿宋"/>
                <w:sz w:val="24"/>
              </w:rPr>
              <w:t xml:space="preserve">愿承担一切法律责任</w:t>
            </w:r>
            <w:r>
              <w:rPr>
                <w:rFonts w:hint="eastAsia" w:ascii="仿宋" w:hAnsi="仿宋" w:eastAsia="仿宋" w:cs="仿宋"/>
                <w:sz w:val="24"/>
                <w:lang w:eastAsia="zh-CN"/>
              </w:rPr>
              <w:t xml:space="preserve">，并</w:t>
            </w:r>
            <w:r>
              <w:rPr>
                <w:rFonts w:hint="eastAsia" w:ascii="仿宋" w:hAnsi="仿宋" w:eastAsia="仿宋" w:cs="仿宋"/>
                <w:sz w:val="24"/>
              </w:rPr>
              <w:t xml:space="preserve">接受各级政府采购监管部门和有权机关的审查和处罚。</w:t>
            </w:r>
            <w:r/>
          </w:p>
          <w:p>
            <w:pPr>
              <w:ind w:firstLine="480"/>
              <w:jc w:val="center"/>
              <w:spacing w:before="1680" w:line="276" w:lineRule="auto"/>
              <w:rPr>
                <w:rFonts w:hint="eastAsia" w:ascii="仿宋" w:hAnsi="仿宋" w:eastAsia="仿宋" w:cs="仿宋"/>
                <w:sz w:val="24"/>
              </w:rPr>
            </w:pPr>
            <w:r>
              <w:rPr>
                <w:rFonts w:hint="eastAsia" w:ascii="仿宋" w:hAnsi="仿宋" w:eastAsia="仿宋" w:cs="仿宋"/>
                <w:sz w:val="24"/>
              </w:rPr>
              <w:t xml:space="preserve">供应商名称（盖章）：</w:t>
            </w:r>
            <w:r/>
          </w:p>
          <w:p>
            <w:pPr>
              <w:ind w:firstLine="480"/>
              <w:jc w:val="center"/>
              <w:spacing w:line="276" w:lineRule="auto"/>
              <w:rPr>
                <w:rFonts w:hint="eastAsia" w:ascii="仿宋" w:hAnsi="仿宋" w:eastAsia="仿宋" w:cs="仿宋"/>
                <w:sz w:val="24"/>
              </w:rPr>
            </w:pPr>
            <w:r>
              <w:rPr>
                <w:rFonts w:hint="eastAsia" w:ascii="仿宋" w:hAnsi="仿宋" w:eastAsia="仿宋" w:cs="仿宋"/>
                <w:sz w:val="24"/>
              </w:rPr>
              <w:t xml:space="preserve">法定代表人（签字）：</w:t>
            </w:r>
            <w:r/>
          </w:p>
          <w:p>
            <w:pPr>
              <w:ind w:firstLine="480"/>
              <w:jc w:val="center"/>
              <w:spacing w:line="276" w:lineRule="auto"/>
              <w:rPr>
                <w:rFonts w:hint="eastAsia" w:ascii="仿宋" w:hAnsi="仿宋" w:eastAsia="仿宋" w:cs="仿宋"/>
                <w:sz w:val="24"/>
              </w:rPr>
            </w:pPr>
            <w:r>
              <w:rPr>
                <w:rFonts w:hint="eastAsia" w:ascii="仿宋" w:hAnsi="仿宋" w:eastAsia="仿宋" w:cs="仿宋"/>
                <w:sz w:val="24"/>
                <w:lang w:eastAsia="zh-CN"/>
              </w:rPr>
              <w:t xml:space="preserve">二〇</w:t>
            </w:r>
            <w:r>
              <w:rPr>
                <w:rFonts w:hint="eastAsia" w:ascii="仿宋" w:hAnsi="仿宋" w:eastAsia="仿宋" w:cs="仿宋"/>
                <w:sz w:val="24"/>
              </w:rPr>
              <w:t xml:space="preserve">    年   月   日</w:t>
            </w:r>
            <w:r/>
          </w:p>
        </w:tc>
      </w:tr>
    </w:tbl>
    <w:p>
      <w:pPr>
        <w:pStyle w:val="843"/>
        <w:spacing w:line="276" w:lineRule="auto"/>
        <w:rPr>
          <w:rFonts w:hint="eastAsia" w:ascii="仿宋" w:hAnsi="仿宋" w:eastAsia="仿宋" w:cs="仿宋"/>
          <w:b/>
          <w:color w:val="000000" w:themeColor="text1"/>
          <w:sz w:val="18"/>
          <w14:textFill>
            <w14:solidFill>
              <w14:schemeClr w14:val="tx1"/>
            </w14:solidFill>
          </w14:textFill>
        </w:rPr>
      </w:pPr>
      <w:r>
        <w:rPr>
          <w:rFonts w:hint="eastAsia" w:ascii="仿宋" w:hAnsi="仿宋" w:eastAsia="仿宋" w:cs="仿宋"/>
          <w:b/>
          <w:color w:val="000000" w:themeColor="text1"/>
          <w:sz w:val="18"/>
          <w14:textFill>
            <w14:solidFill>
              <w14:schemeClr w14:val="tx1"/>
            </w14:solidFill>
          </w14:textFill>
        </w:rPr>
      </w:r>
      <w:r/>
    </w:p>
    <w:p>
      <w:pPr>
        <w:pStyle w:val="843"/>
        <w:spacing w:line="276" w:lineRule="auto"/>
        <w:rPr>
          <w:rFonts w:hint="eastAsia" w:ascii="仿宋" w:hAnsi="仿宋" w:eastAsia="仿宋" w:cs="仿宋"/>
          <w:b/>
          <w:color w:val="000000" w:themeColor="text1"/>
          <w:sz w:val="18"/>
          <w14:textFill>
            <w14:solidFill>
              <w14:schemeClr w14:val="tx1"/>
            </w14:solidFill>
          </w14:textFill>
        </w:rPr>
      </w:pPr>
      <w:r>
        <w:rPr>
          <w:rFonts w:hint="eastAsia" w:ascii="仿宋" w:hAnsi="仿宋" w:eastAsia="仿宋" w:cs="仿宋"/>
          <w:b/>
          <w:color w:val="000000" w:themeColor="text1"/>
          <w:sz w:val="18"/>
          <w14:textFill>
            <w14:solidFill>
              <w14:schemeClr w14:val="tx1"/>
            </w14:solidFill>
          </w14:textFill>
        </w:rPr>
      </w:r>
      <w:r/>
    </w:p>
    <w:p>
      <w:pPr>
        <w:rPr>
          <w:rFonts w:hint="eastAsia" w:ascii="仿宋" w:hAnsi="仿宋" w:eastAsia="仿宋" w:cs="仿宋"/>
          <w:szCs w:val="21"/>
          <w:lang w:bidi="ar"/>
        </w:rPr>
      </w:pPr>
      <w:r>
        <w:rPr>
          <w:rFonts w:hint="eastAsia" w:ascii="仿宋" w:hAnsi="仿宋" w:eastAsia="仿宋" w:cs="仿宋"/>
        </w:rPr>
        <w:t xml:space="preserve">★</w:t>
      </w:r>
      <w:r>
        <w:rPr>
          <w:rFonts w:hint="eastAsia" w:ascii="仿宋" w:hAnsi="仿宋" w:eastAsia="仿宋" w:cs="仿宋"/>
          <w:color w:val="000000" w:themeColor="text1"/>
          <w:sz w:val="24"/>
          <w14:textFill>
            <w14:solidFill>
              <w14:schemeClr w14:val="tx1"/>
            </w14:solidFill>
          </w14:textFill>
        </w:rPr>
        <w:t xml:space="preserve">注：本表打印时间必须在发布采购公告之日（含）至开标当天（含）内打印。</w:t>
      </w:r>
      <w:r/>
    </w:p>
    <w:sectPr>
      <w:headerReference w:type="default"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Arial Unicode MS">
    <w:panose1 w:val="020B0604020202020204"/>
  </w:font>
  <w:font w:name="楷体_GB2312">
    <w:panose1 w:val="02010609060101010101"/>
  </w:font>
  <w:font w:name="Tahoma">
    <w:panose1 w:val="020B0604030504040204"/>
  </w:font>
  <w:font w:name="KNLe">
    <w:panose1 w:val="020B0503020202020204"/>
  </w:font>
  <w:font w:name="Cambria">
    <w:panose1 w:val="02040503050406030204"/>
  </w:font>
  <w:font w:name="Calibri Light">
    <w:panose1 w:val="020F0302020204030204"/>
  </w:font>
  <w:font w:name="Univers">
    <w:panose1 w:val="020B0503020202020204"/>
  </w:font>
  <w:font w:name="金山简魏碑">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tabs>
                              <w:tab w:val="center" w:pos="4153" w:leader="none"/>
                              <w:tab w:val="clear" w:pos="7143" w:leader="none"/>
                              <w:tab w:val="right" w:pos="8306" w:leader="none"/>
                              <w:tab w:val="clear" w:pos="14287" w:leader="none"/>
                            </w:tabs>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tabs>
                        <w:tab w:val="center" w:pos="4153" w:leader="none"/>
                        <w:tab w:val="clear" w:pos="7143" w:leader="none"/>
                        <w:tab w:val="right" w:pos="8306" w:leader="none"/>
                        <w:tab w:val="clear" w:pos="14287" w:leader="none"/>
                      </w:tabs>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right"/>
      <w:rPr>
        <w:i/>
      </w:rPr>
    </w:pPr>
    <w:r>
      <w:rPr>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right"/>
      <w:rPr>
        <w:i/>
      </w:rPr>
    </w:pPr>
    <w:r>
      <w:rPr>
        <w: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425" w:hanging="425"/>
      </w:pPr>
    </w:lvl>
    <w:lvl w:ilvl="1">
      <w:start w:val="1"/>
      <w:numFmt w:val="decimal"/>
      <w:pStyle w:val="1105"/>
      <w:isLgl w:val="false"/>
      <w:suff w:val="space"/>
      <w:lvlText w:val="%1.%2"/>
      <w:lvlJc w:val="left"/>
      <w:pPr>
        <w:ind w:left="0" w:firstLine="0"/>
        <w:tabs>
          <w:tab w:val="left" w:pos="420" w:leader="none"/>
        </w:tabs>
      </w:pPr>
      <w:rPr>
        <w:rFonts w:ascii="宋体" w:hAnsi="宋体" w:eastAsia="宋体" w:cs="宋体"/>
      </w:rPr>
    </w:lvl>
    <w:lvl w:ilvl="2">
      <w:start w:val="1"/>
      <w:numFmt w:val="decimal"/>
      <w:pStyle w:val="1106"/>
      <w:isLgl w:val="false"/>
      <w:suff w:val="space"/>
      <w:lvlText w:val="%1.%2.%3"/>
      <w:lvlJc w:val="left"/>
      <w:pPr>
        <w:ind w:left="1418" w:hanging="1021"/>
      </w:pPr>
      <w:rPr>
        <w:rFonts w:hint="eastAsia"/>
      </w:rPr>
    </w:lvl>
    <w:lvl w:ilvl="3">
      <w:start w:val="1"/>
      <w:numFmt w:val="decimal"/>
      <w:pStyle w:val="1107"/>
      <w:isLgl w:val="false"/>
      <w:suff w:val="space"/>
      <w:lvlText w:val="%1.%2.%3.%4"/>
      <w:lvlJc w:val="left"/>
      <w:pPr>
        <w:ind w:left="1984" w:hanging="1587"/>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pStyle w:val="1104"/>
      <w:isLgl w:val="false"/>
      <w:suff w:val="nothing"/>
      <w:lvlText w:val="第%1章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24"/>
      <w:isLgl w:val="false"/>
      <w:suff w:val="tab"/>
      <w:lvlText w:val="%1.%2.%3.%4"/>
      <w:lvlJc w:val="left"/>
      <w:pPr>
        <w:ind w:left="864"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pStyle w:val="102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Heading 1 Char"/>
    <w:basedOn w:val="838"/>
    <w:link w:val="829"/>
    <w:uiPriority w:val="9"/>
    <w:rPr>
      <w:rFonts w:ascii="Arial" w:hAnsi="Arial" w:eastAsia="Arial" w:cs="Arial"/>
      <w:sz w:val="40"/>
      <w:szCs w:val="40"/>
    </w:rPr>
  </w:style>
  <w:style w:type="character" w:styleId="792">
    <w:name w:val="Heading 2 Char"/>
    <w:basedOn w:val="838"/>
    <w:link w:val="830"/>
    <w:uiPriority w:val="9"/>
    <w:rPr>
      <w:rFonts w:ascii="Arial" w:hAnsi="Arial" w:eastAsia="Arial" w:cs="Arial"/>
      <w:sz w:val="34"/>
    </w:rPr>
  </w:style>
  <w:style w:type="character" w:styleId="793">
    <w:name w:val="Heading 3 Char"/>
    <w:basedOn w:val="838"/>
    <w:link w:val="831"/>
    <w:uiPriority w:val="9"/>
    <w:rPr>
      <w:rFonts w:ascii="Arial" w:hAnsi="Arial" w:eastAsia="Arial" w:cs="Arial"/>
      <w:sz w:val="30"/>
      <w:szCs w:val="30"/>
    </w:rPr>
  </w:style>
  <w:style w:type="character" w:styleId="794">
    <w:name w:val="Heading 4 Char"/>
    <w:basedOn w:val="838"/>
    <w:link w:val="832"/>
    <w:uiPriority w:val="9"/>
    <w:rPr>
      <w:rFonts w:ascii="Arial" w:hAnsi="Arial" w:eastAsia="Arial" w:cs="Arial"/>
      <w:b/>
      <w:bCs/>
      <w:sz w:val="26"/>
      <w:szCs w:val="26"/>
    </w:rPr>
  </w:style>
  <w:style w:type="character" w:styleId="795">
    <w:name w:val="Heading 5 Char"/>
    <w:basedOn w:val="838"/>
    <w:link w:val="833"/>
    <w:uiPriority w:val="9"/>
    <w:rPr>
      <w:rFonts w:ascii="Arial" w:hAnsi="Arial" w:eastAsia="Arial" w:cs="Arial"/>
      <w:b/>
      <w:bCs/>
      <w:sz w:val="24"/>
      <w:szCs w:val="24"/>
    </w:rPr>
  </w:style>
  <w:style w:type="character" w:styleId="796">
    <w:name w:val="Heading 6 Char"/>
    <w:basedOn w:val="838"/>
    <w:link w:val="834"/>
    <w:uiPriority w:val="9"/>
    <w:rPr>
      <w:rFonts w:ascii="Arial" w:hAnsi="Arial" w:eastAsia="Arial" w:cs="Arial"/>
      <w:b/>
      <w:bCs/>
      <w:sz w:val="22"/>
      <w:szCs w:val="22"/>
    </w:rPr>
  </w:style>
  <w:style w:type="character" w:styleId="797">
    <w:name w:val="Heading 7 Char"/>
    <w:basedOn w:val="838"/>
    <w:link w:val="835"/>
    <w:uiPriority w:val="9"/>
    <w:rPr>
      <w:rFonts w:ascii="Arial" w:hAnsi="Arial" w:eastAsia="Arial" w:cs="Arial"/>
      <w:b/>
      <w:bCs/>
      <w:i/>
      <w:iCs/>
      <w:sz w:val="22"/>
      <w:szCs w:val="22"/>
    </w:rPr>
  </w:style>
  <w:style w:type="character" w:styleId="798">
    <w:name w:val="Heading 8 Char"/>
    <w:basedOn w:val="838"/>
    <w:link w:val="836"/>
    <w:uiPriority w:val="9"/>
    <w:rPr>
      <w:rFonts w:ascii="Arial" w:hAnsi="Arial" w:eastAsia="Arial" w:cs="Arial"/>
      <w:i/>
      <w:iCs/>
      <w:sz w:val="22"/>
      <w:szCs w:val="22"/>
    </w:rPr>
  </w:style>
  <w:style w:type="character" w:styleId="799">
    <w:name w:val="Heading 9 Char"/>
    <w:basedOn w:val="838"/>
    <w:link w:val="837"/>
    <w:uiPriority w:val="9"/>
    <w:rPr>
      <w:rFonts w:ascii="Arial" w:hAnsi="Arial" w:eastAsia="Arial" w:cs="Arial"/>
      <w:i/>
      <w:iCs/>
      <w:sz w:val="21"/>
      <w:szCs w:val="21"/>
    </w:rPr>
  </w:style>
  <w:style w:type="character" w:styleId="800">
    <w:name w:val="Title Char"/>
    <w:basedOn w:val="838"/>
    <w:link w:val="863"/>
    <w:uiPriority w:val="10"/>
    <w:rPr>
      <w:sz w:val="48"/>
      <w:szCs w:val="48"/>
    </w:rPr>
  </w:style>
  <w:style w:type="character" w:styleId="801">
    <w:name w:val="Subtitle Char"/>
    <w:basedOn w:val="838"/>
    <w:link w:val="856"/>
    <w:uiPriority w:val="11"/>
    <w:rPr>
      <w:sz w:val="24"/>
      <w:szCs w:val="24"/>
    </w:rPr>
  </w:style>
  <w:style w:type="character" w:styleId="802">
    <w:name w:val="Quote Char"/>
    <w:link w:val="887"/>
    <w:uiPriority w:val="29"/>
    <w:rPr>
      <w:i/>
    </w:rPr>
  </w:style>
  <w:style w:type="character" w:styleId="803">
    <w:name w:val="Intense Quote Char"/>
    <w:link w:val="889"/>
    <w:uiPriority w:val="30"/>
    <w:rPr>
      <w:i/>
    </w:rPr>
  </w:style>
  <w:style w:type="character" w:styleId="804">
    <w:name w:val="Header Char"/>
    <w:basedOn w:val="838"/>
    <w:link w:val="853"/>
    <w:uiPriority w:val="99"/>
  </w:style>
  <w:style w:type="character" w:styleId="805">
    <w:name w:val="Caption Char"/>
    <w:basedOn w:val="841"/>
    <w:link w:val="851"/>
    <w:uiPriority w:val="99"/>
  </w:style>
  <w:style w:type="table" w:styleId="806">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5">
    <w:name w:val="Footnote Text Char"/>
    <w:link w:val="857"/>
    <w:uiPriority w:val="99"/>
    <w:rPr>
      <w:sz w:val="18"/>
    </w:rPr>
  </w:style>
  <w:style w:type="character" w:styleId="826">
    <w:name w:val="Endnote Text Char"/>
    <w:link w:val="850"/>
    <w:uiPriority w:val="99"/>
    <w:rPr>
      <w:sz w:val="20"/>
    </w:rPr>
  </w:style>
  <w:style w:type="paragraph" w:styleId="827">
    <w:name w:val="TOC Heading"/>
    <w:uiPriority w:val="39"/>
    <w:unhideWhenUsed/>
  </w:style>
  <w:style w:type="paragraph" w:styleId="82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9">
    <w:name w:val="Heading 1"/>
    <w:basedOn w:val="828"/>
    <w:next w:val="828"/>
    <w:link w:val="876"/>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link w:val="877"/>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link w:val="87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879"/>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880"/>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881"/>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883"/>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884"/>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2">
    <w:name w:val="annotation text"/>
    <w:basedOn w:val="828"/>
    <w:uiPriority w:val="0"/>
    <w:semiHidden/>
    <w:qFormat/>
    <w:rPr>
      <w:szCs w:val="20"/>
    </w:rPr>
  </w:style>
  <w:style w:type="paragraph" w:styleId="843">
    <w:name w:val="Body Text"/>
    <w:basedOn w:val="828"/>
    <w:uiPriority w:val="1"/>
    <w:qFormat/>
    <w:rPr>
      <w:szCs w:val="21"/>
    </w:rPr>
  </w:style>
  <w:style w:type="paragraph" w:styleId="844">
    <w:name w:val="Body Text Indent"/>
    <w:basedOn w:val="828"/>
    <w:uiPriority w:val="0"/>
    <w:qFormat/>
    <w:pPr>
      <w:ind w:left="420"/>
      <w:jc w:val="left"/>
      <w:spacing w:after="120"/>
      <w:widowControl/>
    </w:pPr>
    <w:rPr>
      <w:szCs w:val="20"/>
    </w:rPr>
  </w:style>
  <w:style w:type="paragraph" w:styleId="845">
    <w:name w:val="index 4"/>
    <w:basedOn w:val="828"/>
    <w:next w:val="828"/>
    <w:uiPriority w:val="99"/>
    <w:qFormat/>
    <w:pPr>
      <w:ind w:left="600"/>
    </w:pPr>
    <w:rPr>
      <w:rFonts w:ascii="Calibri" w:hAnsi="Calibri"/>
    </w:rPr>
  </w:style>
  <w:style w:type="paragraph" w:styleId="846">
    <w:name w:val="toc 5"/>
    <w:basedOn w:val="828"/>
    <w:next w:val="828"/>
    <w:uiPriority w:val="39"/>
    <w:unhideWhenUsed/>
    <w:qFormat/>
    <w:pPr>
      <w:ind w:left="1134"/>
      <w:spacing w:after="57"/>
    </w:pPr>
  </w:style>
  <w:style w:type="paragraph" w:styleId="847">
    <w:name w:val="toc 3"/>
    <w:basedOn w:val="828"/>
    <w:next w:val="828"/>
    <w:uiPriority w:val="39"/>
    <w:unhideWhenUsed/>
    <w:qFormat/>
    <w:pPr>
      <w:ind w:left="567"/>
      <w:spacing w:after="57"/>
    </w:pPr>
  </w:style>
  <w:style w:type="paragraph" w:styleId="848">
    <w:name w:val="Plain Text"/>
    <w:basedOn w:val="828"/>
    <w:uiPriority w:val="0"/>
    <w:qFormat/>
    <w:rPr>
      <w:rFonts w:hAnsi="Courier New"/>
      <w:sz w:val="24"/>
    </w:rPr>
  </w:style>
  <w:style w:type="paragraph" w:styleId="849">
    <w:name w:val="toc 8"/>
    <w:basedOn w:val="828"/>
    <w:next w:val="828"/>
    <w:uiPriority w:val="39"/>
    <w:unhideWhenUsed/>
    <w:qFormat/>
    <w:pPr>
      <w:ind w:left="1984"/>
      <w:spacing w:after="57"/>
    </w:pPr>
  </w:style>
  <w:style w:type="paragraph" w:styleId="850">
    <w:name w:val="endnote text"/>
    <w:basedOn w:val="828"/>
    <w:link w:val="1020"/>
    <w:uiPriority w:val="99"/>
    <w:semiHidden/>
    <w:unhideWhenUsed/>
    <w:qFormat/>
    <w:rPr>
      <w:sz w:val="20"/>
    </w:rPr>
  </w:style>
  <w:style w:type="paragraph" w:styleId="851">
    <w:name w:val="Footer"/>
    <w:basedOn w:val="828"/>
    <w:link w:val="893"/>
    <w:uiPriority w:val="99"/>
    <w:unhideWhenUsed/>
    <w:qFormat/>
    <w:pPr>
      <w:tabs>
        <w:tab w:val="center" w:pos="7143" w:leader="none"/>
        <w:tab w:val="right" w:pos="14287" w:leader="none"/>
      </w:tabs>
    </w:pPr>
  </w:style>
  <w:style w:type="paragraph" w:styleId="852">
    <w:name w:val="envelope return"/>
    <w:basedOn w:val="828"/>
    <w:uiPriority w:val="99"/>
    <w:unhideWhenUsed/>
    <w:qFormat/>
    <w:rPr>
      <w:rFonts w:ascii="Arial" w:hAnsi="Arial" w:cs="Arial"/>
    </w:rPr>
  </w:style>
  <w:style w:type="paragraph" w:styleId="853">
    <w:name w:val="Header"/>
    <w:basedOn w:val="828"/>
    <w:link w:val="891"/>
    <w:uiPriority w:val="99"/>
    <w:unhideWhenUsed/>
    <w:qFormat/>
    <w:pPr>
      <w:tabs>
        <w:tab w:val="center" w:pos="7143" w:leader="none"/>
        <w:tab w:val="right" w:pos="14287" w:leader="none"/>
      </w:tabs>
    </w:pPr>
  </w:style>
  <w:style w:type="paragraph" w:styleId="854">
    <w:name w:val="toc 1"/>
    <w:basedOn w:val="828"/>
    <w:next w:val="828"/>
    <w:uiPriority w:val="39"/>
    <w:unhideWhenUsed/>
    <w:qFormat/>
    <w:pPr>
      <w:spacing w:after="57"/>
    </w:pPr>
  </w:style>
  <w:style w:type="paragraph" w:styleId="855">
    <w:name w:val="toc 4"/>
    <w:basedOn w:val="828"/>
    <w:next w:val="828"/>
    <w:uiPriority w:val="39"/>
    <w:unhideWhenUsed/>
    <w:qFormat/>
    <w:pPr>
      <w:ind w:left="850"/>
      <w:spacing w:after="57"/>
    </w:pPr>
  </w:style>
  <w:style w:type="paragraph" w:styleId="856">
    <w:name w:val="Subtitle"/>
    <w:basedOn w:val="828"/>
    <w:next w:val="828"/>
    <w:link w:val="886"/>
    <w:uiPriority w:val="11"/>
    <w:qFormat/>
    <w:pPr>
      <w:spacing w:before="200" w:after="200"/>
    </w:pPr>
    <w:rPr>
      <w:sz w:val="24"/>
    </w:rPr>
  </w:style>
  <w:style w:type="paragraph" w:styleId="857">
    <w:name w:val="footnote text"/>
    <w:basedOn w:val="828"/>
    <w:link w:val="1019"/>
    <w:uiPriority w:val="99"/>
    <w:semiHidden/>
    <w:unhideWhenUsed/>
    <w:qFormat/>
    <w:pPr>
      <w:spacing w:after="40"/>
    </w:pPr>
    <w:rPr>
      <w:sz w:val="18"/>
    </w:rPr>
  </w:style>
  <w:style w:type="paragraph" w:styleId="858">
    <w:name w:val="toc 6"/>
    <w:basedOn w:val="828"/>
    <w:next w:val="828"/>
    <w:uiPriority w:val="39"/>
    <w:unhideWhenUsed/>
    <w:qFormat/>
    <w:pPr>
      <w:ind w:left="1417"/>
      <w:spacing w:after="57"/>
    </w:pPr>
  </w:style>
  <w:style w:type="paragraph" w:styleId="859">
    <w:name w:val="table of figures"/>
    <w:basedOn w:val="828"/>
    <w:next w:val="828"/>
    <w:uiPriority w:val="99"/>
    <w:unhideWhenUsed/>
    <w:qFormat/>
  </w:style>
  <w:style w:type="paragraph" w:styleId="860">
    <w:name w:val="toc 2"/>
    <w:basedOn w:val="828"/>
    <w:next w:val="828"/>
    <w:uiPriority w:val="39"/>
    <w:unhideWhenUsed/>
    <w:qFormat/>
    <w:pPr>
      <w:ind w:left="283"/>
      <w:spacing w:after="57"/>
    </w:pPr>
  </w:style>
  <w:style w:type="paragraph" w:styleId="861">
    <w:name w:val="toc 9"/>
    <w:basedOn w:val="828"/>
    <w:next w:val="828"/>
    <w:uiPriority w:val="39"/>
    <w:unhideWhenUsed/>
    <w:qFormat/>
    <w:pPr>
      <w:ind w:left="2268"/>
      <w:spacing w:after="57"/>
    </w:pPr>
  </w:style>
  <w:style w:type="paragraph" w:styleId="862">
    <w:name w:val="Normal (Web)"/>
    <w:basedOn w:val="828"/>
    <w:uiPriority w:val="99"/>
    <w:qFormat/>
    <w:pPr>
      <w:spacing w:beforeAutospacing="1" w:afterAutospacing="1"/>
    </w:pPr>
    <w:rPr>
      <w:sz w:val="24"/>
    </w:rPr>
  </w:style>
  <w:style w:type="paragraph" w:styleId="863">
    <w:name w:val="Title"/>
    <w:basedOn w:val="828"/>
    <w:next w:val="828"/>
    <w:link w:val="885"/>
    <w:uiPriority w:val="10"/>
    <w:qFormat/>
    <w:pPr>
      <w:contextualSpacing/>
      <w:spacing w:before="300" w:after="200"/>
    </w:pPr>
    <w:rPr>
      <w:sz w:val="48"/>
      <w:szCs w:val="48"/>
    </w:rPr>
  </w:style>
  <w:style w:type="paragraph" w:styleId="864">
    <w:name w:val="Body Text First Indent 2"/>
    <w:basedOn w:val="844"/>
    <w:uiPriority w:val="0"/>
    <w:qFormat/>
    <w:pPr>
      <w:ind w:firstLine="420"/>
      <w:spacing w:line="360" w:lineRule="auto"/>
    </w:pPr>
    <w:rPr>
      <w:rFonts w:hAnsi="宋体"/>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Strong"/>
    <w:basedOn w:val="838"/>
    <w:uiPriority w:val="22"/>
    <w:qFormat/>
    <w:rPr>
      <w:b/>
    </w:rPr>
  </w:style>
  <w:style w:type="character" w:styleId="867">
    <w:name w:val="endnote reference"/>
    <w:uiPriority w:val="99"/>
    <w:semiHidden/>
    <w:unhideWhenUsed/>
    <w:qFormat/>
    <w:rPr>
      <w:vertAlign w:val="superscript"/>
    </w:rPr>
  </w:style>
  <w:style w:type="character" w:styleId="868">
    <w:name w:val="FollowedHyperlink"/>
    <w:basedOn w:val="838"/>
    <w:uiPriority w:val="99"/>
    <w:semiHidden/>
    <w:unhideWhenUsed/>
    <w:qFormat/>
    <w:rPr>
      <w:color w:val="800080"/>
      <w:u w:val="single"/>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name w:val="List Paragraph"/>
    <w:basedOn w:val="828"/>
    <w:next w:val="828"/>
    <w:uiPriority w:val="0"/>
    <w:qFormat/>
    <w:pPr>
      <w:ind w:firstLine="420"/>
    </w:pPr>
    <w:rPr>
      <w:szCs w:val="20"/>
    </w:rPr>
  </w:style>
  <w:style w:type="paragraph" w:styleId="872">
    <w:name w:val="No Spacing"/>
    <w:uiPriority w:val="1"/>
    <w:qFormat/>
    <w:rPr>
      <w:rFonts w:ascii="Times New Roman" w:hAnsi="Times New Roman" w:eastAsia="宋体" w:cs="Times New Roman"/>
      <w:lang w:val="en-US" w:eastAsia="zh-CN" w:bidi="ar-SA"/>
    </w:rPr>
  </w:style>
  <w:style w:type="character" w:styleId="873" w:customStyle="1">
    <w:name w:val="标题 3 Char"/>
    <w:link w:val="874"/>
    <w:uiPriority w:val="0"/>
    <w:qFormat/>
    <w:rPr>
      <w:rFonts w:ascii="宋体" w:eastAsia="宋体"/>
      <w:b/>
      <w:color w:val="000000"/>
      <w:sz w:val="32"/>
      <w:lang w:val="en-US" w:eastAsia="zh-CN" w:bidi="ar-SA"/>
    </w:rPr>
  </w:style>
  <w:style w:type="paragraph" w:styleId="874" w:customStyle="1">
    <w:name w:val="标题 31"/>
    <w:basedOn w:val="828"/>
    <w:next w:val="828"/>
    <w:link w:val="873"/>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5" w:customStyle="1">
    <w:name w:val="索引 41"/>
    <w:basedOn w:val="828"/>
    <w:next w:val="828"/>
    <w:uiPriority w:val="99"/>
    <w:unhideWhenUsed/>
    <w:qFormat/>
    <w:pPr>
      <w:ind w:left="1260"/>
    </w:pPr>
  </w:style>
  <w:style w:type="character" w:styleId="876" w:customStyle="1">
    <w:name w:val="标题 1 字符"/>
    <w:link w:val="829"/>
    <w:uiPriority w:val="9"/>
    <w:qFormat/>
    <w:rPr>
      <w:rFonts w:ascii="Arial" w:hAnsi="Arial" w:eastAsia="Arial" w:cs="Arial"/>
      <w:sz w:val="40"/>
      <w:szCs w:val="40"/>
    </w:rPr>
  </w:style>
  <w:style w:type="character" w:styleId="877" w:customStyle="1">
    <w:name w:val="标题 2 字符"/>
    <w:link w:val="830"/>
    <w:uiPriority w:val="9"/>
    <w:qFormat/>
    <w:rPr>
      <w:rFonts w:ascii="Arial" w:hAnsi="Arial" w:eastAsia="Arial" w:cs="Arial"/>
      <w:sz w:val="34"/>
    </w:rPr>
  </w:style>
  <w:style w:type="character" w:styleId="878" w:customStyle="1">
    <w:name w:val="标题 3 字符"/>
    <w:link w:val="831"/>
    <w:uiPriority w:val="9"/>
    <w:qFormat/>
    <w:rPr>
      <w:rFonts w:ascii="Arial" w:hAnsi="Arial" w:eastAsia="Arial" w:cs="Arial"/>
      <w:sz w:val="30"/>
      <w:szCs w:val="30"/>
    </w:rPr>
  </w:style>
  <w:style w:type="character" w:styleId="879" w:customStyle="1">
    <w:name w:val="标题 4 字符"/>
    <w:link w:val="832"/>
    <w:uiPriority w:val="9"/>
    <w:qFormat/>
    <w:rPr>
      <w:rFonts w:ascii="Arial" w:hAnsi="Arial" w:eastAsia="Arial" w:cs="Arial"/>
      <w:b/>
      <w:bCs/>
      <w:sz w:val="26"/>
      <w:szCs w:val="26"/>
    </w:rPr>
  </w:style>
  <w:style w:type="character" w:styleId="880" w:customStyle="1">
    <w:name w:val="标题 5 字符"/>
    <w:link w:val="833"/>
    <w:uiPriority w:val="9"/>
    <w:qFormat/>
    <w:rPr>
      <w:rFonts w:ascii="Arial" w:hAnsi="Arial" w:eastAsia="Arial" w:cs="Arial"/>
      <w:b/>
      <w:bCs/>
      <w:sz w:val="24"/>
      <w:szCs w:val="24"/>
    </w:rPr>
  </w:style>
  <w:style w:type="character" w:styleId="881" w:customStyle="1">
    <w:name w:val="标题 6 字符"/>
    <w:link w:val="834"/>
    <w:uiPriority w:val="9"/>
    <w:qFormat/>
    <w:rPr>
      <w:rFonts w:ascii="Arial" w:hAnsi="Arial" w:eastAsia="Arial" w:cs="Arial"/>
      <w:b/>
      <w:bCs/>
      <w:sz w:val="22"/>
      <w:szCs w:val="22"/>
    </w:rPr>
  </w:style>
  <w:style w:type="character" w:styleId="882" w:customStyle="1">
    <w:name w:val="标题 7 字符"/>
    <w:link w:val="835"/>
    <w:uiPriority w:val="9"/>
    <w:qFormat/>
    <w:rPr>
      <w:rFonts w:ascii="Arial" w:hAnsi="Arial" w:eastAsia="Arial" w:cs="Arial"/>
      <w:b/>
      <w:bCs/>
      <w:i/>
      <w:iCs/>
      <w:sz w:val="22"/>
      <w:szCs w:val="22"/>
    </w:rPr>
  </w:style>
  <w:style w:type="character" w:styleId="883" w:customStyle="1">
    <w:name w:val="标题 8 字符"/>
    <w:link w:val="836"/>
    <w:uiPriority w:val="9"/>
    <w:qFormat/>
    <w:rPr>
      <w:rFonts w:ascii="Arial" w:hAnsi="Arial" w:eastAsia="Arial" w:cs="Arial"/>
      <w:i/>
      <w:iCs/>
      <w:sz w:val="22"/>
      <w:szCs w:val="22"/>
    </w:rPr>
  </w:style>
  <w:style w:type="character" w:styleId="884" w:customStyle="1">
    <w:name w:val="标题 9 字符"/>
    <w:link w:val="837"/>
    <w:uiPriority w:val="9"/>
    <w:qFormat/>
    <w:rPr>
      <w:rFonts w:ascii="Arial" w:hAnsi="Arial" w:eastAsia="Arial" w:cs="Arial"/>
      <w:i/>
      <w:iCs/>
      <w:sz w:val="21"/>
      <w:szCs w:val="21"/>
    </w:rPr>
  </w:style>
  <w:style w:type="character" w:styleId="885" w:customStyle="1">
    <w:name w:val="标题 字符"/>
    <w:link w:val="863"/>
    <w:uiPriority w:val="10"/>
    <w:qFormat/>
    <w:rPr>
      <w:sz w:val="48"/>
      <w:szCs w:val="48"/>
    </w:rPr>
  </w:style>
  <w:style w:type="character" w:styleId="886" w:customStyle="1">
    <w:name w:val="副标题 字符"/>
    <w:link w:val="856"/>
    <w:uiPriority w:val="11"/>
    <w:qFormat/>
    <w:rPr>
      <w:sz w:val="24"/>
      <w:szCs w:val="24"/>
    </w:rPr>
  </w:style>
  <w:style w:type="paragraph" w:styleId="887">
    <w:name w:val="Quote"/>
    <w:basedOn w:val="828"/>
    <w:next w:val="828"/>
    <w:link w:val="888"/>
    <w:uiPriority w:val="29"/>
    <w:qFormat/>
    <w:pPr>
      <w:ind w:left="720" w:right="720"/>
    </w:pPr>
    <w:rPr>
      <w:i/>
    </w:rPr>
  </w:style>
  <w:style w:type="character" w:styleId="888" w:customStyle="1">
    <w:name w:val="引用 字符"/>
    <w:link w:val="887"/>
    <w:uiPriority w:val="29"/>
    <w:qFormat/>
    <w:rPr>
      <w:i/>
    </w:rPr>
  </w:style>
  <w:style w:type="paragraph" w:styleId="889">
    <w:name w:val="Intense Quote"/>
    <w:basedOn w:val="828"/>
    <w:next w:val="828"/>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字符"/>
    <w:link w:val="889"/>
    <w:uiPriority w:val="30"/>
    <w:qFormat/>
    <w:rPr>
      <w:i/>
    </w:rPr>
  </w:style>
  <w:style w:type="character" w:styleId="891" w:customStyle="1">
    <w:name w:val="页眉 字符"/>
    <w:link w:val="853"/>
    <w:uiPriority w:val="99"/>
    <w:qFormat/>
  </w:style>
  <w:style w:type="character" w:styleId="892" w:customStyle="1">
    <w:name w:val="Footer Char"/>
    <w:uiPriority w:val="99"/>
    <w:qFormat/>
  </w:style>
  <w:style w:type="character" w:styleId="893" w:customStyle="1">
    <w:name w:val="页脚 字符"/>
    <w:link w:val="851"/>
    <w:uiPriority w:val="99"/>
    <w:qFormat/>
  </w:style>
  <w:style w:type="table" w:styleId="8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字符"/>
    <w:link w:val="857"/>
    <w:uiPriority w:val="99"/>
    <w:qFormat/>
    <w:rPr>
      <w:sz w:val="18"/>
    </w:rPr>
  </w:style>
  <w:style w:type="character" w:styleId="1020" w:customStyle="1">
    <w:name w:val="尾注文本 字符"/>
    <w:link w:val="850"/>
    <w:uiPriority w:val="99"/>
    <w:qFormat/>
    <w:rPr>
      <w:sz w:val="20"/>
    </w:rPr>
  </w:style>
  <w:style w:type="paragraph" w:styleId="1021" w:customStyle="1">
    <w:name w:val="TOC 标题1"/>
    <w:uiPriority w:val="39"/>
    <w:unhideWhenUsed/>
    <w:qFormat/>
    <w:rPr>
      <w:rFonts w:ascii="Times New Roman" w:hAnsi="Times New Roman" w:eastAsia="宋体" w:cs="Times New Roman"/>
      <w:lang w:val="en-US" w:eastAsia="zh-CN" w:bidi="ar-SA"/>
    </w:rPr>
  </w:style>
  <w:style w:type="paragraph" w:styleId="1022" w:customStyle="1">
    <w:name w:val="标题 11"/>
    <w:basedOn w:val="828"/>
    <w:next w:val="828"/>
    <w:link w:val="102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1023" w:customStyle="1">
    <w:name w:val="标题 21"/>
    <w:basedOn w:val="828"/>
    <w:next w:val="828"/>
    <w:link w:val="1029"/>
    <w:uiPriority w:val="0"/>
    <w:qFormat/>
    <w:pPr>
      <w:ind w:left="3062"/>
      <w:jc w:val="left"/>
      <w:outlineLvl w:val="1"/>
    </w:pPr>
    <w:rPr>
      <w:rFonts w:ascii="楷体" w:hAnsi="楷体" w:eastAsia="楷体"/>
      <w:sz w:val="44"/>
      <w:szCs w:val="44"/>
      <w:lang w:eastAsia="en-US"/>
    </w:rPr>
  </w:style>
  <w:style w:type="paragraph" w:styleId="1024" w:customStyle="1">
    <w:name w:val="标题 41"/>
    <w:basedOn w:val="828"/>
    <w:next w:val="828"/>
    <w:link w:val="1030"/>
    <w:uiPriority w:val="0"/>
    <w:qFormat/>
    <w:pPr>
      <w:numPr>
        <w:ilvl w:val="3"/>
        <w:numId w:val="2"/>
      </w:numPr>
      <w:keepLines/>
      <w:keepNext/>
      <w:spacing w:before="280" w:after="290" w:line="376" w:lineRule="auto"/>
      <w:outlineLvl w:val="3"/>
    </w:pPr>
    <w:rPr>
      <w:rFonts w:ascii="Arial" w:hAnsi="Arial" w:eastAsia="黑体"/>
      <w:b/>
      <w:bCs/>
      <w:sz w:val="28"/>
      <w:szCs w:val="28"/>
    </w:rPr>
  </w:style>
  <w:style w:type="paragraph" w:styleId="1025" w:customStyle="1">
    <w:name w:val="标题 51"/>
    <w:basedOn w:val="828"/>
    <w:next w:val="828"/>
    <w:uiPriority w:val="9"/>
    <w:qFormat/>
    <w:pPr>
      <w:keepLines/>
      <w:keepNext/>
      <w:spacing w:before="280" w:after="290"/>
      <w:outlineLvl w:val="4"/>
    </w:pPr>
    <w:rPr>
      <w:bCs/>
      <w:szCs w:val="28"/>
    </w:rPr>
  </w:style>
  <w:style w:type="character" w:styleId="1026" w:customStyle="1">
    <w:name w:val="默认段落字体1"/>
    <w:uiPriority w:val="0"/>
    <w:semiHidden/>
    <w:qFormat/>
  </w:style>
  <w:style w:type="table" w:styleId="1027" w:customStyle="1">
    <w:name w:val="普通表格1"/>
    <w:uiPriority w:val="0"/>
    <w:semiHidden/>
    <w:qFormat/>
    <w:tblPr>
      <w:tblCellMar>
        <w:left w:w="0" w:type="dxa"/>
        <w:top w:w="0" w:type="dxa"/>
        <w:right w:w="0" w:type="dxa"/>
        <w:bottom w:w="0" w:type="dxa"/>
      </w:tblCellMar>
    </w:tblPr>
  </w:style>
  <w:style w:type="character" w:styleId="1028" w:customStyle="1">
    <w:name w:val="标题 1 Char"/>
    <w:link w:val="1022"/>
    <w:uiPriority w:val="0"/>
    <w:qFormat/>
    <w:rPr>
      <w:rFonts w:ascii="宋体" w:eastAsia="宋体"/>
      <w:b/>
      <w:color w:val="000000"/>
      <w:sz w:val="44"/>
      <w:lang w:val="en-US" w:eastAsia="zh-CN" w:bidi="ar-SA"/>
    </w:rPr>
  </w:style>
  <w:style w:type="character" w:styleId="1029" w:customStyle="1">
    <w:name w:val="标题 2 Char"/>
    <w:link w:val="1023"/>
    <w:uiPriority w:val="0"/>
    <w:semiHidden/>
    <w:qFormat/>
    <w:rPr>
      <w:rFonts w:ascii="楷体" w:hAnsi="楷体" w:eastAsia="楷体"/>
      <w:sz w:val="44"/>
      <w:szCs w:val="44"/>
      <w:lang w:val="en-US" w:eastAsia="en-US" w:bidi="ar-SA"/>
    </w:rPr>
  </w:style>
  <w:style w:type="character" w:styleId="1030" w:customStyle="1">
    <w:name w:val="标题 4 Char"/>
    <w:link w:val="1024"/>
    <w:uiPriority w:val="0"/>
    <w:qFormat/>
    <w:rPr>
      <w:rFonts w:ascii="Arial" w:hAnsi="Arial" w:eastAsia="黑体"/>
      <w:b/>
      <w:bCs/>
      <w:sz w:val="28"/>
      <w:szCs w:val="28"/>
      <w:lang w:val="en-US" w:eastAsia="zh-CN" w:bidi="ar-SA"/>
    </w:rPr>
  </w:style>
  <w:style w:type="paragraph" w:styleId="1031" w:customStyle="1">
    <w:name w:val="正文缩进1"/>
    <w:basedOn w:val="828"/>
    <w:uiPriority w:val="0"/>
    <w:qFormat/>
    <w:pPr>
      <w:ind w:firstLine="420"/>
    </w:pPr>
    <w:rPr>
      <w:szCs w:val="20"/>
    </w:rPr>
  </w:style>
  <w:style w:type="paragraph" w:styleId="1032" w:customStyle="1">
    <w:name w:val="文档结构图1"/>
    <w:basedOn w:val="828"/>
    <w:link w:val="1033"/>
    <w:uiPriority w:val="0"/>
    <w:semiHidden/>
    <w:qFormat/>
    <w:pPr>
      <w:shd w:val="clear" w:color="auto" w:fill="000080"/>
    </w:pPr>
  </w:style>
  <w:style w:type="character" w:styleId="1033" w:customStyle="1">
    <w:name w:val="文档结构图 Char"/>
    <w:link w:val="1032"/>
    <w:uiPriority w:val="0"/>
    <w:semiHidden/>
    <w:qFormat/>
    <w:rPr>
      <w:sz w:val="21"/>
      <w:szCs w:val="24"/>
      <w:shd w:val="clear" w:color="auto" w:fill="000080"/>
    </w:rPr>
  </w:style>
  <w:style w:type="paragraph" w:styleId="1034" w:customStyle="1">
    <w:name w:val="批注文字1"/>
    <w:basedOn w:val="828"/>
    <w:link w:val="1035"/>
    <w:uiPriority w:val="0"/>
    <w:qFormat/>
    <w:pPr>
      <w:jc w:val="left"/>
    </w:pPr>
    <w:rPr>
      <w:szCs w:val="20"/>
    </w:rPr>
  </w:style>
  <w:style w:type="character" w:styleId="1035" w:customStyle="1">
    <w:name w:val="批注文字 Char1"/>
    <w:link w:val="1034"/>
    <w:uiPriority w:val="0"/>
    <w:semiHidden/>
    <w:qFormat/>
    <w:rPr>
      <w:sz w:val="21"/>
    </w:rPr>
  </w:style>
  <w:style w:type="paragraph" w:styleId="1036" w:customStyle="1">
    <w:name w:val="正文文本1"/>
    <w:basedOn w:val="828"/>
    <w:next w:val="828"/>
    <w:link w:val="1037"/>
    <w:uiPriority w:val="0"/>
    <w:qFormat/>
    <w:pPr>
      <w:spacing w:after="120"/>
    </w:pPr>
  </w:style>
  <w:style w:type="character" w:styleId="1037" w:customStyle="1">
    <w:name w:val="正文文本 Char"/>
    <w:link w:val="1036"/>
    <w:uiPriority w:val="0"/>
    <w:qFormat/>
    <w:rPr>
      <w:sz w:val="21"/>
      <w:szCs w:val="24"/>
    </w:rPr>
  </w:style>
  <w:style w:type="paragraph" w:styleId="1038" w:customStyle="1">
    <w:name w:val="正文文本缩进1"/>
    <w:basedOn w:val="828"/>
    <w:uiPriority w:val="0"/>
    <w:qFormat/>
    <w:pPr>
      <w:ind w:left="420"/>
      <w:spacing w:after="120"/>
    </w:pPr>
  </w:style>
  <w:style w:type="paragraph" w:styleId="1039" w:customStyle="1">
    <w:name w:val="目录 31"/>
    <w:basedOn w:val="828"/>
    <w:next w:val="828"/>
    <w:uiPriority w:val="39"/>
    <w:qFormat/>
    <w:pPr>
      <w:ind w:left="840"/>
    </w:pPr>
  </w:style>
  <w:style w:type="paragraph" w:styleId="1040" w:customStyle="1">
    <w:name w:val="纯文本11"/>
    <w:basedOn w:val="828"/>
    <w:link w:val="1041"/>
    <w:uiPriority w:val="0"/>
    <w:unhideWhenUsed/>
    <w:qFormat/>
    <w:rPr>
      <w:rFonts w:ascii="宋体" w:hAnsi="Courier New"/>
      <w:szCs w:val="21"/>
    </w:rPr>
  </w:style>
  <w:style w:type="character" w:styleId="1041" w:customStyle="1">
    <w:name w:val="纯文本 Char1"/>
    <w:link w:val="1040"/>
    <w:uiPriority w:val="0"/>
    <w:qFormat/>
    <w:rPr>
      <w:rFonts w:ascii="宋体" w:hAnsi="Courier New" w:cs="金山简魏碑"/>
      <w:sz w:val="21"/>
      <w:szCs w:val="21"/>
    </w:rPr>
  </w:style>
  <w:style w:type="paragraph" w:styleId="1042" w:customStyle="1">
    <w:name w:val="日期1"/>
    <w:basedOn w:val="828"/>
    <w:next w:val="828"/>
    <w:link w:val="1043"/>
    <w:uiPriority w:val="0"/>
    <w:qFormat/>
    <w:pPr>
      <w:ind w:left="100"/>
    </w:pPr>
  </w:style>
  <w:style w:type="character" w:styleId="1043" w:customStyle="1">
    <w:name w:val="日期 Char"/>
    <w:link w:val="1042"/>
    <w:uiPriority w:val="0"/>
    <w:qFormat/>
    <w:rPr>
      <w:sz w:val="21"/>
      <w:szCs w:val="24"/>
    </w:rPr>
  </w:style>
  <w:style w:type="paragraph" w:styleId="1044" w:customStyle="1">
    <w:name w:val="正文文本缩进 21"/>
    <w:basedOn w:val="828"/>
    <w:next w:val="828"/>
    <w:link w:val="1045"/>
    <w:uiPriority w:val="0"/>
    <w:qFormat/>
    <w:pPr>
      <w:ind w:left="630" w:firstLine="645"/>
    </w:pPr>
    <w:rPr>
      <w:rFonts w:ascii="Arial" w:hAnsi="Arial" w:eastAsia="仿宋_GB2312"/>
      <w:sz w:val="32"/>
      <w:szCs w:val="20"/>
    </w:rPr>
  </w:style>
  <w:style w:type="character" w:styleId="1045" w:customStyle="1">
    <w:name w:val="正文文本缩进 2 Char"/>
    <w:link w:val="1044"/>
    <w:uiPriority w:val="0"/>
    <w:qFormat/>
    <w:rPr>
      <w:rFonts w:ascii="Arial" w:hAnsi="Arial" w:eastAsia="仿宋_GB2312"/>
      <w:sz w:val="32"/>
    </w:rPr>
  </w:style>
  <w:style w:type="paragraph" w:styleId="1046" w:customStyle="1">
    <w:name w:val="批注框文本1"/>
    <w:basedOn w:val="828"/>
    <w:link w:val="1047"/>
    <w:uiPriority w:val="0"/>
    <w:semiHidden/>
    <w:qFormat/>
    <w:rPr>
      <w:sz w:val="18"/>
      <w:szCs w:val="18"/>
    </w:rPr>
  </w:style>
  <w:style w:type="character" w:styleId="1047" w:customStyle="1">
    <w:name w:val="批注框文本 Char"/>
    <w:link w:val="1046"/>
    <w:uiPriority w:val="0"/>
    <w:semiHidden/>
    <w:qFormat/>
    <w:rPr>
      <w:sz w:val="18"/>
      <w:szCs w:val="18"/>
    </w:rPr>
  </w:style>
  <w:style w:type="paragraph" w:styleId="1048" w:customStyle="1">
    <w:name w:val="页脚1"/>
    <w:basedOn w:val="828"/>
    <w:link w:val="1049"/>
    <w:uiPriority w:val="0"/>
    <w:qFormat/>
    <w:pPr>
      <w:jc w:val="left"/>
      <w:tabs>
        <w:tab w:val="center" w:pos="4153" w:leader="none"/>
        <w:tab w:val="right" w:pos="8306" w:leader="none"/>
      </w:tabs>
    </w:pPr>
    <w:rPr>
      <w:sz w:val="18"/>
      <w:szCs w:val="18"/>
    </w:rPr>
  </w:style>
  <w:style w:type="character" w:styleId="1049" w:customStyle="1">
    <w:name w:val="页脚 Char"/>
    <w:link w:val="1048"/>
    <w:uiPriority w:val="0"/>
    <w:qFormat/>
    <w:rPr>
      <w:sz w:val="18"/>
      <w:szCs w:val="18"/>
    </w:rPr>
  </w:style>
  <w:style w:type="paragraph" w:styleId="1050" w:customStyle="1">
    <w:name w:val="页眉1"/>
    <w:basedOn w:val="828"/>
    <w:link w:val="1051"/>
    <w:uiPriority w:val="99"/>
    <w:qFormat/>
    <w:pPr>
      <w:jc w:val="center"/>
      <w:tabs>
        <w:tab w:val="center" w:pos="4153" w:leader="none"/>
        <w:tab w:val="right" w:pos="8306" w:leader="none"/>
      </w:tabs>
      <w:pBdr>
        <w:bottom w:val="single" w:color="000000" w:sz="6" w:space="1"/>
      </w:pBdr>
    </w:pPr>
    <w:rPr>
      <w:sz w:val="18"/>
      <w:szCs w:val="18"/>
    </w:rPr>
  </w:style>
  <w:style w:type="character" w:styleId="1051" w:customStyle="1">
    <w:name w:val="页眉 Char"/>
    <w:link w:val="1050"/>
    <w:uiPriority w:val="99"/>
    <w:qFormat/>
    <w:rPr>
      <w:sz w:val="18"/>
      <w:szCs w:val="18"/>
    </w:rPr>
  </w:style>
  <w:style w:type="paragraph" w:styleId="1052" w:customStyle="1">
    <w:name w:val="目录 11"/>
    <w:basedOn w:val="828"/>
    <w:next w:val="828"/>
    <w:uiPriority w:val="39"/>
    <w:qFormat/>
  </w:style>
  <w:style w:type="paragraph" w:styleId="1053" w:customStyle="1">
    <w:name w:val="索引标题1"/>
    <w:basedOn w:val="828"/>
    <w:next w:val="1054"/>
    <w:uiPriority w:val="0"/>
    <w:semiHidden/>
    <w:qFormat/>
    <w:rPr>
      <w:szCs w:val="20"/>
    </w:rPr>
  </w:style>
  <w:style w:type="paragraph" w:styleId="1054" w:customStyle="1">
    <w:name w:val="索引 11"/>
    <w:basedOn w:val="828"/>
    <w:next w:val="828"/>
    <w:uiPriority w:val="0"/>
    <w:semiHidden/>
    <w:qFormat/>
    <w:pPr>
      <w:jc w:val="center"/>
    </w:pPr>
    <w:rPr>
      <w:bCs/>
      <w:szCs w:val="20"/>
    </w:rPr>
  </w:style>
  <w:style w:type="paragraph" w:styleId="1055" w:customStyle="1">
    <w:name w:val="副标题11"/>
    <w:basedOn w:val="828"/>
    <w:next w:val="828"/>
    <w:uiPriority w:val="11"/>
    <w:qFormat/>
    <w:pPr>
      <w:jc w:val="center"/>
      <w:spacing w:before="240" w:after="60" w:line="312" w:lineRule="auto"/>
      <w:outlineLvl w:val="1"/>
    </w:pPr>
    <w:rPr>
      <w:rFonts w:ascii="Calibri Light" w:hAnsi="Calibri Light"/>
      <w:b/>
      <w:bCs/>
      <w:sz w:val="32"/>
      <w:szCs w:val="32"/>
    </w:rPr>
  </w:style>
  <w:style w:type="paragraph" w:styleId="1056" w:customStyle="1">
    <w:name w:val="目录 21"/>
    <w:basedOn w:val="828"/>
    <w:next w:val="828"/>
    <w:uiPriority w:val="39"/>
    <w:qFormat/>
    <w:pPr>
      <w:ind w:left="420"/>
    </w:pPr>
  </w:style>
  <w:style w:type="paragraph" w:styleId="1057" w:customStyle="1">
    <w:name w:val="普通(网站)1"/>
    <w:basedOn w:val="828"/>
    <w:uiPriority w:val="99"/>
    <w:qFormat/>
    <w:pPr>
      <w:jc w:val="left"/>
      <w:spacing w:before="100" w:beforeAutospacing="1" w:after="100" w:afterAutospacing="1"/>
      <w:widowControl/>
    </w:pPr>
    <w:rPr>
      <w:rFonts w:ascii="宋体" w:hAnsi="宋体" w:cs="宋体"/>
      <w:sz w:val="24"/>
    </w:rPr>
  </w:style>
  <w:style w:type="paragraph" w:styleId="1058" w:customStyle="1">
    <w:name w:val="标题1"/>
    <w:basedOn w:val="828"/>
    <w:next w:val="828"/>
    <w:link w:val="1059"/>
    <w:uiPriority w:val="0"/>
    <w:qFormat/>
    <w:pPr>
      <w:jc w:val="center"/>
      <w:spacing w:before="240" w:after="60"/>
      <w:outlineLvl w:val="0"/>
    </w:pPr>
    <w:rPr>
      <w:rFonts w:ascii="Cambria" w:hAnsi="Cambria"/>
      <w:b/>
      <w:bCs/>
      <w:sz w:val="32"/>
      <w:szCs w:val="32"/>
    </w:rPr>
  </w:style>
  <w:style w:type="character" w:styleId="1059" w:customStyle="1">
    <w:name w:val="标题 Char"/>
    <w:link w:val="1058"/>
    <w:uiPriority w:val="0"/>
    <w:qFormat/>
    <w:rPr>
      <w:rFonts w:ascii="Cambria" w:hAnsi="Cambria" w:cs="Times New Roman"/>
      <w:b/>
      <w:bCs/>
      <w:sz w:val="32"/>
      <w:szCs w:val="32"/>
    </w:rPr>
  </w:style>
  <w:style w:type="paragraph" w:styleId="1060" w:customStyle="1">
    <w:name w:val="正文首行缩进1"/>
    <w:basedOn w:val="1036"/>
    <w:uiPriority w:val="0"/>
    <w:qFormat/>
    <w:pPr>
      <w:ind w:firstLine="420"/>
    </w:pPr>
  </w:style>
  <w:style w:type="paragraph" w:styleId="1061" w:customStyle="1">
    <w:name w:val="正文首行缩进 21"/>
    <w:basedOn w:val="1038"/>
    <w:uiPriority w:val="0"/>
    <w:qFormat/>
    <w:pPr>
      <w:ind w:firstLine="420"/>
    </w:pPr>
  </w:style>
  <w:style w:type="table" w:styleId="1062" w:customStyle="1">
    <w:name w:val="网格型11"/>
    <w:basedOn w:val="1027"/>
    <w:uiPriority w:val="0"/>
    <w:qFormat/>
    <w:pPr>
      <w:jc w:val="both"/>
      <w:widowControl w:val="off"/>
    </w:pPr>
    <w:tblPr/>
  </w:style>
  <w:style w:type="character" w:styleId="1063" w:customStyle="1">
    <w:name w:val="要点1"/>
    <w:uiPriority w:val="22"/>
    <w:qFormat/>
    <w:rPr>
      <w:b/>
      <w:bCs/>
    </w:rPr>
  </w:style>
  <w:style w:type="character" w:styleId="1064" w:customStyle="1">
    <w:name w:val="页码1"/>
    <w:uiPriority w:val="0"/>
    <w:qFormat/>
  </w:style>
  <w:style w:type="character" w:styleId="1065" w:customStyle="1">
    <w:name w:val="已访问的超链接1"/>
    <w:uiPriority w:val="99"/>
    <w:unhideWhenUsed/>
    <w:qFormat/>
    <w:rPr>
      <w:color w:val="800080"/>
      <w:u w:val="single"/>
    </w:rPr>
  </w:style>
  <w:style w:type="character" w:styleId="1066" w:customStyle="1">
    <w:name w:val="超链接1"/>
    <w:uiPriority w:val="99"/>
    <w:qFormat/>
    <w:rPr>
      <w:color w:val="0000ff"/>
      <w:u w:val="single"/>
    </w:rPr>
  </w:style>
  <w:style w:type="character" w:styleId="1067" w:customStyle="1">
    <w:name w:val="批注引用1"/>
    <w:uiPriority w:val="0"/>
    <w:qFormat/>
    <w:rPr>
      <w:sz w:val="21"/>
      <w:szCs w:val="21"/>
    </w:rPr>
  </w:style>
  <w:style w:type="paragraph" w:styleId="1068" w:customStyle="1">
    <w:name w:val="首行缩进"/>
    <w:basedOn w:val="828"/>
    <w:uiPriority w:val="0"/>
    <w:qFormat/>
    <w:pPr>
      <w:ind w:firstLine="480"/>
    </w:pPr>
  </w:style>
  <w:style w:type="paragraph" w:styleId="1069" w:customStyle="1">
    <w:name w:val="列出段落1"/>
    <w:basedOn w:val="828"/>
    <w:next w:val="828"/>
    <w:uiPriority w:val="34"/>
    <w:qFormat/>
    <w:pPr>
      <w:ind w:firstLine="420"/>
    </w:pPr>
    <w:rPr>
      <w:sz w:val="28"/>
    </w:rPr>
  </w:style>
  <w:style w:type="character" w:styleId="1070" w:customStyle="1">
    <w:name w:val="标题 1 Char1"/>
    <w:uiPriority w:val="0"/>
    <w:qFormat/>
    <w:rPr>
      <w:b/>
      <w:bCs/>
      <w:sz w:val="44"/>
      <w:szCs w:val="44"/>
    </w:rPr>
  </w:style>
  <w:style w:type="character" w:styleId="1071" w:customStyle="1">
    <w:name w:val="rvts13"/>
    <w:uiPriority w:val="0"/>
    <w:qFormat/>
    <w:rPr>
      <w:rFonts w:ascii="KNLe" w:hAnsi="KNLe"/>
      <w:color w:val="000000"/>
    </w:rPr>
  </w:style>
  <w:style w:type="character" w:styleId="1072" w:customStyle="1">
    <w:name w:val="标题 3 Char1"/>
    <w:uiPriority w:val="0"/>
    <w:semiHidden/>
    <w:qFormat/>
    <w:rPr>
      <w:b/>
      <w:bCs/>
      <w:sz w:val="32"/>
      <w:szCs w:val="32"/>
    </w:rPr>
  </w:style>
  <w:style w:type="character" w:styleId="1073" w:customStyle="1">
    <w:name w:val="font11"/>
    <w:basedOn w:val="838"/>
    <w:uiPriority w:val="0"/>
    <w:qFormat/>
    <w:rPr>
      <w:rFonts w:hint="eastAsia" w:ascii="微软雅黑" w:hAnsi="微软雅黑" w:eastAsia="微软雅黑" w:cs="微软雅黑"/>
      <w:color w:val="000000"/>
      <w:sz w:val="24"/>
      <w:szCs w:val="24"/>
      <w:u w:val="none"/>
      <w:vertAlign w:val="superscript"/>
    </w:rPr>
  </w:style>
  <w:style w:type="character" w:styleId="1074" w:customStyle="1">
    <w:name w:val="标题 4 Char1"/>
    <w:uiPriority w:val="0"/>
    <w:semiHidden/>
    <w:qFormat/>
    <w:rPr>
      <w:rFonts w:ascii="Cambria" w:hAnsi="Cambria" w:eastAsia="宋体" w:cs="Times New Roman"/>
      <w:b/>
      <w:bCs/>
      <w:sz w:val="28"/>
      <w:szCs w:val="28"/>
    </w:rPr>
  </w:style>
  <w:style w:type="character" w:styleId="1075" w:customStyle="1">
    <w:name w:val="rvts10"/>
    <w:uiPriority w:val="0"/>
    <w:qFormat/>
    <w:rPr>
      <w:rFonts w:ascii="KNLe" w:hAnsi="KNLe"/>
      <w:b/>
      <w:bCs/>
    </w:rPr>
  </w:style>
  <w:style w:type="character" w:styleId="1076" w:customStyle="1">
    <w:name w:val="rvts9"/>
    <w:uiPriority w:val="0"/>
    <w:qFormat/>
    <w:rPr>
      <w:rFonts w:ascii="KNLe" w:hAnsi="KNLe"/>
    </w:rPr>
  </w:style>
  <w:style w:type="character" w:styleId="1077" w:customStyle="1">
    <w:name w:val="font21"/>
    <w:uiPriority w:val="0"/>
    <w:qFormat/>
    <w:rPr>
      <w:rFonts w:hint="eastAsia" w:ascii="微软雅黑" w:hAnsi="微软雅黑" w:eastAsia="微软雅黑" w:cs="微软雅黑"/>
      <w:color w:val="000000"/>
      <w:sz w:val="24"/>
      <w:szCs w:val="24"/>
      <w:u w:val="none"/>
    </w:rPr>
  </w:style>
  <w:style w:type="character" w:styleId="1078" w:customStyle="1">
    <w:name w:val="批注文字 Char"/>
    <w:uiPriority w:val="99"/>
    <w:qFormat/>
    <w:rPr>
      <w:rFonts w:ascii="Times New Roman" w:hAnsi="Times New Roman" w:eastAsia="宋体" w:cs="Times New Roman"/>
      <w:szCs w:val="20"/>
    </w:rPr>
  </w:style>
  <w:style w:type="character" w:styleId="1079" w:customStyle="1">
    <w:name w:val="批注文字 字符"/>
    <w:uiPriority w:val="0"/>
    <w:semiHidden/>
    <w:qFormat/>
    <w:rPr>
      <w:sz w:val="21"/>
    </w:rPr>
  </w:style>
  <w:style w:type="character" w:styleId="1080" w:customStyle="1">
    <w:name w:val="纯文本 Char"/>
    <w:uiPriority w:val="0"/>
    <w:qFormat/>
    <w:rPr>
      <w:rFonts w:ascii="宋体" w:hAnsi="Courier New" w:cs="Courier New"/>
      <w:sz w:val="21"/>
      <w:szCs w:val="21"/>
    </w:rPr>
  </w:style>
  <w:style w:type="character" w:styleId="1081" w:customStyle="1">
    <w:name w:val="rvts11"/>
    <w:uiPriority w:val="0"/>
    <w:qFormat/>
    <w:rPr>
      <w:rFonts w:ascii="KNLe" w:hAnsi="KNLe"/>
      <w:u w:val="single"/>
    </w:rPr>
  </w:style>
  <w:style w:type="paragraph" w:styleId="1082" w:customStyle="1">
    <w:name w:val="Char Char Char Char Char Char Char Char Char Char Char Char Char Char Char Char"/>
    <w:basedOn w:val="828"/>
    <w:uiPriority w:val="0"/>
    <w:qFormat/>
    <w:pPr>
      <w:ind w:left="482" w:firstLine="200"/>
      <w:spacing w:line="360" w:lineRule="auto"/>
      <w:tabs>
        <w:tab w:val="left" w:pos="360" w:leader="none"/>
      </w:tabs>
    </w:pPr>
    <w:rPr>
      <w:rFonts w:ascii="宋体"/>
      <w:sz w:val="24"/>
    </w:rPr>
  </w:style>
  <w:style w:type="paragraph" w:styleId="1083" w:customStyle="1">
    <w:name w:val="列出段落3"/>
    <w:basedOn w:val="828"/>
    <w:uiPriority w:val="99"/>
    <w:qFormat/>
    <w:pPr>
      <w:contextualSpacing/>
      <w:ind w:left="720"/>
      <w:jc w:val="left"/>
      <w:widowControl/>
    </w:pPr>
    <w:rPr>
      <w:rFonts w:ascii="Arial" w:hAnsi="Arial" w:eastAsia="黑体"/>
      <w:sz w:val="24"/>
      <w:lang w:eastAsia="en-US"/>
    </w:rPr>
  </w:style>
  <w:style w:type="paragraph" w:styleId="1084" w:customStyle="1">
    <w:name w:val="Char"/>
    <w:basedOn w:val="828"/>
    <w:uiPriority w:val="0"/>
    <w:qFormat/>
    <w:pPr>
      <w:jc w:val="left"/>
      <w:spacing w:after="160" w:line="240" w:lineRule="exact"/>
      <w:widowControl/>
    </w:pPr>
    <w:rPr>
      <w:rFonts w:ascii="Verdana" w:hAnsi="Verdana" w:eastAsia="仿宋_GB2312"/>
      <w:sz w:val="24"/>
      <w:szCs w:val="20"/>
      <w:lang w:eastAsia="en-US"/>
    </w:rPr>
  </w:style>
  <w:style w:type="paragraph" w:styleId="1085" w:customStyle="1">
    <w:name w:val="Char7"/>
    <w:basedOn w:val="1032"/>
    <w:uiPriority w:val="0"/>
    <w:qFormat/>
    <w:pPr>
      <w:spacing w:line="360" w:lineRule="auto"/>
    </w:pPr>
    <w:rPr>
      <w:rFonts w:ascii="Tahoma" w:hAnsi="Tahoma"/>
      <w:sz w:val="24"/>
    </w:rPr>
  </w:style>
  <w:style w:type="paragraph" w:styleId="1086" w:customStyle="1">
    <w:name w:val="普通 (Web)"/>
    <w:basedOn w:val="828"/>
    <w:uiPriority w:val="0"/>
    <w:qFormat/>
    <w:pPr>
      <w:jc w:val="left"/>
      <w:spacing w:before="100" w:beforeAutospacing="1" w:after="100" w:afterAutospacing="1"/>
      <w:widowControl/>
    </w:pPr>
    <w:rPr>
      <w:rFonts w:ascii="宋体" w:hAnsi="宋体"/>
      <w:sz w:val="24"/>
    </w:rPr>
  </w:style>
  <w:style w:type="paragraph" w:styleId="1087" w:customStyle="1">
    <w:name w:val="标题（小）"/>
    <w:basedOn w:val="1088"/>
    <w:uiPriority w:val="0"/>
    <w:qFormat/>
    <w:pPr>
      <w:ind w:firstLine="402"/>
    </w:pPr>
    <w:rPr>
      <w:rFonts w:ascii="宋体" w:hAnsi="宋体"/>
    </w:rPr>
  </w:style>
  <w:style w:type="paragraph" w:styleId="1088" w:customStyle="1">
    <w:name w:val="副标题1"/>
    <w:basedOn w:val="1055"/>
    <w:uiPriority w:val="1"/>
    <w:qFormat/>
    <w:pPr>
      <w:ind w:firstLine="420"/>
      <w:jc w:val="left"/>
      <w:spacing w:before="0" w:after="0" w:line="460" w:lineRule="exact"/>
    </w:pPr>
    <w:rPr>
      <w:sz w:val="20"/>
      <w:szCs w:val="21"/>
    </w:rPr>
  </w:style>
  <w:style w:type="paragraph" w:styleId="1089" w:customStyle="1">
    <w:name w:val="列出段落111"/>
    <w:basedOn w:val="828"/>
    <w:uiPriority w:val="0"/>
    <w:qFormat/>
    <w:pPr>
      <w:ind w:firstLine="420"/>
    </w:pPr>
    <w:rPr>
      <w:rFonts w:ascii="Calibri" w:hAnsi="Calibri"/>
      <w:szCs w:val="22"/>
    </w:rPr>
  </w:style>
  <w:style w:type="paragraph" w:styleId="1090" w:customStyle="1">
    <w:name w:val="Char1"/>
    <w:basedOn w:val="828"/>
    <w:uiPriority w:val="0"/>
    <w:qFormat/>
    <w:pPr>
      <w:jc w:val="left"/>
      <w:spacing w:after="160" w:line="240" w:lineRule="exact"/>
      <w:widowControl/>
    </w:pPr>
    <w:rPr>
      <w:rFonts w:ascii="Verdana" w:hAnsi="Verdana" w:eastAsia="仿宋_GB2312"/>
      <w:sz w:val="24"/>
      <w:szCs w:val="20"/>
      <w:lang w:eastAsia="en-US"/>
    </w:rPr>
  </w:style>
  <w:style w:type="paragraph" w:styleId="1091" w:customStyle="1">
    <w:name w:val="默认段落字体 Para Char Char Char Char Char Char Char"/>
    <w:basedOn w:val="828"/>
    <w:uiPriority w:val="0"/>
    <w:qFormat/>
    <w:rPr>
      <w:rFonts w:ascii="Tahoma" w:hAnsi="Tahoma"/>
      <w:sz w:val="24"/>
      <w:szCs w:val="20"/>
    </w:rPr>
  </w:style>
  <w:style w:type="paragraph" w:styleId="1092" w:customStyle="1">
    <w:name w:val="Char Char Char Char Char Char Char1 Char"/>
    <w:basedOn w:val="828"/>
    <w:uiPriority w:val="0"/>
    <w:qFormat/>
    <w:rPr>
      <w:rFonts w:ascii="Tahoma" w:hAnsi="Tahoma" w:cs="Tahoma"/>
      <w:sz w:val="24"/>
    </w:rPr>
  </w:style>
  <w:style w:type="paragraph" w:styleId="1093" w:customStyle="1">
    <w:name w:val="Char71"/>
    <w:basedOn w:val="1032"/>
    <w:uiPriority w:val="0"/>
    <w:qFormat/>
    <w:pPr>
      <w:spacing w:line="360" w:lineRule="auto"/>
    </w:pPr>
    <w:rPr>
      <w:rFonts w:ascii="Tahoma" w:hAnsi="Tahoma"/>
      <w:sz w:val="24"/>
    </w:rPr>
  </w:style>
  <w:style w:type="paragraph" w:styleId="1094" w:customStyle="1">
    <w:name w:val="ListBullet21"/>
    <w:basedOn w:val="828"/>
    <w:uiPriority w:val="99"/>
    <w:qFormat/>
    <w:pPr>
      <w:numPr>
        <w:ilvl w:val="0"/>
        <w:numId w:val="3"/>
      </w:numPr>
      <w:tabs>
        <w:tab w:val="decimal" w:pos="780" w:leader="none"/>
      </w:tabs>
    </w:p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6" w:customStyle="1">
    <w:name w:val="pa-2"/>
    <w:basedOn w:val="828"/>
    <w:uiPriority w:val="0"/>
    <w:qFormat/>
    <w:pPr>
      <w:ind w:firstLine="700"/>
      <w:spacing w:line="320" w:lineRule="atLeast"/>
      <w:widowControl/>
    </w:pPr>
    <w:rPr>
      <w:rFonts w:ascii="宋体" w:hAnsi="宋体" w:cs="宋体"/>
      <w:sz w:val="24"/>
    </w:rPr>
  </w:style>
  <w:style w:type="paragraph" w:styleId="1097" w:customStyle="1">
    <w:name w:val="Table Paragraph"/>
    <w:basedOn w:val="828"/>
    <w:uiPriority w:val="99"/>
    <w:qFormat/>
    <w:pPr>
      <w:jc w:val="left"/>
    </w:pPr>
    <w:rPr>
      <w:rFonts w:ascii="Calibri" w:hAnsi="Calibri"/>
      <w:sz w:val="22"/>
      <w:szCs w:val="22"/>
      <w:lang w:eastAsia="en-US"/>
    </w:rPr>
  </w:style>
  <w:style w:type="paragraph" w:styleId="1098" w:customStyle="1">
    <w:name w:val="纯文本1"/>
    <w:basedOn w:val="828"/>
    <w:uiPriority w:val="0"/>
    <w:qFormat/>
    <w:rPr>
      <w:rFonts w:ascii="宋体" w:hAnsi="Courier New" w:eastAsia="楷体_GB2312"/>
      <w:sz w:val="26"/>
      <w:szCs w:val="20"/>
    </w:rPr>
  </w:style>
  <w:style w:type="paragraph" w:styleId="1099" w:customStyle="1">
    <w:name w:val="样式 小四 段前: 5 磅 段后: 5 磅 首行缩进:  2 字符"/>
    <w:basedOn w:val="828"/>
    <w:uiPriority w:val="0"/>
    <w:qFormat/>
    <w:pPr>
      <w:spacing w:line="360" w:lineRule="auto"/>
    </w:pPr>
    <w:rPr>
      <w:rFonts w:ascii="宋体" w:hAnsi="宋体"/>
      <w:szCs w:val="21"/>
    </w:rPr>
  </w:style>
  <w:style w:type="paragraph" w:styleId="1100" w:customStyle="1">
    <w:name w:val="列出段落2"/>
    <w:basedOn w:val="828"/>
    <w:uiPriority w:val="0"/>
    <w:qFormat/>
    <w:pPr>
      <w:ind w:firstLine="420"/>
    </w:pPr>
    <w:rPr>
      <w:rFonts w:ascii="Calibri" w:hAnsi="Calibri"/>
      <w:szCs w:val="22"/>
    </w:rPr>
  </w:style>
  <w:style w:type="table" w:styleId="1101" w:customStyle="1">
    <w:name w:val="网格型2"/>
    <w:basedOn w:val="1027"/>
    <w:uiPriority w:val="59"/>
    <w:qFormat/>
    <w:rPr>
      <w:rFonts w:ascii="Calibri" w:hAnsi="Calibri"/>
      <w:sz w:val="21"/>
      <w:szCs w:val="22"/>
    </w:rPr>
    <w:tblPr/>
  </w:style>
  <w:style w:type="table" w:styleId="1102" w:customStyle="1">
    <w:name w:val="网格型1"/>
    <w:basedOn w:val="1027"/>
    <w:uiPriority w:val="59"/>
    <w:qFormat/>
    <w:rPr>
      <w:rFonts w:ascii="Calibri" w:hAnsi="Calibri"/>
      <w:sz w:val="21"/>
      <w:szCs w:val="22"/>
    </w:rPr>
    <w:tblPr/>
  </w:style>
  <w:style w:type="paragraph" w:styleId="1103" w:customStyle="1">
    <w:name w:val="black1"/>
    <w:basedOn w:val="828"/>
    <w:uiPriority w:val="0"/>
    <w:qFormat/>
    <w:pPr>
      <w:jc w:val="left"/>
      <w:spacing w:before="100" w:beforeAutospacing="1" w:after="100" w:afterAutospacing="1" w:line="360" w:lineRule="auto"/>
      <w:widowControl/>
    </w:pPr>
    <w:rPr>
      <w:rFonts w:ascii="宋体" w:hAnsi="宋体"/>
      <w:sz w:val="24"/>
    </w:rPr>
  </w:style>
  <w:style w:type="paragraph" w:styleId="1104" w:customStyle="1">
    <w:name w:val="一级标题1"/>
    <w:basedOn w:val="1022"/>
    <w:uiPriority w:val="0"/>
    <w:qFormat/>
    <w:pPr>
      <w:numPr>
        <w:ilvl w:val="0"/>
        <w:numId w:val="4"/>
      </w:numPr>
      <w:tabs>
        <w:tab w:val="left" w:pos="531" w:leader="none"/>
      </w:tabs>
    </w:pPr>
    <w:rPr>
      <w:rFonts w:hAnsi="宋体"/>
    </w:rPr>
  </w:style>
  <w:style w:type="paragraph" w:styleId="1105" w:customStyle="1">
    <w:name w:val="二级标题"/>
    <w:basedOn w:val="874"/>
    <w:uiPriority w:val="0"/>
    <w:qFormat/>
    <w:pPr>
      <w:numPr>
        <w:ilvl w:val="1"/>
        <w:numId w:val="5"/>
      </w:numPr>
      <w:spacing w:before="120" w:after="120"/>
    </w:pPr>
    <w:rPr>
      <w:rFonts w:hAnsi="宋体"/>
    </w:rPr>
  </w:style>
  <w:style w:type="paragraph" w:styleId="1106" w:customStyle="1">
    <w:name w:val="三级标题"/>
    <w:basedOn w:val="1057"/>
    <w:uiPriority w:val="0"/>
    <w:qFormat/>
    <w:pPr>
      <w:numPr>
        <w:ilvl w:val="2"/>
        <w:numId w:val="5"/>
      </w:numPr>
      <w:ind w:left="1021"/>
      <w:spacing w:before="156" w:beforeAutospacing="0" w:after="156" w:afterAutospacing="0"/>
      <w:shd w:val="clear" w:color="auto" w:fill="ffffff"/>
      <w:outlineLvl w:val="3"/>
    </w:pPr>
    <w:rPr>
      <w:b/>
      <w:color w:val="000000"/>
      <w:sz w:val="28"/>
      <w:szCs w:val="28"/>
    </w:rPr>
  </w:style>
  <w:style w:type="paragraph" w:styleId="1107" w:customStyle="1">
    <w:name w:val="四级标题"/>
    <w:basedOn w:val="1025"/>
    <w:uiPriority w:val="0"/>
    <w:qFormat/>
    <w:pPr>
      <w:numPr>
        <w:ilvl w:val="3"/>
        <w:numId w:val="5"/>
      </w:numPr>
      <w:ind w:left="1588" w:hanging="1588"/>
      <w:spacing w:before="120" w:after="120"/>
    </w:pPr>
    <w:rPr>
      <w:rFonts w:ascii="宋体" w:hAnsi="宋体"/>
      <w:sz w:val="28"/>
    </w:rPr>
  </w:style>
  <w:style w:type="paragraph" w:styleId="1108" w:customStyle="1">
    <w:name w:val="无间隔1"/>
    <w:basedOn w:val="828"/>
    <w:uiPriority w:val="1"/>
    <w:qFormat/>
    <w:rPr>
      <w:rFonts w:ascii="Calibri" w:hAnsi="Calibri"/>
      <w:szCs w:val="32"/>
    </w:rPr>
  </w:style>
  <w:style w:type="paragraph" w:styleId="1109" w:customStyle="1">
    <w:name w:val="其他"/>
    <w:basedOn w:val="828"/>
    <w:uiPriority w:val="0"/>
    <w:qFormat/>
    <w:pPr>
      <w:ind w:firstLine="400"/>
      <w:spacing w:line="480" w:lineRule="auto"/>
    </w:pPr>
    <w:rPr>
      <w:rFonts w:ascii="宋体" w:hAnsi="宋体"/>
      <w:sz w:val="20"/>
      <w:szCs w:val="20"/>
    </w:rPr>
  </w:style>
  <w:style w:type="paragraph" w:styleId="1110" w:customStyle="1">
    <w:name w:val="正文1"/>
    <w:basedOn w:val="828"/>
    <w:next w:val="828"/>
    <w:uiPriority w:val="0"/>
    <w:qFormat/>
    <w:pPr>
      <w:ind w:firstLine="510"/>
      <w:spacing w:before="156" w:line="360" w:lineRule="auto"/>
    </w:pPr>
    <w:rPr>
      <w:sz w:val="24"/>
      <w:szCs w:val="20"/>
    </w:rPr>
  </w:style>
  <w:style w:type="table" w:styleId="1111" w:customStyle="1">
    <w:name w:val="Table Normal"/>
    <w:uiPriority w:val="0"/>
    <w:unhideWhenUsed/>
    <w:qFormat/>
    <w:rPr>
      <w:rFonts w:ascii="Arial" w:hAnsi="Arial" w:cs="Arial"/>
    </w:rPr>
    <w:tblPr>
      <w:tblCellMar>
        <w:left w:w="0" w:type="dxa"/>
        <w:top w:w="0" w:type="dxa"/>
        <w:right w:w="0" w:type="dxa"/>
        <w:bottom w:w="0" w:type="dxa"/>
      </w:tblCellMar>
    </w:tblPr>
  </w:style>
  <w:style w:type="paragraph" w:styleId="1112" w:customStyle="1">
    <w:name w:val="无间隔11"/>
    <w:uiPriority w:val="0"/>
    <w:qFormat/>
    <w:pPr>
      <w:jc w:val="both"/>
      <w:widowControl w:val="off"/>
    </w:pPr>
    <w:rPr>
      <w:rFonts w:ascii="Times New Roman" w:hAnsi="Times New Roman" w:eastAsia="微软雅黑" w:cs="Times New Roman"/>
      <w:sz w:val="24"/>
      <w:szCs w:val="22"/>
      <w:lang w:val="en-US" w:eastAsia="zh-CN" w:bidi="ar-SA"/>
    </w:rPr>
  </w:style>
  <w:style w:type="character" w:styleId="1113" w:customStyle="1">
    <w:name w:val="not([class*=suffix])"/>
    <w:basedOn w:val="838"/>
    <w:uiPriority w:val="0"/>
    <w:qFormat/>
    <w:rPr>
      <w:sz w:val="19"/>
      <w:szCs w:val="19"/>
    </w:rPr>
  </w:style>
  <w:style w:type="character" w:styleId="1114" w:customStyle="1">
    <w:name w:val="not([class*=suffix])1"/>
    <w:basedOn w:val="838"/>
    <w:uiPriority w:val="0"/>
    <w:qFormat/>
  </w:style>
  <w:style w:type="paragraph" w:styleId="1115" w:customStyle="1">
    <w:name w:val="Table Text"/>
    <w:basedOn w:val="828"/>
    <w:uiPriority w:val="0"/>
    <w:semiHidden/>
    <w:qFormat/>
    <w:rPr>
      <w:rFonts w:ascii="宋体" w:hAnsi="宋体" w:cs="宋体"/>
      <w:sz w:val="20"/>
      <w:szCs w:val="20"/>
      <w:lang w:eastAsia="en-US"/>
    </w:rPr>
  </w:style>
  <w:style w:type="paragraph" w:styleId="1116" w:customStyle="1">
    <w:name w:val="列出段落11"/>
    <w:basedOn w:val="828"/>
    <w:uiPriority w:val="0"/>
    <w:qFormat/>
    <w:pPr>
      <w:ind w:firstLine="420"/>
    </w:pPr>
    <w:rPr>
      <w:rFonts w:ascii="Calibri" w:hAnsi="Calibri"/>
    </w:rPr>
  </w:style>
  <w:style w:type="paragraph" w:styleId="1117" w:customStyle="1">
    <w:name w:val="表格文字"/>
    <w:basedOn w:val="828"/>
    <w:uiPriority w:val="0"/>
    <w:qFormat/>
    <w:pPr>
      <w:jc w:val="center"/>
    </w:pPr>
    <w:rPr>
      <w:rFonts w:ascii="Univers" w:hAnsi="Univers" w:eastAsia="Calibri"/>
      <w:szCs w:val="20"/>
      <w:lang w:val="en-GB"/>
    </w:rPr>
  </w:style>
  <w:style w:type="paragraph" w:styleId="1118" w:customStyle="1">
    <w:name w:val="正文 A"/>
    <w:next w:val="828"/>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19" w:customStyle="1">
    <w:name w:val="列表段落1"/>
    <w:basedOn w:val="828"/>
    <w:next w:val="828"/>
    <w:uiPriority w:val="99"/>
    <w:qFormat/>
    <w:pPr>
      <w:ind w:left="878" w:firstLine="420"/>
    </w:pPr>
  </w:style>
  <w:style w:type="character" w:styleId="1120" w:customStyle="1">
    <w:name w:val="UserStyle_2"/>
    <w:uiPriority w:val="0"/>
    <w:qFormat/>
    <w:rPr>
      <w:rFonts w:ascii="Times New Roman" w:hAnsi="Times New Roman" w:eastAsia="宋体" w:cs="Times New Roman"/>
      <w:sz w:val="21"/>
      <w:szCs w:val="24"/>
      <w:lang w:val="en-US" w:eastAsia="zh-CN" w:bidi="ar-SA"/>
    </w:rPr>
  </w:style>
  <w:style w:type="character" w:styleId="1121" w:customStyle="1">
    <w:name w:val="custom-tag-placeholder-class"/>
    <w:basedOn w:val="838"/>
    <w:uiPriority w:val="0"/>
    <w:qFormat/>
  </w:style>
  <w:style w:type="paragraph" w:styleId="1122" w:customStyle="1">
    <w:name w:val="Body text|1"/>
    <w:basedOn w:val="828"/>
    <w:uiPriority w:val="0"/>
    <w:qFormat/>
    <w:pPr>
      <w:ind w:firstLine="400"/>
      <w:spacing w:line="377" w:lineRule="auto"/>
    </w:pPr>
    <w:rPr>
      <w:lang w:val="zh-TW" w:eastAsia="zh-TW" w:bidi="zh-TW"/>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739c4597-5361-441d-838a-bc9199e97ffe</errorID>
      <errorWord>（</errorWord>
      <group>L1_Punc</group>
      <groupName>标点问题</groupName>
      <ability>L2_Punc_CN</ability>
      <abilityName>标点符号问题</abilityName>
      <candidateList/>
      <explain>同一形式括号套用。</explain>
      <paraID>4C75D990</paraID>
      <start>82</start>
      <end>83</end>
      <status>unmodified</status>
      <modifiedWord/>
      <trackRevisions>false</trackRevisions>
    </reviewItem>
    <reviewItem>
      <errorID>c5cd727e-00ae-46b6-b6c1-7f2524a89b98</errorID>
      <errorWord>）</errorWord>
      <group>L1_Punc</group>
      <groupName>标点问题</groupName>
      <ability>L2_Punc_CN</ability>
      <abilityName>标点符号问题</abilityName>
      <candidateList/>
      <explain>同一形式括号套用。</explain>
      <paraID>4C75D990</paraID>
      <start>95</start>
      <end>96</end>
      <status>unmodified</status>
      <modifiedWord/>
      <trackRevisions>false</trackRevisions>
    </reviewItem>
    <reviewItem>
      <errorID>9b9dad05-d66f-4842-b1c4-b48a61c59056</errorID>
      <errorWord>（</errorWord>
      <group>L1_Punc</group>
      <groupName>标点问题</groupName>
      <ability>L2_Punc_CN</ability>
      <abilityName>标点符号问题</abilityName>
      <candidateList/>
      <explain>同一形式括号套用。</explain>
      <paraID>4C75D9EF</paraID>
      <start>25</start>
      <end>26</end>
      <status>unmodified</status>
      <modifiedWord/>
      <trackRevisions>false</trackRevisions>
    </reviewItem>
    <reviewItem>
      <errorID>85d79712-d084-42ab-a580-27264e78ea95</errorID>
      <errorWord>）</errorWord>
      <group>L1_Punc</group>
      <groupName>标点问题</groupName>
      <ability>L2_Punc_CN</ability>
      <abilityName>标点符号问题</abilityName>
      <candidateList/>
      <explain>同一形式括号套用。</explain>
      <paraID>4C75D9EF</paraID>
      <start>58</start>
      <end>59</end>
      <status>unmodified</status>
      <modifiedWord/>
      <trackRevisions>false</trackRevisions>
    </reviewItem>
    <reviewItem>
      <errorID>c70e83ae-e10e-4493-a7e3-fa506d9b189b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3F00B731</paraID>
      <start>0</start>
      <end>2</end>
      <status>unmodified</status>
      <modifiedWord/>
      <trackRevisions>false</trackRevisions>
    </reviewItem>
    <reviewItem>
      <errorID>bfc10da8-50b2-4dd8-b56f-380983f1a9bd</errorID>
      <errorWord>&lt;</errorWord>
      <group>L1_Format</group>
      <groupName>格式问题</groupName>
      <ability>L2_HalfPunc_CN</ability>
      <abilityName>全半角问题</abilityName>
      <candidateList>
        <item>〈</item>
      </candidateList>
      <explain>文本全半角错误。</explain>
      <paraID>3F00B731</paraID>
      <start>33</start>
      <end>34</end>
      <status>unmodified</status>
      <modifiedWord/>
      <trackRevisions>false</trackRevisions>
    </reviewItem>
    <reviewItem>
      <errorID>7ef5eed3-152c-4c64-93f4-4befceb19fdd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2C0ED609</paraID>
      <start>0</start>
      <end>2</end>
      <status>unmodified</status>
      <modifiedWord/>
      <trackRevisions>false</trackRevisions>
    </reviewItem>
    <reviewItem>
      <errorID>7637b94c-e3ac-4c63-a321-1e650f77270d</errorID>
      <errorWord>&lt;</errorWord>
      <group>L1_Format</group>
      <groupName>格式问题</groupName>
      <ability>L2_HalfPunc_CN</ability>
      <abilityName>全半角问题</abilityName>
      <candidateList>
        <item>〈</item>
      </candidateList>
      <explain>文本全半角错误。</explain>
      <paraID>2C0ED609</paraID>
      <start>35</start>
      <end>36</end>
      <status>unmodified</status>
      <modifiedWord/>
      <trackRevisions>false</trackRevisions>
    </reviewItem>
    <reviewItem>
      <errorID>34be86ef-e594-4a50-8fda-885929608bb8</errorID>
      <errorWord>详实</errorWord>
      <group>L1_Word</group>
      <groupName>字词问题</groupName>
      <ability>L2_Typo</ability>
      <abilityName>字词错误</abilityName>
      <candidateList>
        <item>翔实</item>
      </candidateList>
      <explain/>
      <paraID>55C2692E</paraID>
      <start>38</start>
      <end>40</end>
      <status>unmodified</status>
      <modifiedWord/>
      <trackRevisions>false</trackRevisions>
    </reviewItem>
    <reviewItem>
      <errorID>0456e783-7859-44d3-a561-0cc5100451bd</errorID>
      <errorWord>详实</errorWord>
      <group>L1_Word</group>
      <groupName>字词问题</groupName>
      <ability>L2_Typo</ability>
      <abilityName>字词错误</abilityName>
      <candidateList>
        <item>翔实</item>
      </candidateList>
      <explain/>
      <paraID>  20D726</paraID>
      <start>38</start>
      <end>40</end>
      <status>unmodified</status>
      <modifiedWord/>
      <trackRevisions>false</trackRevisions>
    </reviewItem>
    <reviewItem>
      <errorID>0c4cc552-c46e-439a-8344-cc2666d8da7f</errorID>
      <errorWord>详实</errorWord>
      <group>L1_Word</group>
      <groupName>字词问题</groupName>
      <ability>L2_Typo</ability>
      <abilityName>字词错误</abilityName>
      <candidateList>
        <item>翔实</item>
      </candidateList>
      <explain/>
      <paraID>7E366960</paraID>
      <start>38</start>
      <end>40</end>
      <status>unmodified</status>
      <modifiedWord/>
      <trackRevisions>false</trackRevisions>
    </reviewItem>
    <reviewItem>
      <errorID>9428a0f3-945c-4d35-97e1-ec45f83befbb</errorID>
      <errorWord>》</errorWord>
      <group>L1_Word</group>
      <groupName>字词问题</groupName>
      <ability>L2_Typo</ability>
      <abilityName>字词错误</abilityName>
      <candidateList>
        <item>》和</item>
      </candidateList>
      <explain/>
      <paraID>4C75DABF</paraID>
      <start>19</start>
      <end>21</end>
      <status>modified</status>
      <modifiedWord>》和</modifiedWord>
      <trackRevisions>false</trackRevisions>
    </reviewItem>
    <reviewItem>
      <errorID>00853107-1805-4f3f-843a-ea78f7c8637c</errorID>
      <errorWord>（</errorWord>
      <group>L1_Punc</group>
      <groupName>标点问题</groupName>
      <ability>L2_Punc_CN</ability>
      <abilityName>标点符号问题</abilityName>
      <candidateList/>
      <explain>同一形式括号套用。</explain>
      <paraID>4C75DB3D</paraID>
      <start>23</start>
      <end>24</end>
      <status>unmodified</status>
      <modifiedWord/>
      <trackRevisions>false</trackRevisions>
    </reviewItem>
    <reviewItem>
      <errorID>2d53cfcd-3400-42b4-b67f-76e66a36b0a6</errorID>
      <errorWord>）</errorWord>
      <group>L1_Punc</group>
      <groupName>标点问题</groupName>
      <ability>L2_Punc_CN</ability>
      <abilityName>标点符号问题</abilityName>
      <candidateList/>
      <explain>同一形式括号套用。</explain>
      <paraID>4C75DB3D</paraID>
      <start>29</start>
      <end>30</end>
      <status>unmodified</status>
      <modifiedWord/>
      <trackRevisions>false</trackRevisions>
    </reviewItem>
    <reviewItem>
      <errorID>0b67efbb-b26b-48b9-9ae0-242396b2e2c7</errorID>
      <errorWord>(</errorWord>
      <group>L1_Format</group>
      <groupName>格式问题</groupName>
      <ability>L2_HalfPunc_CN</ability>
      <abilityName>全半角问题</abilityName>
      <candidateList>
        <item>（</item>
      </candidateList>
      <explain>文本全半角错误。</explain>
      <paraID>4C75DCDB</paraID>
      <start>18</start>
      <end>19</end>
      <status>modified</status>
      <modifiedWord>（</modifiedWord>
      <trackRevisions>false</trackRevisions>
    </reviewItem>
    <reviewItem>
      <errorID>325f8016-9d78-4383-8eba-ebf79a27dafa</errorID>
      <errorWord>)</errorWord>
      <group>L1_Format</group>
      <groupName>格式问题</groupName>
      <ability>L2_HalfPunc_CN</ability>
      <abilityName>全半角问题</abilityName>
      <candidateList>
        <item>）</item>
      </candidateList>
      <explain>文本全半角错误。</explain>
      <paraID>4C75DCDB</paraID>
      <start>28</start>
      <end>29</end>
      <status>modified</status>
      <modifiedWord>）</modifiedWord>
      <trackRevisions>false</trackRevisions>
    </reviewItem>
    <reviewItem>
      <errorID>308fdaf8-7d80-4b50-9761-54d1463cad08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4C75DCDB</paraID>
      <start>43</start>
      <end>44</end>
      <status>unmodified</status>
      <modifiedWord/>
      <trackRevisions>false</trackRevisions>
    </reviewItem>
    <reviewItem>
      <errorID>0a34dd6f-0cd2-487e-8a28-653b2f6bb41b</errorID>
      <errorWord>；</errorWord>
      <group>L1_Word</group>
      <groupName>字词问题</groupName>
      <ability>L2_Typo</ability>
      <abilityName>字词错误</abilityName>
      <candidateList>
        <item>；具</item>
      </candidateList>
      <explain/>
      <paraID>4C75DCF2</paraID>
      <start>188</start>
      <end>190</end>
      <status>modified</status>
      <modifiedWord>；具</modifiedWord>
      <trackRevisions>false</trackRevisions>
    </reviewItem>
    <reviewItem>
      <errorID>81898261-edb9-4eef-ac0d-7ef4c40578cb</errorID>
      <errorWord>，</errorWord>
      <group>L1_Word</group>
      <groupName>字词问题</groupName>
      <ability>L2_Typo</ability>
      <abilityName>字词错误</abilityName>
      <candidateList>
        <item>，并</item>
      </candidateList>
      <explain/>
      <paraID>4C75DCF2</paraID>
      <start>286</start>
      <end>288</end>
      <status>modified</status>
      <modifiedWord>，并</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0651664-E8E2-4F63-B2BE-411263AB688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陈健</cp:lastModifiedBy>
  <cp:revision>78</cp:revision>
  <dcterms:created xsi:type="dcterms:W3CDTF">2023-08-16T09:14:00Z</dcterms:created>
  <dcterms:modified xsi:type="dcterms:W3CDTF">2026-07-10T09:34:11Z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460F602788D44605B0F9DD67AA9F96C1</vt:lpwstr>
  </property>
  <property fmtid="{D5CDD505-2E9C-101B-9397-08002B2CF9AE}" pid="4" name="KSOTemplateDocerSaveRecord">
    <vt:lpwstr>eyJoZGlkIjoiOTlmYWUwZGQzMzM1NzQzMmI4Y2ZhNGMyZDQyZmYyOWYiLCJ1c2VySWQiOiIyMzU3MDMwNDUifQ==</vt:lpwstr>
  </property>
</Properties>
</file>